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06041" w:rsidRPr="00202EB9" w:rsidTr="00606041">
        <w:tc>
          <w:tcPr>
            <w:tcW w:w="4513" w:type="dxa"/>
            <w:tcBorders>
              <w:bottom w:val="single" w:sz="4" w:space="0" w:color="auto"/>
            </w:tcBorders>
            <w:tcMar>
              <w:bottom w:w="170" w:type="dxa"/>
            </w:tcMar>
          </w:tcPr>
          <w:p w:rsidR="00606041" w:rsidRPr="00202EB9" w:rsidRDefault="00606041" w:rsidP="00606041">
            <w:pPr>
              <w:rPr>
                <w:lang w:val="fr-FR"/>
              </w:rPr>
            </w:pPr>
            <w:bookmarkStart w:id="0" w:name="TitleOfDoc"/>
            <w:bookmarkEnd w:id="0"/>
          </w:p>
        </w:tc>
        <w:tc>
          <w:tcPr>
            <w:tcW w:w="4337" w:type="dxa"/>
            <w:tcBorders>
              <w:bottom w:val="single" w:sz="4" w:space="0" w:color="auto"/>
            </w:tcBorders>
            <w:tcMar>
              <w:left w:w="0" w:type="dxa"/>
              <w:right w:w="0" w:type="dxa"/>
            </w:tcMar>
          </w:tcPr>
          <w:p w:rsidR="00606041" w:rsidRPr="00202EB9" w:rsidRDefault="00606041" w:rsidP="00606041">
            <w:pPr>
              <w:rPr>
                <w:lang w:val="fr-FR"/>
              </w:rPr>
            </w:pPr>
            <w:r w:rsidRPr="00202EB9">
              <w:rPr>
                <w:noProof/>
                <w:lang w:val="fr-FR" w:eastAsia="fr-FR" w:bidi="ar-SA"/>
              </w:rPr>
              <w:drawing>
                <wp:inline distT="0" distB="0" distL="0" distR="0" wp14:anchorId="79965224" wp14:editId="16DA2E4F">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06041" w:rsidRPr="00202EB9" w:rsidRDefault="00606041" w:rsidP="00606041">
            <w:pPr>
              <w:jc w:val="right"/>
              <w:rPr>
                <w:lang w:val="fr-FR"/>
              </w:rPr>
            </w:pPr>
            <w:r w:rsidRPr="00202EB9">
              <w:rPr>
                <w:b/>
                <w:sz w:val="40"/>
                <w:szCs w:val="40"/>
                <w:lang w:val="fr-FR"/>
              </w:rPr>
              <w:t>F</w:t>
            </w:r>
          </w:p>
        </w:tc>
      </w:tr>
      <w:tr w:rsidR="00606041" w:rsidRPr="00202EB9" w:rsidTr="00606041">
        <w:trPr>
          <w:trHeight w:hRule="exact" w:val="340"/>
        </w:trPr>
        <w:tc>
          <w:tcPr>
            <w:tcW w:w="9356" w:type="dxa"/>
            <w:gridSpan w:val="3"/>
            <w:tcBorders>
              <w:top w:val="single" w:sz="4" w:space="0" w:color="auto"/>
            </w:tcBorders>
            <w:tcMar>
              <w:top w:w="170" w:type="dxa"/>
              <w:left w:w="0" w:type="dxa"/>
              <w:right w:w="0" w:type="dxa"/>
            </w:tcMar>
            <w:vAlign w:val="bottom"/>
          </w:tcPr>
          <w:p w:rsidR="00606041" w:rsidRPr="00202EB9" w:rsidRDefault="00606041" w:rsidP="00606041">
            <w:pPr>
              <w:jc w:val="right"/>
              <w:rPr>
                <w:rFonts w:ascii="Arial Black" w:hAnsi="Arial Black"/>
                <w:caps/>
                <w:sz w:val="15"/>
                <w:lang w:val="fr-FR"/>
              </w:rPr>
            </w:pPr>
            <w:proofErr w:type="spellStart"/>
            <w:r w:rsidRPr="00202EB9">
              <w:rPr>
                <w:rFonts w:ascii="Arial Black" w:hAnsi="Arial Black"/>
                <w:caps/>
                <w:sz w:val="15"/>
                <w:lang w:val="fr-FR"/>
              </w:rPr>
              <w:t>CDIP</w:t>
            </w:r>
            <w:proofErr w:type="spellEnd"/>
            <w:r w:rsidRPr="00202EB9">
              <w:rPr>
                <w:rFonts w:ascii="Arial Black" w:hAnsi="Arial Black"/>
                <w:caps/>
                <w:sz w:val="15"/>
                <w:lang w:val="fr-FR"/>
              </w:rPr>
              <w:t>/18/</w:t>
            </w:r>
            <w:bookmarkStart w:id="1" w:name="Code"/>
            <w:bookmarkEnd w:id="1"/>
            <w:r w:rsidRPr="00202EB9">
              <w:rPr>
                <w:rFonts w:ascii="Arial Black" w:hAnsi="Arial Black"/>
                <w:caps/>
                <w:sz w:val="15"/>
                <w:lang w:val="fr-FR"/>
              </w:rPr>
              <w:t xml:space="preserve">7 </w:t>
            </w:r>
          </w:p>
        </w:tc>
      </w:tr>
      <w:tr w:rsidR="00606041" w:rsidRPr="00202EB9" w:rsidTr="00606041">
        <w:trPr>
          <w:trHeight w:hRule="exact" w:val="170"/>
        </w:trPr>
        <w:tc>
          <w:tcPr>
            <w:tcW w:w="9356" w:type="dxa"/>
            <w:gridSpan w:val="3"/>
            <w:noWrap/>
            <w:tcMar>
              <w:left w:w="0" w:type="dxa"/>
              <w:right w:w="0" w:type="dxa"/>
            </w:tcMar>
            <w:vAlign w:val="bottom"/>
          </w:tcPr>
          <w:p w:rsidR="00606041" w:rsidRPr="00202EB9" w:rsidRDefault="00606041" w:rsidP="00606041">
            <w:pPr>
              <w:jc w:val="right"/>
              <w:rPr>
                <w:rFonts w:ascii="Arial Black" w:hAnsi="Arial Black"/>
                <w:caps/>
                <w:sz w:val="15"/>
                <w:lang w:val="fr-FR"/>
              </w:rPr>
            </w:pPr>
            <w:r w:rsidRPr="00202EB9">
              <w:rPr>
                <w:rFonts w:ascii="Arial Black" w:hAnsi="Arial Black"/>
                <w:caps/>
                <w:sz w:val="15"/>
                <w:lang w:val="fr-FR"/>
              </w:rPr>
              <w:t>ORIGINAL</w:t>
            </w:r>
            <w:r w:rsidR="00E15713" w:rsidRPr="00202EB9">
              <w:rPr>
                <w:rFonts w:ascii="Arial Black" w:hAnsi="Arial Black"/>
                <w:caps/>
                <w:sz w:val="15"/>
                <w:lang w:val="fr-FR"/>
              </w:rPr>
              <w:t> </w:t>
            </w:r>
            <w:proofErr w:type="gramStart"/>
            <w:r w:rsidRPr="00202EB9">
              <w:rPr>
                <w:rFonts w:ascii="Arial Black" w:hAnsi="Arial Black"/>
                <w:caps/>
                <w:sz w:val="15"/>
                <w:lang w:val="fr-FR"/>
              </w:rPr>
              <w:t xml:space="preserve">: </w:t>
            </w:r>
            <w:bookmarkStart w:id="2" w:name="Original"/>
            <w:bookmarkEnd w:id="2"/>
            <w:r w:rsidRPr="00202EB9">
              <w:rPr>
                <w:rFonts w:ascii="Arial Black" w:hAnsi="Arial Black"/>
                <w:caps/>
                <w:sz w:val="15"/>
                <w:lang w:val="fr-FR"/>
              </w:rPr>
              <w:t>anglais</w:t>
            </w:r>
            <w:proofErr w:type="gramEnd"/>
          </w:p>
        </w:tc>
      </w:tr>
      <w:tr w:rsidR="00606041" w:rsidRPr="00202EB9" w:rsidTr="00606041">
        <w:trPr>
          <w:trHeight w:hRule="exact" w:val="198"/>
        </w:trPr>
        <w:tc>
          <w:tcPr>
            <w:tcW w:w="9356" w:type="dxa"/>
            <w:gridSpan w:val="3"/>
            <w:tcMar>
              <w:left w:w="0" w:type="dxa"/>
              <w:right w:w="0" w:type="dxa"/>
            </w:tcMar>
            <w:vAlign w:val="bottom"/>
          </w:tcPr>
          <w:p w:rsidR="00606041" w:rsidRPr="00202EB9" w:rsidRDefault="00606041" w:rsidP="00606041">
            <w:pPr>
              <w:jc w:val="right"/>
              <w:rPr>
                <w:rFonts w:ascii="Arial Black" w:hAnsi="Arial Black"/>
                <w:caps/>
                <w:sz w:val="15"/>
                <w:lang w:val="fr-FR"/>
              </w:rPr>
            </w:pPr>
            <w:r w:rsidRPr="00202EB9">
              <w:rPr>
                <w:rFonts w:ascii="Arial Black" w:hAnsi="Arial Black"/>
                <w:caps/>
                <w:sz w:val="15"/>
                <w:lang w:val="fr-FR"/>
              </w:rPr>
              <w:t>DATE</w:t>
            </w:r>
            <w:r w:rsidR="00E15713" w:rsidRPr="00202EB9">
              <w:rPr>
                <w:rFonts w:ascii="Arial Black" w:hAnsi="Arial Black"/>
                <w:caps/>
                <w:sz w:val="15"/>
                <w:lang w:val="fr-FR"/>
              </w:rPr>
              <w:t> </w:t>
            </w:r>
            <w:proofErr w:type="gramStart"/>
            <w:r w:rsidRPr="00202EB9">
              <w:rPr>
                <w:rFonts w:ascii="Arial Black" w:hAnsi="Arial Black"/>
                <w:caps/>
                <w:sz w:val="15"/>
                <w:lang w:val="fr-FR"/>
              </w:rPr>
              <w:t xml:space="preserve">: </w:t>
            </w:r>
            <w:bookmarkStart w:id="3" w:name="Date"/>
            <w:bookmarkEnd w:id="3"/>
            <w:r w:rsidRPr="00202EB9">
              <w:rPr>
                <w:rFonts w:ascii="Arial Black" w:hAnsi="Arial Black"/>
                <w:caps/>
                <w:sz w:val="15"/>
                <w:lang w:val="fr-FR"/>
              </w:rPr>
              <w:t>1</w:t>
            </w:r>
            <w:r w:rsidR="00426067" w:rsidRPr="00202EB9">
              <w:rPr>
                <w:rFonts w:ascii="Arial Black" w:hAnsi="Arial Black"/>
                <w:caps/>
                <w:sz w:val="15"/>
                <w:lang w:val="fr-FR"/>
              </w:rPr>
              <w:t>5</w:t>
            </w:r>
            <w:proofErr w:type="gramEnd"/>
            <w:r w:rsidR="00426067" w:rsidRPr="00202EB9">
              <w:rPr>
                <w:rFonts w:ascii="Arial Black" w:hAnsi="Arial Black"/>
                <w:caps/>
                <w:sz w:val="15"/>
                <w:lang w:val="fr-FR"/>
              </w:rPr>
              <w:t> août 20</w:t>
            </w:r>
            <w:r w:rsidRPr="00202EB9">
              <w:rPr>
                <w:rFonts w:ascii="Arial Black" w:hAnsi="Arial Black"/>
                <w:caps/>
                <w:sz w:val="15"/>
                <w:lang w:val="fr-FR"/>
              </w:rPr>
              <w:t>16</w:t>
            </w:r>
          </w:p>
        </w:tc>
      </w:tr>
    </w:tbl>
    <w:p w:rsidR="00606041" w:rsidRPr="00202EB9" w:rsidRDefault="00606041" w:rsidP="00606041">
      <w:pPr>
        <w:rPr>
          <w:lang w:val="fr-FR"/>
        </w:rPr>
      </w:pPr>
    </w:p>
    <w:p w:rsidR="00606041" w:rsidRPr="00202EB9" w:rsidRDefault="00606041" w:rsidP="00606041">
      <w:pPr>
        <w:rPr>
          <w:lang w:val="fr-FR"/>
        </w:rPr>
      </w:pPr>
    </w:p>
    <w:p w:rsidR="00606041" w:rsidRPr="00202EB9" w:rsidRDefault="00606041" w:rsidP="00606041">
      <w:pPr>
        <w:rPr>
          <w:lang w:val="fr-FR"/>
        </w:rPr>
      </w:pPr>
    </w:p>
    <w:p w:rsidR="00606041" w:rsidRPr="00202EB9" w:rsidRDefault="00606041" w:rsidP="00606041">
      <w:pPr>
        <w:rPr>
          <w:lang w:val="fr-FR"/>
        </w:rPr>
      </w:pPr>
    </w:p>
    <w:p w:rsidR="00606041" w:rsidRPr="00202EB9" w:rsidRDefault="00606041" w:rsidP="00606041">
      <w:pPr>
        <w:rPr>
          <w:lang w:val="fr-FR"/>
        </w:rPr>
      </w:pPr>
    </w:p>
    <w:p w:rsidR="00606041" w:rsidRPr="00202EB9" w:rsidRDefault="00606041" w:rsidP="00606041">
      <w:pPr>
        <w:rPr>
          <w:b/>
          <w:sz w:val="28"/>
          <w:szCs w:val="28"/>
          <w:lang w:val="fr-FR"/>
        </w:rPr>
      </w:pPr>
      <w:r w:rsidRPr="00202EB9">
        <w:rPr>
          <w:b/>
          <w:sz w:val="28"/>
          <w:szCs w:val="28"/>
          <w:lang w:val="fr-FR"/>
        </w:rPr>
        <w:t>Comité du développement et de la propriété intellectuelle (</w:t>
      </w:r>
      <w:proofErr w:type="spellStart"/>
      <w:r w:rsidRPr="00202EB9">
        <w:rPr>
          <w:b/>
          <w:sz w:val="28"/>
          <w:szCs w:val="28"/>
          <w:lang w:val="fr-FR"/>
        </w:rPr>
        <w:t>CDIP</w:t>
      </w:r>
      <w:proofErr w:type="spellEnd"/>
      <w:r w:rsidRPr="00202EB9">
        <w:rPr>
          <w:b/>
          <w:sz w:val="28"/>
          <w:szCs w:val="28"/>
          <w:lang w:val="fr-FR"/>
        </w:rPr>
        <w:t>)</w:t>
      </w:r>
    </w:p>
    <w:p w:rsidR="00606041" w:rsidRPr="00202EB9" w:rsidRDefault="00606041" w:rsidP="00606041">
      <w:pPr>
        <w:rPr>
          <w:lang w:val="fr-FR"/>
        </w:rPr>
      </w:pPr>
    </w:p>
    <w:p w:rsidR="00606041" w:rsidRPr="00202EB9" w:rsidRDefault="00606041" w:rsidP="00606041">
      <w:pPr>
        <w:rPr>
          <w:lang w:val="fr-FR"/>
        </w:rPr>
      </w:pPr>
    </w:p>
    <w:p w:rsidR="00606041" w:rsidRPr="00202EB9" w:rsidRDefault="00606041" w:rsidP="00606041">
      <w:pPr>
        <w:rPr>
          <w:b/>
          <w:sz w:val="24"/>
          <w:szCs w:val="24"/>
          <w:lang w:val="fr-FR"/>
        </w:rPr>
      </w:pPr>
      <w:r w:rsidRPr="00202EB9">
        <w:rPr>
          <w:b/>
          <w:sz w:val="24"/>
          <w:szCs w:val="24"/>
          <w:lang w:val="fr-FR"/>
        </w:rPr>
        <w:t>Dix</w:t>
      </w:r>
      <w:r w:rsidR="001E787E" w:rsidRPr="00202EB9">
        <w:rPr>
          <w:b/>
          <w:sz w:val="24"/>
          <w:szCs w:val="24"/>
          <w:lang w:val="fr-FR"/>
        </w:rPr>
        <w:noBreakHyphen/>
      </w:r>
      <w:r w:rsidRPr="00202EB9">
        <w:rPr>
          <w:b/>
          <w:sz w:val="24"/>
          <w:szCs w:val="24"/>
          <w:lang w:val="fr-FR"/>
        </w:rPr>
        <w:t>huitième session</w:t>
      </w:r>
    </w:p>
    <w:p w:rsidR="00606041" w:rsidRPr="00202EB9" w:rsidRDefault="00606041" w:rsidP="00606041">
      <w:pPr>
        <w:rPr>
          <w:b/>
          <w:sz w:val="24"/>
          <w:szCs w:val="24"/>
          <w:lang w:val="fr-FR"/>
        </w:rPr>
      </w:pPr>
      <w:r w:rsidRPr="00202EB9">
        <w:rPr>
          <w:b/>
          <w:sz w:val="24"/>
          <w:szCs w:val="24"/>
          <w:lang w:val="fr-FR"/>
        </w:rPr>
        <w:t>Genève, 31 octobre – 4 novembre 2016</w:t>
      </w:r>
    </w:p>
    <w:p w:rsidR="00606041" w:rsidRPr="00202EB9" w:rsidRDefault="00606041" w:rsidP="00606041">
      <w:pPr>
        <w:rPr>
          <w:lang w:val="fr-FR"/>
        </w:rPr>
      </w:pPr>
    </w:p>
    <w:p w:rsidR="00606041" w:rsidRPr="00202EB9" w:rsidRDefault="00606041" w:rsidP="00606041">
      <w:pPr>
        <w:rPr>
          <w:lang w:val="fr-FR"/>
        </w:rPr>
      </w:pPr>
    </w:p>
    <w:p w:rsidR="00606041" w:rsidRPr="00202EB9" w:rsidRDefault="00606041" w:rsidP="00606041">
      <w:pPr>
        <w:rPr>
          <w:lang w:val="fr-FR"/>
        </w:rPr>
      </w:pPr>
    </w:p>
    <w:p w:rsidR="00FB2E5D" w:rsidRPr="00202EB9" w:rsidRDefault="001D47CE" w:rsidP="001D47CE">
      <w:pPr>
        <w:rPr>
          <w:rFonts w:eastAsia="SimSun"/>
          <w:caps/>
          <w:sz w:val="24"/>
          <w:lang w:val="fr-FR" w:eastAsia="zh-CN" w:bidi="ar-SA"/>
        </w:rPr>
      </w:pPr>
      <w:r w:rsidRPr="00202EB9">
        <w:rPr>
          <w:rFonts w:eastAsia="SimSun"/>
          <w:caps/>
          <w:sz w:val="24"/>
          <w:lang w:val="fr-FR" w:eastAsia="zh-CN" w:bidi="ar-SA"/>
        </w:rPr>
        <w:t>Rapport sur l’étude indépendante de la mise en œuvre des recommandations du Plan d’action pour le développement</w:t>
      </w:r>
    </w:p>
    <w:p w:rsidR="00FB2E5D" w:rsidRPr="00202EB9" w:rsidRDefault="00FB2E5D" w:rsidP="00FB2E5D">
      <w:pPr>
        <w:rPr>
          <w:rFonts w:eastAsia="SimSun" w:cs="Arial"/>
          <w:szCs w:val="20"/>
          <w:lang w:val="fr-FR" w:eastAsia="zh-CN" w:bidi="ar-SA"/>
        </w:rPr>
      </w:pPr>
    </w:p>
    <w:p w:rsidR="00FB2E5D" w:rsidRPr="00202EB9" w:rsidRDefault="00127F5B" w:rsidP="00FB2E5D">
      <w:pPr>
        <w:rPr>
          <w:rFonts w:eastAsia="SimSun" w:cs="Arial"/>
          <w:i/>
          <w:szCs w:val="20"/>
          <w:lang w:val="fr-FR" w:eastAsia="zh-CN" w:bidi="ar-SA"/>
        </w:rPr>
      </w:pPr>
      <w:proofErr w:type="gramStart"/>
      <w:r w:rsidRPr="00202EB9">
        <w:rPr>
          <w:rFonts w:eastAsia="SimSun" w:cs="Arial"/>
          <w:i/>
          <w:szCs w:val="20"/>
          <w:lang w:val="fr-FR" w:eastAsia="zh-CN" w:bidi="ar-SA"/>
        </w:rPr>
        <w:t>établi</w:t>
      </w:r>
      <w:proofErr w:type="gramEnd"/>
      <w:r w:rsidRPr="00202EB9">
        <w:rPr>
          <w:rFonts w:eastAsia="SimSun" w:cs="Arial"/>
          <w:i/>
          <w:szCs w:val="20"/>
          <w:lang w:val="fr-FR" w:eastAsia="zh-CN" w:bidi="ar-SA"/>
        </w:rPr>
        <w:t xml:space="preserve"> par le Secrétariat</w:t>
      </w:r>
    </w:p>
    <w:p w:rsidR="00FB2E5D" w:rsidRPr="00202EB9" w:rsidRDefault="00FB2E5D" w:rsidP="00FB2E5D">
      <w:pPr>
        <w:rPr>
          <w:rFonts w:eastAsia="SimSun" w:cs="Arial"/>
          <w:szCs w:val="20"/>
          <w:lang w:val="fr-FR" w:eastAsia="zh-CN" w:bidi="ar-SA"/>
        </w:rPr>
      </w:pPr>
    </w:p>
    <w:p w:rsidR="00FB2E5D" w:rsidRPr="00202EB9" w:rsidRDefault="00FB2E5D" w:rsidP="00FB2E5D">
      <w:pPr>
        <w:rPr>
          <w:rFonts w:eastAsia="SimSun" w:cs="Arial"/>
          <w:szCs w:val="20"/>
          <w:lang w:val="fr-FR" w:eastAsia="zh-CN" w:bidi="ar-SA"/>
        </w:rPr>
      </w:pPr>
    </w:p>
    <w:p w:rsidR="00FB2E5D" w:rsidRPr="00202EB9" w:rsidRDefault="00FB2E5D" w:rsidP="00FB2E5D">
      <w:pPr>
        <w:rPr>
          <w:rFonts w:eastAsia="SimSun" w:cs="Arial"/>
          <w:szCs w:val="20"/>
          <w:lang w:val="fr-FR" w:eastAsia="zh-CN" w:bidi="ar-SA"/>
        </w:rPr>
      </w:pPr>
    </w:p>
    <w:p w:rsidR="00FB2E5D" w:rsidRPr="00202EB9" w:rsidRDefault="00FB2E5D" w:rsidP="00FB2E5D">
      <w:pPr>
        <w:rPr>
          <w:rFonts w:eastAsia="SimSun" w:cs="Arial"/>
          <w:szCs w:val="20"/>
          <w:lang w:val="fr-FR" w:eastAsia="zh-CN" w:bidi="ar-SA"/>
        </w:rPr>
      </w:pPr>
    </w:p>
    <w:p w:rsidR="00606041" w:rsidRPr="00202EB9" w:rsidRDefault="00232EFE" w:rsidP="00606041">
      <w:pPr>
        <w:pStyle w:val="ONUMFS"/>
        <w:rPr>
          <w:lang w:val="fr-FR"/>
        </w:rPr>
      </w:pPr>
      <w:r w:rsidRPr="00202EB9">
        <w:rPr>
          <w:lang w:val="fr-FR"/>
        </w:rPr>
        <w:t>L</w:t>
      </w:r>
      <w:r w:rsidR="00426067" w:rsidRPr="00202EB9">
        <w:rPr>
          <w:lang w:val="fr-FR"/>
        </w:rPr>
        <w:t>’</w:t>
      </w:r>
      <w:r w:rsidRPr="00202EB9">
        <w:rPr>
          <w:lang w:val="fr-FR"/>
        </w:rPr>
        <w:t xml:space="preserve">Assemblée générale </w:t>
      </w:r>
      <w:r w:rsidR="00E67F9F" w:rsidRPr="00202EB9">
        <w:rPr>
          <w:lang w:val="fr-FR"/>
        </w:rPr>
        <w:t>de</w:t>
      </w:r>
      <w:r w:rsidR="00E15713" w:rsidRPr="00202EB9">
        <w:rPr>
          <w:lang w:val="fr-FR"/>
        </w:rPr>
        <w:t> </w:t>
      </w:r>
      <w:r w:rsidR="00E67F9F" w:rsidRPr="00202EB9">
        <w:rPr>
          <w:lang w:val="fr-FR"/>
        </w:rPr>
        <w:t xml:space="preserve">2010 </w:t>
      </w:r>
      <w:r w:rsidRPr="00202EB9">
        <w:rPr>
          <w:lang w:val="fr-FR"/>
        </w:rPr>
        <w:t>a</w:t>
      </w:r>
      <w:r w:rsidR="00D824ED" w:rsidRPr="00202EB9">
        <w:rPr>
          <w:lang w:val="fr-FR"/>
        </w:rPr>
        <w:t>vait</w:t>
      </w:r>
      <w:r w:rsidRPr="00202EB9">
        <w:rPr>
          <w:lang w:val="fr-FR"/>
        </w:rPr>
        <w:t xml:space="preserve"> adopté </w:t>
      </w:r>
      <w:r w:rsidR="00D824ED" w:rsidRPr="00202EB9">
        <w:rPr>
          <w:lang w:val="fr-FR"/>
        </w:rPr>
        <w:t>un</w:t>
      </w:r>
      <w:r w:rsidRPr="00202EB9">
        <w:rPr>
          <w:lang w:val="fr-FR"/>
        </w:rPr>
        <w:t xml:space="preserve"> mécanisme de coordination et </w:t>
      </w:r>
      <w:r w:rsidR="00D824ED" w:rsidRPr="00202EB9">
        <w:rPr>
          <w:lang w:val="fr-FR"/>
        </w:rPr>
        <w:t>d</w:t>
      </w:r>
      <w:r w:rsidR="00856B56" w:rsidRPr="00202EB9">
        <w:rPr>
          <w:lang w:val="fr-FR"/>
        </w:rPr>
        <w:t xml:space="preserve">es </w:t>
      </w:r>
      <w:r w:rsidRPr="00202EB9">
        <w:rPr>
          <w:lang w:val="fr-FR"/>
        </w:rPr>
        <w:t>modalités de suivi, d</w:t>
      </w:r>
      <w:r w:rsidR="00426067" w:rsidRPr="00202EB9">
        <w:rPr>
          <w:lang w:val="fr-FR"/>
        </w:rPr>
        <w:t>’</w:t>
      </w:r>
      <w:r w:rsidRPr="00202EB9">
        <w:rPr>
          <w:lang w:val="fr-FR"/>
        </w:rPr>
        <w:t>évaluation et d</w:t>
      </w:r>
      <w:r w:rsidR="00426067" w:rsidRPr="00202EB9">
        <w:rPr>
          <w:lang w:val="fr-FR"/>
        </w:rPr>
        <w:t>’</w:t>
      </w:r>
      <w:r w:rsidRPr="00202EB9">
        <w:rPr>
          <w:lang w:val="fr-FR"/>
        </w:rPr>
        <w:t>établissement de rapports</w:t>
      </w:r>
      <w:r w:rsidR="00381C4B" w:rsidRPr="00202EB9">
        <w:rPr>
          <w:lang w:val="fr-FR"/>
        </w:rPr>
        <w:t xml:space="preserve">, </w:t>
      </w:r>
      <w:r w:rsidR="00D824ED" w:rsidRPr="00202EB9">
        <w:rPr>
          <w:lang w:val="fr-FR"/>
        </w:rPr>
        <w:t xml:space="preserve">lesquels ont été </w:t>
      </w:r>
      <w:r w:rsidRPr="00202EB9">
        <w:rPr>
          <w:lang w:val="fr-FR"/>
        </w:rPr>
        <w:t>approuvé</w:t>
      </w:r>
      <w:r w:rsidR="00E67F9F" w:rsidRPr="00202EB9">
        <w:rPr>
          <w:lang w:val="fr-FR"/>
        </w:rPr>
        <w:t>s</w:t>
      </w:r>
      <w:r w:rsidRPr="00202EB9">
        <w:rPr>
          <w:lang w:val="fr-FR"/>
        </w:rPr>
        <w:t xml:space="preserve"> </w:t>
      </w:r>
      <w:r w:rsidR="00856B56" w:rsidRPr="00202EB9">
        <w:rPr>
          <w:lang w:val="fr-FR"/>
        </w:rPr>
        <w:t>par le Comité du développement et de la propriété intellectuelle (</w:t>
      </w:r>
      <w:proofErr w:type="spellStart"/>
      <w:r w:rsidR="00856B56" w:rsidRPr="00202EB9">
        <w:rPr>
          <w:lang w:val="fr-FR"/>
        </w:rPr>
        <w:t>CDIP</w:t>
      </w:r>
      <w:proofErr w:type="spellEnd"/>
      <w:r w:rsidR="00856B56" w:rsidRPr="00202EB9">
        <w:rPr>
          <w:lang w:val="fr-FR"/>
        </w:rPr>
        <w:t>) à sa cinquième</w:t>
      </w:r>
      <w:r w:rsidR="00E15713" w:rsidRPr="00202EB9">
        <w:rPr>
          <w:lang w:val="fr-FR"/>
        </w:rPr>
        <w:t> </w:t>
      </w:r>
      <w:r w:rsidR="00856B56" w:rsidRPr="00202EB9">
        <w:rPr>
          <w:lang w:val="fr-FR"/>
        </w:rPr>
        <w:t>sessi</w:t>
      </w:r>
      <w:r w:rsidR="001E787E" w:rsidRPr="00202EB9">
        <w:rPr>
          <w:lang w:val="fr-FR"/>
        </w:rPr>
        <w:t>on.  Ce</w:t>
      </w:r>
      <w:r w:rsidR="007E2C0B" w:rsidRPr="00202EB9">
        <w:rPr>
          <w:lang w:val="fr-FR"/>
        </w:rPr>
        <w:t xml:space="preserve">tte décision </w:t>
      </w:r>
      <w:r w:rsidR="00087082" w:rsidRPr="00202EB9">
        <w:rPr>
          <w:lang w:val="fr-FR"/>
        </w:rPr>
        <w:t>prévoyait entre autres</w:t>
      </w:r>
      <w:r w:rsidR="00644E94" w:rsidRPr="00202EB9">
        <w:rPr>
          <w:lang w:val="fr-FR"/>
        </w:rPr>
        <w:t xml:space="preserve"> la réalisation par</w:t>
      </w:r>
      <w:r w:rsidR="00426067" w:rsidRPr="00202EB9">
        <w:rPr>
          <w:lang w:val="fr-FR"/>
        </w:rPr>
        <w:t xml:space="preserve"> le </w:t>
      </w:r>
      <w:proofErr w:type="spellStart"/>
      <w:r w:rsidR="00426067" w:rsidRPr="00202EB9">
        <w:rPr>
          <w:lang w:val="fr-FR"/>
        </w:rPr>
        <w:t>CDI</w:t>
      </w:r>
      <w:r w:rsidR="00644E94" w:rsidRPr="00202EB9">
        <w:rPr>
          <w:lang w:val="fr-FR"/>
        </w:rPr>
        <w:t>P</w:t>
      </w:r>
      <w:proofErr w:type="spellEnd"/>
      <w:r w:rsidR="00644E94" w:rsidRPr="00202EB9">
        <w:rPr>
          <w:lang w:val="fr-FR"/>
        </w:rPr>
        <w:t xml:space="preserve"> d</w:t>
      </w:r>
      <w:r w:rsidR="00426067" w:rsidRPr="00202EB9">
        <w:rPr>
          <w:lang w:val="fr-FR"/>
        </w:rPr>
        <w:t>’</w:t>
      </w:r>
      <w:r w:rsidR="00644E94" w:rsidRPr="00202EB9">
        <w:rPr>
          <w:lang w:val="fr-FR"/>
        </w:rPr>
        <w:t xml:space="preserve">une étude indépendante </w:t>
      </w:r>
      <w:r w:rsidR="00485F02" w:rsidRPr="00202EB9">
        <w:rPr>
          <w:lang w:val="fr-FR"/>
        </w:rPr>
        <w:t>de</w:t>
      </w:r>
      <w:r w:rsidR="00644E94" w:rsidRPr="00202EB9">
        <w:rPr>
          <w:lang w:val="fr-FR"/>
        </w:rPr>
        <w:t xml:space="preserve"> la mise en œuvre des recommandations du Plan d</w:t>
      </w:r>
      <w:r w:rsidR="00426067" w:rsidRPr="00202EB9">
        <w:rPr>
          <w:lang w:val="fr-FR"/>
        </w:rPr>
        <w:t>’</w:t>
      </w:r>
      <w:r w:rsidR="00644E94" w:rsidRPr="00202EB9">
        <w:rPr>
          <w:lang w:val="fr-FR"/>
        </w:rPr>
        <w:t>action pour le développeme</w:t>
      </w:r>
      <w:r w:rsidR="001E787E" w:rsidRPr="00202EB9">
        <w:rPr>
          <w:lang w:val="fr-FR"/>
        </w:rPr>
        <w:t>nt.  Le</w:t>
      </w:r>
      <w:r w:rsidR="00E63D93" w:rsidRPr="00202EB9">
        <w:rPr>
          <w:lang w:val="fr-FR"/>
        </w:rPr>
        <w:t xml:space="preserve"> </w:t>
      </w:r>
      <w:r w:rsidR="00D824ED" w:rsidRPr="00202EB9">
        <w:rPr>
          <w:lang w:val="fr-FR"/>
        </w:rPr>
        <w:t xml:space="preserve">comité a approuvé le </w:t>
      </w:r>
      <w:r w:rsidR="00CE55FE" w:rsidRPr="00202EB9">
        <w:rPr>
          <w:lang w:val="fr-FR"/>
        </w:rPr>
        <w:t>cahier des charges</w:t>
      </w:r>
      <w:r w:rsidR="00E63D93" w:rsidRPr="00202EB9">
        <w:rPr>
          <w:lang w:val="fr-FR"/>
        </w:rPr>
        <w:t xml:space="preserve"> </w:t>
      </w:r>
      <w:r w:rsidR="00284CF8" w:rsidRPr="00202EB9">
        <w:rPr>
          <w:lang w:val="fr-FR"/>
        </w:rPr>
        <w:t xml:space="preserve">de </w:t>
      </w:r>
      <w:r w:rsidR="00E63D93" w:rsidRPr="00202EB9">
        <w:rPr>
          <w:lang w:val="fr-FR"/>
        </w:rPr>
        <w:t>cette étude indépendante à sa quatorzième</w:t>
      </w:r>
      <w:r w:rsidR="00E15713" w:rsidRPr="00202EB9">
        <w:rPr>
          <w:lang w:val="fr-FR"/>
        </w:rPr>
        <w:t> </w:t>
      </w:r>
      <w:r w:rsidR="00E63D93" w:rsidRPr="00202EB9">
        <w:rPr>
          <w:lang w:val="fr-FR"/>
        </w:rPr>
        <w:t>session, qui s</w:t>
      </w:r>
      <w:r w:rsidR="00426067" w:rsidRPr="00202EB9">
        <w:rPr>
          <w:lang w:val="fr-FR"/>
        </w:rPr>
        <w:t>’</w:t>
      </w:r>
      <w:r w:rsidR="00E63D93" w:rsidRPr="00202EB9">
        <w:rPr>
          <w:lang w:val="fr-FR"/>
        </w:rPr>
        <w:t>est tenue du 10 au 1</w:t>
      </w:r>
      <w:r w:rsidR="00426067" w:rsidRPr="00202EB9">
        <w:rPr>
          <w:lang w:val="fr-FR"/>
        </w:rPr>
        <w:t>4 novembre 20</w:t>
      </w:r>
      <w:r w:rsidR="00E63D93" w:rsidRPr="00202EB9">
        <w:rPr>
          <w:lang w:val="fr-FR"/>
        </w:rPr>
        <w:t>14.</w:t>
      </w:r>
    </w:p>
    <w:p w:rsidR="00606041" w:rsidRPr="00202EB9" w:rsidRDefault="000843AA" w:rsidP="00606041">
      <w:pPr>
        <w:pStyle w:val="ONUMFS"/>
        <w:rPr>
          <w:lang w:val="fr-FR"/>
        </w:rPr>
      </w:pPr>
      <w:r w:rsidRPr="00202EB9">
        <w:rPr>
          <w:lang w:val="fr-FR"/>
        </w:rPr>
        <w:t xml:space="preserve">Conformément au cahier des charges, une équipe a été </w:t>
      </w:r>
      <w:r w:rsidR="009A6C02" w:rsidRPr="00202EB9">
        <w:rPr>
          <w:lang w:val="fr-FR"/>
        </w:rPr>
        <w:t>nommée aux fins</w:t>
      </w:r>
      <w:r w:rsidR="005F58A0" w:rsidRPr="00202EB9">
        <w:rPr>
          <w:lang w:val="fr-FR"/>
        </w:rPr>
        <w:t xml:space="preserve"> de la réalisation de </w:t>
      </w:r>
      <w:r w:rsidR="009A6C02" w:rsidRPr="00202EB9">
        <w:rPr>
          <w:lang w:val="fr-FR"/>
        </w:rPr>
        <w:t>l</w:t>
      </w:r>
      <w:r w:rsidR="00426067" w:rsidRPr="00202EB9">
        <w:rPr>
          <w:lang w:val="fr-FR"/>
        </w:rPr>
        <w:t>’</w:t>
      </w:r>
      <w:r w:rsidR="005F58A0" w:rsidRPr="00202EB9">
        <w:rPr>
          <w:lang w:val="fr-FR"/>
        </w:rPr>
        <w:t>étu</w:t>
      </w:r>
      <w:r w:rsidR="001E787E" w:rsidRPr="00202EB9">
        <w:rPr>
          <w:lang w:val="fr-FR"/>
        </w:rPr>
        <w:t>de.  Se</w:t>
      </w:r>
      <w:r w:rsidRPr="00202EB9">
        <w:rPr>
          <w:lang w:val="fr-FR"/>
        </w:rPr>
        <w:t>s membres s</w:t>
      </w:r>
      <w:r w:rsidR="009A6C02" w:rsidRPr="00202EB9">
        <w:rPr>
          <w:lang w:val="fr-FR"/>
        </w:rPr>
        <w:t xml:space="preserve">ont </w:t>
      </w:r>
      <w:r w:rsidR="00FB2E5D" w:rsidRPr="00202EB9">
        <w:rPr>
          <w:lang w:val="fr-FR"/>
        </w:rPr>
        <w:t>M.</w:t>
      </w:r>
      <w:r w:rsidR="00E15713" w:rsidRPr="00202EB9">
        <w:rPr>
          <w:lang w:val="fr-FR"/>
        </w:rPr>
        <w:t> </w:t>
      </w:r>
      <w:proofErr w:type="spellStart"/>
      <w:r w:rsidR="00FB2E5D" w:rsidRPr="00202EB9">
        <w:rPr>
          <w:lang w:val="fr-FR"/>
        </w:rPr>
        <w:t>V.K</w:t>
      </w:r>
      <w:proofErr w:type="spellEnd"/>
      <w:r w:rsidR="001033FB" w:rsidRPr="00202EB9">
        <w:rPr>
          <w:lang w:val="fr-FR"/>
        </w:rPr>
        <w:t>.</w:t>
      </w:r>
      <w:r w:rsidR="001E787E" w:rsidRPr="00202EB9">
        <w:rPr>
          <w:lang w:val="fr-FR"/>
        </w:rPr>
        <w:t> </w:t>
      </w:r>
      <w:r w:rsidR="00FB2E5D" w:rsidRPr="00202EB9">
        <w:rPr>
          <w:lang w:val="fr-FR"/>
        </w:rPr>
        <w:t xml:space="preserve">Gupta, </w:t>
      </w:r>
      <w:r w:rsidR="009A6C02" w:rsidRPr="00202EB9">
        <w:rPr>
          <w:lang w:val="fr-FR"/>
        </w:rPr>
        <w:t>évaluateur</w:t>
      </w:r>
      <w:r w:rsidR="008F26D2" w:rsidRPr="00202EB9">
        <w:rPr>
          <w:lang w:val="fr-FR"/>
        </w:rPr>
        <w:t xml:space="preserve"> principal</w:t>
      </w:r>
      <w:r w:rsidR="00FB2E5D" w:rsidRPr="00202EB9">
        <w:rPr>
          <w:lang w:val="fr-FR"/>
        </w:rPr>
        <w:t>, M.</w:t>
      </w:r>
      <w:r w:rsidR="00E15713" w:rsidRPr="00202EB9">
        <w:rPr>
          <w:lang w:val="fr-FR"/>
        </w:rPr>
        <w:t> </w:t>
      </w:r>
      <w:r w:rsidR="00FB2E5D" w:rsidRPr="00202EB9">
        <w:rPr>
          <w:lang w:val="fr-FR"/>
        </w:rPr>
        <w:t>Pedro</w:t>
      </w:r>
      <w:r w:rsidR="001E787E" w:rsidRPr="00202EB9">
        <w:rPr>
          <w:lang w:val="fr-FR"/>
        </w:rPr>
        <w:t> </w:t>
      </w:r>
      <w:proofErr w:type="spellStart"/>
      <w:r w:rsidR="00FB2E5D" w:rsidRPr="00202EB9">
        <w:rPr>
          <w:lang w:val="fr-FR"/>
        </w:rPr>
        <w:t>Roffe</w:t>
      </w:r>
      <w:proofErr w:type="spellEnd"/>
      <w:r w:rsidR="00FB2E5D" w:rsidRPr="00202EB9">
        <w:rPr>
          <w:lang w:val="fr-FR"/>
        </w:rPr>
        <w:t xml:space="preserve">, </w:t>
      </w:r>
      <w:r w:rsidR="009A6C02" w:rsidRPr="00202EB9">
        <w:rPr>
          <w:lang w:val="fr-FR"/>
        </w:rPr>
        <w:t>expert en propriété intellectuelle et développement, et M</w:t>
      </w:r>
      <w:r w:rsidR="00FB2E5D" w:rsidRPr="00202EB9">
        <w:rPr>
          <w:lang w:val="fr-FR"/>
        </w:rPr>
        <w:t>.</w:t>
      </w:r>
      <w:r w:rsidR="00E15713" w:rsidRPr="00202EB9">
        <w:rPr>
          <w:lang w:val="fr-FR"/>
        </w:rPr>
        <w:t> </w:t>
      </w:r>
      <w:r w:rsidR="00FB2E5D" w:rsidRPr="00202EB9">
        <w:rPr>
          <w:lang w:val="fr-FR"/>
        </w:rPr>
        <w:t>Gift</w:t>
      </w:r>
      <w:r w:rsidR="001E787E" w:rsidRPr="00202EB9">
        <w:rPr>
          <w:lang w:val="fr-FR"/>
        </w:rPr>
        <w:t> </w:t>
      </w:r>
      <w:r w:rsidR="00FB2E5D" w:rsidRPr="00202EB9">
        <w:rPr>
          <w:lang w:val="fr-FR"/>
        </w:rPr>
        <w:t>Huggins</w:t>
      </w:r>
      <w:r w:rsidR="001E787E" w:rsidRPr="00202EB9">
        <w:rPr>
          <w:lang w:val="fr-FR"/>
        </w:rPr>
        <w:t> </w:t>
      </w:r>
      <w:proofErr w:type="spellStart"/>
      <w:r w:rsidR="00FB2E5D" w:rsidRPr="00202EB9">
        <w:rPr>
          <w:lang w:val="fr-FR"/>
        </w:rPr>
        <w:t>Sibanda</w:t>
      </w:r>
      <w:proofErr w:type="spellEnd"/>
      <w:r w:rsidR="00FB2E5D" w:rsidRPr="00202EB9">
        <w:rPr>
          <w:lang w:val="fr-FR"/>
        </w:rPr>
        <w:t xml:space="preserve">, </w:t>
      </w:r>
      <w:r w:rsidR="00B91291" w:rsidRPr="00202EB9">
        <w:rPr>
          <w:lang w:val="fr-FR"/>
        </w:rPr>
        <w:t>expert en propriété intellectuelle et assistance technique</w:t>
      </w:r>
      <w:r w:rsidR="00FB2E5D" w:rsidRPr="00202EB9">
        <w:rPr>
          <w:lang w:val="fr-FR"/>
        </w:rPr>
        <w:t>.</w:t>
      </w:r>
    </w:p>
    <w:p w:rsidR="00606041" w:rsidRPr="00202EB9" w:rsidRDefault="000843AA" w:rsidP="00606041">
      <w:pPr>
        <w:pStyle w:val="ONUMFS"/>
        <w:rPr>
          <w:lang w:val="fr-FR"/>
        </w:rPr>
      </w:pPr>
      <w:r w:rsidRPr="00202EB9">
        <w:rPr>
          <w:lang w:val="fr-FR"/>
        </w:rPr>
        <w:t>Le rapport présenté par l</w:t>
      </w:r>
      <w:r w:rsidR="00426067" w:rsidRPr="00202EB9">
        <w:rPr>
          <w:lang w:val="fr-FR"/>
        </w:rPr>
        <w:t>’</w:t>
      </w:r>
      <w:r w:rsidRPr="00202EB9">
        <w:rPr>
          <w:lang w:val="fr-FR"/>
        </w:rPr>
        <w:t>équipe chargée de l</w:t>
      </w:r>
      <w:r w:rsidR="00426067" w:rsidRPr="00202EB9">
        <w:rPr>
          <w:lang w:val="fr-FR"/>
        </w:rPr>
        <w:t>’</w:t>
      </w:r>
      <w:r w:rsidRPr="00202EB9">
        <w:rPr>
          <w:lang w:val="fr-FR"/>
        </w:rPr>
        <w:t xml:space="preserve">étude figure en </w:t>
      </w:r>
      <w:r w:rsidR="00B91291" w:rsidRPr="00202EB9">
        <w:rPr>
          <w:lang w:val="fr-FR"/>
        </w:rPr>
        <w:t xml:space="preserve">annexe </w:t>
      </w:r>
      <w:r w:rsidRPr="00202EB9">
        <w:rPr>
          <w:lang w:val="fr-FR"/>
        </w:rPr>
        <w:t>a</w:t>
      </w:r>
      <w:r w:rsidR="00B91291" w:rsidRPr="00202EB9">
        <w:rPr>
          <w:lang w:val="fr-FR"/>
        </w:rPr>
        <w:t>u présent document</w:t>
      </w:r>
      <w:r w:rsidR="00FB2E5D" w:rsidRPr="00202EB9">
        <w:rPr>
          <w:lang w:val="fr-FR"/>
        </w:rPr>
        <w:t>.</w:t>
      </w:r>
    </w:p>
    <w:p w:rsidR="00FB2E5D" w:rsidRPr="00202EB9" w:rsidRDefault="00B91291" w:rsidP="00606041">
      <w:pPr>
        <w:pStyle w:val="ONUMFS"/>
        <w:ind w:left="5533"/>
        <w:rPr>
          <w:i/>
          <w:iCs/>
          <w:lang w:val="fr-FR"/>
        </w:rPr>
      </w:pPr>
      <w:r w:rsidRPr="00202EB9">
        <w:rPr>
          <w:i/>
          <w:iCs/>
          <w:lang w:val="fr-FR"/>
        </w:rPr>
        <w:t>L</w:t>
      </w:r>
      <w:r w:rsidR="00FB2E5D" w:rsidRPr="00202EB9">
        <w:rPr>
          <w:i/>
          <w:iCs/>
          <w:lang w:val="fr-FR"/>
        </w:rPr>
        <w:t xml:space="preserve">e </w:t>
      </w:r>
      <w:proofErr w:type="spellStart"/>
      <w:r w:rsidR="00FB2E5D" w:rsidRPr="00202EB9">
        <w:rPr>
          <w:i/>
          <w:iCs/>
          <w:lang w:val="fr-FR"/>
        </w:rPr>
        <w:t>CDIP</w:t>
      </w:r>
      <w:proofErr w:type="spellEnd"/>
      <w:r w:rsidR="00FB2E5D" w:rsidRPr="00202EB9">
        <w:rPr>
          <w:i/>
          <w:iCs/>
          <w:lang w:val="fr-FR"/>
        </w:rPr>
        <w:t xml:space="preserve"> </w:t>
      </w:r>
      <w:r w:rsidRPr="00202EB9">
        <w:rPr>
          <w:i/>
          <w:iCs/>
          <w:lang w:val="fr-FR"/>
        </w:rPr>
        <w:t>est invité à examiner les</w:t>
      </w:r>
      <w:r w:rsidR="00FB2E5D" w:rsidRPr="00202EB9">
        <w:rPr>
          <w:i/>
          <w:iCs/>
          <w:lang w:val="fr-FR"/>
        </w:rPr>
        <w:t xml:space="preserve"> information</w:t>
      </w:r>
      <w:r w:rsidRPr="00202EB9">
        <w:rPr>
          <w:i/>
          <w:iCs/>
          <w:lang w:val="fr-FR"/>
        </w:rPr>
        <w:t>s</w:t>
      </w:r>
      <w:r w:rsidR="00FB2E5D" w:rsidRPr="00202EB9">
        <w:rPr>
          <w:i/>
          <w:iCs/>
          <w:lang w:val="fr-FR"/>
        </w:rPr>
        <w:t xml:space="preserve"> cont</w:t>
      </w:r>
      <w:r w:rsidR="0078620B" w:rsidRPr="00202EB9">
        <w:rPr>
          <w:i/>
          <w:iCs/>
          <w:lang w:val="fr-FR"/>
        </w:rPr>
        <w:t>enues dans l</w:t>
      </w:r>
      <w:r w:rsidR="00426067" w:rsidRPr="00202EB9">
        <w:rPr>
          <w:i/>
          <w:iCs/>
          <w:lang w:val="fr-FR"/>
        </w:rPr>
        <w:t>’</w:t>
      </w:r>
      <w:r w:rsidR="0078620B" w:rsidRPr="00202EB9">
        <w:rPr>
          <w:i/>
          <w:iCs/>
          <w:lang w:val="fr-FR"/>
        </w:rPr>
        <w:t xml:space="preserve">annexe </w:t>
      </w:r>
      <w:r w:rsidR="005D6EEA" w:rsidRPr="00202EB9">
        <w:rPr>
          <w:i/>
          <w:iCs/>
          <w:lang w:val="fr-FR"/>
        </w:rPr>
        <w:t>d</w:t>
      </w:r>
      <w:r w:rsidR="0078620B" w:rsidRPr="00202EB9">
        <w:rPr>
          <w:i/>
          <w:iCs/>
          <w:lang w:val="fr-FR"/>
        </w:rPr>
        <w:t>u présent document</w:t>
      </w:r>
      <w:r w:rsidR="00FB2E5D" w:rsidRPr="00202EB9">
        <w:rPr>
          <w:i/>
          <w:iCs/>
          <w:lang w:val="fr-FR"/>
        </w:rPr>
        <w:t>.</w:t>
      </w:r>
    </w:p>
    <w:p w:rsidR="00FB2E5D" w:rsidRPr="00202EB9" w:rsidRDefault="00FB2E5D" w:rsidP="00606041">
      <w:pPr>
        <w:rPr>
          <w:lang w:val="fr-FR" w:eastAsia="zh-CN" w:bidi="ar-SA"/>
        </w:rPr>
      </w:pPr>
    </w:p>
    <w:p w:rsidR="00FB2E5D" w:rsidRPr="00202EB9" w:rsidRDefault="00FB2E5D" w:rsidP="00606041">
      <w:pPr>
        <w:rPr>
          <w:lang w:val="fr-FR" w:eastAsia="zh-CN" w:bidi="ar-SA"/>
        </w:rPr>
      </w:pPr>
    </w:p>
    <w:p w:rsidR="00FB2E5D" w:rsidRPr="00202EB9" w:rsidRDefault="00FB2E5D" w:rsidP="00FB2E5D">
      <w:pPr>
        <w:ind w:left="5534"/>
        <w:rPr>
          <w:rFonts w:eastAsia="SimSun" w:cs="Arial"/>
          <w:szCs w:val="20"/>
          <w:lang w:val="fr-FR" w:eastAsia="zh-CN" w:bidi="ar-SA"/>
        </w:rPr>
      </w:pPr>
      <w:r w:rsidRPr="00202EB9">
        <w:rPr>
          <w:rFonts w:eastAsia="SimSun" w:cs="Arial"/>
          <w:szCs w:val="20"/>
          <w:lang w:val="fr-FR" w:eastAsia="zh-CN" w:bidi="ar-SA"/>
        </w:rPr>
        <w:t>[</w:t>
      </w:r>
      <w:r w:rsidR="00606041" w:rsidRPr="00202EB9">
        <w:rPr>
          <w:rFonts w:eastAsia="SimSun" w:cs="Arial"/>
          <w:szCs w:val="20"/>
          <w:lang w:val="fr-FR" w:eastAsia="zh-CN" w:bidi="ar-SA"/>
        </w:rPr>
        <w:t>L</w:t>
      </w:r>
      <w:r w:rsidR="00426067" w:rsidRPr="00202EB9">
        <w:rPr>
          <w:rFonts w:eastAsia="SimSun" w:cs="Arial"/>
          <w:szCs w:val="20"/>
          <w:lang w:val="fr-FR" w:eastAsia="zh-CN" w:bidi="ar-SA"/>
        </w:rPr>
        <w:t>’</w:t>
      </w:r>
      <w:r w:rsidR="00606041" w:rsidRPr="00202EB9">
        <w:rPr>
          <w:rFonts w:eastAsia="SimSun" w:cs="Arial"/>
          <w:szCs w:val="20"/>
          <w:lang w:val="fr-FR" w:eastAsia="zh-CN" w:bidi="ar-SA"/>
        </w:rPr>
        <w:t>annexe suit</w:t>
      </w:r>
      <w:r w:rsidRPr="00202EB9">
        <w:rPr>
          <w:rFonts w:eastAsia="SimSun" w:cs="Arial"/>
          <w:szCs w:val="20"/>
          <w:lang w:val="fr-FR" w:eastAsia="zh-CN" w:bidi="ar-SA"/>
        </w:rPr>
        <w:t>]</w:t>
      </w:r>
    </w:p>
    <w:p w:rsidR="00C54E5A" w:rsidRPr="00202EB9" w:rsidRDefault="00C54E5A" w:rsidP="00C54E5A">
      <w:pPr>
        <w:rPr>
          <w:lang w:val="fr-FR" w:eastAsia="zh-CN" w:bidi="ar-SA"/>
        </w:rPr>
      </w:pPr>
    </w:p>
    <w:p w:rsidR="00FB2E5D" w:rsidRPr="00202EB9" w:rsidRDefault="00FB2E5D" w:rsidP="00C54E5A">
      <w:pPr>
        <w:rPr>
          <w:lang w:val="fr-FR"/>
        </w:rPr>
        <w:sectPr w:rsidR="00FB2E5D" w:rsidRPr="00202EB9" w:rsidSect="00C54E5A">
          <w:headerReference w:type="even" r:id="rId10"/>
          <w:headerReference w:type="default" r:id="rId11"/>
          <w:footerReference w:type="even" r:id="rId12"/>
          <w:footerReference w:type="default" r:id="rId13"/>
          <w:headerReference w:type="first" r:id="rId14"/>
          <w:footerReference w:type="first" r:id="rId15"/>
          <w:pgSz w:w="11900" w:h="16840"/>
          <w:pgMar w:top="567" w:right="1134" w:bottom="1417" w:left="1417" w:header="510" w:footer="1020" w:gutter="0"/>
          <w:pgNumType w:fmt="lowerRoman" w:start="1"/>
          <w:cols w:space="708"/>
          <w:titlePg/>
          <w:docGrid w:linePitch="360"/>
        </w:sectPr>
      </w:pPr>
    </w:p>
    <w:p w:rsidR="001F1BF0" w:rsidRDefault="001F1BF0" w:rsidP="005D6EEA">
      <w:pPr>
        <w:jc w:val="center"/>
        <w:rPr>
          <w:rFonts w:cs="Arial"/>
          <w:b/>
          <w:sz w:val="24"/>
          <w:szCs w:val="24"/>
          <w:lang w:val="fr-FR"/>
        </w:rPr>
      </w:pPr>
    </w:p>
    <w:p w:rsidR="005D6EEA" w:rsidRPr="00202EB9" w:rsidRDefault="00485F02" w:rsidP="001F1BF0">
      <w:pPr>
        <w:spacing w:line="480" w:lineRule="auto"/>
        <w:jc w:val="center"/>
        <w:rPr>
          <w:rFonts w:cs="Arial"/>
          <w:b/>
          <w:sz w:val="24"/>
          <w:szCs w:val="24"/>
          <w:lang w:val="fr-FR"/>
        </w:rPr>
      </w:pPr>
      <w:r w:rsidRPr="00202EB9">
        <w:rPr>
          <w:rFonts w:cs="Arial"/>
          <w:b/>
          <w:sz w:val="24"/>
          <w:szCs w:val="24"/>
          <w:lang w:val="fr-FR"/>
        </w:rPr>
        <w:t>Étude</w:t>
      </w:r>
      <w:r w:rsidR="005D6EEA" w:rsidRPr="00202EB9">
        <w:rPr>
          <w:rFonts w:cs="Arial"/>
          <w:b/>
          <w:sz w:val="24"/>
          <w:szCs w:val="24"/>
          <w:lang w:val="fr-FR"/>
        </w:rPr>
        <w:t xml:space="preserve"> indépendant</w:t>
      </w:r>
      <w:r w:rsidRPr="00202EB9">
        <w:rPr>
          <w:rFonts w:cs="Arial"/>
          <w:b/>
          <w:sz w:val="24"/>
          <w:szCs w:val="24"/>
          <w:lang w:val="fr-FR"/>
        </w:rPr>
        <w:t>e</w:t>
      </w:r>
      <w:r w:rsidR="005D6EEA" w:rsidRPr="00202EB9">
        <w:rPr>
          <w:rFonts w:cs="Arial"/>
          <w:b/>
          <w:sz w:val="24"/>
          <w:szCs w:val="24"/>
          <w:lang w:val="fr-FR"/>
        </w:rPr>
        <w:t xml:space="preserve"> de la mise en œuvre des recommandations </w:t>
      </w:r>
      <w:r w:rsidR="001F1BF0">
        <w:rPr>
          <w:rFonts w:cs="Arial"/>
          <w:b/>
          <w:sz w:val="24"/>
          <w:szCs w:val="24"/>
          <w:lang w:val="fr-FR"/>
        </w:rPr>
        <w:br/>
        <w:t>du P</w:t>
      </w:r>
      <w:r w:rsidR="005D6EEA" w:rsidRPr="00202EB9">
        <w:rPr>
          <w:rFonts w:cs="Arial"/>
          <w:b/>
          <w:sz w:val="24"/>
          <w:szCs w:val="24"/>
          <w:lang w:val="fr-FR"/>
        </w:rPr>
        <w:t>lan d</w:t>
      </w:r>
      <w:r w:rsidR="00426067" w:rsidRPr="00202EB9">
        <w:rPr>
          <w:rFonts w:cs="Arial"/>
          <w:b/>
          <w:sz w:val="24"/>
          <w:szCs w:val="24"/>
          <w:lang w:val="fr-FR"/>
        </w:rPr>
        <w:t>’</w:t>
      </w:r>
      <w:r w:rsidR="005D6EEA" w:rsidRPr="00202EB9">
        <w:rPr>
          <w:rFonts w:cs="Arial"/>
          <w:b/>
          <w:sz w:val="24"/>
          <w:szCs w:val="24"/>
          <w:lang w:val="fr-FR"/>
        </w:rPr>
        <w:t>action pour le développement</w:t>
      </w:r>
    </w:p>
    <w:p w:rsidR="0023188B" w:rsidRPr="00202EB9" w:rsidRDefault="0023188B" w:rsidP="00647307">
      <w:pPr>
        <w:jc w:val="center"/>
        <w:rPr>
          <w:rFonts w:cs="Arial"/>
          <w:b/>
          <w:sz w:val="24"/>
          <w:szCs w:val="24"/>
          <w:lang w:val="fr-FR"/>
        </w:rPr>
      </w:pPr>
    </w:p>
    <w:p w:rsidR="0023188B" w:rsidRPr="00202EB9" w:rsidRDefault="0023188B" w:rsidP="00647307">
      <w:pPr>
        <w:jc w:val="center"/>
        <w:rPr>
          <w:rFonts w:cs="Arial"/>
          <w:b/>
          <w:sz w:val="24"/>
          <w:szCs w:val="24"/>
          <w:lang w:val="fr-FR"/>
        </w:rPr>
      </w:pPr>
      <w:r w:rsidRPr="00202EB9">
        <w:rPr>
          <w:rFonts w:cs="Arial"/>
          <w:b/>
          <w:sz w:val="24"/>
          <w:szCs w:val="24"/>
          <w:lang w:val="fr-FR"/>
        </w:rPr>
        <w:t>(</w:t>
      </w:r>
      <w:r w:rsidR="009C0C9B" w:rsidRPr="00202EB9">
        <w:rPr>
          <w:rFonts w:cs="Arial"/>
          <w:b/>
          <w:sz w:val="24"/>
          <w:szCs w:val="24"/>
          <w:lang w:val="fr-FR"/>
        </w:rPr>
        <w:t>2</w:t>
      </w:r>
      <w:r w:rsidR="00A54C8E" w:rsidRPr="00202EB9">
        <w:rPr>
          <w:rFonts w:cs="Arial"/>
          <w:b/>
          <w:sz w:val="24"/>
          <w:szCs w:val="24"/>
          <w:lang w:val="fr-FR"/>
        </w:rPr>
        <w:t>8</w:t>
      </w:r>
      <w:r w:rsidR="001E787E" w:rsidRPr="00202EB9">
        <w:rPr>
          <w:rFonts w:cs="Arial"/>
          <w:b/>
          <w:sz w:val="24"/>
          <w:szCs w:val="24"/>
          <w:lang w:val="fr-FR"/>
        </w:rPr>
        <w:noBreakHyphen/>
      </w:r>
      <w:r w:rsidR="009C0C9B" w:rsidRPr="00202EB9">
        <w:rPr>
          <w:rFonts w:cs="Arial"/>
          <w:b/>
          <w:sz w:val="24"/>
          <w:szCs w:val="24"/>
          <w:lang w:val="fr-FR"/>
        </w:rPr>
        <w:t>07</w:t>
      </w:r>
      <w:r w:rsidR="001E787E" w:rsidRPr="00202EB9">
        <w:rPr>
          <w:rFonts w:cs="Arial"/>
          <w:b/>
          <w:sz w:val="24"/>
          <w:szCs w:val="24"/>
          <w:lang w:val="fr-FR"/>
        </w:rPr>
        <w:noBreakHyphen/>
      </w:r>
      <w:r w:rsidR="009C0C9B" w:rsidRPr="00202EB9">
        <w:rPr>
          <w:rFonts w:cs="Arial"/>
          <w:b/>
          <w:sz w:val="24"/>
          <w:szCs w:val="24"/>
          <w:lang w:val="fr-FR"/>
        </w:rPr>
        <w:t>2016</w:t>
      </w:r>
      <w:r w:rsidRPr="00202EB9">
        <w:rPr>
          <w:rFonts w:cs="Arial"/>
          <w:b/>
          <w:sz w:val="24"/>
          <w:szCs w:val="24"/>
          <w:lang w:val="fr-FR"/>
        </w:rPr>
        <w:t>)</w:t>
      </w: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8721EF" w:rsidP="008721EF">
      <w:pPr>
        <w:tabs>
          <w:tab w:val="left" w:pos="0"/>
        </w:tabs>
        <w:jc w:val="right"/>
        <w:rPr>
          <w:rFonts w:cs="Arial"/>
          <w:sz w:val="24"/>
          <w:szCs w:val="24"/>
          <w:lang w:val="fr-FR"/>
        </w:rPr>
      </w:pPr>
    </w:p>
    <w:p w:rsidR="008721EF" w:rsidRPr="00202EB9" w:rsidRDefault="00E47C6E" w:rsidP="008721EF">
      <w:pPr>
        <w:tabs>
          <w:tab w:val="left" w:pos="0"/>
        </w:tabs>
        <w:jc w:val="right"/>
        <w:rPr>
          <w:rFonts w:cs="Arial"/>
          <w:sz w:val="24"/>
          <w:szCs w:val="24"/>
          <w:lang w:val="fr-FR"/>
        </w:rPr>
      </w:pPr>
      <w:r w:rsidRPr="00202EB9">
        <w:rPr>
          <w:rFonts w:cs="Arial"/>
          <w:sz w:val="24"/>
          <w:szCs w:val="24"/>
          <w:lang w:val="fr-FR"/>
        </w:rPr>
        <w:t>Établi par les membres de l</w:t>
      </w:r>
      <w:r w:rsidR="00426067" w:rsidRPr="00202EB9">
        <w:rPr>
          <w:rFonts w:cs="Arial"/>
          <w:sz w:val="24"/>
          <w:szCs w:val="24"/>
          <w:lang w:val="fr-FR"/>
        </w:rPr>
        <w:t>’</w:t>
      </w:r>
      <w:r w:rsidRPr="00202EB9">
        <w:rPr>
          <w:rFonts w:cs="Arial"/>
          <w:sz w:val="24"/>
          <w:szCs w:val="24"/>
          <w:lang w:val="fr-FR"/>
        </w:rPr>
        <w:t>équipe</w:t>
      </w:r>
      <w:r w:rsidR="00E15713" w:rsidRPr="00202EB9">
        <w:rPr>
          <w:rFonts w:cs="Arial"/>
          <w:sz w:val="24"/>
          <w:szCs w:val="24"/>
          <w:lang w:val="fr-FR"/>
        </w:rPr>
        <w:t> </w:t>
      </w:r>
      <w:r w:rsidR="008721EF" w:rsidRPr="00202EB9">
        <w:rPr>
          <w:rFonts w:cs="Arial"/>
          <w:sz w:val="24"/>
          <w:szCs w:val="24"/>
          <w:lang w:val="fr-FR"/>
        </w:rPr>
        <w:t>:</w:t>
      </w:r>
    </w:p>
    <w:p w:rsidR="008721EF" w:rsidRPr="00202EB9" w:rsidRDefault="008721EF" w:rsidP="008721EF">
      <w:pPr>
        <w:tabs>
          <w:tab w:val="left" w:pos="0"/>
        </w:tabs>
        <w:jc w:val="right"/>
        <w:rPr>
          <w:rFonts w:cs="Arial"/>
          <w:sz w:val="14"/>
          <w:szCs w:val="14"/>
          <w:lang w:val="fr-FR"/>
        </w:rPr>
      </w:pPr>
    </w:p>
    <w:p w:rsidR="008721EF" w:rsidRPr="00202EB9" w:rsidRDefault="00B77D39" w:rsidP="008721EF">
      <w:pPr>
        <w:tabs>
          <w:tab w:val="left" w:pos="0"/>
        </w:tabs>
        <w:jc w:val="right"/>
        <w:rPr>
          <w:rFonts w:cs="Arial"/>
          <w:sz w:val="24"/>
          <w:szCs w:val="24"/>
          <w:lang w:val="fr-FR"/>
        </w:rPr>
      </w:pPr>
      <w:proofErr w:type="spellStart"/>
      <w:r w:rsidRPr="00202EB9">
        <w:rPr>
          <w:rFonts w:cs="Arial"/>
          <w:sz w:val="24"/>
          <w:szCs w:val="24"/>
          <w:lang w:val="fr-FR"/>
        </w:rPr>
        <w:t>V.K</w:t>
      </w:r>
      <w:proofErr w:type="spellEnd"/>
      <w:r w:rsidRPr="00202EB9">
        <w:rPr>
          <w:rFonts w:cs="Arial"/>
          <w:sz w:val="24"/>
          <w:szCs w:val="24"/>
          <w:lang w:val="fr-FR"/>
        </w:rPr>
        <w:t>.</w:t>
      </w:r>
      <w:r w:rsidR="001E787E" w:rsidRPr="00202EB9">
        <w:rPr>
          <w:rFonts w:cs="Arial"/>
          <w:sz w:val="24"/>
          <w:szCs w:val="24"/>
          <w:lang w:val="fr-FR"/>
        </w:rPr>
        <w:t> </w:t>
      </w:r>
      <w:r w:rsidRPr="00202EB9">
        <w:rPr>
          <w:rFonts w:cs="Arial"/>
          <w:sz w:val="24"/>
          <w:szCs w:val="24"/>
          <w:lang w:val="fr-FR"/>
        </w:rPr>
        <w:t>Gupta</w:t>
      </w:r>
    </w:p>
    <w:p w:rsidR="008721EF" w:rsidRPr="00202EB9" w:rsidRDefault="00B77D39" w:rsidP="008721EF">
      <w:pPr>
        <w:tabs>
          <w:tab w:val="left" w:pos="0"/>
        </w:tabs>
        <w:jc w:val="right"/>
        <w:rPr>
          <w:rFonts w:cs="Arial"/>
          <w:sz w:val="24"/>
          <w:szCs w:val="24"/>
          <w:lang w:val="fr-FR"/>
        </w:rPr>
      </w:pPr>
      <w:r w:rsidRPr="00202EB9">
        <w:rPr>
          <w:rFonts w:cs="Arial"/>
          <w:sz w:val="24"/>
          <w:szCs w:val="24"/>
          <w:lang w:val="fr-FR"/>
        </w:rPr>
        <w:t>Pedro</w:t>
      </w:r>
      <w:r w:rsidR="001E787E" w:rsidRPr="00202EB9">
        <w:rPr>
          <w:rFonts w:cs="Arial"/>
          <w:sz w:val="24"/>
          <w:szCs w:val="24"/>
          <w:lang w:val="fr-FR"/>
        </w:rPr>
        <w:t> </w:t>
      </w:r>
      <w:proofErr w:type="spellStart"/>
      <w:r w:rsidRPr="00202EB9">
        <w:rPr>
          <w:rFonts w:cs="Arial"/>
          <w:sz w:val="24"/>
          <w:szCs w:val="24"/>
          <w:lang w:val="fr-FR"/>
        </w:rPr>
        <w:t>Roffe</w:t>
      </w:r>
      <w:proofErr w:type="spellEnd"/>
    </w:p>
    <w:p w:rsidR="008721EF" w:rsidRPr="00202EB9" w:rsidRDefault="00B77D39" w:rsidP="008721EF">
      <w:pPr>
        <w:tabs>
          <w:tab w:val="left" w:pos="0"/>
        </w:tabs>
        <w:jc w:val="right"/>
        <w:rPr>
          <w:rFonts w:cs="Arial"/>
          <w:sz w:val="24"/>
          <w:szCs w:val="24"/>
          <w:lang w:val="fr-FR"/>
        </w:rPr>
      </w:pPr>
      <w:proofErr w:type="spellStart"/>
      <w:r w:rsidRPr="00202EB9">
        <w:rPr>
          <w:rFonts w:cs="Arial"/>
          <w:sz w:val="24"/>
          <w:szCs w:val="24"/>
          <w:lang w:val="fr-FR"/>
        </w:rPr>
        <w:t>G.H</w:t>
      </w:r>
      <w:proofErr w:type="spellEnd"/>
      <w:r w:rsidRPr="00202EB9">
        <w:rPr>
          <w:rFonts w:cs="Arial"/>
          <w:sz w:val="24"/>
          <w:szCs w:val="24"/>
          <w:lang w:val="fr-FR"/>
        </w:rPr>
        <w:t>.</w:t>
      </w:r>
      <w:r w:rsidR="001E787E" w:rsidRPr="00202EB9">
        <w:rPr>
          <w:rFonts w:cs="Arial"/>
          <w:sz w:val="24"/>
          <w:szCs w:val="24"/>
          <w:lang w:val="fr-FR"/>
        </w:rPr>
        <w:t> </w:t>
      </w:r>
      <w:proofErr w:type="spellStart"/>
      <w:r w:rsidRPr="00202EB9">
        <w:rPr>
          <w:rFonts w:cs="Arial"/>
          <w:sz w:val="24"/>
          <w:szCs w:val="24"/>
          <w:lang w:val="fr-FR"/>
        </w:rPr>
        <w:t>Sibanda</w:t>
      </w:r>
      <w:proofErr w:type="spellEnd"/>
    </w:p>
    <w:p w:rsidR="00D43E27" w:rsidRPr="00202EB9" w:rsidRDefault="00B77D39">
      <w:pPr>
        <w:rPr>
          <w:rFonts w:cs="Arial"/>
          <w:b/>
          <w:sz w:val="24"/>
          <w:szCs w:val="24"/>
          <w:lang w:val="fr-FR"/>
        </w:rPr>
      </w:pPr>
      <w:r w:rsidRPr="00202EB9">
        <w:rPr>
          <w:rFonts w:cs="Arial"/>
          <w:b/>
          <w:sz w:val="24"/>
          <w:szCs w:val="24"/>
          <w:lang w:val="fr-FR"/>
        </w:rPr>
        <w:br w:type="page"/>
      </w:r>
    </w:p>
    <w:p w:rsidR="00C83F78" w:rsidRPr="00202EB9" w:rsidRDefault="00C83F78" w:rsidP="00C54E5A">
      <w:pPr>
        <w:ind w:left="2268"/>
        <w:rPr>
          <w:lang w:val="fr-FR"/>
        </w:rPr>
      </w:pPr>
    </w:p>
    <w:p w:rsidR="00C83F78" w:rsidRPr="00202EB9" w:rsidRDefault="00C83F78" w:rsidP="00C54E5A">
      <w:pPr>
        <w:ind w:left="2268"/>
        <w:rPr>
          <w:lang w:val="fr-FR"/>
        </w:rPr>
      </w:pPr>
    </w:p>
    <w:p w:rsidR="00C83F78" w:rsidRPr="00202EB9" w:rsidRDefault="00C83F78" w:rsidP="00C54E5A">
      <w:pPr>
        <w:ind w:left="2268"/>
        <w:rPr>
          <w:lang w:val="fr-FR"/>
        </w:rPr>
      </w:pPr>
    </w:p>
    <w:p w:rsidR="00C83F78" w:rsidRPr="00202EB9" w:rsidRDefault="00C83F78" w:rsidP="00C54E5A">
      <w:pPr>
        <w:ind w:left="2268"/>
        <w:rPr>
          <w:lang w:val="fr-FR"/>
        </w:rPr>
      </w:pPr>
    </w:p>
    <w:p w:rsidR="00C83F78" w:rsidRPr="00202EB9" w:rsidRDefault="00C83F78" w:rsidP="00C54E5A">
      <w:pPr>
        <w:ind w:left="2268"/>
        <w:rPr>
          <w:lang w:val="fr-FR"/>
        </w:rPr>
      </w:pPr>
    </w:p>
    <w:p w:rsidR="00C83F78" w:rsidRPr="00202EB9" w:rsidRDefault="00C83F78" w:rsidP="00C54E5A">
      <w:pPr>
        <w:ind w:left="2268"/>
        <w:rPr>
          <w:lang w:val="fr-FR"/>
        </w:rPr>
      </w:pPr>
    </w:p>
    <w:p w:rsidR="00C83F78" w:rsidRPr="00202EB9" w:rsidRDefault="00C83F78" w:rsidP="00C54E5A">
      <w:pPr>
        <w:ind w:left="2268"/>
        <w:rPr>
          <w:lang w:val="fr-FR"/>
        </w:rPr>
      </w:pPr>
    </w:p>
    <w:p w:rsidR="00C83F78" w:rsidRPr="00202EB9" w:rsidRDefault="00C83F78" w:rsidP="00C54E5A">
      <w:pPr>
        <w:ind w:left="2268"/>
        <w:rPr>
          <w:lang w:val="fr-FR"/>
        </w:rPr>
      </w:pPr>
    </w:p>
    <w:p w:rsidR="00C83F78" w:rsidRPr="00202EB9" w:rsidRDefault="00C83F78" w:rsidP="00C54E5A">
      <w:pPr>
        <w:ind w:left="2268"/>
        <w:rPr>
          <w:lang w:val="fr-FR"/>
        </w:rPr>
      </w:pPr>
    </w:p>
    <w:p w:rsidR="00C83F78" w:rsidRPr="00202EB9" w:rsidRDefault="00C83F78" w:rsidP="00C54E5A">
      <w:pPr>
        <w:ind w:left="2268"/>
        <w:rPr>
          <w:lang w:val="fr-FR"/>
        </w:rPr>
      </w:pPr>
    </w:p>
    <w:p w:rsidR="00C83F78" w:rsidRPr="00202EB9" w:rsidRDefault="00C83F78" w:rsidP="00C54E5A">
      <w:pPr>
        <w:ind w:left="2268"/>
        <w:rPr>
          <w:lang w:val="fr-FR"/>
        </w:rPr>
      </w:pPr>
    </w:p>
    <w:p w:rsidR="00C83F78" w:rsidRPr="00202EB9" w:rsidRDefault="00C83F78" w:rsidP="00C54E5A">
      <w:pPr>
        <w:ind w:left="2268"/>
        <w:rPr>
          <w:lang w:val="fr-FR"/>
        </w:rPr>
      </w:pPr>
    </w:p>
    <w:p w:rsidR="00C83F78" w:rsidRPr="00202EB9" w:rsidRDefault="00C83F78" w:rsidP="00C54E5A">
      <w:pPr>
        <w:ind w:left="2268"/>
        <w:rPr>
          <w:lang w:val="fr-FR"/>
        </w:rPr>
      </w:pPr>
    </w:p>
    <w:p w:rsidR="00C83F78" w:rsidRPr="00202EB9" w:rsidRDefault="00E47C6E" w:rsidP="00C54E5A">
      <w:pPr>
        <w:ind w:left="2268"/>
        <w:rPr>
          <w:lang w:val="fr-FR"/>
        </w:rPr>
      </w:pPr>
      <w:r w:rsidRPr="00202EB9">
        <w:rPr>
          <w:lang w:val="fr-FR"/>
        </w:rPr>
        <w:t>Les membres de l</w:t>
      </w:r>
      <w:r w:rsidR="00426067" w:rsidRPr="00202EB9">
        <w:rPr>
          <w:lang w:val="fr-FR"/>
        </w:rPr>
        <w:t>’</w:t>
      </w:r>
      <w:r w:rsidRPr="00202EB9">
        <w:rPr>
          <w:lang w:val="fr-FR"/>
        </w:rPr>
        <w:t>équipe</w:t>
      </w:r>
      <w:r w:rsidR="00D71BF2" w:rsidRPr="00202EB9">
        <w:rPr>
          <w:lang w:val="fr-FR"/>
        </w:rPr>
        <w:t xml:space="preserve"> chargée de la réalisation de cette étude tiennent à</w:t>
      </w:r>
      <w:r w:rsidR="00A352C7" w:rsidRPr="00202EB9">
        <w:rPr>
          <w:lang w:val="fr-FR"/>
        </w:rPr>
        <w:t xml:space="preserve"> exprimer leur profonde gratitude à l</w:t>
      </w:r>
      <w:r w:rsidR="00426067" w:rsidRPr="00202EB9">
        <w:rPr>
          <w:lang w:val="fr-FR"/>
        </w:rPr>
        <w:t>’</w:t>
      </w:r>
      <w:r w:rsidR="00A352C7" w:rsidRPr="00202EB9">
        <w:rPr>
          <w:lang w:val="fr-FR"/>
        </w:rPr>
        <w:t xml:space="preserve">ensemble des acteurs du processus pour leur contribution et leur appui, et </w:t>
      </w:r>
      <w:r w:rsidR="003B0BFB" w:rsidRPr="00202EB9">
        <w:rPr>
          <w:lang w:val="fr-FR"/>
        </w:rPr>
        <w:t>principalement</w:t>
      </w:r>
      <w:r w:rsidR="00A352C7" w:rsidRPr="00202EB9">
        <w:rPr>
          <w:lang w:val="fr-FR"/>
        </w:rPr>
        <w:t xml:space="preserve"> </w:t>
      </w:r>
      <w:r w:rsidR="003E52A0" w:rsidRPr="00202EB9">
        <w:rPr>
          <w:lang w:val="fr-FR"/>
        </w:rPr>
        <w:t xml:space="preserve">aux représentants des États membres à Genève, aux offices de propriété intellectuelle et </w:t>
      </w:r>
      <w:r w:rsidR="00886305" w:rsidRPr="00202EB9">
        <w:rPr>
          <w:lang w:val="fr-FR"/>
        </w:rPr>
        <w:t>autres autorités nationales qui ont facilité leurs missions, ainsi qu</w:t>
      </w:r>
      <w:r w:rsidR="00426067" w:rsidRPr="00202EB9">
        <w:rPr>
          <w:lang w:val="fr-FR"/>
        </w:rPr>
        <w:t>’</w:t>
      </w:r>
      <w:r w:rsidR="00EA4EC4" w:rsidRPr="00202EB9">
        <w:rPr>
          <w:lang w:val="fr-FR"/>
        </w:rPr>
        <w:t>aux</w:t>
      </w:r>
      <w:r w:rsidR="00886305" w:rsidRPr="00202EB9">
        <w:rPr>
          <w:lang w:val="fr-FR"/>
        </w:rPr>
        <w:t xml:space="preserve"> organisations </w:t>
      </w:r>
      <w:proofErr w:type="spellStart"/>
      <w:r w:rsidR="00886305" w:rsidRPr="00202EB9">
        <w:rPr>
          <w:lang w:val="fr-FR"/>
        </w:rPr>
        <w:t>intergouvernementales</w:t>
      </w:r>
      <w:proofErr w:type="spellEnd"/>
      <w:r w:rsidR="00886305" w:rsidRPr="00202EB9">
        <w:rPr>
          <w:lang w:val="fr-FR"/>
        </w:rPr>
        <w:t xml:space="preserve">, </w:t>
      </w:r>
      <w:r w:rsidR="00EA4EC4" w:rsidRPr="00202EB9">
        <w:rPr>
          <w:lang w:val="fr-FR"/>
        </w:rPr>
        <w:t>aux</w:t>
      </w:r>
      <w:r w:rsidR="00886305" w:rsidRPr="00202EB9">
        <w:rPr>
          <w:lang w:val="fr-FR"/>
        </w:rPr>
        <w:t xml:space="preserve"> organisations non gouvernementales, </w:t>
      </w:r>
      <w:r w:rsidR="00EA4EC4" w:rsidRPr="00202EB9">
        <w:rPr>
          <w:lang w:val="fr-FR"/>
        </w:rPr>
        <w:t>aux</w:t>
      </w:r>
      <w:r w:rsidR="00886305" w:rsidRPr="00202EB9">
        <w:rPr>
          <w:lang w:val="fr-FR"/>
        </w:rPr>
        <w:t xml:space="preserve"> représentants de la société civile</w:t>
      </w:r>
      <w:r w:rsidR="008E37CE" w:rsidRPr="00202EB9">
        <w:rPr>
          <w:lang w:val="fr-FR"/>
        </w:rPr>
        <w:t xml:space="preserve">, </w:t>
      </w:r>
      <w:r w:rsidR="00EA4EC4" w:rsidRPr="00202EB9">
        <w:rPr>
          <w:lang w:val="fr-FR"/>
        </w:rPr>
        <w:t>aux</w:t>
      </w:r>
      <w:r w:rsidR="008E37CE" w:rsidRPr="00202EB9">
        <w:rPr>
          <w:lang w:val="fr-FR"/>
        </w:rPr>
        <w:t xml:space="preserve"> fonctionnaires de l</w:t>
      </w:r>
      <w:r w:rsidR="00426067" w:rsidRPr="00202EB9">
        <w:rPr>
          <w:lang w:val="fr-FR"/>
        </w:rPr>
        <w:t>’</w:t>
      </w:r>
      <w:r w:rsidR="008E37CE" w:rsidRPr="00202EB9">
        <w:rPr>
          <w:lang w:val="fr-FR"/>
        </w:rPr>
        <w:t xml:space="preserve">OMPI et </w:t>
      </w:r>
      <w:r w:rsidR="00EA4EC4" w:rsidRPr="00202EB9">
        <w:rPr>
          <w:lang w:val="fr-FR"/>
        </w:rPr>
        <w:t xml:space="preserve">à </w:t>
      </w:r>
      <w:r w:rsidR="008E37CE" w:rsidRPr="00202EB9">
        <w:rPr>
          <w:lang w:val="fr-FR"/>
        </w:rPr>
        <w:t>toutes les autres parties prenantes.</w:t>
      </w:r>
    </w:p>
    <w:p w:rsidR="00C83F78" w:rsidRPr="00202EB9" w:rsidRDefault="00C83F78" w:rsidP="00C54E5A">
      <w:pPr>
        <w:ind w:left="2268"/>
        <w:rPr>
          <w:lang w:val="fr-FR"/>
        </w:rPr>
      </w:pPr>
    </w:p>
    <w:p w:rsidR="00C83F78" w:rsidRPr="00202EB9" w:rsidRDefault="00351EC5" w:rsidP="00C54E5A">
      <w:pPr>
        <w:ind w:left="2268"/>
        <w:rPr>
          <w:lang w:val="fr-FR"/>
        </w:rPr>
      </w:pPr>
      <w:r w:rsidRPr="00202EB9">
        <w:rPr>
          <w:lang w:val="fr-FR"/>
        </w:rPr>
        <w:t>L</w:t>
      </w:r>
      <w:r w:rsidR="00426067" w:rsidRPr="00202EB9">
        <w:rPr>
          <w:lang w:val="fr-FR"/>
        </w:rPr>
        <w:t>’</w:t>
      </w:r>
      <w:r w:rsidRPr="00202EB9">
        <w:rPr>
          <w:lang w:val="fr-FR"/>
        </w:rPr>
        <w:t xml:space="preserve">équipe </w:t>
      </w:r>
      <w:r w:rsidR="00392F60" w:rsidRPr="00202EB9">
        <w:rPr>
          <w:lang w:val="fr-FR"/>
        </w:rPr>
        <w:t>salue</w:t>
      </w:r>
      <w:r w:rsidR="00192A28" w:rsidRPr="00202EB9">
        <w:rPr>
          <w:lang w:val="fr-FR"/>
        </w:rPr>
        <w:t xml:space="preserve"> </w:t>
      </w:r>
      <w:r w:rsidR="00392F60" w:rsidRPr="00202EB9">
        <w:rPr>
          <w:lang w:val="fr-FR"/>
        </w:rPr>
        <w:t>tout particulièrement la collaboration active de tous les intervenants mentionnés ci</w:t>
      </w:r>
      <w:r w:rsidR="001E787E" w:rsidRPr="00202EB9">
        <w:rPr>
          <w:lang w:val="fr-FR"/>
        </w:rPr>
        <w:noBreakHyphen/>
      </w:r>
      <w:r w:rsidR="00392F60" w:rsidRPr="00202EB9">
        <w:rPr>
          <w:lang w:val="fr-FR"/>
        </w:rPr>
        <w:t>dessus, sans laquelle</w:t>
      </w:r>
      <w:r w:rsidR="00192A28" w:rsidRPr="00202EB9">
        <w:rPr>
          <w:lang w:val="fr-FR"/>
        </w:rPr>
        <w:t xml:space="preserve"> son travail </w:t>
      </w:r>
      <w:r w:rsidRPr="00202EB9">
        <w:rPr>
          <w:lang w:val="fr-FR"/>
        </w:rPr>
        <w:t>n</w:t>
      </w:r>
      <w:r w:rsidR="00426067" w:rsidRPr="00202EB9">
        <w:rPr>
          <w:lang w:val="fr-FR"/>
        </w:rPr>
        <w:t>’</w:t>
      </w:r>
      <w:r w:rsidR="00392F60" w:rsidRPr="00202EB9">
        <w:rPr>
          <w:lang w:val="fr-FR"/>
        </w:rPr>
        <w:t>aurait pas pu être mené à bien</w:t>
      </w:r>
      <w:r w:rsidR="00192A28" w:rsidRPr="00202EB9">
        <w:rPr>
          <w:lang w:val="fr-FR"/>
        </w:rPr>
        <w:t>.</w:t>
      </w:r>
    </w:p>
    <w:p w:rsidR="00C54E5A" w:rsidRPr="00202EB9" w:rsidRDefault="00C54E5A">
      <w:pPr>
        <w:rPr>
          <w:rFonts w:cs="Arial"/>
          <w:lang w:val="fr-FR"/>
        </w:rPr>
      </w:pPr>
      <w:r w:rsidRPr="00202EB9">
        <w:rPr>
          <w:rFonts w:cs="Arial"/>
          <w:lang w:val="fr-FR"/>
        </w:rPr>
        <w:br w:type="page"/>
      </w:r>
    </w:p>
    <w:p w:rsidR="008B67F5" w:rsidRPr="00202EB9" w:rsidRDefault="00606041" w:rsidP="002D0820">
      <w:pPr>
        <w:jc w:val="center"/>
        <w:rPr>
          <w:rFonts w:cs="Arial"/>
          <w:b/>
          <w:lang w:val="fr-FR"/>
        </w:rPr>
      </w:pPr>
      <w:r w:rsidRPr="00202EB9">
        <w:rPr>
          <w:rFonts w:cs="Arial"/>
          <w:b/>
          <w:lang w:val="fr-FR"/>
        </w:rPr>
        <w:t>TABLE DES MATIÈRES</w:t>
      </w:r>
    </w:p>
    <w:p w:rsidR="0053052A" w:rsidRDefault="0053052A" w:rsidP="0053052A">
      <w:pPr>
        <w:jc w:val="center"/>
        <w:rPr>
          <w:rFonts w:cs="Arial"/>
          <w:b/>
          <w:lang w:val="fr-FR"/>
        </w:rPr>
      </w:pPr>
    </w:p>
    <w:sdt>
      <w:sdtPr>
        <w:id w:val="1111932367"/>
        <w:docPartObj>
          <w:docPartGallery w:val="Table of Contents"/>
          <w:docPartUnique/>
        </w:docPartObj>
      </w:sdtPr>
      <w:sdtEndPr>
        <w:rPr>
          <w:b/>
          <w:bCs/>
          <w:noProof/>
        </w:rPr>
      </w:sdtEndPr>
      <w:sdtContent>
        <w:p w:rsidR="00202EB9" w:rsidRPr="00202EB9" w:rsidRDefault="00202EB9" w:rsidP="00202EB9"/>
        <w:p w:rsidR="008D1193" w:rsidRDefault="001F1BF0">
          <w:pPr>
            <w:pStyle w:val="TOC1"/>
            <w:rPr>
              <w:rFonts w:asciiTheme="minorHAnsi" w:hAnsiTheme="minorHAnsi"/>
              <w:b w:val="0"/>
              <w:noProof/>
              <w:lang w:val="fr-FR" w:eastAsia="fr-FR" w:bidi="ar-SA"/>
            </w:rPr>
          </w:pPr>
          <w:r>
            <w:rPr>
              <w:b w:val="0"/>
            </w:rPr>
            <w:fldChar w:fldCharType="begin"/>
          </w:r>
          <w:r>
            <w:rPr>
              <w:b w:val="0"/>
            </w:rPr>
            <w:instrText xml:space="preserve"> TOC \o "1-3" \u </w:instrText>
          </w:r>
          <w:r>
            <w:rPr>
              <w:b w:val="0"/>
            </w:rPr>
            <w:fldChar w:fldCharType="separate"/>
          </w:r>
          <w:r w:rsidR="008D1193" w:rsidRPr="00DC2F1B">
            <w:rPr>
              <w:noProof/>
              <w:lang w:val="fr-FR"/>
            </w:rPr>
            <w:t>A.</w:t>
          </w:r>
          <w:r w:rsidR="008D1193">
            <w:rPr>
              <w:rFonts w:asciiTheme="minorHAnsi" w:hAnsiTheme="minorHAnsi"/>
              <w:b w:val="0"/>
              <w:noProof/>
              <w:lang w:val="fr-FR" w:eastAsia="fr-FR" w:bidi="ar-SA"/>
            </w:rPr>
            <w:tab/>
          </w:r>
          <w:r w:rsidR="008D1193" w:rsidRPr="00DC2F1B">
            <w:rPr>
              <w:noProof/>
              <w:lang w:val="fr-FR"/>
            </w:rPr>
            <w:t>Résumé</w:t>
          </w:r>
          <w:r w:rsidR="008D1193">
            <w:rPr>
              <w:noProof/>
            </w:rPr>
            <w:tab/>
          </w:r>
          <w:r w:rsidR="008D1193">
            <w:rPr>
              <w:noProof/>
            </w:rPr>
            <w:fldChar w:fldCharType="begin"/>
          </w:r>
          <w:r w:rsidR="008D1193">
            <w:rPr>
              <w:noProof/>
            </w:rPr>
            <w:instrText xml:space="preserve"> PAGEREF _Toc460492846 \h </w:instrText>
          </w:r>
          <w:r w:rsidR="008D1193">
            <w:rPr>
              <w:noProof/>
            </w:rPr>
          </w:r>
          <w:r w:rsidR="008D1193">
            <w:rPr>
              <w:noProof/>
            </w:rPr>
            <w:fldChar w:fldCharType="separate"/>
          </w:r>
          <w:r w:rsidR="008D1193">
            <w:rPr>
              <w:noProof/>
            </w:rPr>
            <w:t>6</w:t>
          </w:r>
          <w:r w:rsidR="008D1193">
            <w:rPr>
              <w:noProof/>
            </w:rPr>
            <w:fldChar w:fldCharType="end"/>
          </w:r>
        </w:p>
        <w:p w:rsidR="008D1193" w:rsidRDefault="008D1193">
          <w:pPr>
            <w:pStyle w:val="TOC1"/>
            <w:rPr>
              <w:rFonts w:asciiTheme="minorHAnsi" w:hAnsiTheme="minorHAnsi"/>
              <w:b w:val="0"/>
              <w:noProof/>
              <w:lang w:val="fr-FR" w:eastAsia="fr-FR" w:bidi="ar-SA"/>
            </w:rPr>
          </w:pPr>
          <w:r w:rsidRPr="00DC2F1B">
            <w:rPr>
              <w:noProof/>
              <w:lang w:val="fr-FR"/>
            </w:rPr>
            <w:t>B.</w:t>
          </w:r>
          <w:r>
            <w:rPr>
              <w:rFonts w:asciiTheme="minorHAnsi" w:hAnsiTheme="minorHAnsi"/>
              <w:b w:val="0"/>
              <w:noProof/>
              <w:lang w:val="fr-FR" w:eastAsia="fr-FR" w:bidi="ar-SA"/>
            </w:rPr>
            <w:tab/>
          </w:r>
          <w:r w:rsidRPr="00DC2F1B">
            <w:rPr>
              <w:noProof/>
              <w:lang w:val="fr-FR"/>
            </w:rPr>
            <w:t>Étude indépendante</w:t>
          </w:r>
          <w:r>
            <w:rPr>
              <w:noProof/>
            </w:rPr>
            <w:tab/>
          </w:r>
          <w:r>
            <w:rPr>
              <w:noProof/>
            </w:rPr>
            <w:fldChar w:fldCharType="begin"/>
          </w:r>
          <w:r>
            <w:rPr>
              <w:noProof/>
            </w:rPr>
            <w:instrText xml:space="preserve"> PAGEREF _Toc460492847 \h </w:instrText>
          </w:r>
          <w:r>
            <w:rPr>
              <w:noProof/>
            </w:rPr>
          </w:r>
          <w:r>
            <w:rPr>
              <w:noProof/>
            </w:rPr>
            <w:fldChar w:fldCharType="separate"/>
          </w:r>
          <w:r>
            <w:rPr>
              <w:noProof/>
            </w:rPr>
            <w:t>10</w:t>
          </w:r>
          <w:r>
            <w:rPr>
              <w:noProof/>
            </w:rPr>
            <w:fldChar w:fldCharType="end"/>
          </w:r>
        </w:p>
        <w:p w:rsidR="008D1193" w:rsidRDefault="008D1193">
          <w:pPr>
            <w:pStyle w:val="TOC2"/>
            <w:rPr>
              <w:rFonts w:asciiTheme="minorHAnsi" w:hAnsiTheme="minorHAnsi"/>
              <w:b w:val="0"/>
              <w:noProof/>
              <w:lang w:val="fr-FR" w:eastAsia="fr-FR" w:bidi="ar-SA"/>
            </w:rPr>
          </w:pPr>
          <w:r w:rsidRPr="00DC2F1B">
            <w:rPr>
              <w:noProof/>
              <w:lang w:val="fr-FR"/>
            </w:rPr>
            <w:t>1.</w:t>
          </w:r>
          <w:r>
            <w:rPr>
              <w:rFonts w:asciiTheme="minorHAnsi" w:hAnsiTheme="minorHAnsi"/>
              <w:b w:val="0"/>
              <w:noProof/>
              <w:lang w:val="fr-FR" w:eastAsia="fr-FR" w:bidi="ar-SA"/>
            </w:rPr>
            <w:tab/>
          </w:r>
          <w:r w:rsidRPr="00DC2F1B">
            <w:rPr>
              <w:noProof/>
              <w:lang w:val="fr-FR"/>
            </w:rPr>
            <w:t>Introduction et rappel</w:t>
          </w:r>
          <w:r>
            <w:rPr>
              <w:noProof/>
            </w:rPr>
            <w:tab/>
          </w:r>
          <w:r>
            <w:rPr>
              <w:noProof/>
            </w:rPr>
            <w:fldChar w:fldCharType="begin"/>
          </w:r>
          <w:r>
            <w:rPr>
              <w:noProof/>
            </w:rPr>
            <w:instrText xml:space="preserve"> PAGEREF _Toc460492848 \h </w:instrText>
          </w:r>
          <w:r>
            <w:rPr>
              <w:noProof/>
            </w:rPr>
          </w:r>
          <w:r>
            <w:rPr>
              <w:noProof/>
            </w:rPr>
            <w:fldChar w:fldCharType="separate"/>
          </w:r>
          <w:r>
            <w:rPr>
              <w:noProof/>
            </w:rPr>
            <w:t>10</w:t>
          </w:r>
          <w:r>
            <w:rPr>
              <w:noProof/>
            </w:rPr>
            <w:fldChar w:fldCharType="end"/>
          </w:r>
        </w:p>
        <w:p w:rsidR="008D1193" w:rsidRDefault="008D1193">
          <w:pPr>
            <w:pStyle w:val="TOC2"/>
            <w:rPr>
              <w:rFonts w:asciiTheme="minorHAnsi" w:hAnsiTheme="minorHAnsi"/>
              <w:b w:val="0"/>
              <w:noProof/>
              <w:lang w:val="fr-FR" w:eastAsia="fr-FR" w:bidi="ar-SA"/>
            </w:rPr>
          </w:pPr>
          <w:r w:rsidRPr="00DC2F1B">
            <w:rPr>
              <w:noProof/>
              <w:lang w:val="fr-FR"/>
            </w:rPr>
            <w:t>2.</w:t>
          </w:r>
          <w:r>
            <w:rPr>
              <w:rFonts w:asciiTheme="minorHAnsi" w:hAnsiTheme="minorHAnsi"/>
              <w:b w:val="0"/>
              <w:noProof/>
              <w:lang w:val="fr-FR" w:eastAsia="fr-FR" w:bidi="ar-SA"/>
            </w:rPr>
            <w:tab/>
          </w:r>
          <w:r w:rsidRPr="00DC2F1B">
            <w:rPr>
              <w:noProof/>
              <w:lang w:val="fr-FR"/>
            </w:rPr>
            <w:t>Finalité, objectifs et portée de l’étude</w:t>
          </w:r>
          <w:r>
            <w:rPr>
              <w:noProof/>
            </w:rPr>
            <w:tab/>
          </w:r>
          <w:r>
            <w:rPr>
              <w:noProof/>
            </w:rPr>
            <w:fldChar w:fldCharType="begin"/>
          </w:r>
          <w:r>
            <w:rPr>
              <w:noProof/>
            </w:rPr>
            <w:instrText xml:space="preserve"> PAGEREF _Toc460492849 \h </w:instrText>
          </w:r>
          <w:r>
            <w:rPr>
              <w:noProof/>
            </w:rPr>
          </w:r>
          <w:r>
            <w:rPr>
              <w:noProof/>
            </w:rPr>
            <w:fldChar w:fldCharType="separate"/>
          </w:r>
          <w:r>
            <w:rPr>
              <w:noProof/>
            </w:rPr>
            <w:t>11</w:t>
          </w:r>
          <w:r>
            <w:rPr>
              <w:noProof/>
            </w:rPr>
            <w:fldChar w:fldCharType="end"/>
          </w:r>
        </w:p>
        <w:p w:rsidR="008D1193" w:rsidRDefault="008D1193">
          <w:pPr>
            <w:pStyle w:val="TOC3"/>
            <w:rPr>
              <w:rFonts w:asciiTheme="minorHAnsi" w:hAnsiTheme="minorHAnsi"/>
              <w:noProof/>
              <w:lang w:val="fr-FR" w:eastAsia="fr-FR" w:bidi="ar-SA"/>
            </w:rPr>
          </w:pPr>
          <w:r w:rsidRPr="00DC2F1B">
            <w:rPr>
              <w:noProof/>
              <w:lang w:val="fr-FR"/>
            </w:rPr>
            <w:t>a.</w:t>
          </w:r>
          <w:r>
            <w:rPr>
              <w:rFonts w:asciiTheme="minorHAnsi" w:hAnsiTheme="minorHAnsi"/>
              <w:noProof/>
              <w:lang w:val="fr-FR" w:eastAsia="fr-FR" w:bidi="ar-SA"/>
            </w:rPr>
            <w:tab/>
          </w:r>
          <w:r w:rsidRPr="00DC2F1B">
            <w:rPr>
              <w:noProof/>
              <w:lang w:val="fr-FR"/>
            </w:rPr>
            <w:t>Finalité et objectifs</w:t>
          </w:r>
          <w:r>
            <w:rPr>
              <w:noProof/>
            </w:rPr>
            <w:tab/>
          </w:r>
          <w:r>
            <w:rPr>
              <w:noProof/>
            </w:rPr>
            <w:fldChar w:fldCharType="begin"/>
          </w:r>
          <w:r>
            <w:rPr>
              <w:noProof/>
            </w:rPr>
            <w:instrText xml:space="preserve"> PAGEREF _Toc460492850 \h </w:instrText>
          </w:r>
          <w:r>
            <w:rPr>
              <w:noProof/>
            </w:rPr>
          </w:r>
          <w:r>
            <w:rPr>
              <w:noProof/>
            </w:rPr>
            <w:fldChar w:fldCharType="separate"/>
          </w:r>
          <w:r>
            <w:rPr>
              <w:noProof/>
            </w:rPr>
            <w:t>11</w:t>
          </w:r>
          <w:r>
            <w:rPr>
              <w:noProof/>
            </w:rPr>
            <w:fldChar w:fldCharType="end"/>
          </w:r>
        </w:p>
        <w:p w:rsidR="008D1193" w:rsidRDefault="008D1193">
          <w:pPr>
            <w:pStyle w:val="TOC3"/>
            <w:rPr>
              <w:rFonts w:asciiTheme="minorHAnsi" w:hAnsiTheme="minorHAnsi"/>
              <w:noProof/>
              <w:lang w:val="fr-FR" w:eastAsia="fr-FR" w:bidi="ar-SA"/>
            </w:rPr>
          </w:pPr>
          <w:r w:rsidRPr="00DC2F1B">
            <w:rPr>
              <w:noProof/>
              <w:lang w:val="fr-FR"/>
            </w:rPr>
            <w:t>b.</w:t>
          </w:r>
          <w:r>
            <w:rPr>
              <w:rFonts w:asciiTheme="minorHAnsi" w:hAnsiTheme="minorHAnsi"/>
              <w:noProof/>
              <w:lang w:val="fr-FR" w:eastAsia="fr-FR" w:bidi="ar-SA"/>
            </w:rPr>
            <w:tab/>
          </w:r>
          <w:r w:rsidRPr="00DC2F1B">
            <w:rPr>
              <w:noProof/>
              <w:lang w:val="fr-FR"/>
            </w:rPr>
            <w:t>Portée de l’étude</w:t>
          </w:r>
          <w:r>
            <w:rPr>
              <w:noProof/>
            </w:rPr>
            <w:tab/>
          </w:r>
          <w:r>
            <w:rPr>
              <w:noProof/>
            </w:rPr>
            <w:fldChar w:fldCharType="begin"/>
          </w:r>
          <w:r>
            <w:rPr>
              <w:noProof/>
            </w:rPr>
            <w:instrText xml:space="preserve"> PAGEREF _Toc460492851 \h </w:instrText>
          </w:r>
          <w:r>
            <w:rPr>
              <w:noProof/>
            </w:rPr>
          </w:r>
          <w:r>
            <w:rPr>
              <w:noProof/>
            </w:rPr>
            <w:fldChar w:fldCharType="separate"/>
          </w:r>
          <w:r>
            <w:rPr>
              <w:noProof/>
            </w:rPr>
            <w:t>13</w:t>
          </w:r>
          <w:r>
            <w:rPr>
              <w:noProof/>
            </w:rPr>
            <w:fldChar w:fldCharType="end"/>
          </w:r>
        </w:p>
        <w:p w:rsidR="008D1193" w:rsidRDefault="008D1193">
          <w:pPr>
            <w:pStyle w:val="TOC3"/>
            <w:rPr>
              <w:rFonts w:asciiTheme="minorHAnsi" w:hAnsiTheme="minorHAnsi"/>
              <w:noProof/>
              <w:lang w:val="fr-FR" w:eastAsia="fr-FR" w:bidi="ar-SA"/>
            </w:rPr>
          </w:pPr>
          <w:r w:rsidRPr="00DC2F1B">
            <w:rPr>
              <w:noProof/>
              <w:lang w:val="fr-FR"/>
            </w:rPr>
            <w:t>c.</w:t>
          </w:r>
          <w:r>
            <w:rPr>
              <w:rFonts w:asciiTheme="minorHAnsi" w:hAnsiTheme="minorHAnsi"/>
              <w:noProof/>
              <w:lang w:val="fr-FR" w:eastAsia="fr-FR" w:bidi="ar-SA"/>
            </w:rPr>
            <w:tab/>
          </w:r>
          <w:r w:rsidRPr="00DC2F1B">
            <w:rPr>
              <w:noProof/>
              <w:lang w:val="fr-FR"/>
            </w:rPr>
            <w:t>Le CDIP</w:t>
          </w:r>
          <w:r>
            <w:rPr>
              <w:noProof/>
            </w:rPr>
            <w:tab/>
          </w:r>
          <w:r>
            <w:rPr>
              <w:noProof/>
            </w:rPr>
            <w:fldChar w:fldCharType="begin"/>
          </w:r>
          <w:r>
            <w:rPr>
              <w:noProof/>
            </w:rPr>
            <w:instrText xml:space="preserve"> PAGEREF _Toc460492852 \h </w:instrText>
          </w:r>
          <w:r>
            <w:rPr>
              <w:noProof/>
            </w:rPr>
          </w:r>
          <w:r>
            <w:rPr>
              <w:noProof/>
            </w:rPr>
            <w:fldChar w:fldCharType="separate"/>
          </w:r>
          <w:r>
            <w:rPr>
              <w:noProof/>
            </w:rPr>
            <w:t>13</w:t>
          </w:r>
          <w:r>
            <w:rPr>
              <w:noProof/>
            </w:rPr>
            <w:fldChar w:fldCharType="end"/>
          </w:r>
        </w:p>
        <w:p w:rsidR="008D1193" w:rsidRDefault="008D1193">
          <w:pPr>
            <w:pStyle w:val="TOC3"/>
            <w:rPr>
              <w:rFonts w:asciiTheme="minorHAnsi" w:hAnsiTheme="minorHAnsi"/>
              <w:noProof/>
              <w:lang w:val="fr-FR" w:eastAsia="fr-FR" w:bidi="ar-SA"/>
            </w:rPr>
          </w:pPr>
          <w:r w:rsidRPr="00DC2F1B">
            <w:rPr>
              <w:noProof/>
              <w:lang w:val="fr-FR"/>
            </w:rPr>
            <w:t>d.</w:t>
          </w:r>
          <w:r>
            <w:rPr>
              <w:rFonts w:asciiTheme="minorHAnsi" w:hAnsiTheme="minorHAnsi"/>
              <w:noProof/>
              <w:lang w:val="fr-FR" w:eastAsia="fr-FR" w:bidi="ar-SA"/>
            </w:rPr>
            <w:tab/>
          </w:r>
          <w:r w:rsidRPr="00DC2F1B">
            <w:rPr>
              <w:noProof/>
              <w:lang w:val="fr-FR"/>
            </w:rPr>
            <w:t>Autres organes de l’OMPI et organisations intergouvernementales</w:t>
          </w:r>
          <w:r>
            <w:rPr>
              <w:noProof/>
            </w:rPr>
            <w:tab/>
          </w:r>
          <w:r>
            <w:rPr>
              <w:noProof/>
            </w:rPr>
            <w:fldChar w:fldCharType="begin"/>
          </w:r>
          <w:r>
            <w:rPr>
              <w:noProof/>
            </w:rPr>
            <w:instrText xml:space="preserve"> PAGEREF _Toc460492853 \h </w:instrText>
          </w:r>
          <w:r>
            <w:rPr>
              <w:noProof/>
            </w:rPr>
          </w:r>
          <w:r>
            <w:rPr>
              <w:noProof/>
            </w:rPr>
            <w:fldChar w:fldCharType="separate"/>
          </w:r>
          <w:r>
            <w:rPr>
              <w:noProof/>
            </w:rPr>
            <w:t>14</w:t>
          </w:r>
          <w:r>
            <w:rPr>
              <w:noProof/>
            </w:rPr>
            <w:fldChar w:fldCharType="end"/>
          </w:r>
        </w:p>
        <w:p w:rsidR="008D1193" w:rsidRDefault="008D1193">
          <w:pPr>
            <w:pStyle w:val="TOC3"/>
            <w:rPr>
              <w:rFonts w:asciiTheme="minorHAnsi" w:hAnsiTheme="minorHAnsi"/>
              <w:noProof/>
              <w:lang w:val="fr-FR" w:eastAsia="fr-FR" w:bidi="ar-SA"/>
            </w:rPr>
          </w:pPr>
          <w:r w:rsidRPr="00DC2F1B">
            <w:rPr>
              <w:noProof/>
              <w:lang w:val="fr-FR"/>
            </w:rPr>
            <w:t>e.</w:t>
          </w:r>
          <w:r>
            <w:rPr>
              <w:rFonts w:asciiTheme="minorHAnsi" w:hAnsiTheme="minorHAnsi"/>
              <w:noProof/>
              <w:lang w:val="fr-FR" w:eastAsia="fr-FR" w:bidi="ar-SA"/>
            </w:rPr>
            <w:tab/>
          </w:r>
          <w:r w:rsidRPr="00DC2F1B">
            <w:rPr>
              <w:noProof/>
              <w:lang w:val="fr-FR"/>
            </w:rPr>
            <w:t>Secrétariat et parties prenantes en général</w:t>
          </w:r>
          <w:r>
            <w:rPr>
              <w:noProof/>
            </w:rPr>
            <w:tab/>
          </w:r>
          <w:r>
            <w:rPr>
              <w:noProof/>
            </w:rPr>
            <w:fldChar w:fldCharType="begin"/>
          </w:r>
          <w:r>
            <w:rPr>
              <w:noProof/>
            </w:rPr>
            <w:instrText xml:space="preserve"> PAGEREF _Toc460492854 \h </w:instrText>
          </w:r>
          <w:r>
            <w:rPr>
              <w:noProof/>
            </w:rPr>
          </w:r>
          <w:r>
            <w:rPr>
              <w:noProof/>
            </w:rPr>
            <w:fldChar w:fldCharType="separate"/>
          </w:r>
          <w:r>
            <w:rPr>
              <w:noProof/>
            </w:rPr>
            <w:t>14</w:t>
          </w:r>
          <w:r>
            <w:rPr>
              <w:noProof/>
            </w:rPr>
            <w:fldChar w:fldCharType="end"/>
          </w:r>
        </w:p>
        <w:p w:rsidR="008D1193" w:rsidRDefault="008D1193">
          <w:pPr>
            <w:pStyle w:val="TOC2"/>
            <w:rPr>
              <w:rFonts w:asciiTheme="minorHAnsi" w:hAnsiTheme="minorHAnsi"/>
              <w:b w:val="0"/>
              <w:noProof/>
              <w:lang w:val="fr-FR" w:eastAsia="fr-FR" w:bidi="ar-SA"/>
            </w:rPr>
          </w:pPr>
          <w:r w:rsidRPr="00DC2F1B">
            <w:rPr>
              <w:noProof/>
              <w:lang w:val="fr-FR"/>
            </w:rPr>
            <w:t>3.</w:t>
          </w:r>
          <w:r>
            <w:rPr>
              <w:rFonts w:asciiTheme="minorHAnsi" w:hAnsiTheme="minorHAnsi"/>
              <w:b w:val="0"/>
              <w:noProof/>
              <w:lang w:val="fr-FR" w:eastAsia="fr-FR" w:bidi="ar-SA"/>
            </w:rPr>
            <w:tab/>
          </w:r>
          <w:r w:rsidRPr="00DC2F1B">
            <w:rPr>
              <w:noProof/>
              <w:lang w:val="fr-FR"/>
            </w:rPr>
            <w:t>Méthodologie</w:t>
          </w:r>
          <w:r>
            <w:rPr>
              <w:noProof/>
            </w:rPr>
            <w:tab/>
          </w:r>
          <w:r>
            <w:rPr>
              <w:noProof/>
            </w:rPr>
            <w:fldChar w:fldCharType="begin"/>
          </w:r>
          <w:r>
            <w:rPr>
              <w:noProof/>
            </w:rPr>
            <w:instrText xml:space="preserve"> PAGEREF _Toc460492855 \h </w:instrText>
          </w:r>
          <w:r>
            <w:rPr>
              <w:noProof/>
            </w:rPr>
          </w:r>
          <w:r>
            <w:rPr>
              <w:noProof/>
            </w:rPr>
            <w:fldChar w:fldCharType="separate"/>
          </w:r>
          <w:r>
            <w:rPr>
              <w:noProof/>
            </w:rPr>
            <w:t>15</w:t>
          </w:r>
          <w:r>
            <w:rPr>
              <w:noProof/>
            </w:rPr>
            <w:fldChar w:fldCharType="end"/>
          </w:r>
        </w:p>
        <w:p w:rsidR="008D1193" w:rsidRDefault="008D1193">
          <w:pPr>
            <w:pStyle w:val="TOC3"/>
            <w:rPr>
              <w:rFonts w:asciiTheme="minorHAnsi" w:hAnsiTheme="minorHAnsi"/>
              <w:noProof/>
              <w:lang w:val="fr-FR" w:eastAsia="fr-FR" w:bidi="ar-SA"/>
            </w:rPr>
          </w:pPr>
          <w:r w:rsidRPr="00DC2F1B">
            <w:rPr>
              <w:noProof/>
              <w:lang w:val="fr-FR"/>
            </w:rPr>
            <w:t>a.</w:t>
          </w:r>
          <w:r>
            <w:rPr>
              <w:rFonts w:asciiTheme="minorHAnsi" w:hAnsiTheme="minorHAnsi"/>
              <w:noProof/>
              <w:lang w:val="fr-FR" w:eastAsia="fr-FR" w:bidi="ar-SA"/>
            </w:rPr>
            <w:tab/>
          </w:r>
          <w:r w:rsidRPr="00DC2F1B">
            <w:rPr>
              <w:noProof/>
              <w:lang w:val="fr-FR"/>
            </w:rPr>
            <w:t>Principes directeurs</w:t>
          </w:r>
          <w:r>
            <w:rPr>
              <w:noProof/>
            </w:rPr>
            <w:tab/>
          </w:r>
          <w:r>
            <w:rPr>
              <w:noProof/>
            </w:rPr>
            <w:fldChar w:fldCharType="begin"/>
          </w:r>
          <w:r>
            <w:rPr>
              <w:noProof/>
            </w:rPr>
            <w:instrText xml:space="preserve"> PAGEREF _Toc460492856 \h </w:instrText>
          </w:r>
          <w:r>
            <w:rPr>
              <w:noProof/>
            </w:rPr>
          </w:r>
          <w:r>
            <w:rPr>
              <w:noProof/>
            </w:rPr>
            <w:fldChar w:fldCharType="separate"/>
          </w:r>
          <w:r>
            <w:rPr>
              <w:noProof/>
            </w:rPr>
            <w:t>15</w:t>
          </w:r>
          <w:r>
            <w:rPr>
              <w:noProof/>
            </w:rPr>
            <w:fldChar w:fldCharType="end"/>
          </w:r>
        </w:p>
        <w:p w:rsidR="008D1193" w:rsidRDefault="008D1193">
          <w:pPr>
            <w:pStyle w:val="TOC3"/>
            <w:rPr>
              <w:rFonts w:asciiTheme="minorHAnsi" w:hAnsiTheme="minorHAnsi"/>
              <w:noProof/>
              <w:lang w:val="fr-FR" w:eastAsia="fr-FR" w:bidi="ar-SA"/>
            </w:rPr>
          </w:pPr>
          <w:r w:rsidRPr="00DC2F1B">
            <w:rPr>
              <w:noProof/>
              <w:lang w:val="fr-FR"/>
            </w:rPr>
            <w:t>b.</w:t>
          </w:r>
          <w:r>
            <w:rPr>
              <w:rFonts w:asciiTheme="minorHAnsi" w:hAnsiTheme="minorHAnsi"/>
              <w:noProof/>
              <w:lang w:val="fr-FR" w:eastAsia="fr-FR" w:bidi="ar-SA"/>
            </w:rPr>
            <w:tab/>
          </w:r>
          <w:r w:rsidRPr="00DC2F1B">
            <w:rPr>
              <w:noProof/>
              <w:lang w:val="fr-FR"/>
            </w:rPr>
            <w:t>Questions de l’étude</w:t>
          </w:r>
          <w:r>
            <w:rPr>
              <w:noProof/>
            </w:rPr>
            <w:tab/>
          </w:r>
          <w:r>
            <w:rPr>
              <w:noProof/>
            </w:rPr>
            <w:fldChar w:fldCharType="begin"/>
          </w:r>
          <w:r>
            <w:rPr>
              <w:noProof/>
            </w:rPr>
            <w:instrText xml:space="preserve"> PAGEREF _Toc460492857 \h </w:instrText>
          </w:r>
          <w:r>
            <w:rPr>
              <w:noProof/>
            </w:rPr>
          </w:r>
          <w:r>
            <w:rPr>
              <w:noProof/>
            </w:rPr>
            <w:fldChar w:fldCharType="separate"/>
          </w:r>
          <w:r>
            <w:rPr>
              <w:noProof/>
            </w:rPr>
            <w:t>15</w:t>
          </w:r>
          <w:r>
            <w:rPr>
              <w:noProof/>
            </w:rPr>
            <w:fldChar w:fldCharType="end"/>
          </w:r>
        </w:p>
        <w:p w:rsidR="008D1193" w:rsidRDefault="008D1193">
          <w:pPr>
            <w:pStyle w:val="TOC3"/>
            <w:rPr>
              <w:rFonts w:asciiTheme="minorHAnsi" w:hAnsiTheme="minorHAnsi"/>
              <w:noProof/>
              <w:lang w:val="fr-FR" w:eastAsia="fr-FR" w:bidi="ar-SA"/>
            </w:rPr>
          </w:pPr>
          <w:r w:rsidRPr="00DC2F1B">
            <w:rPr>
              <w:noProof/>
              <w:lang w:val="fr-FR"/>
            </w:rPr>
            <w:t>c.</w:t>
          </w:r>
          <w:r>
            <w:rPr>
              <w:rFonts w:asciiTheme="minorHAnsi" w:hAnsiTheme="minorHAnsi"/>
              <w:noProof/>
              <w:lang w:val="fr-FR" w:eastAsia="fr-FR" w:bidi="ar-SA"/>
            </w:rPr>
            <w:tab/>
          </w:r>
          <w:r w:rsidRPr="00DC2F1B">
            <w:rPr>
              <w:noProof/>
              <w:lang w:val="fr-FR"/>
            </w:rPr>
            <w:t>Description des outils méthodologiques utilisés dans l’étude</w:t>
          </w:r>
          <w:r>
            <w:rPr>
              <w:noProof/>
            </w:rPr>
            <w:tab/>
          </w:r>
          <w:r>
            <w:rPr>
              <w:noProof/>
            </w:rPr>
            <w:fldChar w:fldCharType="begin"/>
          </w:r>
          <w:r>
            <w:rPr>
              <w:noProof/>
            </w:rPr>
            <w:instrText xml:space="preserve"> PAGEREF _Toc460492858 \h </w:instrText>
          </w:r>
          <w:r>
            <w:rPr>
              <w:noProof/>
            </w:rPr>
          </w:r>
          <w:r>
            <w:rPr>
              <w:noProof/>
            </w:rPr>
            <w:fldChar w:fldCharType="separate"/>
          </w:r>
          <w:r>
            <w:rPr>
              <w:noProof/>
            </w:rPr>
            <w:t>17</w:t>
          </w:r>
          <w:r>
            <w:rPr>
              <w:noProof/>
            </w:rPr>
            <w:fldChar w:fldCharType="end"/>
          </w:r>
        </w:p>
        <w:p w:rsidR="008D1193" w:rsidRDefault="008D1193">
          <w:pPr>
            <w:pStyle w:val="TOC3"/>
            <w:rPr>
              <w:rFonts w:asciiTheme="minorHAnsi" w:hAnsiTheme="minorHAnsi"/>
              <w:noProof/>
              <w:lang w:val="fr-FR" w:eastAsia="fr-FR" w:bidi="ar-SA"/>
            </w:rPr>
          </w:pPr>
          <w:r w:rsidRPr="00DC2F1B">
            <w:rPr>
              <w:noProof/>
              <w:lang w:val="fr-FR"/>
            </w:rPr>
            <w:t>d.</w:t>
          </w:r>
          <w:r>
            <w:rPr>
              <w:rFonts w:asciiTheme="minorHAnsi" w:hAnsiTheme="minorHAnsi"/>
              <w:noProof/>
              <w:lang w:val="fr-FR" w:eastAsia="fr-FR" w:bidi="ar-SA"/>
            </w:rPr>
            <w:tab/>
          </w:r>
          <w:r w:rsidRPr="00DC2F1B">
            <w:rPr>
              <w:noProof/>
              <w:lang w:val="fr-FR"/>
            </w:rPr>
            <w:t>Principales limitations</w:t>
          </w:r>
          <w:r>
            <w:rPr>
              <w:noProof/>
            </w:rPr>
            <w:tab/>
          </w:r>
          <w:r>
            <w:rPr>
              <w:noProof/>
            </w:rPr>
            <w:fldChar w:fldCharType="begin"/>
          </w:r>
          <w:r>
            <w:rPr>
              <w:noProof/>
            </w:rPr>
            <w:instrText xml:space="preserve"> PAGEREF _Toc460492859 \h </w:instrText>
          </w:r>
          <w:r>
            <w:rPr>
              <w:noProof/>
            </w:rPr>
          </w:r>
          <w:r>
            <w:rPr>
              <w:noProof/>
            </w:rPr>
            <w:fldChar w:fldCharType="separate"/>
          </w:r>
          <w:r>
            <w:rPr>
              <w:noProof/>
            </w:rPr>
            <w:t>24</w:t>
          </w:r>
          <w:r>
            <w:rPr>
              <w:noProof/>
            </w:rPr>
            <w:fldChar w:fldCharType="end"/>
          </w:r>
        </w:p>
        <w:p w:rsidR="008D1193" w:rsidRDefault="008D1193">
          <w:pPr>
            <w:pStyle w:val="TOC2"/>
            <w:rPr>
              <w:rFonts w:asciiTheme="minorHAnsi" w:hAnsiTheme="minorHAnsi"/>
              <w:b w:val="0"/>
              <w:noProof/>
              <w:lang w:val="fr-FR" w:eastAsia="fr-FR" w:bidi="ar-SA"/>
            </w:rPr>
          </w:pPr>
          <w:r w:rsidRPr="00DC2F1B">
            <w:rPr>
              <w:noProof/>
              <w:lang w:val="fr-FR"/>
            </w:rPr>
            <w:t>4.</w:t>
          </w:r>
          <w:r>
            <w:rPr>
              <w:rFonts w:asciiTheme="minorHAnsi" w:hAnsiTheme="minorHAnsi"/>
              <w:b w:val="0"/>
              <w:noProof/>
              <w:lang w:val="fr-FR" w:eastAsia="fr-FR" w:bidi="ar-SA"/>
            </w:rPr>
            <w:tab/>
          </w:r>
          <w:r w:rsidRPr="00DC2F1B">
            <w:rPr>
              <w:noProof/>
              <w:lang w:val="fr-FR"/>
            </w:rPr>
            <w:t>Conclusions</w:t>
          </w:r>
          <w:r>
            <w:rPr>
              <w:noProof/>
            </w:rPr>
            <w:tab/>
          </w:r>
          <w:r>
            <w:rPr>
              <w:noProof/>
            </w:rPr>
            <w:fldChar w:fldCharType="begin"/>
          </w:r>
          <w:r>
            <w:rPr>
              <w:noProof/>
            </w:rPr>
            <w:instrText xml:space="preserve"> PAGEREF _Toc460492860 \h </w:instrText>
          </w:r>
          <w:r>
            <w:rPr>
              <w:noProof/>
            </w:rPr>
          </w:r>
          <w:r>
            <w:rPr>
              <w:noProof/>
            </w:rPr>
            <w:fldChar w:fldCharType="separate"/>
          </w:r>
          <w:r>
            <w:rPr>
              <w:noProof/>
            </w:rPr>
            <w:t>25</w:t>
          </w:r>
          <w:r>
            <w:rPr>
              <w:noProof/>
            </w:rPr>
            <w:fldChar w:fldCharType="end"/>
          </w:r>
        </w:p>
        <w:p w:rsidR="008D1193" w:rsidRDefault="008D1193">
          <w:pPr>
            <w:pStyle w:val="TOC3"/>
            <w:rPr>
              <w:rFonts w:asciiTheme="minorHAnsi" w:hAnsiTheme="minorHAnsi"/>
              <w:noProof/>
              <w:lang w:val="fr-FR" w:eastAsia="fr-FR" w:bidi="ar-SA"/>
            </w:rPr>
          </w:pPr>
          <w:r w:rsidRPr="00DC2F1B">
            <w:rPr>
              <w:noProof/>
              <w:lang w:val="fr-FR"/>
            </w:rPr>
            <w:t>a.</w:t>
          </w:r>
          <w:r>
            <w:rPr>
              <w:rFonts w:asciiTheme="minorHAnsi" w:hAnsiTheme="minorHAnsi"/>
              <w:noProof/>
              <w:lang w:val="fr-FR" w:eastAsia="fr-FR" w:bidi="ar-SA"/>
            </w:rPr>
            <w:tab/>
          </w:r>
          <w:r w:rsidRPr="00DC2F1B">
            <w:rPr>
              <w:noProof/>
              <w:lang w:val="fr-FR"/>
            </w:rPr>
            <w:t>Pertinence</w:t>
          </w:r>
          <w:r>
            <w:rPr>
              <w:noProof/>
            </w:rPr>
            <w:tab/>
          </w:r>
          <w:r>
            <w:rPr>
              <w:noProof/>
            </w:rPr>
            <w:fldChar w:fldCharType="begin"/>
          </w:r>
          <w:r>
            <w:rPr>
              <w:noProof/>
            </w:rPr>
            <w:instrText xml:space="preserve"> PAGEREF _Toc460492861 \h </w:instrText>
          </w:r>
          <w:r>
            <w:rPr>
              <w:noProof/>
            </w:rPr>
          </w:r>
          <w:r>
            <w:rPr>
              <w:noProof/>
            </w:rPr>
            <w:fldChar w:fldCharType="separate"/>
          </w:r>
          <w:r>
            <w:rPr>
              <w:noProof/>
            </w:rPr>
            <w:t>25</w:t>
          </w:r>
          <w:r>
            <w:rPr>
              <w:noProof/>
            </w:rPr>
            <w:fldChar w:fldCharType="end"/>
          </w:r>
        </w:p>
        <w:p w:rsidR="008D1193" w:rsidRDefault="008D1193">
          <w:pPr>
            <w:pStyle w:val="TOC3"/>
            <w:rPr>
              <w:rFonts w:asciiTheme="minorHAnsi" w:hAnsiTheme="minorHAnsi"/>
              <w:noProof/>
              <w:lang w:val="fr-FR" w:eastAsia="fr-FR" w:bidi="ar-SA"/>
            </w:rPr>
          </w:pPr>
          <w:r w:rsidRPr="00DC2F1B">
            <w:rPr>
              <w:noProof/>
              <w:lang w:val="fr-FR"/>
            </w:rPr>
            <w:t>b.</w:t>
          </w:r>
          <w:r>
            <w:rPr>
              <w:rFonts w:asciiTheme="minorHAnsi" w:hAnsiTheme="minorHAnsi"/>
              <w:noProof/>
              <w:lang w:val="fr-FR" w:eastAsia="fr-FR" w:bidi="ar-SA"/>
            </w:rPr>
            <w:tab/>
          </w:r>
          <w:r w:rsidRPr="00DC2F1B">
            <w:rPr>
              <w:noProof/>
              <w:lang w:val="fr-FR"/>
            </w:rPr>
            <w:t>Efficacité</w:t>
          </w:r>
          <w:r>
            <w:rPr>
              <w:noProof/>
            </w:rPr>
            <w:tab/>
          </w:r>
          <w:r>
            <w:rPr>
              <w:noProof/>
            </w:rPr>
            <w:fldChar w:fldCharType="begin"/>
          </w:r>
          <w:r>
            <w:rPr>
              <w:noProof/>
            </w:rPr>
            <w:instrText xml:space="preserve"> PAGEREF _Toc460492862 \h </w:instrText>
          </w:r>
          <w:r>
            <w:rPr>
              <w:noProof/>
            </w:rPr>
          </w:r>
          <w:r>
            <w:rPr>
              <w:noProof/>
            </w:rPr>
            <w:fldChar w:fldCharType="separate"/>
          </w:r>
          <w:r>
            <w:rPr>
              <w:noProof/>
            </w:rPr>
            <w:t>28</w:t>
          </w:r>
          <w:r>
            <w:rPr>
              <w:noProof/>
            </w:rPr>
            <w:fldChar w:fldCharType="end"/>
          </w:r>
        </w:p>
        <w:p w:rsidR="008D1193" w:rsidRDefault="008D1193">
          <w:pPr>
            <w:pStyle w:val="TOC3"/>
            <w:rPr>
              <w:rFonts w:asciiTheme="minorHAnsi" w:hAnsiTheme="minorHAnsi"/>
              <w:noProof/>
              <w:lang w:val="fr-FR" w:eastAsia="fr-FR" w:bidi="ar-SA"/>
            </w:rPr>
          </w:pPr>
          <w:r w:rsidRPr="00DC2F1B">
            <w:rPr>
              <w:noProof/>
              <w:lang w:val="fr-FR"/>
            </w:rPr>
            <w:t>c.</w:t>
          </w:r>
          <w:r>
            <w:rPr>
              <w:rFonts w:asciiTheme="minorHAnsi" w:hAnsiTheme="minorHAnsi"/>
              <w:noProof/>
              <w:lang w:val="fr-FR" w:eastAsia="fr-FR" w:bidi="ar-SA"/>
            </w:rPr>
            <w:tab/>
          </w:r>
          <w:r w:rsidRPr="00DC2F1B">
            <w:rPr>
              <w:noProof/>
              <w:lang w:val="fr-FR"/>
            </w:rPr>
            <w:t>Efficacité</w:t>
          </w:r>
          <w:r>
            <w:rPr>
              <w:noProof/>
            </w:rPr>
            <w:tab/>
          </w:r>
          <w:r>
            <w:rPr>
              <w:noProof/>
            </w:rPr>
            <w:fldChar w:fldCharType="begin"/>
          </w:r>
          <w:r>
            <w:rPr>
              <w:noProof/>
            </w:rPr>
            <w:instrText xml:space="preserve"> PAGEREF _Toc460492863 \h </w:instrText>
          </w:r>
          <w:r>
            <w:rPr>
              <w:noProof/>
            </w:rPr>
          </w:r>
          <w:r>
            <w:rPr>
              <w:noProof/>
            </w:rPr>
            <w:fldChar w:fldCharType="separate"/>
          </w:r>
          <w:r>
            <w:rPr>
              <w:noProof/>
            </w:rPr>
            <w:t>31</w:t>
          </w:r>
          <w:r>
            <w:rPr>
              <w:noProof/>
            </w:rPr>
            <w:fldChar w:fldCharType="end"/>
          </w:r>
        </w:p>
        <w:p w:rsidR="008D1193" w:rsidRDefault="008D1193">
          <w:pPr>
            <w:pStyle w:val="TOC3"/>
            <w:rPr>
              <w:rFonts w:asciiTheme="minorHAnsi" w:hAnsiTheme="minorHAnsi"/>
              <w:noProof/>
              <w:lang w:val="fr-FR" w:eastAsia="fr-FR" w:bidi="ar-SA"/>
            </w:rPr>
          </w:pPr>
          <w:r w:rsidRPr="00DC2F1B">
            <w:rPr>
              <w:noProof/>
              <w:lang w:val="fr-FR"/>
            </w:rPr>
            <w:t>d.</w:t>
          </w:r>
          <w:r>
            <w:rPr>
              <w:rFonts w:asciiTheme="minorHAnsi" w:hAnsiTheme="minorHAnsi"/>
              <w:noProof/>
              <w:lang w:val="fr-FR" w:eastAsia="fr-FR" w:bidi="ar-SA"/>
            </w:rPr>
            <w:tab/>
          </w:r>
          <w:r w:rsidRPr="00DC2F1B">
            <w:rPr>
              <w:noProof/>
              <w:lang w:val="fr-FR"/>
            </w:rPr>
            <w:t>Impact</w:t>
          </w:r>
          <w:r>
            <w:rPr>
              <w:noProof/>
            </w:rPr>
            <w:tab/>
          </w:r>
          <w:r>
            <w:rPr>
              <w:noProof/>
            </w:rPr>
            <w:fldChar w:fldCharType="begin"/>
          </w:r>
          <w:r>
            <w:rPr>
              <w:noProof/>
            </w:rPr>
            <w:instrText xml:space="preserve"> PAGEREF _Toc460492864 \h </w:instrText>
          </w:r>
          <w:r>
            <w:rPr>
              <w:noProof/>
            </w:rPr>
          </w:r>
          <w:r>
            <w:rPr>
              <w:noProof/>
            </w:rPr>
            <w:fldChar w:fldCharType="separate"/>
          </w:r>
          <w:r>
            <w:rPr>
              <w:noProof/>
            </w:rPr>
            <w:t>32</w:t>
          </w:r>
          <w:r>
            <w:rPr>
              <w:noProof/>
            </w:rPr>
            <w:fldChar w:fldCharType="end"/>
          </w:r>
        </w:p>
        <w:p w:rsidR="008D1193" w:rsidRDefault="008D1193">
          <w:pPr>
            <w:pStyle w:val="TOC3"/>
            <w:rPr>
              <w:rFonts w:asciiTheme="minorHAnsi" w:hAnsiTheme="minorHAnsi"/>
              <w:noProof/>
              <w:lang w:val="fr-FR" w:eastAsia="fr-FR" w:bidi="ar-SA"/>
            </w:rPr>
          </w:pPr>
          <w:r w:rsidRPr="00DC2F1B">
            <w:rPr>
              <w:noProof/>
              <w:lang w:val="fr-FR"/>
            </w:rPr>
            <w:t>e.</w:t>
          </w:r>
          <w:r>
            <w:rPr>
              <w:rFonts w:asciiTheme="minorHAnsi" w:hAnsiTheme="minorHAnsi"/>
              <w:noProof/>
              <w:lang w:val="fr-FR" w:eastAsia="fr-FR" w:bidi="ar-SA"/>
            </w:rPr>
            <w:tab/>
          </w:r>
          <w:r w:rsidRPr="00DC2F1B">
            <w:rPr>
              <w:noProof/>
              <w:lang w:val="fr-FR"/>
            </w:rPr>
            <w:t>Pérennité</w:t>
          </w:r>
          <w:r>
            <w:rPr>
              <w:noProof/>
            </w:rPr>
            <w:tab/>
          </w:r>
          <w:r>
            <w:rPr>
              <w:noProof/>
            </w:rPr>
            <w:fldChar w:fldCharType="begin"/>
          </w:r>
          <w:r>
            <w:rPr>
              <w:noProof/>
            </w:rPr>
            <w:instrText xml:space="preserve"> PAGEREF _Toc460492865 \h </w:instrText>
          </w:r>
          <w:r>
            <w:rPr>
              <w:noProof/>
            </w:rPr>
          </w:r>
          <w:r>
            <w:rPr>
              <w:noProof/>
            </w:rPr>
            <w:fldChar w:fldCharType="separate"/>
          </w:r>
          <w:r>
            <w:rPr>
              <w:noProof/>
            </w:rPr>
            <w:t>35</w:t>
          </w:r>
          <w:r>
            <w:rPr>
              <w:noProof/>
            </w:rPr>
            <w:fldChar w:fldCharType="end"/>
          </w:r>
        </w:p>
        <w:p w:rsidR="008D1193" w:rsidRDefault="008D1193">
          <w:pPr>
            <w:pStyle w:val="TOC2"/>
            <w:rPr>
              <w:rFonts w:asciiTheme="minorHAnsi" w:hAnsiTheme="minorHAnsi"/>
              <w:b w:val="0"/>
              <w:noProof/>
              <w:lang w:val="fr-FR" w:eastAsia="fr-FR" w:bidi="ar-SA"/>
            </w:rPr>
          </w:pPr>
          <w:r w:rsidRPr="00DC2F1B">
            <w:rPr>
              <w:noProof/>
              <w:lang w:val="fr-FR"/>
            </w:rPr>
            <w:t>5.</w:t>
          </w:r>
          <w:r>
            <w:rPr>
              <w:rFonts w:asciiTheme="minorHAnsi" w:hAnsiTheme="minorHAnsi"/>
              <w:b w:val="0"/>
              <w:noProof/>
              <w:lang w:val="fr-FR" w:eastAsia="fr-FR" w:bidi="ar-SA"/>
            </w:rPr>
            <w:tab/>
          </w:r>
          <w:r w:rsidRPr="00DC2F1B">
            <w:rPr>
              <w:noProof/>
              <w:lang w:val="fr-FR"/>
            </w:rPr>
            <w:t>Conclusions</w:t>
          </w:r>
          <w:r>
            <w:rPr>
              <w:noProof/>
            </w:rPr>
            <w:tab/>
          </w:r>
          <w:r>
            <w:rPr>
              <w:noProof/>
            </w:rPr>
            <w:fldChar w:fldCharType="begin"/>
          </w:r>
          <w:r>
            <w:rPr>
              <w:noProof/>
            </w:rPr>
            <w:instrText xml:space="preserve"> PAGEREF _Toc460492866 \h </w:instrText>
          </w:r>
          <w:r>
            <w:rPr>
              <w:noProof/>
            </w:rPr>
          </w:r>
          <w:r>
            <w:rPr>
              <w:noProof/>
            </w:rPr>
            <w:fldChar w:fldCharType="separate"/>
          </w:r>
          <w:r>
            <w:rPr>
              <w:noProof/>
            </w:rPr>
            <w:t>37</w:t>
          </w:r>
          <w:r>
            <w:rPr>
              <w:noProof/>
            </w:rPr>
            <w:fldChar w:fldCharType="end"/>
          </w:r>
        </w:p>
        <w:p w:rsidR="008D1193" w:rsidRDefault="008D1193">
          <w:pPr>
            <w:pStyle w:val="TOC2"/>
            <w:rPr>
              <w:rFonts w:asciiTheme="minorHAnsi" w:hAnsiTheme="minorHAnsi"/>
              <w:b w:val="0"/>
              <w:noProof/>
              <w:lang w:val="fr-FR" w:eastAsia="fr-FR" w:bidi="ar-SA"/>
            </w:rPr>
          </w:pPr>
          <w:r w:rsidRPr="00DC2F1B">
            <w:rPr>
              <w:noProof/>
              <w:lang w:val="fr-FR"/>
            </w:rPr>
            <w:t>6.</w:t>
          </w:r>
          <w:r>
            <w:rPr>
              <w:rFonts w:asciiTheme="minorHAnsi" w:hAnsiTheme="minorHAnsi"/>
              <w:b w:val="0"/>
              <w:noProof/>
              <w:lang w:val="fr-FR" w:eastAsia="fr-FR" w:bidi="ar-SA"/>
            </w:rPr>
            <w:tab/>
          </w:r>
          <w:r w:rsidRPr="00DC2F1B">
            <w:rPr>
              <w:noProof/>
              <w:lang w:val="fr-FR"/>
            </w:rPr>
            <w:t>Recommandations</w:t>
          </w:r>
          <w:r>
            <w:rPr>
              <w:noProof/>
            </w:rPr>
            <w:tab/>
          </w:r>
          <w:r>
            <w:rPr>
              <w:noProof/>
            </w:rPr>
            <w:fldChar w:fldCharType="begin"/>
          </w:r>
          <w:r>
            <w:rPr>
              <w:noProof/>
            </w:rPr>
            <w:instrText xml:space="preserve"> PAGEREF _Toc460492867 \h </w:instrText>
          </w:r>
          <w:r>
            <w:rPr>
              <w:noProof/>
            </w:rPr>
          </w:r>
          <w:r>
            <w:rPr>
              <w:noProof/>
            </w:rPr>
            <w:fldChar w:fldCharType="separate"/>
          </w:r>
          <w:r>
            <w:rPr>
              <w:noProof/>
            </w:rPr>
            <w:t>39</w:t>
          </w:r>
          <w:r>
            <w:rPr>
              <w:noProof/>
            </w:rPr>
            <w:fldChar w:fldCharType="end"/>
          </w:r>
        </w:p>
        <w:p w:rsidR="00202EB9" w:rsidRDefault="001F1BF0">
          <w:r>
            <w:rPr>
              <w:b/>
            </w:rPr>
            <w:fldChar w:fldCharType="end"/>
          </w:r>
        </w:p>
      </w:sdtContent>
    </w:sdt>
    <w:p w:rsidR="00202EB9" w:rsidRDefault="00202EB9" w:rsidP="00202EB9">
      <w:pPr>
        <w:rPr>
          <w:rFonts w:cs="Arial"/>
          <w:b/>
          <w:lang w:val="fr-FR"/>
        </w:rPr>
      </w:pPr>
    </w:p>
    <w:p w:rsidR="00817BE9" w:rsidRPr="00202EB9" w:rsidRDefault="00817BE9" w:rsidP="00647307">
      <w:pPr>
        <w:rPr>
          <w:rFonts w:cs="Arial"/>
          <w:lang w:val="fr-FR"/>
        </w:rPr>
      </w:pPr>
      <w:r w:rsidRPr="00202EB9">
        <w:rPr>
          <w:rFonts w:cs="Arial"/>
          <w:lang w:val="fr-FR"/>
        </w:rPr>
        <w:br w:type="page"/>
      </w:r>
    </w:p>
    <w:p w:rsidR="0053052A" w:rsidRPr="001F1BF0" w:rsidRDefault="0053052A" w:rsidP="0053052A">
      <w:pPr>
        <w:pStyle w:val="ListParagraph"/>
        <w:tabs>
          <w:tab w:val="left" w:pos="0"/>
          <w:tab w:val="left" w:pos="810"/>
          <w:tab w:val="left" w:pos="990"/>
        </w:tabs>
        <w:spacing w:line="360" w:lineRule="auto"/>
        <w:ind w:left="0"/>
        <w:jc w:val="both"/>
        <w:rPr>
          <w:rFonts w:cs="Arial"/>
          <w:b/>
          <w:bCs/>
          <w:u w:val="single"/>
          <w:lang w:val="fr-FR"/>
        </w:rPr>
      </w:pPr>
      <w:r w:rsidRPr="001F1BF0">
        <w:rPr>
          <w:rFonts w:cs="Arial"/>
          <w:b/>
          <w:bCs/>
          <w:u w:val="single"/>
          <w:lang w:val="fr-FR"/>
        </w:rPr>
        <w:t>Annexes</w:t>
      </w:r>
    </w:p>
    <w:tbl>
      <w:tblPr>
        <w:tblStyle w:val="TableGrid"/>
        <w:tblW w:w="9357" w:type="dxa"/>
        <w:tblInd w:w="18" w:type="dxa"/>
        <w:tblLook w:val="04A0" w:firstRow="1" w:lastRow="0" w:firstColumn="1" w:lastColumn="0" w:noHBand="0" w:noVBand="1"/>
      </w:tblPr>
      <w:tblGrid>
        <w:gridCol w:w="1125"/>
        <w:gridCol w:w="7335"/>
        <w:gridCol w:w="897"/>
      </w:tblGrid>
      <w:tr w:rsidR="00F3224E" w:rsidRPr="001F1BF0" w:rsidTr="0053052A">
        <w:trPr>
          <w:trHeight w:val="438"/>
        </w:trPr>
        <w:tc>
          <w:tcPr>
            <w:tcW w:w="1125" w:type="dxa"/>
            <w:tcBorders>
              <w:top w:val="single" w:sz="4" w:space="0" w:color="auto"/>
              <w:left w:val="single" w:sz="4" w:space="0" w:color="auto"/>
              <w:bottom w:val="single" w:sz="4" w:space="0" w:color="auto"/>
              <w:right w:val="single" w:sz="4" w:space="0" w:color="auto"/>
            </w:tcBorders>
            <w:hideMark/>
          </w:tcPr>
          <w:p w:rsidR="0053052A" w:rsidRPr="001F1BF0" w:rsidRDefault="0053052A" w:rsidP="0053052A">
            <w:pPr>
              <w:pStyle w:val="ListParagraph"/>
              <w:ind w:left="0"/>
              <w:rPr>
                <w:rFonts w:cs="Arial"/>
                <w:b/>
                <w:bCs/>
                <w:lang w:val="fr-FR"/>
              </w:rPr>
            </w:pPr>
            <w:proofErr w:type="spellStart"/>
            <w:r w:rsidRPr="001F1BF0">
              <w:rPr>
                <w:rFonts w:cs="Arial"/>
                <w:b/>
                <w:bCs/>
                <w:lang w:val="fr-FR"/>
              </w:rPr>
              <w:t>Annex</w:t>
            </w:r>
            <w:proofErr w:type="spellEnd"/>
            <w:r w:rsidRPr="001F1BF0">
              <w:rPr>
                <w:rFonts w:cs="Arial"/>
                <w:b/>
                <w:bCs/>
                <w:lang w:val="fr-FR"/>
              </w:rPr>
              <w:t xml:space="preserve"> A</w:t>
            </w:r>
          </w:p>
        </w:tc>
        <w:tc>
          <w:tcPr>
            <w:tcW w:w="7335" w:type="dxa"/>
            <w:tcBorders>
              <w:top w:val="single" w:sz="4" w:space="0" w:color="auto"/>
              <w:left w:val="single" w:sz="4" w:space="0" w:color="auto"/>
              <w:bottom w:val="single" w:sz="4" w:space="0" w:color="auto"/>
              <w:right w:val="single" w:sz="4" w:space="0" w:color="auto"/>
            </w:tcBorders>
            <w:hideMark/>
          </w:tcPr>
          <w:p w:rsidR="0053052A" w:rsidRPr="001F1BF0" w:rsidRDefault="0053052A" w:rsidP="0053052A">
            <w:pPr>
              <w:pStyle w:val="ListParagraph"/>
              <w:ind w:left="0"/>
              <w:rPr>
                <w:rFonts w:cs="Arial"/>
                <w:lang w:val="fr-FR"/>
              </w:rPr>
            </w:pPr>
            <w:proofErr w:type="spellStart"/>
            <w:r w:rsidRPr="001F1BF0">
              <w:rPr>
                <w:rFonts w:cs="Arial"/>
                <w:lang w:val="fr-FR"/>
              </w:rPr>
              <w:t>Inception</w:t>
            </w:r>
            <w:proofErr w:type="spellEnd"/>
            <w:r w:rsidRPr="001F1BF0">
              <w:rPr>
                <w:rFonts w:cs="Arial"/>
                <w:lang w:val="fr-FR"/>
              </w:rPr>
              <w:t xml:space="preserve"> Report</w:t>
            </w:r>
          </w:p>
        </w:tc>
        <w:tc>
          <w:tcPr>
            <w:tcW w:w="897" w:type="dxa"/>
            <w:tcBorders>
              <w:top w:val="single" w:sz="4" w:space="0" w:color="auto"/>
              <w:left w:val="single" w:sz="4" w:space="0" w:color="auto"/>
              <w:bottom w:val="single" w:sz="4" w:space="0" w:color="auto"/>
              <w:right w:val="single" w:sz="4" w:space="0" w:color="auto"/>
            </w:tcBorders>
          </w:tcPr>
          <w:p w:rsidR="0053052A" w:rsidRPr="001F1BF0" w:rsidRDefault="0053052A" w:rsidP="0053052A">
            <w:pPr>
              <w:pStyle w:val="ListParagraph"/>
              <w:ind w:left="0"/>
              <w:rPr>
                <w:rFonts w:cs="Arial"/>
                <w:lang w:val="fr-FR"/>
              </w:rPr>
            </w:pPr>
          </w:p>
        </w:tc>
      </w:tr>
      <w:tr w:rsidR="00F3224E" w:rsidRPr="001F1BF0" w:rsidTr="0053052A">
        <w:trPr>
          <w:trHeight w:val="438"/>
        </w:trPr>
        <w:tc>
          <w:tcPr>
            <w:tcW w:w="1125" w:type="dxa"/>
            <w:tcBorders>
              <w:top w:val="single" w:sz="4" w:space="0" w:color="auto"/>
              <w:left w:val="single" w:sz="4" w:space="0" w:color="auto"/>
              <w:bottom w:val="single" w:sz="4" w:space="0" w:color="auto"/>
              <w:right w:val="single" w:sz="4" w:space="0" w:color="auto"/>
            </w:tcBorders>
            <w:hideMark/>
          </w:tcPr>
          <w:p w:rsidR="008B67F5" w:rsidRPr="001F1BF0" w:rsidRDefault="008B67F5" w:rsidP="0053052A">
            <w:pPr>
              <w:pStyle w:val="ListParagraph"/>
              <w:ind w:left="0"/>
              <w:rPr>
                <w:rFonts w:cs="Arial"/>
                <w:b/>
                <w:bCs/>
                <w:lang w:val="fr-FR"/>
              </w:rPr>
            </w:pPr>
            <w:proofErr w:type="spellStart"/>
            <w:r w:rsidRPr="001F1BF0">
              <w:rPr>
                <w:rFonts w:cs="Arial"/>
                <w:b/>
                <w:bCs/>
                <w:lang w:val="fr-FR"/>
              </w:rPr>
              <w:t>Annex</w:t>
            </w:r>
            <w:proofErr w:type="spellEnd"/>
            <w:r w:rsidRPr="001F1BF0">
              <w:rPr>
                <w:rFonts w:cs="Arial"/>
                <w:b/>
                <w:bCs/>
                <w:lang w:val="fr-FR"/>
              </w:rPr>
              <w:t xml:space="preserve"> B</w:t>
            </w:r>
          </w:p>
        </w:tc>
        <w:tc>
          <w:tcPr>
            <w:tcW w:w="7335" w:type="dxa"/>
            <w:tcBorders>
              <w:top w:val="single" w:sz="4" w:space="0" w:color="auto"/>
              <w:left w:val="single" w:sz="4" w:space="0" w:color="auto"/>
              <w:bottom w:val="single" w:sz="4" w:space="0" w:color="auto"/>
              <w:right w:val="single" w:sz="4" w:space="0" w:color="auto"/>
            </w:tcBorders>
            <w:hideMark/>
          </w:tcPr>
          <w:p w:rsidR="008B67F5" w:rsidRPr="001F1BF0" w:rsidRDefault="008B67F5" w:rsidP="008B67F5">
            <w:pPr>
              <w:pStyle w:val="ListParagraph"/>
              <w:ind w:left="0"/>
              <w:rPr>
                <w:rFonts w:cs="Arial"/>
                <w:lang w:val="fr-FR"/>
              </w:rPr>
            </w:pPr>
            <w:r w:rsidRPr="001F1BF0">
              <w:rPr>
                <w:rFonts w:cs="Arial"/>
                <w:lang w:val="fr-FR"/>
              </w:rPr>
              <w:t xml:space="preserve">List of </w:t>
            </w:r>
            <w:proofErr w:type="spellStart"/>
            <w:r w:rsidRPr="001F1BF0">
              <w:rPr>
                <w:rFonts w:cs="Arial"/>
                <w:lang w:val="fr-FR"/>
              </w:rPr>
              <w:t>Persons</w:t>
            </w:r>
            <w:proofErr w:type="spellEnd"/>
            <w:r w:rsidRPr="001F1BF0">
              <w:rPr>
                <w:rFonts w:cs="Arial"/>
                <w:lang w:val="fr-FR"/>
              </w:rPr>
              <w:t xml:space="preserve"> </w:t>
            </w:r>
            <w:proofErr w:type="spellStart"/>
            <w:r w:rsidRPr="001F1BF0">
              <w:rPr>
                <w:rFonts w:cs="Arial"/>
                <w:lang w:val="fr-FR"/>
              </w:rPr>
              <w:t>Interviewed</w:t>
            </w:r>
            <w:proofErr w:type="spellEnd"/>
          </w:p>
        </w:tc>
        <w:tc>
          <w:tcPr>
            <w:tcW w:w="897" w:type="dxa"/>
            <w:tcBorders>
              <w:top w:val="single" w:sz="4" w:space="0" w:color="auto"/>
              <w:left w:val="single" w:sz="4" w:space="0" w:color="auto"/>
              <w:bottom w:val="single" w:sz="4" w:space="0" w:color="auto"/>
              <w:right w:val="single" w:sz="4" w:space="0" w:color="auto"/>
            </w:tcBorders>
          </w:tcPr>
          <w:p w:rsidR="008B67F5" w:rsidRPr="001F1BF0" w:rsidRDefault="008B67F5" w:rsidP="0053052A">
            <w:pPr>
              <w:pStyle w:val="ListParagraph"/>
              <w:ind w:left="0"/>
              <w:rPr>
                <w:rFonts w:cs="Arial"/>
                <w:lang w:val="fr-FR"/>
              </w:rPr>
            </w:pPr>
          </w:p>
        </w:tc>
      </w:tr>
      <w:tr w:rsidR="00F3224E" w:rsidRPr="001F1BF0" w:rsidTr="0053052A">
        <w:trPr>
          <w:trHeight w:val="462"/>
        </w:trPr>
        <w:tc>
          <w:tcPr>
            <w:tcW w:w="1125" w:type="dxa"/>
            <w:tcBorders>
              <w:top w:val="single" w:sz="4" w:space="0" w:color="auto"/>
              <w:left w:val="single" w:sz="4" w:space="0" w:color="auto"/>
              <w:bottom w:val="single" w:sz="4" w:space="0" w:color="auto"/>
              <w:right w:val="single" w:sz="4" w:space="0" w:color="auto"/>
            </w:tcBorders>
            <w:hideMark/>
          </w:tcPr>
          <w:p w:rsidR="008B67F5" w:rsidRPr="001F1BF0" w:rsidRDefault="008B67F5" w:rsidP="0053052A">
            <w:pPr>
              <w:pStyle w:val="ListParagraph"/>
              <w:ind w:left="0"/>
              <w:rPr>
                <w:rFonts w:cs="Arial"/>
                <w:b/>
                <w:bCs/>
                <w:lang w:val="fr-FR"/>
              </w:rPr>
            </w:pPr>
            <w:proofErr w:type="spellStart"/>
            <w:r w:rsidRPr="001F1BF0">
              <w:rPr>
                <w:rFonts w:cs="Arial"/>
                <w:b/>
                <w:bCs/>
                <w:lang w:val="fr-FR"/>
              </w:rPr>
              <w:t>Annex</w:t>
            </w:r>
            <w:proofErr w:type="spellEnd"/>
            <w:r w:rsidRPr="001F1BF0">
              <w:rPr>
                <w:rFonts w:cs="Arial"/>
                <w:b/>
                <w:bCs/>
                <w:lang w:val="fr-FR"/>
              </w:rPr>
              <w:t xml:space="preserve"> C</w:t>
            </w:r>
          </w:p>
        </w:tc>
        <w:tc>
          <w:tcPr>
            <w:tcW w:w="7335" w:type="dxa"/>
            <w:tcBorders>
              <w:top w:val="single" w:sz="4" w:space="0" w:color="auto"/>
              <w:left w:val="single" w:sz="4" w:space="0" w:color="auto"/>
              <w:bottom w:val="single" w:sz="4" w:space="0" w:color="auto"/>
              <w:right w:val="single" w:sz="4" w:space="0" w:color="auto"/>
            </w:tcBorders>
            <w:hideMark/>
          </w:tcPr>
          <w:p w:rsidR="008B67F5" w:rsidRPr="001F1BF0" w:rsidRDefault="008B67F5" w:rsidP="008B67F5">
            <w:pPr>
              <w:pStyle w:val="ListParagraph"/>
              <w:ind w:left="0"/>
              <w:rPr>
                <w:rFonts w:cs="Arial"/>
                <w:lang w:val="fr-FR"/>
              </w:rPr>
            </w:pPr>
            <w:r w:rsidRPr="001F1BF0">
              <w:rPr>
                <w:rFonts w:cs="Arial"/>
                <w:lang w:val="fr-FR"/>
              </w:rPr>
              <w:t>Survey Questionnaire</w:t>
            </w:r>
          </w:p>
        </w:tc>
        <w:tc>
          <w:tcPr>
            <w:tcW w:w="897" w:type="dxa"/>
            <w:tcBorders>
              <w:top w:val="single" w:sz="4" w:space="0" w:color="auto"/>
              <w:left w:val="single" w:sz="4" w:space="0" w:color="auto"/>
              <w:bottom w:val="single" w:sz="4" w:space="0" w:color="auto"/>
              <w:right w:val="single" w:sz="4" w:space="0" w:color="auto"/>
            </w:tcBorders>
          </w:tcPr>
          <w:p w:rsidR="008B67F5" w:rsidRPr="001F1BF0" w:rsidRDefault="008B67F5" w:rsidP="0053052A">
            <w:pPr>
              <w:pStyle w:val="ListParagraph"/>
              <w:ind w:left="0"/>
              <w:rPr>
                <w:rFonts w:cs="Arial"/>
                <w:lang w:val="fr-FR"/>
              </w:rPr>
            </w:pPr>
          </w:p>
        </w:tc>
      </w:tr>
      <w:tr w:rsidR="00F3224E" w:rsidRPr="001F1BF0" w:rsidTr="0053052A">
        <w:trPr>
          <w:trHeight w:val="462"/>
        </w:trPr>
        <w:tc>
          <w:tcPr>
            <w:tcW w:w="1125" w:type="dxa"/>
            <w:tcBorders>
              <w:top w:val="single" w:sz="4" w:space="0" w:color="auto"/>
              <w:left w:val="single" w:sz="4" w:space="0" w:color="auto"/>
              <w:bottom w:val="single" w:sz="4" w:space="0" w:color="auto"/>
              <w:right w:val="single" w:sz="4" w:space="0" w:color="auto"/>
            </w:tcBorders>
            <w:hideMark/>
          </w:tcPr>
          <w:p w:rsidR="0053052A" w:rsidRPr="001F1BF0" w:rsidRDefault="0053052A" w:rsidP="0053052A">
            <w:pPr>
              <w:pStyle w:val="ListParagraph"/>
              <w:ind w:left="0"/>
              <w:rPr>
                <w:rFonts w:cs="Arial"/>
                <w:b/>
                <w:lang w:val="fr-FR"/>
              </w:rPr>
            </w:pPr>
            <w:proofErr w:type="spellStart"/>
            <w:r w:rsidRPr="001F1BF0">
              <w:rPr>
                <w:rFonts w:cs="Arial"/>
                <w:b/>
                <w:lang w:val="fr-FR"/>
              </w:rPr>
              <w:t>Annex</w:t>
            </w:r>
            <w:proofErr w:type="spellEnd"/>
            <w:r w:rsidRPr="001F1BF0">
              <w:rPr>
                <w:rFonts w:cs="Arial"/>
                <w:b/>
                <w:lang w:val="fr-FR"/>
              </w:rPr>
              <w:t xml:space="preserve"> D</w:t>
            </w:r>
          </w:p>
        </w:tc>
        <w:tc>
          <w:tcPr>
            <w:tcW w:w="7335" w:type="dxa"/>
            <w:tcBorders>
              <w:top w:val="single" w:sz="4" w:space="0" w:color="auto"/>
              <w:left w:val="single" w:sz="4" w:space="0" w:color="auto"/>
              <w:bottom w:val="single" w:sz="4" w:space="0" w:color="auto"/>
              <w:right w:val="single" w:sz="4" w:space="0" w:color="auto"/>
            </w:tcBorders>
            <w:hideMark/>
          </w:tcPr>
          <w:p w:rsidR="0053052A" w:rsidRPr="001F1BF0" w:rsidRDefault="00B71708" w:rsidP="0053052A">
            <w:pPr>
              <w:pStyle w:val="ListParagraph"/>
              <w:ind w:left="0"/>
              <w:rPr>
                <w:rFonts w:cs="Arial"/>
                <w:lang w:val="fr-FR"/>
              </w:rPr>
            </w:pPr>
            <w:r w:rsidRPr="001F1BF0">
              <w:rPr>
                <w:rFonts w:cs="Arial"/>
                <w:lang w:val="fr-FR"/>
              </w:rPr>
              <w:t xml:space="preserve">Survey </w:t>
            </w:r>
            <w:proofErr w:type="spellStart"/>
            <w:r w:rsidRPr="001F1BF0">
              <w:rPr>
                <w:rFonts w:cs="Arial"/>
                <w:lang w:val="fr-FR"/>
              </w:rPr>
              <w:t>response</w:t>
            </w:r>
            <w:proofErr w:type="spellEnd"/>
            <w:r w:rsidR="001E787E" w:rsidRPr="001F1BF0">
              <w:rPr>
                <w:rFonts w:cs="Arial"/>
                <w:lang w:val="fr-FR"/>
              </w:rPr>
              <w:noBreakHyphen/>
            </w:r>
            <w:r w:rsidR="008B67F5" w:rsidRPr="001F1BF0">
              <w:rPr>
                <w:rFonts w:cs="Arial"/>
                <w:lang w:val="fr-FR"/>
              </w:rPr>
              <w:t xml:space="preserve">Geneva </w:t>
            </w:r>
            <w:proofErr w:type="spellStart"/>
            <w:r w:rsidR="008B67F5" w:rsidRPr="001F1BF0">
              <w:rPr>
                <w:rFonts w:cs="Arial"/>
                <w:lang w:val="fr-FR"/>
              </w:rPr>
              <w:t>Representatives</w:t>
            </w:r>
            <w:proofErr w:type="spellEnd"/>
          </w:p>
        </w:tc>
        <w:tc>
          <w:tcPr>
            <w:tcW w:w="897" w:type="dxa"/>
            <w:tcBorders>
              <w:top w:val="single" w:sz="4" w:space="0" w:color="auto"/>
              <w:left w:val="single" w:sz="4" w:space="0" w:color="auto"/>
              <w:bottom w:val="single" w:sz="4" w:space="0" w:color="auto"/>
              <w:right w:val="single" w:sz="4" w:space="0" w:color="auto"/>
            </w:tcBorders>
          </w:tcPr>
          <w:p w:rsidR="0053052A" w:rsidRPr="001F1BF0" w:rsidRDefault="0053052A" w:rsidP="0053052A">
            <w:pPr>
              <w:pStyle w:val="ListParagraph"/>
              <w:ind w:left="0"/>
              <w:rPr>
                <w:rFonts w:cs="Arial"/>
                <w:lang w:val="fr-FR"/>
              </w:rPr>
            </w:pPr>
          </w:p>
        </w:tc>
      </w:tr>
      <w:tr w:rsidR="00F3224E" w:rsidRPr="001F1BF0" w:rsidTr="0053052A">
        <w:trPr>
          <w:trHeight w:val="462"/>
        </w:trPr>
        <w:tc>
          <w:tcPr>
            <w:tcW w:w="1125" w:type="dxa"/>
            <w:tcBorders>
              <w:top w:val="single" w:sz="4" w:space="0" w:color="auto"/>
              <w:left w:val="single" w:sz="4" w:space="0" w:color="auto"/>
              <w:bottom w:val="single" w:sz="4" w:space="0" w:color="auto"/>
              <w:right w:val="single" w:sz="4" w:space="0" w:color="auto"/>
            </w:tcBorders>
            <w:hideMark/>
          </w:tcPr>
          <w:p w:rsidR="0053052A" w:rsidRPr="001F1BF0" w:rsidRDefault="0053052A" w:rsidP="0053052A">
            <w:pPr>
              <w:pStyle w:val="ListParagraph"/>
              <w:ind w:left="0"/>
              <w:rPr>
                <w:rFonts w:cs="Arial"/>
                <w:b/>
                <w:bCs/>
                <w:lang w:val="fr-FR"/>
              </w:rPr>
            </w:pPr>
            <w:proofErr w:type="spellStart"/>
            <w:r w:rsidRPr="001F1BF0">
              <w:rPr>
                <w:rFonts w:cs="Arial"/>
                <w:b/>
                <w:bCs/>
                <w:lang w:val="fr-FR"/>
              </w:rPr>
              <w:t>Annex</w:t>
            </w:r>
            <w:proofErr w:type="spellEnd"/>
            <w:r w:rsidRPr="001F1BF0">
              <w:rPr>
                <w:rFonts w:cs="Arial"/>
                <w:b/>
                <w:bCs/>
                <w:lang w:val="fr-FR"/>
              </w:rPr>
              <w:t xml:space="preserve"> E</w:t>
            </w:r>
          </w:p>
        </w:tc>
        <w:tc>
          <w:tcPr>
            <w:tcW w:w="7335" w:type="dxa"/>
            <w:tcBorders>
              <w:top w:val="single" w:sz="4" w:space="0" w:color="auto"/>
              <w:left w:val="single" w:sz="4" w:space="0" w:color="auto"/>
              <w:bottom w:val="single" w:sz="4" w:space="0" w:color="auto"/>
              <w:right w:val="single" w:sz="4" w:space="0" w:color="auto"/>
            </w:tcBorders>
            <w:hideMark/>
          </w:tcPr>
          <w:p w:rsidR="0053052A" w:rsidRPr="001F1BF0" w:rsidRDefault="00B71708" w:rsidP="00B71708">
            <w:pPr>
              <w:pStyle w:val="ListParagraph"/>
              <w:ind w:left="0"/>
              <w:rPr>
                <w:rFonts w:cs="Arial"/>
                <w:lang w:val="fr-FR"/>
              </w:rPr>
            </w:pPr>
            <w:r w:rsidRPr="001F1BF0">
              <w:rPr>
                <w:rFonts w:cs="Arial"/>
                <w:lang w:val="fr-FR"/>
              </w:rPr>
              <w:t xml:space="preserve">Survey </w:t>
            </w:r>
            <w:proofErr w:type="spellStart"/>
            <w:r w:rsidRPr="001F1BF0">
              <w:rPr>
                <w:rFonts w:cs="Arial"/>
                <w:lang w:val="fr-FR"/>
              </w:rPr>
              <w:t>response</w:t>
            </w:r>
            <w:proofErr w:type="spellEnd"/>
            <w:r w:rsidR="001E787E" w:rsidRPr="001F1BF0">
              <w:rPr>
                <w:rFonts w:cs="Arial"/>
                <w:lang w:val="fr-FR"/>
              </w:rPr>
              <w:noBreakHyphen/>
            </w:r>
            <w:r w:rsidR="008B67F5" w:rsidRPr="001F1BF0">
              <w:rPr>
                <w:rFonts w:cs="Arial"/>
                <w:lang w:val="fr-FR"/>
              </w:rPr>
              <w:t>IP Offices</w:t>
            </w:r>
          </w:p>
        </w:tc>
        <w:tc>
          <w:tcPr>
            <w:tcW w:w="897" w:type="dxa"/>
            <w:tcBorders>
              <w:top w:val="single" w:sz="4" w:space="0" w:color="auto"/>
              <w:left w:val="single" w:sz="4" w:space="0" w:color="auto"/>
              <w:bottom w:val="single" w:sz="4" w:space="0" w:color="auto"/>
              <w:right w:val="single" w:sz="4" w:space="0" w:color="auto"/>
            </w:tcBorders>
          </w:tcPr>
          <w:p w:rsidR="0053052A" w:rsidRPr="001F1BF0" w:rsidRDefault="0053052A" w:rsidP="0053052A">
            <w:pPr>
              <w:pStyle w:val="ListParagraph"/>
              <w:ind w:left="0"/>
              <w:rPr>
                <w:rFonts w:cs="Arial"/>
                <w:lang w:val="fr-FR"/>
              </w:rPr>
            </w:pPr>
          </w:p>
        </w:tc>
      </w:tr>
      <w:tr w:rsidR="00F3224E" w:rsidRPr="001F1BF0"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8B67F5" w:rsidRPr="001F1BF0" w:rsidRDefault="008B67F5" w:rsidP="0053052A">
            <w:pPr>
              <w:pStyle w:val="ListParagraph"/>
              <w:ind w:left="0"/>
              <w:rPr>
                <w:rFonts w:cs="Arial"/>
                <w:b/>
                <w:bCs/>
                <w:lang w:val="fr-FR"/>
              </w:rPr>
            </w:pPr>
            <w:proofErr w:type="spellStart"/>
            <w:r w:rsidRPr="001F1BF0">
              <w:rPr>
                <w:rFonts w:cs="Arial"/>
                <w:b/>
                <w:bCs/>
                <w:lang w:val="fr-FR"/>
              </w:rPr>
              <w:t>Annex</w:t>
            </w:r>
            <w:proofErr w:type="spellEnd"/>
            <w:r w:rsidRPr="001F1BF0">
              <w:rPr>
                <w:rFonts w:cs="Arial"/>
                <w:b/>
                <w:bCs/>
                <w:lang w:val="fr-FR"/>
              </w:rPr>
              <w:t xml:space="preserve"> F</w:t>
            </w:r>
          </w:p>
        </w:tc>
        <w:tc>
          <w:tcPr>
            <w:tcW w:w="7335" w:type="dxa"/>
            <w:tcBorders>
              <w:top w:val="single" w:sz="4" w:space="0" w:color="auto"/>
              <w:left w:val="single" w:sz="4" w:space="0" w:color="auto"/>
              <w:bottom w:val="single" w:sz="4" w:space="0" w:color="auto"/>
              <w:right w:val="single" w:sz="4" w:space="0" w:color="auto"/>
            </w:tcBorders>
          </w:tcPr>
          <w:p w:rsidR="008B67F5" w:rsidRPr="001F1BF0" w:rsidRDefault="00B71708" w:rsidP="0053052A">
            <w:pPr>
              <w:pStyle w:val="ListParagraph"/>
              <w:ind w:left="0"/>
              <w:rPr>
                <w:rFonts w:cs="Arial"/>
                <w:lang w:val="fr-FR"/>
              </w:rPr>
            </w:pPr>
            <w:r w:rsidRPr="001F1BF0">
              <w:rPr>
                <w:rFonts w:cs="Arial"/>
                <w:lang w:val="fr-FR"/>
              </w:rPr>
              <w:t xml:space="preserve">Survey </w:t>
            </w:r>
            <w:proofErr w:type="spellStart"/>
            <w:r w:rsidRPr="001F1BF0">
              <w:rPr>
                <w:rFonts w:cs="Arial"/>
                <w:lang w:val="fr-FR"/>
              </w:rPr>
              <w:t>response</w:t>
            </w:r>
            <w:r w:rsidR="001E787E" w:rsidRPr="001F1BF0">
              <w:rPr>
                <w:rFonts w:cs="Arial"/>
                <w:lang w:val="fr-FR"/>
              </w:rPr>
              <w:noBreakHyphen/>
            </w:r>
            <w:r w:rsidR="008B67F5" w:rsidRPr="001F1BF0">
              <w:rPr>
                <w:rFonts w:cs="Arial"/>
                <w:lang w:val="fr-FR"/>
              </w:rPr>
              <w:t>NGOs</w:t>
            </w:r>
            <w:proofErr w:type="spellEnd"/>
            <w:r w:rsidR="008B67F5" w:rsidRPr="001F1BF0">
              <w:rPr>
                <w:rFonts w:cs="Arial"/>
                <w:lang w:val="fr-FR"/>
              </w:rPr>
              <w:t>/</w:t>
            </w:r>
            <w:proofErr w:type="spellStart"/>
            <w:r w:rsidR="008B67F5" w:rsidRPr="001F1BF0">
              <w:rPr>
                <w:rFonts w:cs="Arial"/>
                <w:lang w:val="fr-FR"/>
              </w:rPr>
              <w:t>IGOs</w:t>
            </w:r>
            <w:proofErr w:type="spellEnd"/>
          </w:p>
        </w:tc>
        <w:tc>
          <w:tcPr>
            <w:tcW w:w="897" w:type="dxa"/>
            <w:tcBorders>
              <w:top w:val="single" w:sz="4" w:space="0" w:color="auto"/>
              <w:left w:val="single" w:sz="4" w:space="0" w:color="auto"/>
              <w:bottom w:val="single" w:sz="4" w:space="0" w:color="auto"/>
              <w:right w:val="single" w:sz="4" w:space="0" w:color="auto"/>
            </w:tcBorders>
          </w:tcPr>
          <w:p w:rsidR="008B67F5" w:rsidRPr="001F1BF0" w:rsidRDefault="008B67F5" w:rsidP="0053052A">
            <w:pPr>
              <w:pStyle w:val="ListParagraph"/>
              <w:ind w:left="0"/>
              <w:rPr>
                <w:rFonts w:cs="Arial"/>
                <w:lang w:val="fr-FR"/>
              </w:rPr>
            </w:pPr>
          </w:p>
        </w:tc>
      </w:tr>
      <w:tr w:rsidR="00F3224E" w:rsidRPr="001F1BF0"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8B67F5" w:rsidRPr="001F1BF0" w:rsidRDefault="008B67F5" w:rsidP="0053052A">
            <w:pPr>
              <w:pStyle w:val="ListParagraph"/>
              <w:ind w:left="0"/>
              <w:rPr>
                <w:rFonts w:cs="Arial"/>
                <w:b/>
                <w:bCs/>
                <w:lang w:val="fr-FR"/>
              </w:rPr>
            </w:pPr>
            <w:proofErr w:type="spellStart"/>
            <w:r w:rsidRPr="001F1BF0">
              <w:rPr>
                <w:rFonts w:cs="Arial"/>
                <w:b/>
                <w:bCs/>
                <w:lang w:val="fr-FR"/>
              </w:rPr>
              <w:t>Annex</w:t>
            </w:r>
            <w:proofErr w:type="spellEnd"/>
            <w:r w:rsidRPr="001F1BF0">
              <w:rPr>
                <w:rFonts w:cs="Arial"/>
                <w:b/>
                <w:bCs/>
                <w:lang w:val="fr-FR"/>
              </w:rPr>
              <w:t xml:space="preserve"> G</w:t>
            </w:r>
          </w:p>
        </w:tc>
        <w:tc>
          <w:tcPr>
            <w:tcW w:w="7335" w:type="dxa"/>
            <w:tcBorders>
              <w:top w:val="single" w:sz="4" w:space="0" w:color="auto"/>
              <w:left w:val="single" w:sz="4" w:space="0" w:color="auto"/>
              <w:bottom w:val="single" w:sz="4" w:space="0" w:color="auto"/>
              <w:right w:val="single" w:sz="4" w:space="0" w:color="auto"/>
            </w:tcBorders>
          </w:tcPr>
          <w:p w:rsidR="008B67F5" w:rsidRPr="001F1BF0" w:rsidRDefault="00B71708" w:rsidP="00B71708">
            <w:pPr>
              <w:pStyle w:val="ListParagraph"/>
              <w:ind w:left="0"/>
              <w:rPr>
                <w:rFonts w:cs="Arial"/>
                <w:lang w:val="fr-FR"/>
              </w:rPr>
            </w:pPr>
            <w:r w:rsidRPr="001F1BF0">
              <w:rPr>
                <w:rFonts w:cs="Arial"/>
                <w:lang w:val="fr-FR"/>
              </w:rPr>
              <w:t xml:space="preserve">Survey </w:t>
            </w:r>
            <w:proofErr w:type="spellStart"/>
            <w:r w:rsidRPr="001F1BF0">
              <w:rPr>
                <w:rFonts w:cs="Arial"/>
                <w:lang w:val="fr-FR"/>
              </w:rPr>
              <w:t>response</w:t>
            </w:r>
            <w:r w:rsidR="001E787E" w:rsidRPr="001F1BF0">
              <w:rPr>
                <w:rFonts w:cs="Arial"/>
                <w:lang w:val="fr-FR"/>
              </w:rPr>
              <w:noBreakHyphen/>
            </w:r>
            <w:r w:rsidRPr="001F1BF0">
              <w:rPr>
                <w:rFonts w:cs="Arial"/>
                <w:lang w:val="fr-FR"/>
              </w:rPr>
              <w:t>Other</w:t>
            </w:r>
            <w:proofErr w:type="spellEnd"/>
            <w:r w:rsidRPr="001F1BF0">
              <w:rPr>
                <w:rFonts w:cs="Arial"/>
                <w:lang w:val="fr-FR"/>
              </w:rPr>
              <w:t xml:space="preserve"> </w:t>
            </w:r>
            <w:proofErr w:type="spellStart"/>
            <w:r w:rsidRPr="001F1BF0">
              <w:rPr>
                <w:rFonts w:cs="Arial"/>
                <w:lang w:val="fr-FR"/>
              </w:rPr>
              <w:t>s</w:t>
            </w:r>
            <w:r w:rsidR="008B67F5" w:rsidRPr="001F1BF0">
              <w:rPr>
                <w:rFonts w:cs="Arial"/>
                <w:lang w:val="fr-FR"/>
              </w:rPr>
              <w:t>takeholders</w:t>
            </w:r>
            <w:proofErr w:type="spellEnd"/>
          </w:p>
        </w:tc>
        <w:tc>
          <w:tcPr>
            <w:tcW w:w="897" w:type="dxa"/>
            <w:tcBorders>
              <w:top w:val="single" w:sz="4" w:space="0" w:color="auto"/>
              <w:left w:val="single" w:sz="4" w:space="0" w:color="auto"/>
              <w:bottom w:val="single" w:sz="4" w:space="0" w:color="auto"/>
              <w:right w:val="single" w:sz="4" w:space="0" w:color="auto"/>
            </w:tcBorders>
          </w:tcPr>
          <w:p w:rsidR="008B67F5" w:rsidRPr="001F1BF0" w:rsidRDefault="008B67F5" w:rsidP="0053052A">
            <w:pPr>
              <w:pStyle w:val="ListParagraph"/>
              <w:ind w:left="0"/>
              <w:rPr>
                <w:rFonts w:cs="Arial"/>
                <w:lang w:val="fr-FR"/>
              </w:rPr>
            </w:pPr>
          </w:p>
        </w:tc>
      </w:tr>
      <w:tr w:rsidR="00F3224E" w:rsidRPr="001F1BF0"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8B67F5" w:rsidRPr="001F1BF0" w:rsidRDefault="008B67F5" w:rsidP="0053052A">
            <w:pPr>
              <w:pStyle w:val="ListParagraph"/>
              <w:ind w:left="0"/>
              <w:rPr>
                <w:rFonts w:cs="Arial"/>
                <w:b/>
                <w:bCs/>
                <w:lang w:val="fr-FR"/>
              </w:rPr>
            </w:pPr>
            <w:proofErr w:type="spellStart"/>
            <w:r w:rsidRPr="001F1BF0">
              <w:rPr>
                <w:rFonts w:cs="Arial"/>
                <w:b/>
                <w:bCs/>
                <w:lang w:val="fr-FR"/>
              </w:rPr>
              <w:t>Annex</w:t>
            </w:r>
            <w:proofErr w:type="spellEnd"/>
            <w:r w:rsidRPr="001F1BF0">
              <w:rPr>
                <w:rFonts w:cs="Arial"/>
                <w:b/>
                <w:bCs/>
                <w:lang w:val="fr-FR"/>
              </w:rPr>
              <w:t xml:space="preserve"> H</w:t>
            </w:r>
          </w:p>
        </w:tc>
        <w:tc>
          <w:tcPr>
            <w:tcW w:w="7335" w:type="dxa"/>
            <w:tcBorders>
              <w:top w:val="single" w:sz="4" w:space="0" w:color="auto"/>
              <w:left w:val="single" w:sz="4" w:space="0" w:color="auto"/>
              <w:bottom w:val="single" w:sz="4" w:space="0" w:color="auto"/>
              <w:right w:val="single" w:sz="4" w:space="0" w:color="auto"/>
            </w:tcBorders>
          </w:tcPr>
          <w:p w:rsidR="008B67F5" w:rsidRPr="001F1BF0" w:rsidRDefault="00B71708" w:rsidP="0053052A">
            <w:pPr>
              <w:pStyle w:val="ListParagraph"/>
              <w:ind w:left="0"/>
              <w:rPr>
                <w:rFonts w:cs="Arial"/>
                <w:lang w:val="fr-FR"/>
              </w:rPr>
            </w:pPr>
            <w:r w:rsidRPr="001F1BF0">
              <w:rPr>
                <w:rFonts w:cs="Arial"/>
                <w:lang w:val="fr-FR"/>
              </w:rPr>
              <w:t xml:space="preserve">Survey </w:t>
            </w:r>
            <w:proofErr w:type="spellStart"/>
            <w:r w:rsidRPr="001F1BF0">
              <w:rPr>
                <w:rFonts w:cs="Arial"/>
                <w:lang w:val="fr-FR"/>
              </w:rPr>
              <w:t>response</w:t>
            </w:r>
            <w:proofErr w:type="spellEnd"/>
            <w:r w:rsidR="001E787E" w:rsidRPr="001F1BF0">
              <w:rPr>
                <w:rFonts w:cs="Arial"/>
                <w:lang w:val="fr-FR"/>
              </w:rPr>
              <w:noBreakHyphen/>
            </w:r>
            <w:r w:rsidR="008B67F5" w:rsidRPr="001F1BF0">
              <w:rPr>
                <w:rFonts w:cs="Arial"/>
                <w:lang w:val="fr-FR"/>
              </w:rPr>
              <w:t>Public Survey</w:t>
            </w:r>
          </w:p>
        </w:tc>
        <w:tc>
          <w:tcPr>
            <w:tcW w:w="897" w:type="dxa"/>
            <w:tcBorders>
              <w:top w:val="single" w:sz="4" w:space="0" w:color="auto"/>
              <w:left w:val="single" w:sz="4" w:space="0" w:color="auto"/>
              <w:bottom w:val="single" w:sz="4" w:space="0" w:color="auto"/>
              <w:right w:val="single" w:sz="4" w:space="0" w:color="auto"/>
            </w:tcBorders>
          </w:tcPr>
          <w:p w:rsidR="008B67F5" w:rsidRPr="001F1BF0" w:rsidRDefault="008B67F5" w:rsidP="0053052A">
            <w:pPr>
              <w:pStyle w:val="ListParagraph"/>
              <w:ind w:left="0"/>
              <w:rPr>
                <w:rFonts w:cs="Arial"/>
                <w:lang w:val="fr-FR"/>
              </w:rPr>
            </w:pPr>
          </w:p>
        </w:tc>
      </w:tr>
      <w:tr w:rsidR="00F3224E" w:rsidRPr="001F1BF0"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FF727F" w:rsidRPr="001F1BF0" w:rsidRDefault="00FF727F" w:rsidP="0053052A">
            <w:pPr>
              <w:pStyle w:val="ListParagraph"/>
              <w:ind w:left="0"/>
              <w:rPr>
                <w:rFonts w:cs="Arial"/>
                <w:b/>
                <w:bCs/>
                <w:lang w:val="fr-FR"/>
              </w:rPr>
            </w:pPr>
            <w:proofErr w:type="spellStart"/>
            <w:r w:rsidRPr="001F1BF0">
              <w:rPr>
                <w:rFonts w:cs="Arial"/>
                <w:b/>
                <w:bCs/>
                <w:lang w:val="fr-FR"/>
              </w:rPr>
              <w:t>Annex</w:t>
            </w:r>
            <w:proofErr w:type="spellEnd"/>
            <w:r w:rsidRPr="001F1BF0">
              <w:rPr>
                <w:rFonts w:cs="Arial"/>
                <w:b/>
                <w:bCs/>
                <w:lang w:val="fr-FR"/>
              </w:rPr>
              <w:t xml:space="preserve"> I</w:t>
            </w:r>
          </w:p>
        </w:tc>
        <w:tc>
          <w:tcPr>
            <w:tcW w:w="7335" w:type="dxa"/>
            <w:tcBorders>
              <w:top w:val="single" w:sz="4" w:space="0" w:color="auto"/>
              <w:left w:val="single" w:sz="4" w:space="0" w:color="auto"/>
              <w:bottom w:val="single" w:sz="4" w:space="0" w:color="auto"/>
              <w:right w:val="single" w:sz="4" w:space="0" w:color="auto"/>
            </w:tcBorders>
          </w:tcPr>
          <w:p w:rsidR="00FF727F" w:rsidRPr="001F1BF0" w:rsidRDefault="00FF727F" w:rsidP="0053052A">
            <w:pPr>
              <w:pStyle w:val="ListParagraph"/>
              <w:ind w:left="0"/>
              <w:rPr>
                <w:rFonts w:cs="Arial"/>
                <w:lang w:val="fr-FR"/>
              </w:rPr>
            </w:pPr>
            <w:proofErr w:type="spellStart"/>
            <w:r w:rsidRPr="001F1BF0">
              <w:rPr>
                <w:rFonts w:cs="Arial"/>
                <w:lang w:val="fr-FR" w:bidi="ar-SA"/>
              </w:rPr>
              <w:t>Projects</w:t>
            </w:r>
            <w:proofErr w:type="spellEnd"/>
            <w:r w:rsidRPr="001F1BF0">
              <w:rPr>
                <w:rFonts w:cs="Arial"/>
                <w:lang w:val="fr-FR" w:bidi="ar-SA"/>
              </w:rPr>
              <w:t xml:space="preserve"> </w:t>
            </w:r>
            <w:proofErr w:type="spellStart"/>
            <w:r w:rsidRPr="001F1BF0">
              <w:rPr>
                <w:rFonts w:cs="Arial"/>
                <w:lang w:val="fr-FR" w:bidi="ar-SA"/>
              </w:rPr>
              <w:t>Completed</w:t>
            </w:r>
            <w:proofErr w:type="spellEnd"/>
            <w:r w:rsidRPr="001F1BF0">
              <w:rPr>
                <w:rFonts w:cs="Arial"/>
                <w:lang w:val="fr-FR" w:bidi="ar-SA"/>
              </w:rPr>
              <w:t xml:space="preserve"> and </w:t>
            </w:r>
            <w:proofErr w:type="spellStart"/>
            <w:r w:rsidRPr="001F1BF0">
              <w:rPr>
                <w:rFonts w:cs="Arial"/>
                <w:lang w:val="fr-FR" w:bidi="ar-SA"/>
              </w:rPr>
              <w:t>Evaluated</w:t>
            </w:r>
            <w:proofErr w:type="spellEnd"/>
          </w:p>
        </w:tc>
        <w:tc>
          <w:tcPr>
            <w:tcW w:w="897" w:type="dxa"/>
            <w:tcBorders>
              <w:top w:val="single" w:sz="4" w:space="0" w:color="auto"/>
              <w:left w:val="single" w:sz="4" w:space="0" w:color="auto"/>
              <w:bottom w:val="single" w:sz="4" w:space="0" w:color="auto"/>
              <w:right w:val="single" w:sz="4" w:space="0" w:color="auto"/>
            </w:tcBorders>
          </w:tcPr>
          <w:p w:rsidR="00FF727F" w:rsidRPr="001F1BF0" w:rsidRDefault="00FF727F" w:rsidP="0053052A">
            <w:pPr>
              <w:pStyle w:val="ListParagraph"/>
              <w:ind w:left="0"/>
              <w:rPr>
                <w:rFonts w:cs="Arial"/>
                <w:lang w:val="fr-FR"/>
              </w:rPr>
            </w:pPr>
          </w:p>
        </w:tc>
      </w:tr>
      <w:tr w:rsidR="00F3224E" w:rsidRPr="001F1BF0"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622357" w:rsidRPr="001F1BF0" w:rsidRDefault="00824C13" w:rsidP="0053052A">
            <w:pPr>
              <w:pStyle w:val="ListParagraph"/>
              <w:ind w:left="0"/>
              <w:rPr>
                <w:rFonts w:cs="Arial"/>
                <w:b/>
                <w:bCs/>
                <w:lang w:val="fr-FR"/>
              </w:rPr>
            </w:pPr>
            <w:proofErr w:type="spellStart"/>
            <w:r w:rsidRPr="001F1BF0">
              <w:rPr>
                <w:rFonts w:cs="Arial"/>
                <w:b/>
                <w:bCs/>
                <w:lang w:val="fr-FR"/>
              </w:rPr>
              <w:t>Annex</w:t>
            </w:r>
            <w:proofErr w:type="spellEnd"/>
            <w:r w:rsidRPr="001F1BF0">
              <w:rPr>
                <w:rFonts w:cs="Arial"/>
                <w:b/>
                <w:bCs/>
                <w:lang w:val="fr-FR"/>
              </w:rPr>
              <w:t xml:space="preserve"> J</w:t>
            </w:r>
          </w:p>
        </w:tc>
        <w:tc>
          <w:tcPr>
            <w:tcW w:w="7335" w:type="dxa"/>
            <w:tcBorders>
              <w:top w:val="single" w:sz="4" w:space="0" w:color="auto"/>
              <w:left w:val="single" w:sz="4" w:space="0" w:color="auto"/>
              <w:bottom w:val="single" w:sz="4" w:space="0" w:color="auto"/>
              <w:right w:val="single" w:sz="4" w:space="0" w:color="auto"/>
            </w:tcBorders>
          </w:tcPr>
          <w:p w:rsidR="00622357" w:rsidRPr="001F1BF0" w:rsidRDefault="00622357" w:rsidP="0053052A">
            <w:pPr>
              <w:pStyle w:val="ListParagraph"/>
              <w:ind w:left="0"/>
              <w:rPr>
                <w:rFonts w:cs="Arial"/>
                <w:lang w:val="fr-FR" w:bidi="ar-SA"/>
              </w:rPr>
            </w:pPr>
            <w:proofErr w:type="spellStart"/>
            <w:r w:rsidRPr="001F1BF0">
              <w:rPr>
                <w:rFonts w:cs="Arial"/>
                <w:lang w:val="fr-FR" w:bidi="ar-SA"/>
              </w:rPr>
              <w:t>Projects</w:t>
            </w:r>
            <w:proofErr w:type="spellEnd"/>
            <w:r w:rsidRPr="001F1BF0">
              <w:rPr>
                <w:rFonts w:cs="Arial"/>
                <w:lang w:val="fr-FR" w:bidi="ar-SA"/>
              </w:rPr>
              <w:t xml:space="preserve"> </w:t>
            </w:r>
            <w:proofErr w:type="spellStart"/>
            <w:r w:rsidRPr="001F1BF0">
              <w:rPr>
                <w:rFonts w:cs="Arial"/>
                <w:lang w:val="fr-FR" w:bidi="ar-SA"/>
              </w:rPr>
              <w:t>under</w:t>
            </w:r>
            <w:proofErr w:type="spellEnd"/>
            <w:r w:rsidRPr="001F1BF0">
              <w:rPr>
                <w:rFonts w:cs="Arial"/>
                <w:lang w:val="fr-FR" w:bidi="ar-SA"/>
              </w:rPr>
              <w:t xml:space="preserve"> </w:t>
            </w:r>
            <w:proofErr w:type="spellStart"/>
            <w:r w:rsidRPr="001F1BF0">
              <w:rPr>
                <w:rFonts w:cs="Arial"/>
                <w:lang w:val="fr-FR" w:bidi="ar-SA"/>
              </w:rPr>
              <w:t>implementation</w:t>
            </w:r>
            <w:proofErr w:type="spellEnd"/>
          </w:p>
        </w:tc>
        <w:tc>
          <w:tcPr>
            <w:tcW w:w="897" w:type="dxa"/>
            <w:tcBorders>
              <w:top w:val="single" w:sz="4" w:space="0" w:color="auto"/>
              <w:left w:val="single" w:sz="4" w:space="0" w:color="auto"/>
              <w:bottom w:val="single" w:sz="4" w:space="0" w:color="auto"/>
              <w:right w:val="single" w:sz="4" w:space="0" w:color="auto"/>
            </w:tcBorders>
          </w:tcPr>
          <w:p w:rsidR="00622357" w:rsidRPr="001F1BF0" w:rsidRDefault="00622357">
            <w:pPr>
              <w:rPr>
                <w:rFonts w:cs="Arial"/>
                <w:lang w:val="fr-FR"/>
              </w:rPr>
            </w:pPr>
          </w:p>
        </w:tc>
      </w:tr>
      <w:tr w:rsidR="00F3224E" w:rsidRPr="001F1BF0"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622357" w:rsidRPr="001F1BF0" w:rsidRDefault="00824C13" w:rsidP="0053052A">
            <w:pPr>
              <w:pStyle w:val="ListParagraph"/>
              <w:ind w:left="0"/>
              <w:rPr>
                <w:rFonts w:cs="Arial"/>
                <w:b/>
                <w:bCs/>
                <w:lang w:val="fr-FR"/>
              </w:rPr>
            </w:pPr>
            <w:proofErr w:type="spellStart"/>
            <w:r w:rsidRPr="001F1BF0">
              <w:rPr>
                <w:rFonts w:cs="Arial"/>
                <w:b/>
                <w:bCs/>
                <w:lang w:val="fr-FR"/>
              </w:rPr>
              <w:t>Annex</w:t>
            </w:r>
            <w:proofErr w:type="spellEnd"/>
            <w:r w:rsidRPr="001F1BF0">
              <w:rPr>
                <w:rFonts w:cs="Arial"/>
                <w:b/>
                <w:bCs/>
                <w:lang w:val="fr-FR"/>
              </w:rPr>
              <w:t xml:space="preserve"> K</w:t>
            </w:r>
          </w:p>
        </w:tc>
        <w:tc>
          <w:tcPr>
            <w:tcW w:w="7335" w:type="dxa"/>
            <w:tcBorders>
              <w:top w:val="single" w:sz="4" w:space="0" w:color="auto"/>
              <w:left w:val="single" w:sz="4" w:space="0" w:color="auto"/>
              <w:bottom w:val="single" w:sz="4" w:space="0" w:color="auto"/>
              <w:right w:val="single" w:sz="4" w:space="0" w:color="auto"/>
            </w:tcBorders>
          </w:tcPr>
          <w:p w:rsidR="00622357" w:rsidRPr="001F1BF0" w:rsidRDefault="00622357" w:rsidP="00A8253F">
            <w:pPr>
              <w:pStyle w:val="ListParagraph"/>
              <w:ind w:left="0"/>
              <w:rPr>
                <w:rFonts w:cs="Arial"/>
                <w:lang w:val="fr-FR" w:bidi="ar-SA"/>
              </w:rPr>
            </w:pPr>
            <w:r w:rsidRPr="001F1BF0">
              <w:rPr>
                <w:rFonts w:cs="Arial"/>
                <w:lang w:val="fr-FR" w:bidi="ar-SA"/>
              </w:rPr>
              <w:t>Li</w:t>
            </w:r>
            <w:r w:rsidR="00A8253F" w:rsidRPr="001F1BF0">
              <w:rPr>
                <w:rFonts w:cs="Arial"/>
                <w:lang w:val="fr-FR" w:bidi="ar-SA"/>
              </w:rPr>
              <w:t xml:space="preserve">st of documents </w:t>
            </w:r>
            <w:proofErr w:type="spellStart"/>
            <w:r w:rsidR="00A8253F" w:rsidRPr="001F1BF0">
              <w:rPr>
                <w:rFonts w:cs="Arial"/>
                <w:lang w:val="fr-FR" w:bidi="ar-SA"/>
              </w:rPr>
              <w:t>examined</w:t>
            </w:r>
            <w:proofErr w:type="spellEnd"/>
            <w:r w:rsidR="00A8253F" w:rsidRPr="001F1BF0">
              <w:rPr>
                <w:rFonts w:cs="Arial"/>
                <w:lang w:val="fr-FR" w:bidi="ar-SA"/>
              </w:rPr>
              <w:t xml:space="preserve"> </w:t>
            </w:r>
            <w:proofErr w:type="spellStart"/>
            <w:r w:rsidR="00A8253F" w:rsidRPr="001F1BF0">
              <w:rPr>
                <w:rFonts w:cs="Arial"/>
                <w:lang w:val="fr-FR" w:bidi="ar-SA"/>
              </w:rPr>
              <w:t>under</w:t>
            </w:r>
            <w:proofErr w:type="spellEnd"/>
            <w:r w:rsidRPr="001F1BF0">
              <w:rPr>
                <w:rFonts w:cs="Arial"/>
                <w:lang w:val="fr-FR" w:bidi="ar-SA"/>
              </w:rPr>
              <w:t xml:space="preserve"> desk </w:t>
            </w:r>
            <w:proofErr w:type="spellStart"/>
            <w:r w:rsidRPr="001F1BF0">
              <w:rPr>
                <w:rFonts w:cs="Arial"/>
                <w:lang w:val="fr-FR" w:bidi="ar-SA"/>
              </w:rPr>
              <w:t>review</w:t>
            </w:r>
            <w:proofErr w:type="spellEnd"/>
          </w:p>
        </w:tc>
        <w:tc>
          <w:tcPr>
            <w:tcW w:w="897" w:type="dxa"/>
            <w:tcBorders>
              <w:top w:val="single" w:sz="4" w:space="0" w:color="auto"/>
              <w:left w:val="single" w:sz="4" w:space="0" w:color="auto"/>
              <w:bottom w:val="single" w:sz="4" w:space="0" w:color="auto"/>
              <w:right w:val="single" w:sz="4" w:space="0" w:color="auto"/>
            </w:tcBorders>
          </w:tcPr>
          <w:p w:rsidR="00622357" w:rsidRPr="001F1BF0" w:rsidRDefault="00622357">
            <w:pPr>
              <w:rPr>
                <w:rFonts w:cs="Arial"/>
                <w:lang w:val="fr-FR"/>
              </w:rPr>
            </w:pPr>
          </w:p>
        </w:tc>
      </w:tr>
      <w:tr w:rsidR="00606041" w:rsidRPr="00202EB9" w:rsidTr="0053052A">
        <w:trPr>
          <w:trHeight w:val="462"/>
        </w:trPr>
        <w:tc>
          <w:tcPr>
            <w:tcW w:w="1125" w:type="dxa"/>
            <w:tcBorders>
              <w:top w:val="single" w:sz="4" w:space="0" w:color="auto"/>
              <w:left w:val="single" w:sz="4" w:space="0" w:color="auto"/>
              <w:bottom w:val="single" w:sz="4" w:space="0" w:color="auto"/>
              <w:right w:val="single" w:sz="4" w:space="0" w:color="auto"/>
            </w:tcBorders>
          </w:tcPr>
          <w:p w:rsidR="00FF727F" w:rsidRPr="001F1BF0" w:rsidRDefault="00FF727F" w:rsidP="00622357">
            <w:pPr>
              <w:pStyle w:val="ListParagraph"/>
              <w:ind w:left="0"/>
              <w:rPr>
                <w:rFonts w:cs="Arial"/>
                <w:b/>
                <w:bCs/>
                <w:lang w:val="fr-FR"/>
              </w:rPr>
            </w:pPr>
            <w:proofErr w:type="spellStart"/>
            <w:r w:rsidRPr="001F1BF0">
              <w:rPr>
                <w:rFonts w:cs="Arial"/>
                <w:b/>
                <w:bCs/>
                <w:lang w:val="fr-FR"/>
              </w:rPr>
              <w:t>Annex</w:t>
            </w:r>
            <w:proofErr w:type="spellEnd"/>
            <w:r w:rsidRPr="001F1BF0">
              <w:rPr>
                <w:rFonts w:cs="Arial"/>
                <w:b/>
                <w:bCs/>
                <w:lang w:val="fr-FR"/>
              </w:rPr>
              <w:t xml:space="preserve"> </w:t>
            </w:r>
            <w:r w:rsidR="00824C13" w:rsidRPr="001F1BF0">
              <w:rPr>
                <w:rFonts w:cs="Arial"/>
                <w:b/>
                <w:bCs/>
                <w:lang w:val="fr-FR"/>
              </w:rPr>
              <w:t>L</w:t>
            </w:r>
          </w:p>
        </w:tc>
        <w:tc>
          <w:tcPr>
            <w:tcW w:w="7335" w:type="dxa"/>
            <w:tcBorders>
              <w:top w:val="single" w:sz="4" w:space="0" w:color="auto"/>
              <w:left w:val="single" w:sz="4" w:space="0" w:color="auto"/>
              <w:bottom w:val="single" w:sz="4" w:space="0" w:color="auto"/>
              <w:right w:val="single" w:sz="4" w:space="0" w:color="auto"/>
            </w:tcBorders>
          </w:tcPr>
          <w:p w:rsidR="00FF727F" w:rsidRPr="001F1BF0" w:rsidRDefault="00FF727F" w:rsidP="001F1BF0">
            <w:pPr>
              <w:autoSpaceDE w:val="0"/>
              <w:autoSpaceDN w:val="0"/>
              <w:adjustRightInd w:val="0"/>
              <w:rPr>
                <w:rFonts w:cs="Arial"/>
                <w:lang w:val="fr-FR" w:bidi="ar-SA"/>
              </w:rPr>
            </w:pPr>
            <w:proofErr w:type="spellStart"/>
            <w:r w:rsidRPr="001F1BF0">
              <w:rPr>
                <w:rFonts w:cs="Arial"/>
                <w:lang w:val="fr-FR" w:bidi="ar-SA"/>
              </w:rPr>
              <w:t>Terms</w:t>
            </w:r>
            <w:proofErr w:type="spellEnd"/>
            <w:r w:rsidRPr="001F1BF0">
              <w:rPr>
                <w:rFonts w:cs="Arial"/>
                <w:lang w:val="fr-FR" w:bidi="ar-SA"/>
              </w:rPr>
              <w:t xml:space="preserve"> of </w:t>
            </w:r>
            <w:proofErr w:type="spellStart"/>
            <w:r w:rsidRPr="001F1BF0">
              <w:rPr>
                <w:rFonts w:cs="Arial"/>
                <w:lang w:val="fr-FR" w:bidi="ar-SA"/>
              </w:rPr>
              <w:t>References</w:t>
            </w:r>
            <w:proofErr w:type="spellEnd"/>
            <w:r w:rsidRPr="001F1BF0">
              <w:rPr>
                <w:rFonts w:cs="Arial"/>
                <w:lang w:val="fr-FR" w:bidi="ar-SA"/>
              </w:rPr>
              <w:t xml:space="preserve"> for the Independent </w:t>
            </w:r>
            <w:proofErr w:type="spellStart"/>
            <w:r w:rsidRPr="001F1BF0">
              <w:rPr>
                <w:rFonts w:cs="Arial"/>
                <w:lang w:val="fr-FR" w:bidi="ar-SA"/>
              </w:rPr>
              <w:t>Review</w:t>
            </w:r>
            <w:proofErr w:type="spellEnd"/>
            <w:r w:rsidRPr="001F1BF0">
              <w:rPr>
                <w:rFonts w:cs="Arial"/>
                <w:lang w:val="fr-FR" w:bidi="ar-SA"/>
              </w:rPr>
              <w:t xml:space="preserve"> of the </w:t>
            </w:r>
            <w:proofErr w:type="spellStart"/>
            <w:r w:rsidRPr="001F1BF0">
              <w:rPr>
                <w:rFonts w:cs="Arial"/>
                <w:lang w:val="fr-FR" w:bidi="ar-SA"/>
              </w:rPr>
              <w:t>Implementation</w:t>
            </w:r>
            <w:proofErr w:type="spellEnd"/>
            <w:r w:rsidRPr="001F1BF0">
              <w:rPr>
                <w:rFonts w:cs="Arial"/>
                <w:lang w:val="fr-FR" w:bidi="ar-SA"/>
              </w:rPr>
              <w:t xml:space="preserve"> of the</w:t>
            </w:r>
            <w:r w:rsidR="001F1BF0">
              <w:rPr>
                <w:rFonts w:cs="Arial"/>
                <w:lang w:val="fr-FR" w:bidi="ar-SA"/>
              </w:rPr>
              <w:t xml:space="preserve"> </w:t>
            </w:r>
            <w:proofErr w:type="spellStart"/>
            <w:r w:rsidRPr="001F1BF0">
              <w:rPr>
                <w:rFonts w:cs="Arial"/>
                <w:lang w:val="fr-FR" w:bidi="ar-SA"/>
              </w:rPr>
              <w:t>Development</w:t>
            </w:r>
            <w:proofErr w:type="spellEnd"/>
            <w:r w:rsidRPr="001F1BF0">
              <w:rPr>
                <w:rFonts w:cs="Arial"/>
                <w:lang w:val="fr-FR" w:bidi="ar-SA"/>
              </w:rPr>
              <w:t xml:space="preserve"> Agenda </w:t>
            </w:r>
            <w:proofErr w:type="spellStart"/>
            <w:r w:rsidRPr="001F1BF0">
              <w:rPr>
                <w:rFonts w:cs="Arial"/>
                <w:lang w:val="fr-FR" w:bidi="ar-SA"/>
              </w:rPr>
              <w:t>Recommendations</w:t>
            </w:r>
            <w:proofErr w:type="spellEnd"/>
          </w:p>
        </w:tc>
        <w:tc>
          <w:tcPr>
            <w:tcW w:w="897" w:type="dxa"/>
            <w:tcBorders>
              <w:top w:val="single" w:sz="4" w:space="0" w:color="auto"/>
              <w:left w:val="single" w:sz="4" w:space="0" w:color="auto"/>
              <w:bottom w:val="single" w:sz="4" w:space="0" w:color="auto"/>
              <w:right w:val="single" w:sz="4" w:space="0" w:color="auto"/>
            </w:tcBorders>
          </w:tcPr>
          <w:p w:rsidR="00FF727F" w:rsidRPr="00202EB9" w:rsidRDefault="00FF727F" w:rsidP="0053052A">
            <w:pPr>
              <w:pStyle w:val="ListParagraph"/>
              <w:ind w:left="0"/>
              <w:rPr>
                <w:rFonts w:cs="Arial"/>
                <w:lang w:val="fr-FR"/>
              </w:rPr>
            </w:pPr>
          </w:p>
        </w:tc>
      </w:tr>
    </w:tbl>
    <w:p w:rsidR="0053052A" w:rsidRPr="00202EB9" w:rsidRDefault="0053052A" w:rsidP="0053052A">
      <w:pPr>
        <w:pStyle w:val="ListParagraph"/>
        <w:tabs>
          <w:tab w:val="left" w:pos="360"/>
          <w:tab w:val="left" w:pos="810"/>
          <w:tab w:val="left" w:pos="990"/>
        </w:tabs>
        <w:spacing w:line="360" w:lineRule="auto"/>
        <w:ind w:left="360"/>
        <w:jc w:val="both"/>
        <w:rPr>
          <w:rFonts w:cs="Arial"/>
          <w:b/>
          <w:bCs/>
          <w:u w:val="single"/>
          <w:lang w:val="fr-FR"/>
        </w:rPr>
      </w:pPr>
    </w:p>
    <w:p w:rsidR="00426067" w:rsidRPr="00202EB9" w:rsidRDefault="0053052A" w:rsidP="009A77A3">
      <w:pPr>
        <w:pStyle w:val="ListParagraph"/>
        <w:tabs>
          <w:tab w:val="left" w:pos="0"/>
          <w:tab w:val="left" w:pos="810"/>
          <w:tab w:val="left" w:pos="990"/>
        </w:tabs>
        <w:spacing w:line="360" w:lineRule="auto"/>
        <w:ind w:left="360"/>
        <w:jc w:val="both"/>
        <w:rPr>
          <w:rFonts w:cs="Arial"/>
          <w:b/>
          <w:bCs/>
          <w:u w:val="single"/>
          <w:lang w:val="fr-FR"/>
        </w:rPr>
      </w:pPr>
      <w:r w:rsidRPr="001F1BF0">
        <w:rPr>
          <w:rFonts w:cs="Arial"/>
          <w:b/>
          <w:bCs/>
          <w:u w:val="single"/>
          <w:lang w:val="fr-FR"/>
        </w:rPr>
        <w:t>List</w:t>
      </w:r>
      <w:r w:rsidR="00CD2B9F" w:rsidRPr="001F1BF0">
        <w:rPr>
          <w:rFonts w:cs="Arial"/>
          <w:b/>
          <w:bCs/>
          <w:u w:val="single"/>
          <w:lang w:val="fr-FR"/>
        </w:rPr>
        <w:t xml:space="preserve">e des </w:t>
      </w:r>
      <w:r w:rsidR="00E73F60" w:rsidRPr="001F1BF0">
        <w:rPr>
          <w:rFonts w:cs="Arial"/>
          <w:b/>
          <w:bCs/>
          <w:u w:val="single"/>
          <w:lang w:val="fr-FR"/>
        </w:rPr>
        <w:t>acronymes</w:t>
      </w:r>
    </w:p>
    <w:p w:rsidR="0053052A" w:rsidRPr="00202EB9" w:rsidRDefault="0053052A" w:rsidP="0053052A">
      <w:pPr>
        <w:pStyle w:val="ListParagraph"/>
        <w:tabs>
          <w:tab w:val="left" w:pos="360"/>
          <w:tab w:val="left" w:pos="810"/>
          <w:tab w:val="left" w:pos="990"/>
        </w:tabs>
        <w:spacing w:line="360" w:lineRule="auto"/>
        <w:ind w:left="360"/>
        <w:jc w:val="both"/>
        <w:rPr>
          <w:rFonts w:cs="Arial"/>
          <w:b/>
          <w:bCs/>
          <w:u w:val="single"/>
          <w:lang w:val="fr-FR"/>
        </w:rPr>
      </w:pPr>
    </w:p>
    <w:tbl>
      <w:tblPr>
        <w:tblStyle w:val="TableGrid"/>
        <w:tblW w:w="9528" w:type="dxa"/>
        <w:tblInd w:w="18" w:type="dxa"/>
        <w:tblLook w:val="04A0" w:firstRow="1" w:lastRow="0" w:firstColumn="1" w:lastColumn="0" w:noHBand="0" w:noVBand="1"/>
      </w:tblPr>
      <w:tblGrid>
        <w:gridCol w:w="1350"/>
        <w:gridCol w:w="8178"/>
      </w:tblGrid>
      <w:tr w:rsidR="00F3224E" w:rsidRPr="00202EB9" w:rsidTr="00563BAA">
        <w:trPr>
          <w:trHeight w:val="274"/>
        </w:trPr>
        <w:tc>
          <w:tcPr>
            <w:tcW w:w="1350" w:type="dxa"/>
            <w:tcBorders>
              <w:top w:val="single" w:sz="4" w:space="0" w:color="auto"/>
              <w:left w:val="single" w:sz="4" w:space="0" w:color="auto"/>
              <w:bottom w:val="single" w:sz="4" w:space="0" w:color="auto"/>
              <w:right w:val="single" w:sz="4" w:space="0" w:color="auto"/>
            </w:tcBorders>
            <w:hideMark/>
          </w:tcPr>
          <w:p w:rsidR="009527C4" w:rsidRPr="00202EB9" w:rsidRDefault="009527C4" w:rsidP="0053052A">
            <w:pPr>
              <w:pStyle w:val="ListParagraph"/>
              <w:tabs>
                <w:tab w:val="left" w:pos="360"/>
                <w:tab w:val="left" w:pos="810"/>
                <w:tab w:val="left" w:pos="990"/>
              </w:tabs>
              <w:spacing w:line="360" w:lineRule="auto"/>
              <w:ind w:left="0"/>
              <w:jc w:val="both"/>
              <w:rPr>
                <w:rFonts w:cs="Arial"/>
                <w:b/>
                <w:bCs/>
                <w:lang w:val="fr-FR"/>
              </w:rPr>
            </w:pPr>
            <w:r w:rsidRPr="00202EB9">
              <w:rPr>
                <w:rFonts w:cs="Arial"/>
                <w:b/>
                <w:bCs/>
                <w:lang w:val="fr-FR"/>
              </w:rPr>
              <w:t>ACE</w:t>
            </w:r>
          </w:p>
        </w:tc>
        <w:tc>
          <w:tcPr>
            <w:tcW w:w="8178" w:type="dxa"/>
            <w:tcBorders>
              <w:top w:val="single" w:sz="4" w:space="0" w:color="auto"/>
              <w:left w:val="single" w:sz="4" w:space="0" w:color="auto"/>
              <w:bottom w:val="single" w:sz="4" w:space="0" w:color="auto"/>
              <w:right w:val="single" w:sz="4" w:space="0" w:color="auto"/>
            </w:tcBorders>
            <w:hideMark/>
          </w:tcPr>
          <w:p w:rsidR="009527C4" w:rsidRPr="00202EB9" w:rsidRDefault="00606041" w:rsidP="009527C4">
            <w:pPr>
              <w:pStyle w:val="ListParagraph"/>
              <w:tabs>
                <w:tab w:val="left" w:pos="360"/>
                <w:tab w:val="left" w:pos="810"/>
                <w:tab w:val="left" w:pos="990"/>
              </w:tabs>
              <w:spacing w:line="360" w:lineRule="auto"/>
              <w:ind w:left="0"/>
              <w:jc w:val="both"/>
              <w:rPr>
                <w:rFonts w:cs="Arial"/>
                <w:lang w:val="fr-FR"/>
              </w:rPr>
            </w:pPr>
            <w:r w:rsidRPr="00202EB9">
              <w:rPr>
                <w:rFonts w:cs="Arial"/>
                <w:lang w:val="fr-FR"/>
              </w:rPr>
              <w:t>Comité consultatif sur l</w:t>
            </w:r>
            <w:r w:rsidR="00426067" w:rsidRPr="00202EB9">
              <w:rPr>
                <w:rFonts w:cs="Arial"/>
                <w:lang w:val="fr-FR"/>
              </w:rPr>
              <w:t>’</w:t>
            </w:r>
            <w:r w:rsidRPr="00202EB9">
              <w:rPr>
                <w:rFonts w:cs="Arial"/>
                <w:lang w:val="fr-FR"/>
              </w:rPr>
              <w:t>application des droits</w:t>
            </w:r>
          </w:p>
        </w:tc>
      </w:tr>
      <w:tr w:rsidR="00F3224E" w:rsidRPr="00202EB9" w:rsidTr="00563BAA">
        <w:trPr>
          <w:trHeight w:val="274"/>
        </w:trPr>
        <w:tc>
          <w:tcPr>
            <w:tcW w:w="1350" w:type="dxa"/>
            <w:tcBorders>
              <w:top w:val="single" w:sz="4" w:space="0" w:color="auto"/>
              <w:left w:val="single" w:sz="4" w:space="0" w:color="auto"/>
              <w:bottom w:val="single" w:sz="4" w:space="0" w:color="auto"/>
              <w:right w:val="single" w:sz="4" w:space="0" w:color="auto"/>
            </w:tcBorders>
            <w:hideMark/>
          </w:tcPr>
          <w:p w:rsidR="0053052A" w:rsidRPr="00202EB9" w:rsidRDefault="0053052A" w:rsidP="0053052A">
            <w:pPr>
              <w:pStyle w:val="ListParagraph"/>
              <w:tabs>
                <w:tab w:val="left" w:pos="360"/>
                <w:tab w:val="left" w:pos="810"/>
                <w:tab w:val="left" w:pos="990"/>
              </w:tabs>
              <w:spacing w:line="360" w:lineRule="auto"/>
              <w:ind w:left="0"/>
              <w:jc w:val="both"/>
              <w:rPr>
                <w:rFonts w:cs="Arial"/>
                <w:b/>
                <w:bCs/>
                <w:lang w:val="fr-FR"/>
              </w:rPr>
            </w:pPr>
            <w:proofErr w:type="spellStart"/>
            <w:r w:rsidRPr="00202EB9">
              <w:rPr>
                <w:rFonts w:cs="Arial"/>
                <w:b/>
                <w:bCs/>
                <w:lang w:val="fr-FR"/>
              </w:rPr>
              <w:t>CDIP</w:t>
            </w:r>
            <w:proofErr w:type="spellEnd"/>
          </w:p>
        </w:tc>
        <w:tc>
          <w:tcPr>
            <w:tcW w:w="8178" w:type="dxa"/>
            <w:tcBorders>
              <w:top w:val="single" w:sz="4" w:space="0" w:color="auto"/>
              <w:left w:val="single" w:sz="4" w:space="0" w:color="auto"/>
              <w:bottom w:val="single" w:sz="4" w:space="0" w:color="auto"/>
              <w:right w:val="single" w:sz="4" w:space="0" w:color="auto"/>
            </w:tcBorders>
            <w:hideMark/>
          </w:tcPr>
          <w:p w:rsidR="0053052A" w:rsidRPr="00202EB9" w:rsidRDefault="00606041" w:rsidP="0053052A">
            <w:pPr>
              <w:pStyle w:val="ListParagraph"/>
              <w:tabs>
                <w:tab w:val="left" w:pos="360"/>
                <w:tab w:val="left" w:pos="810"/>
                <w:tab w:val="left" w:pos="990"/>
              </w:tabs>
              <w:spacing w:line="360" w:lineRule="auto"/>
              <w:ind w:left="0"/>
              <w:jc w:val="both"/>
              <w:rPr>
                <w:rFonts w:cs="Arial"/>
                <w:lang w:val="fr-FR"/>
              </w:rPr>
            </w:pPr>
            <w:r w:rsidRPr="00202EB9">
              <w:rPr>
                <w:rFonts w:cs="Arial"/>
                <w:lang w:val="fr-FR"/>
              </w:rPr>
              <w:t>Comité du développement et de la propriété intellectuelle (</w:t>
            </w:r>
            <w:proofErr w:type="spellStart"/>
            <w:r w:rsidRPr="00202EB9">
              <w:rPr>
                <w:rFonts w:cs="Arial"/>
                <w:lang w:val="fr-FR"/>
              </w:rPr>
              <w:t>CDIP</w:t>
            </w:r>
            <w:proofErr w:type="spellEnd"/>
            <w:r w:rsidRPr="00202EB9">
              <w:rPr>
                <w:rFonts w:cs="Arial"/>
                <w:lang w:val="fr-FR"/>
              </w:rPr>
              <w:t>)</w:t>
            </w:r>
          </w:p>
        </w:tc>
      </w:tr>
      <w:tr w:rsidR="00F3224E"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202EB9" w:rsidRDefault="0053052A" w:rsidP="0053052A">
            <w:pPr>
              <w:pStyle w:val="ListParagraph"/>
              <w:tabs>
                <w:tab w:val="left" w:pos="0"/>
                <w:tab w:val="left" w:pos="360"/>
                <w:tab w:val="left" w:pos="990"/>
              </w:tabs>
              <w:spacing w:line="360" w:lineRule="auto"/>
              <w:ind w:left="0"/>
              <w:jc w:val="both"/>
              <w:rPr>
                <w:rFonts w:cs="Arial"/>
                <w:b/>
                <w:bCs/>
                <w:lang w:val="fr-FR"/>
              </w:rPr>
            </w:pPr>
            <w:proofErr w:type="spellStart"/>
            <w:r w:rsidRPr="00202EB9">
              <w:rPr>
                <w:rFonts w:cs="Arial"/>
                <w:b/>
                <w:bCs/>
                <w:lang w:val="fr-FR"/>
              </w:rPr>
              <w:t>ECOSOC</w:t>
            </w:r>
            <w:proofErr w:type="spellEnd"/>
          </w:p>
        </w:tc>
        <w:tc>
          <w:tcPr>
            <w:tcW w:w="8178" w:type="dxa"/>
            <w:tcBorders>
              <w:top w:val="single" w:sz="4" w:space="0" w:color="auto"/>
              <w:left w:val="single" w:sz="4" w:space="0" w:color="auto"/>
              <w:bottom w:val="single" w:sz="4" w:space="0" w:color="auto"/>
              <w:right w:val="single" w:sz="4" w:space="0" w:color="auto"/>
            </w:tcBorders>
            <w:hideMark/>
          </w:tcPr>
          <w:p w:rsidR="0053052A" w:rsidRPr="00202EB9" w:rsidRDefault="00185ABD" w:rsidP="00185ABD">
            <w:pPr>
              <w:pStyle w:val="ListParagraph"/>
              <w:tabs>
                <w:tab w:val="left" w:pos="360"/>
                <w:tab w:val="left" w:pos="810"/>
                <w:tab w:val="left" w:pos="990"/>
              </w:tabs>
              <w:spacing w:line="360" w:lineRule="auto"/>
              <w:ind w:left="0"/>
              <w:jc w:val="both"/>
              <w:rPr>
                <w:rFonts w:cs="Arial"/>
                <w:lang w:val="fr-FR"/>
              </w:rPr>
            </w:pPr>
            <w:r w:rsidRPr="00202EB9">
              <w:rPr>
                <w:rFonts w:cs="Arial"/>
                <w:lang w:val="fr-FR"/>
              </w:rPr>
              <w:t>Conseil économique et social</w:t>
            </w:r>
          </w:p>
        </w:tc>
      </w:tr>
      <w:tr w:rsidR="00F3224E"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9527C4" w:rsidRPr="00202EB9" w:rsidRDefault="009527C4" w:rsidP="0053052A">
            <w:pPr>
              <w:pStyle w:val="ListParagraph"/>
              <w:tabs>
                <w:tab w:val="left" w:pos="0"/>
                <w:tab w:val="left" w:pos="360"/>
                <w:tab w:val="left" w:pos="990"/>
              </w:tabs>
              <w:spacing w:line="360" w:lineRule="auto"/>
              <w:ind w:left="0"/>
              <w:jc w:val="both"/>
              <w:rPr>
                <w:rFonts w:cs="Arial"/>
                <w:b/>
                <w:bCs/>
                <w:lang w:val="fr-FR"/>
              </w:rPr>
            </w:pPr>
            <w:r w:rsidRPr="00202EB9">
              <w:rPr>
                <w:rFonts w:cs="Arial"/>
                <w:b/>
                <w:bCs/>
                <w:lang w:val="fr-FR"/>
              </w:rPr>
              <w:t>FAO</w:t>
            </w:r>
          </w:p>
        </w:tc>
        <w:tc>
          <w:tcPr>
            <w:tcW w:w="8178" w:type="dxa"/>
            <w:tcBorders>
              <w:top w:val="single" w:sz="4" w:space="0" w:color="auto"/>
              <w:left w:val="single" w:sz="4" w:space="0" w:color="auto"/>
              <w:bottom w:val="single" w:sz="4" w:space="0" w:color="auto"/>
              <w:right w:val="single" w:sz="4" w:space="0" w:color="auto"/>
            </w:tcBorders>
            <w:hideMark/>
          </w:tcPr>
          <w:p w:rsidR="009527C4" w:rsidRPr="00202EB9" w:rsidRDefault="00606041" w:rsidP="0053052A">
            <w:pPr>
              <w:pStyle w:val="ListParagraph"/>
              <w:tabs>
                <w:tab w:val="left" w:pos="360"/>
                <w:tab w:val="left" w:pos="810"/>
                <w:tab w:val="left" w:pos="990"/>
              </w:tabs>
              <w:spacing w:line="360" w:lineRule="auto"/>
              <w:ind w:left="0"/>
              <w:jc w:val="both"/>
              <w:rPr>
                <w:rFonts w:cs="Arial"/>
                <w:lang w:val="fr-FR"/>
              </w:rPr>
            </w:pPr>
            <w:r w:rsidRPr="00202EB9">
              <w:rPr>
                <w:rFonts w:cs="Arial"/>
                <w:lang w:val="fr-FR"/>
              </w:rPr>
              <w:t xml:space="preserve">Organisation des </w:t>
            </w:r>
            <w:r w:rsidR="00426067" w:rsidRPr="00202EB9">
              <w:rPr>
                <w:rFonts w:cs="Arial"/>
                <w:lang w:val="fr-FR"/>
              </w:rPr>
              <w:t>Nations Unies</w:t>
            </w:r>
            <w:r w:rsidRPr="00202EB9">
              <w:rPr>
                <w:rFonts w:cs="Arial"/>
                <w:lang w:val="fr-FR"/>
              </w:rPr>
              <w:t xml:space="preserve"> pour l</w:t>
            </w:r>
            <w:r w:rsidR="00426067" w:rsidRPr="00202EB9">
              <w:rPr>
                <w:rFonts w:cs="Arial"/>
                <w:lang w:val="fr-FR"/>
              </w:rPr>
              <w:t>’</w:t>
            </w:r>
            <w:r w:rsidRPr="00202EB9">
              <w:rPr>
                <w:rFonts w:cs="Arial"/>
                <w:lang w:val="fr-FR"/>
              </w:rPr>
              <w:t>alimentation et l</w:t>
            </w:r>
            <w:r w:rsidR="00426067" w:rsidRPr="00202EB9">
              <w:rPr>
                <w:rFonts w:cs="Arial"/>
                <w:lang w:val="fr-FR"/>
              </w:rPr>
              <w:t>’</w:t>
            </w:r>
            <w:r w:rsidRPr="00202EB9">
              <w:rPr>
                <w:rFonts w:cs="Arial"/>
                <w:lang w:val="fr-FR"/>
              </w:rPr>
              <w:t>agriculture</w:t>
            </w:r>
          </w:p>
        </w:tc>
      </w:tr>
      <w:tr w:rsidR="00F3224E"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202EB9" w:rsidRDefault="00606041" w:rsidP="0053052A">
            <w:pPr>
              <w:pStyle w:val="ListParagraph"/>
              <w:tabs>
                <w:tab w:val="left" w:pos="0"/>
                <w:tab w:val="left" w:pos="360"/>
                <w:tab w:val="left" w:pos="990"/>
              </w:tabs>
              <w:spacing w:line="360" w:lineRule="auto"/>
              <w:ind w:left="0"/>
              <w:jc w:val="both"/>
              <w:rPr>
                <w:rFonts w:cs="Arial"/>
                <w:b/>
                <w:bCs/>
                <w:lang w:val="fr-FR"/>
              </w:rPr>
            </w:pPr>
            <w:r w:rsidRPr="00202EB9">
              <w:rPr>
                <w:rFonts w:cs="Arial"/>
                <w:b/>
                <w:bCs/>
                <w:lang w:val="fr-FR"/>
              </w:rPr>
              <w:t>TIC</w:t>
            </w:r>
          </w:p>
        </w:tc>
        <w:tc>
          <w:tcPr>
            <w:tcW w:w="8178" w:type="dxa"/>
            <w:tcBorders>
              <w:top w:val="single" w:sz="4" w:space="0" w:color="auto"/>
              <w:left w:val="single" w:sz="4" w:space="0" w:color="auto"/>
              <w:bottom w:val="single" w:sz="4" w:space="0" w:color="auto"/>
              <w:right w:val="single" w:sz="4" w:space="0" w:color="auto"/>
            </w:tcBorders>
            <w:hideMark/>
          </w:tcPr>
          <w:p w:rsidR="0053052A" w:rsidRPr="00202EB9" w:rsidRDefault="00185ABD" w:rsidP="0053052A">
            <w:pPr>
              <w:pStyle w:val="ListParagraph"/>
              <w:tabs>
                <w:tab w:val="left" w:pos="360"/>
                <w:tab w:val="left" w:pos="810"/>
                <w:tab w:val="left" w:pos="990"/>
              </w:tabs>
              <w:spacing w:line="360" w:lineRule="auto"/>
              <w:ind w:left="0"/>
              <w:jc w:val="both"/>
              <w:rPr>
                <w:rFonts w:cs="Arial"/>
                <w:lang w:val="fr-FR"/>
              </w:rPr>
            </w:pPr>
            <w:r w:rsidRPr="00202EB9">
              <w:rPr>
                <w:rFonts w:cs="Arial"/>
                <w:lang w:val="fr-FR"/>
              </w:rPr>
              <w:t>Technologies de l</w:t>
            </w:r>
            <w:r w:rsidR="00426067" w:rsidRPr="00202EB9">
              <w:rPr>
                <w:rFonts w:cs="Arial"/>
                <w:lang w:val="fr-FR"/>
              </w:rPr>
              <w:t>’</w:t>
            </w:r>
            <w:r w:rsidRPr="00202EB9">
              <w:rPr>
                <w:rFonts w:cs="Arial"/>
                <w:lang w:val="fr-FR"/>
              </w:rPr>
              <w:t>information et de la communication</w:t>
            </w:r>
          </w:p>
        </w:tc>
      </w:tr>
      <w:tr w:rsidR="00F3224E"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CC3F77" w:rsidRPr="00202EB9" w:rsidRDefault="00CC3F77" w:rsidP="0053052A">
            <w:pPr>
              <w:pStyle w:val="ListParagraph"/>
              <w:tabs>
                <w:tab w:val="left" w:pos="0"/>
                <w:tab w:val="left" w:pos="360"/>
                <w:tab w:val="left" w:pos="990"/>
              </w:tabs>
              <w:spacing w:line="360" w:lineRule="auto"/>
              <w:ind w:left="0"/>
              <w:jc w:val="both"/>
              <w:rPr>
                <w:rFonts w:cs="Arial"/>
                <w:b/>
                <w:bCs/>
                <w:lang w:val="fr-FR"/>
              </w:rPr>
            </w:pPr>
            <w:r w:rsidRPr="00202EB9">
              <w:rPr>
                <w:rFonts w:cs="Arial"/>
                <w:b/>
                <w:bCs/>
                <w:lang w:val="fr-FR"/>
              </w:rPr>
              <w:t>IGC</w:t>
            </w:r>
          </w:p>
        </w:tc>
        <w:tc>
          <w:tcPr>
            <w:tcW w:w="8178" w:type="dxa"/>
            <w:tcBorders>
              <w:top w:val="single" w:sz="4" w:space="0" w:color="auto"/>
              <w:left w:val="single" w:sz="4" w:space="0" w:color="auto"/>
              <w:bottom w:val="single" w:sz="4" w:space="0" w:color="auto"/>
              <w:right w:val="single" w:sz="4" w:space="0" w:color="auto"/>
            </w:tcBorders>
            <w:hideMark/>
          </w:tcPr>
          <w:p w:rsidR="00CC3F77" w:rsidRPr="00202EB9" w:rsidRDefault="00185ABD" w:rsidP="00CC3F77">
            <w:pPr>
              <w:pStyle w:val="ListParagraph"/>
              <w:tabs>
                <w:tab w:val="left" w:pos="360"/>
                <w:tab w:val="left" w:pos="810"/>
                <w:tab w:val="left" w:pos="990"/>
              </w:tabs>
              <w:spacing w:line="360" w:lineRule="auto"/>
              <w:ind w:left="0"/>
              <w:jc w:val="both"/>
              <w:rPr>
                <w:rFonts w:cs="Arial"/>
                <w:lang w:val="fr-FR"/>
              </w:rPr>
            </w:pPr>
            <w:r w:rsidRPr="00202EB9">
              <w:rPr>
                <w:rFonts w:cs="Arial"/>
                <w:lang w:val="fr-FR"/>
              </w:rPr>
              <w:t>Comité intergouvernemental de la propriété intellectuelle relative aux ressources génétiques, aux savoirs traditionnels et au folklore</w:t>
            </w:r>
          </w:p>
        </w:tc>
      </w:tr>
      <w:tr w:rsidR="00F3224E"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11582F" w:rsidRPr="00202EB9" w:rsidRDefault="0011582F" w:rsidP="0053052A">
            <w:pPr>
              <w:pStyle w:val="ListParagraph"/>
              <w:tabs>
                <w:tab w:val="left" w:pos="0"/>
                <w:tab w:val="left" w:pos="360"/>
                <w:tab w:val="left" w:pos="990"/>
              </w:tabs>
              <w:spacing w:line="360" w:lineRule="auto"/>
              <w:ind w:left="0"/>
              <w:jc w:val="both"/>
              <w:rPr>
                <w:rFonts w:cs="Arial"/>
                <w:b/>
                <w:bCs/>
                <w:lang w:val="fr-FR"/>
              </w:rPr>
            </w:pPr>
            <w:proofErr w:type="spellStart"/>
            <w:r w:rsidRPr="00202EB9">
              <w:rPr>
                <w:rFonts w:cs="Arial"/>
                <w:b/>
                <w:bCs/>
                <w:lang w:val="fr-FR"/>
              </w:rPr>
              <w:t>IPAS</w:t>
            </w:r>
            <w:proofErr w:type="spellEnd"/>
          </w:p>
        </w:tc>
        <w:tc>
          <w:tcPr>
            <w:tcW w:w="8178" w:type="dxa"/>
            <w:tcBorders>
              <w:top w:val="single" w:sz="4" w:space="0" w:color="auto"/>
              <w:left w:val="single" w:sz="4" w:space="0" w:color="auto"/>
              <w:bottom w:val="single" w:sz="4" w:space="0" w:color="auto"/>
              <w:right w:val="single" w:sz="4" w:space="0" w:color="auto"/>
            </w:tcBorders>
            <w:hideMark/>
          </w:tcPr>
          <w:p w:rsidR="0011582F" w:rsidRPr="00202EB9" w:rsidRDefault="00185ABD" w:rsidP="0011582F">
            <w:pPr>
              <w:pStyle w:val="ListParagraph"/>
              <w:tabs>
                <w:tab w:val="left" w:pos="360"/>
                <w:tab w:val="left" w:pos="810"/>
                <w:tab w:val="left" w:pos="990"/>
              </w:tabs>
              <w:spacing w:line="360" w:lineRule="auto"/>
              <w:ind w:left="0"/>
              <w:jc w:val="both"/>
              <w:rPr>
                <w:rFonts w:cs="Arial"/>
                <w:lang w:val="fr-FR"/>
              </w:rPr>
            </w:pPr>
            <w:r w:rsidRPr="00202EB9">
              <w:rPr>
                <w:rFonts w:cs="Arial"/>
                <w:lang w:val="fr-FR"/>
              </w:rPr>
              <w:t>Système d</w:t>
            </w:r>
            <w:r w:rsidR="00426067" w:rsidRPr="00202EB9">
              <w:rPr>
                <w:rFonts w:cs="Arial"/>
                <w:lang w:val="fr-FR"/>
              </w:rPr>
              <w:t>’</w:t>
            </w:r>
            <w:r w:rsidRPr="00202EB9">
              <w:rPr>
                <w:rFonts w:cs="Arial"/>
                <w:lang w:val="fr-FR"/>
              </w:rPr>
              <w:t>automatisation en matière de propriété industrielle</w:t>
            </w:r>
          </w:p>
        </w:tc>
      </w:tr>
      <w:tr w:rsidR="00F3224E"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53052A" w:rsidRPr="00202EB9" w:rsidRDefault="00185ABD" w:rsidP="0053052A">
            <w:pPr>
              <w:pStyle w:val="ListParagraph"/>
              <w:tabs>
                <w:tab w:val="left" w:pos="0"/>
                <w:tab w:val="left" w:pos="360"/>
                <w:tab w:val="left" w:pos="990"/>
              </w:tabs>
              <w:spacing w:line="360" w:lineRule="auto"/>
              <w:ind w:left="0"/>
              <w:jc w:val="both"/>
              <w:rPr>
                <w:rFonts w:cs="Arial"/>
                <w:b/>
                <w:bCs/>
                <w:lang w:val="fr-FR"/>
              </w:rPr>
            </w:pPr>
            <w:r w:rsidRPr="00202EB9">
              <w:rPr>
                <w:rFonts w:cs="Arial"/>
                <w:b/>
                <w:bCs/>
                <w:lang w:val="fr-FR"/>
              </w:rPr>
              <w:t>PMA</w:t>
            </w:r>
          </w:p>
        </w:tc>
        <w:tc>
          <w:tcPr>
            <w:tcW w:w="8178" w:type="dxa"/>
            <w:tcBorders>
              <w:top w:val="single" w:sz="4" w:space="0" w:color="auto"/>
              <w:left w:val="single" w:sz="4" w:space="0" w:color="auto"/>
              <w:bottom w:val="single" w:sz="4" w:space="0" w:color="auto"/>
              <w:right w:val="single" w:sz="4" w:space="0" w:color="auto"/>
            </w:tcBorders>
            <w:hideMark/>
          </w:tcPr>
          <w:p w:rsidR="0053052A" w:rsidRPr="00202EB9" w:rsidRDefault="00185ABD" w:rsidP="0053052A">
            <w:pPr>
              <w:pStyle w:val="ListParagraph"/>
              <w:tabs>
                <w:tab w:val="left" w:pos="360"/>
                <w:tab w:val="left" w:pos="810"/>
                <w:tab w:val="left" w:pos="990"/>
              </w:tabs>
              <w:spacing w:line="360" w:lineRule="auto"/>
              <w:ind w:left="0"/>
              <w:jc w:val="both"/>
              <w:rPr>
                <w:rFonts w:cs="Arial"/>
                <w:lang w:val="fr-FR"/>
              </w:rPr>
            </w:pPr>
            <w:r w:rsidRPr="00202EB9">
              <w:rPr>
                <w:rFonts w:cs="Arial"/>
                <w:lang w:val="fr-FR"/>
              </w:rPr>
              <w:t>Pays les moins avancés</w:t>
            </w:r>
          </w:p>
        </w:tc>
      </w:tr>
      <w:tr w:rsidR="00C54E5A"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11582F" w:rsidRPr="00202EB9" w:rsidRDefault="00185ABD" w:rsidP="0053052A">
            <w:pPr>
              <w:pStyle w:val="ListParagraph"/>
              <w:tabs>
                <w:tab w:val="left" w:pos="0"/>
                <w:tab w:val="left" w:pos="360"/>
                <w:tab w:val="left" w:pos="990"/>
              </w:tabs>
              <w:spacing w:line="360" w:lineRule="auto"/>
              <w:ind w:left="0"/>
              <w:jc w:val="both"/>
              <w:rPr>
                <w:rFonts w:cs="Arial"/>
                <w:b/>
                <w:bCs/>
                <w:lang w:val="fr-FR"/>
              </w:rPr>
            </w:pPr>
            <w:proofErr w:type="spellStart"/>
            <w:r w:rsidRPr="00202EB9">
              <w:rPr>
                <w:rFonts w:cs="Arial"/>
                <w:b/>
                <w:bCs/>
                <w:lang w:val="fr-FR"/>
              </w:rPr>
              <w:t>PSMT</w:t>
            </w:r>
            <w:proofErr w:type="spellEnd"/>
          </w:p>
        </w:tc>
        <w:tc>
          <w:tcPr>
            <w:tcW w:w="8178" w:type="dxa"/>
            <w:tcBorders>
              <w:top w:val="single" w:sz="4" w:space="0" w:color="auto"/>
              <w:left w:val="single" w:sz="4" w:space="0" w:color="auto"/>
              <w:bottom w:val="single" w:sz="4" w:space="0" w:color="auto"/>
              <w:right w:val="single" w:sz="4" w:space="0" w:color="auto"/>
            </w:tcBorders>
          </w:tcPr>
          <w:p w:rsidR="0011582F" w:rsidRPr="00202EB9" w:rsidRDefault="00185ABD" w:rsidP="00185ABD">
            <w:pPr>
              <w:pStyle w:val="ListParagraph"/>
              <w:tabs>
                <w:tab w:val="left" w:pos="360"/>
                <w:tab w:val="left" w:pos="810"/>
                <w:tab w:val="left" w:pos="990"/>
              </w:tabs>
              <w:spacing w:line="360" w:lineRule="auto"/>
              <w:ind w:left="0"/>
              <w:jc w:val="both"/>
              <w:rPr>
                <w:rFonts w:cs="Arial"/>
                <w:lang w:val="fr-FR"/>
              </w:rPr>
            </w:pPr>
            <w:r w:rsidRPr="00202EB9">
              <w:rPr>
                <w:rFonts w:cs="Arial"/>
                <w:lang w:val="fr-FR" w:bidi="ar-AE"/>
              </w:rPr>
              <w:t>Plan stratégique à moyen terme</w:t>
            </w:r>
          </w:p>
        </w:tc>
      </w:tr>
      <w:tr w:rsidR="00F3224E"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CC3F77" w:rsidRPr="00202EB9" w:rsidRDefault="00185ABD" w:rsidP="0053052A">
            <w:pPr>
              <w:pStyle w:val="ListParagraph"/>
              <w:tabs>
                <w:tab w:val="left" w:pos="0"/>
                <w:tab w:val="left" w:pos="360"/>
                <w:tab w:val="left" w:pos="990"/>
              </w:tabs>
              <w:spacing w:line="360" w:lineRule="auto"/>
              <w:ind w:left="0"/>
              <w:jc w:val="both"/>
              <w:rPr>
                <w:rFonts w:cs="Arial"/>
                <w:b/>
                <w:bCs/>
                <w:lang w:val="fr-FR"/>
              </w:rPr>
            </w:pPr>
            <w:r w:rsidRPr="00202EB9">
              <w:rPr>
                <w:rFonts w:cs="Arial"/>
                <w:b/>
                <w:bCs/>
                <w:lang w:val="fr-FR"/>
              </w:rPr>
              <w:t>ONG</w:t>
            </w:r>
          </w:p>
        </w:tc>
        <w:tc>
          <w:tcPr>
            <w:tcW w:w="8178" w:type="dxa"/>
            <w:tcBorders>
              <w:top w:val="single" w:sz="4" w:space="0" w:color="auto"/>
              <w:left w:val="single" w:sz="4" w:space="0" w:color="auto"/>
              <w:bottom w:val="single" w:sz="4" w:space="0" w:color="auto"/>
              <w:right w:val="single" w:sz="4" w:space="0" w:color="auto"/>
            </w:tcBorders>
          </w:tcPr>
          <w:p w:rsidR="00CC3F77" w:rsidRPr="00202EB9" w:rsidRDefault="00185ABD" w:rsidP="0053052A">
            <w:pPr>
              <w:pStyle w:val="ListParagraph"/>
              <w:tabs>
                <w:tab w:val="left" w:pos="360"/>
                <w:tab w:val="left" w:pos="810"/>
                <w:tab w:val="left" w:pos="990"/>
              </w:tabs>
              <w:spacing w:line="360" w:lineRule="auto"/>
              <w:ind w:left="0"/>
              <w:jc w:val="both"/>
              <w:rPr>
                <w:rFonts w:cs="Arial"/>
                <w:lang w:val="fr-FR"/>
              </w:rPr>
            </w:pPr>
            <w:r w:rsidRPr="00202EB9">
              <w:rPr>
                <w:rFonts w:cs="Arial"/>
                <w:lang w:val="fr-FR"/>
              </w:rPr>
              <w:t>Organisation non gouvernementale</w:t>
            </w:r>
          </w:p>
        </w:tc>
      </w:tr>
      <w:tr w:rsidR="00F3224E"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9527C4" w:rsidRPr="00202EB9" w:rsidRDefault="009527C4" w:rsidP="0053052A">
            <w:pPr>
              <w:pStyle w:val="ListParagraph"/>
              <w:tabs>
                <w:tab w:val="left" w:pos="0"/>
                <w:tab w:val="left" w:pos="360"/>
                <w:tab w:val="left" w:pos="990"/>
              </w:tabs>
              <w:spacing w:line="360" w:lineRule="auto"/>
              <w:ind w:left="0"/>
              <w:jc w:val="both"/>
              <w:rPr>
                <w:rFonts w:cs="Arial"/>
                <w:b/>
                <w:bCs/>
                <w:lang w:val="fr-FR"/>
              </w:rPr>
            </w:pPr>
            <w:proofErr w:type="spellStart"/>
            <w:r w:rsidRPr="00202EB9">
              <w:rPr>
                <w:rFonts w:cs="Arial"/>
                <w:b/>
                <w:bCs/>
                <w:lang w:val="fr-FR"/>
              </w:rPr>
              <w:t>PCT</w:t>
            </w:r>
            <w:proofErr w:type="spellEnd"/>
          </w:p>
        </w:tc>
        <w:tc>
          <w:tcPr>
            <w:tcW w:w="8178" w:type="dxa"/>
            <w:tcBorders>
              <w:top w:val="single" w:sz="4" w:space="0" w:color="auto"/>
              <w:left w:val="single" w:sz="4" w:space="0" w:color="auto"/>
              <w:bottom w:val="single" w:sz="4" w:space="0" w:color="auto"/>
              <w:right w:val="single" w:sz="4" w:space="0" w:color="auto"/>
            </w:tcBorders>
          </w:tcPr>
          <w:p w:rsidR="009527C4" w:rsidRPr="00202EB9" w:rsidRDefault="00185ABD" w:rsidP="0053052A">
            <w:pPr>
              <w:pStyle w:val="ListParagraph"/>
              <w:tabs>
                <w:tab w:val="left" w:pos="360"/>
                <w:tab w:val="left" w:pos="810"/>
                <w:tab w:val="left" w:pos="990"/>
              </w:tabs>
              <w:spacing w:line="360" w:lineRule="auto"/>
              <w:ind w:left="0"/>
              <w:jc w:val="both"/>
              <w:rPr>
                <w:rFonts w:cs="Arial"/>
                <w:lang w:val="fr-FR"/>
              </w:rPr>
            </w:pPr>
            <w:r w:rsidRPr="00202EB9">
              <w:rPr>
                <w:rFonts w:cs="Arial"/>
                <w:lang w:val="fr-FR"/>
              </w:rPr>
              <w:t>Traité de coopération en matière de brevets</w:t>
            </w:r>
          </w:p>
        </w:tc>
      </w:tr>
      <w:tr w:rsidR="00F3224E"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CC3F77" w:rsidRPr="00202EB9" w:rsidRDefault="00CC3F77" w:rsidP="0053052A">
            <w:pPr>
              <w:pStyle w:val="ListParagraph"/>
              <w:tabs>
                <w:tab w:val="left" w:pos="0"/>
                <w:tab w:val="left" w:pos="360"/>
                <w:tab w:val="left" w:pos="990"/>
              </w:tabs>
              <w:spacing w:line="360" w:lineRule="auto"/>
              <w:ind w:left="0"/>
              <w:jc w:val="both"/>
              <w:rPr>
                <w:rFonts w:cs="Arial"/>
                <w:b/>
                <w:bCs/>
                <w:lang w:val="fr-FR"/>
              </w:rPr>
            </w:pPr>
            <w:proofErr w:type="spellStart"/>
            <w:r w:rsidRPr="00202EB9">
              <w:rPr>
                <w:rFonts w:cs="Arial"/>
                <w:b/>
                <w:bCs/>
                <w:lang w:val="fr-FR"/>
              </w:rPr>
              <w:t>SCCR</w:t>
            </w:r>
            <w:proofErr w:type="spellEnd"/>
          </w:p>
        </w:tc>
        <w:tc>
          <w:tcPr>
            <w:tcW w:w="8178" w:type="dxa"/>
            <w:tcBorders>
              <w:top w:val="single" w:sz="4" w:space="0" w:color="auto"/>
              <w:left w:val="single" w:sz="4" w:space="0" w:color="auto"/>
              <w:bottom w:val="single" w:sz="4" w:space="0" w:color="auto"/>
              <w:right w:val="single" w:sz="4" w:space="0" w:color="auto"/>
            </w:tcBorders>
            <w:hideMark/>
          </w:tcPr>
          <w:p w:rsidR="00CC3F77" w:rsidRPr="00202EB9" w:rsidRDefault="00185ABD" w:rsidP="00185ABD">
            <w:pPr>
              <w:pStyle w:val="ListParagraph"/>
              <w:tabs>
                <w:tab w:val="left" w:pos="360"/>
                <w:tab w:val="left" w:pos="810"/>
                <w:tab w:val="left" w:pos="990"/>
              </w:tabs>
              <w:spacing w:line="360" w:lineRule="auto"/>
              <w:ind w:left="0"/>
              <w:jc w:val="both"/>
              <w:rPr>
                <w:rFonts w:cs="Arial"/>
                <w:lang w:val="fr-FR"/>
              </w:rPr>
            </w:pPr>
            <w:r w:rsidRPr="00202EB9">
              <w:rPr>
                <w:rFonts w:cs="Arial"/>
                <w:lang w:val="fr-FR"/>
              </w:rPr>
              <w:t>Comité permanent du droit d</w:t>
            </w:r>
            <w:r w:rsidR="00426067" w:rsidRPr="00202EB9">
              <w:rPr>
                <w:rFonts w:cs="Arial"/>
                <w:lang w:val="fr-FR"/>
              </w:rPr>
              <w:t>’</w:t>
            </w:r>
            <w:r w:rsidRPr="00202EB9">
              <w:rPr>
                <w:rFonts w:cs="Arial"/>
                <w:lang w:val="fr-FR"/>
              </w:rPr>
              <w:t>auteur et des droits connexes</w:t>
            </w:r>
          </w:p>
        </w:tc>
      </w:tr>
      <w:tr w:rsidR="00F3224E"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9527C4" w:rsidRPr="00202EB9" w:rsidRDefault="009527C4" w:rsidP="0053052A">
            <w:pPr>
              <w:pStyle w:val="ListParagraph"/>
              <w:tabs>
                <w:tab w:val="left" w:pos="0"/>
                <w:tab w:val="left" w:pos="360"/>
                <w:tab w:val="left" w:pos="990"/>
              </w:tabs>
              <w:spacing w:line="360" w:lineRule="auto"/>
              <w:ind w:left="0"/>
              <w:jc w:val="both"/>
              <w:rPr>
                <w:rFonts w:cs="Arial"/>
                <w:b/>
                <w:bCs/>
                <w:lang w:val="fr-FR"/>
              </w:rPr>
            </w:pPr>
            <w:proofErr w:type="spellStart"/>
            <w:r w:rsidRPr="00202EB9">
              <w:rPr>
                <w:rFonts w:cs="Arial"/>
                <w:b/>
                <w:bCs/>
                <w:lang w:val="fr-FR"/>
              </w:rPr>
              <w:t>SCP</w:t>
            </w:r>
            <w:proofErr w:type="spellEnd"/>
          </w:p>
        </w:tc>
        <w:tc>
          <w:tcPr>
            <w:tcW w:w="8178" w:type="dxa"/>
            <w:tcBorders>
              <w:top w:val="single" w:sz="4" w:space="0" w:color="auto"/>
              <w:left w:val="single" w:sz="4" w:space="0" w:color="auto"/>
              <w:bottom w:val="single" w:sz="4" w:space="0" w:color="auto"/>
              <w:right w:val="single" w:sz="4" w:space="0" w:color="auto"/>
            </w:tcBorders>
            <w:hideMark/>
          </w:tcPr>
          <w:p w:rsidR="009527C4" w:rsidRPr="00202EB9" w:rsidRDefault="00185ABD" w:rsidP="00185ABD">
            <w:pPr>
              <w:pStyle w:val="ListParagraph"/>
              <w:tabs>
                <w:tab w:val="left" w:pos="360"/>
                <w:tab w:val="left" w:pos="810"/>
                <w:tab w:val="left" w:pos="990"/>
              </w:tabs>
              <w:spacing w:line="360" w:lineRule="auto"/>
              <w:ind w:left="0"/>
              <w:jc w:val="both"/>
              <w:rPr>
                <w:rFonts w:cs="Arial"/>
                <w:lang w:val="fr-FR"/>
              </w:rPr>
            </w:pPr>
            <w:r w:rsidRPr="00202EB9">
              <w:rPr>
                <w:rFonts w:cs="Arial"/>
                <w:lang w:val="fr-FR"/>
              </w:rPr>
              <w:t>Comité permanent du droit des brevets</w:t>
            </w:r>
          </w:p>
        </w:tc>
      </w:tr>
      <w:tr w:rsidR="00F3224E"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9527C4" w:rsidRPr="00202EB9" w:rsidRDefault="009527C4" w:rsidP="0053052A">
            <w:pPr>
              <w:pStyle w:val="ListParagraph"/>
              <w:tabs>
                <w:tab w:val="left" w:pos="0"/>
                <w:tab w:val="left" w:pos="360"/>
                <w:tab w:val="left" w:pos="990"/>
              </w:tabs>
              <w:spacing w:line="360" w:lineRule="auto"/>
              <w:ind w:left="0"/>
              <w:jc w:val="both"/>
              <w:rPr>
                <w:rFonts w:cs="Arial"/>
                <w:b/>
                <w:bCs/>
                <w:lang w:val="fr-FR"/>
              </w:rPr>
            </w:pPr>
            <w:proofErr w:type="spellStart"/>
            <w:r w:rsidRPr="00202EB9">
              <w:rPr>
                <w:rFonts w:cs="Arial"/>
                <w:b/>
                <w:bCs/>
                <w:lang w:val="fr-FR"/>
              </w:rPr>
              <w:t>SCT</w:t>
            </w:r>
            <w:proofErr w:type="spellEnd"/>
          </w:p>
        </w:tc>
        <w:tc>
          <w:tcPr>
            <w:tcW w:w="8178" w:type="dxa"/>
            <w:tcBorders>
              <w:top w:val="single" w:sz="4" w:space="0" w:color="auto"/>
              <w:left w:val="single" w:sz="4" w:space="0" w:color="auto"/>
              <w:bottom w:val="single" w:sz="4" w:space="0" w:color="auto"/>
              <w:right w:val="single" w:sz="4" w:space="0" w:color="auto"/>
            </w:tcBorders>
            <w:hideMark/>
          </w:tcPr>
          <w:p w:rsidR="009527C4" w:rsidRPr="00202EB9" w:rsidRDefault="00185ABD" w:rsidP="009527C4">
            <w:pPr>
              <w:pStyle w:val="ListParagraph"/>
              <w:tabs>
                <w:tab w:val="left" w:pos="360"/>
                <w:tab w:val="left" w:pos="810"/>
                <w:tab w:val="left" w:pos="990"/>
              </w:tabs>
              <w:spacing w:line="360" w:lineRule="auto"/>
              <w:ind w:left="0"/>
              <w:jc w:val="both"/>
              <w:rPr>
                <w:rFonts w:cs="Arial"/>
                <w:lang w:val="fr-FR"/>
              </w:rPr>
            </w:pPr>
            <w:r w:rsidRPr="00202EB9">
              <w:rPr>
                <w:rFonts w:cs="Arial"/>
                <w:lang w:val="fr-FR"/>
              </w:rPr>
              <w:t>Comité permanent du droit des marques, des dessins et modèles industriels et des indications géographiques</w:t>
            </w:r>
          </w:p>
        </w:tc>
      </w:tr>
      <w:tr w:rsidR="00F3224E"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11582F" w:rsidRPr="00202EB9" w:rsidRDefault="00185ABD" w:rsidP="0053052A">
            <w:pPr>
              <w:pStyle w:val="ListParagraph"/>
              <w:tabs>
                <w:tab w:val="left" w:pos="0"/>
                <w:tab w:val="left" w:pos="360"/>
                <w:tab w:val="left" w:pos="990"/>
              </w:tabs>
              <w:spacing w:line="360" w:lineRule="auto"/>
              <w:ind w:left="0"/>
              <w:jc w:val="both"/>
              <w:rPr>
                <w:rFonts w:cs="Arial"/>
                <w:b/>
                <w:bCs/>
                <w:lang w:val="fr-FR"/>
              </w:rPr>
            </w:pPr>
            <w:r w:rsidRPr="00202EB9">
              <w:rPr>
                <w:rFonts w:cs="Arial"/>
                <w:b/>
                <w:bCs/>
                <w:lang w:val="fr-FR"/>
              </w:rPr>
              <w:t>PME</w:t>
            </w:r>
          </w:p>
        </w:tc>
        <w:tc>
          <w:tcPr>
            <w:tcW w:w="8178" w:type="dxa"/>
            <w:tcBorders>
              <w:top w:val="single" w:sz="4" w:space="0" w:color="auto"/>
              <w:left w:val="single" w:sz="4" w:space="0" w:color="auto"/>
              <w:bottom w:val="single" w:sz="4" w:space="0" w:color="auto"/>
              <w:right w:val="single" w:sz="4" w:space="0" w:color="auto"/>
            </w:tcBorders>
            <w:hideMark/>
          </w:tcPr>
          <w:p w:rsidR="0011582F" w:rsidRPr="00202EB9" w:rsidRDefault="00185ABD" w:rsidP="0011582F">
            <w:pPr>
              <w:pStyle w:val="ListParagraph"/>
              <w:tabs>
                <w:tab w:val="left" w:pos="360"/>
                <w:tab w:val="left" w:pos="810"/>
                <w:tab w:val="left" w:pos="990"/>
              </w:tabs>
              <w:spacing w:line="360" w:lineRule="auto"/>
              <w:ind w:left="0"/>
              <w:jc w:val="both"/>
              <w:rPr>
                <w:rFonts w:cs="Arial"/>
                <w:lang w:val="fr-FR"/>
              </w:rPr>
            </w:pPr>
            <w:r w:rsidRPr="00202EB9">
              <w:rPr>
                <w:rFonts w:cs="Arial"/>
                <w:lang w:val="fr-FR"/>
              </w:rPr>
              <w:t>Petites et moyennes entreprises</w:t>
            </w:r>
          </w:p>
        </w:tc>
      </w:tr>
      <w:tr w:rsidR="00C54E5A"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11582F" w:rsidRPr="00202EB9" w:rsidRDefault="00185ABD" w:rsidP="0053052A">
            <w:pPr>
              <w:pStyle w:val="ListParagraph"/>
              <w:tabs>
                <w:tab w:val="left" w:pos="0"/>
                <w:tab w:val="left" w:pos="360"/>
                <w:tab w:val="left" w:pos="990"/>
              </w:tabs>
              <w:spacing w:line="360" w:lineRule="auto"/>
              <w:ind w:left="0"/>
              <w:jc w:val="both"/>
              <w:rPr>
                <w:rFonts w:cs="Arial"/>
                <w:b/>
                <w:bCs/>
                <w:lang w:val="fr-FR"/>
              </w:rPr>
            </w:pPr>
            <w:r w:rsidRPr="00202EB9">
              <w:rPr>
                <w:rFonts w:cs="Arial"/>
                <w:b/>
                <w:bCs/>
                <w:lang w:val="fr-FR"/>
              </w:rPr>
              <w:t>CATI</w:t>
            </w:r>
          </w:p>
        </w:tc>
        <w:tc>
          <w:tcPr>
            <w:tcW w:w="8178" w:type="dxa"/>
            <w:tcBorders>
              <w:top w:val="single" w:sz="4" w:space="0" w:color="auto"/>
              <w:left w:val="single" w:sz="4" w:space="0" w:color="auto"/>
              <w:bottom w:val="single" w:sz="4" w:space="0" w:color="auto"/>
              <w:right w:val="single" w:sz="4" w:space="0" w:color="auto"/>
            </w:tcBorders>
            <w:hideMark/>
          </w:tcPr>
          <w:p w:rsidR="0011582F" w:rsidRPr="00202EB9" w:rsidRDefault="009F4A82" w:rsidP="0011582F">
            <w:pPr>
              <w:pStyle w:val="ListParagraph"/>
              <w:tabs>
                <w:tab w:val="left" w:pos="360"/>
                <w:tab w:val="left" w:pos="810"/>
                <w:tab w:val="left" w:pos="990"/>
              </w:tabs>
              <w:spacing w:line="360" w:lineRule="auto"/>
              <w:ind w:left="0"/>
              <w:jc w:val="both"/>
              <w:rPr>
                <w:rFonts w:cs="Arial"/>
                <w:lang w:val="fr-FR"/>
              </w:rPr>
            </w:pPr>
            <w:r w:rsidRPr="00202EB9">
              <w:rPr>
                <w:rFonts w:cs="Arial"/>
                <w:lang w:val="fr-FR"/>
              </w:rPr>
              <w:t>C</w:t>
            </w:r>
            <w:r w:rsidR="00C54E5A" w:rsidRPr="00202EB9">
              <w:rPr>
                <w:rFonts w:cs="Arial"/>
                <w:lang w:val="fr-FR"/>
              </w:rPr>
              <w:t>entres d</w:t>
            </w:r>
            <w:r w:rsidR="00426067" w:rsidRPr="00202EB9">
              <w:rPr>
                <w:rFonts w:cs="Arial"/>
                <w:lang w:val="fr-FR"/>
              </w:rPr>
              <w:t>’</w:t>
            </w:r>
            <w:r w:rsidR="00C54E5A" w:rsidRPr="00202EB9">
              <w:rPr>
                <w:rFonts w:cs="Arial"/>
                <w:lang w:val="fr-FR"/>
              </w:rPr>
              <w:t>appui à la technologie et à l</w:t>
            </w:r>
            <w:r w:rsidR="00426067" w:rsidRPr="00202EB9">
              <w:rPr>
                <w:rFonts w:cs="Arial"/>
                <w:lang w:val="fr-FR"/>
              </w:rPr>
              <w:t>’</w:t>
            </w:r>
            <w:r w:rsidR="00C54E5A" w:rsidRPr="00202EB9">
              <w:rPr>
                <w:rFonts w:cs="Arial"/>
                <w:lang w:val="fr-FR"/>
              </w:rPr>
              <w:t>innovation</w:t>
            </w:r>
          </w:p>
        </w:tc>
      </w:tr>
      <w:tr w:rsidR="00C54E5A"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C54E5A" w:rsidRPr="00202EB9" w:rsidRDefault="00C54E5A" w:rsidP="0053052A">
            <w:pPr>
              <w:pStyle w:val="ListParagraph"/>
              <w:tabs>
                <w:tab w:val="left" w:pos="0"/>
                <w:tab w:val="left" w:pos="360"/>
                <w:tab w:val="left" w:pos="990"/>
              </w:tabs>
              <w:spacing w:line="360" w:lineRule="auto"/>
              <w:ind w:left="0"/>
              <w:jc w:val="both"/>
              <w:rPr>
                <w:rFonts w:cs="Arial"/>
                <w:b/>
                <w:bCs/>
                <w:lang w:val="fr-FR"/>
              </w:rPr>
            </w:pPr>
            <w:proofErr w:type="spellStart"/>
            <w:r w:rsidRPr="00202EB9">
              <w:rPr>
                <w:rFonts w:cs="Arial"/>
                <w:b/>
                <w:bCs/>
                <w:lang w:val="fr-FR"/>
              </w:rPr>
              <w:t>CCNUCC</w:t>
            </w:r>
            <w:proofErr w:type="spellEnd"/>
          </w:p>
        </w:tc>
        <w:tc>
          <w:tcPr>
            <w:tcW w:w="8178" w:type="dxa"/>
            <w:tcBorders>
              <w:top w:val="single" w:sz="4" w:space="0" w:color="auto"/>
              <w:left w:val="single" w:sz="4" w:space="0" w:color="auto"/>
              <w:bottom w:val="single" w:sz="4" w:space="0" w:color="auto"/>
              <w:right w:val="single" w:sz="4" w:space="0" w:color="auto"/>
            </w:tcBorders>
            <w:hideMark/>
          </w:tcPr>
          <w:p w:rsidR="00C54E5A" w:rsidRPr="00202EB9" w:rsidRDefault="009C1C3A" w:rsidP="00127F5B">
            <w:pPr>
              <w:pStyle w:val="ListParagraph"/>
              <w:tabs>
                <w:tab w:val="left" w:pos="360"/>
                <w:tab w:val="left" w:pos="810"/>
                <w:tab w:val="left" w:pos="990"/>
              </w:tabs>
              <w:spacing w:line="360" w:lineRule="auto"/>
              <w:ind w:left="0"/>
              <w:jc w:val="both"/>
              <w:rPr>
                <w:rFonts w:cs="Arial"/>
                <w:lang w:val="fr-FR"/>
              </w:rPr>
            </w:pPr>
            <w:r w:rsidRPr="00202EB9">
              <w:rPr>
                <w:rFonts w:cs="Arial"/>
                <w:lang w:val="fr-FR"/>
              </w:rPr>
              <w:t>Convention</w:t>
            </w:r>
            <w:r w:rsidRPr="00202EB9">
              <w:rPr>
                <w:rFonts w:cs="Arial"/>
                <w:lang w:val="fr-FR"/>
              </w:rPr>
              <w:noBreakHyphen/>
            </w:r>
            <w:r w:rsidR="00C54E5A" w:rsidRPr="00202EB9">
              <w:rPr>
                <w:rFonts w:cs="Arial"/>
                <w:lang w:val="fr-FR"/>
              </w:rPr>
              <w:t xml:space="preserve">cadre des </w:t>
            </w:r>
            <w:r w:rsidR="00426067" w:rsidRPr="00202EB9">
              <w:rPr>
                <w:rFonts w:cs="Arial"/>
                <w:lang w:val="fr-FR"/>
              </w:rPr>
              <w:t>Nations Unies</w:t>
            </w:r>
            <w:r w:rsidR="00C54E5A" w:rsidRPr="00202EB9">
              <w:rPr>
                <w:rFonts w:cs="Arial"/>
                <w:lang w:val="fr-FR"/>
              </w:rPr>
              <w:t xml:space="preserve"> sur les changements climatiques</w:t>
            </w:r>
          </w:p>
        </w:tc>
      </w:tr>
      <w:tr w:rsidR="00C54E5A"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C54E5A" w:rsidRPr="00202EB9" w:rsidRDefault="00C54E5A" w:rsidP="0053052A">
            <w:pPr>
              <w:pStyle w:val="ListParagraph"/>
              <w:tabs>
                <w:tab w:val="left" w:pos="0"/>
                <w:tab w:val="left" w:pos="360"/>
                <w:tab w:val="left" w:pos="990"/>
              </w:tabs>
              <w:spacing w:line="360" w:lineRule="auto"/>
              <w:ind w:left="0"/>
              <w:jc w:val="both"/>
              <w:rPr>
                <w:rFonts w:cs="Arial"/>
                <w:b/>
                <w:bCs/>
                <w:lang w:val="fr-FR"/>
              </w:rPr>
            </w:pPr>
            <w:r w:rsidRPr="00202EB9">
              <w:rPr>
                <w:rFonts w:cs="Arial"/>
                <w:b/>
                <w:bCs/>
                <w:lang w:val="fr-FR"/>
              </w:rPr>
              <w:t>ONUDI</w:t>
            </w:r>
          </w:p>
        </w:tc>
        <w:tc>
          <w:tcPr>
            <w:tcW w:w="8178" w:type="dxa"/>
            <w:tcBorders>
              <w:top w:val="single" w:sz="4" w:space="0" w:color="auto"/>
              <w:left w:val="single" w:sz="4" w:space="0" w:color="auto"/>
              <w:bottom w:val="single" w:sz="4" w:space="0" w:color="auto"/>
              <w:right w:val="single" w:sz="4" w:space="0" w:color="auto"/>
            </w:tcBorders>
            <w:hideMark/>
          </w:tcPr>
          <w:p w:rsidR="00C54E5A" w:rsidRPr="00202EB9" w:rsidRDefault="00C54E5A" w:rsidP="00127F5B">
            <w:pPr>
              <w:pStyle w:val="ListParagraph"/>
              <w:tabs>
                <w:tab w:val="left" w:pos="360"/>
                <w:tab w:val="left" w:pos="810"/>
                <w:tab w:val="left" w:pos="990"/>
              </w:tabs>
              <w:spacing w:line="360" w:lineRule="auto"/>
              <w:ind w:left="0"/>
              <w:jc w:val="both"/>
              <w:rPr>
                <w:rFonts w:cs="Arial"/>
                <w:lang w:val="fr-FR"/>
              </w:rPr>
            </w:pPr>
            <w:r w:rsidRPr="00202EB9">
              <w:rPr>
                <w:rFonts w:cs="Arial"/>
                <w:lang w:val="fr-FR"/>
              </w:rPr>
              <w:t xml:space="preserve">Organisation des </w:t>
            </w:r>
            <w:r w:rsidR="00426067" w:rsidRPr="00202EB9">
              <w:rPr>
                <w:rFonts w:cs="Arial"/>
                <w:lang w:val="fr-FR"/>
              </w:rPr>
              <w:t>Nations Unies</w:t>
            </w:r>
            <w:r w:rsidRPr="00202EB9">
              <w:rPr>
                <w:rFonts w:cs="Arial"/>
                <w:lang w:val="fr-FR"/>
              </w:rPr>
              <w:t xml:space="preserve"> pour le développement industriel</w:t>
            </w:r>
          </w:p>
        </w:tc>
      </w:tr>
      <w:tr w:rsidR="00C54E5A"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C54E5A" w:rsidRPr="00202EB9" w:rsidRDefault="00C54E5A" w:rsidP="0053052A">
            <w:pPr>
              <w:pStyle w:val="ListParagraph"/>
              <w:tabs>
                <w:tab w:val="left" w:pos="0"/>
                <w:tab w:val="left" w:pos="360"/>
                <w:tab w:val="left" w:pos="990"/>
              </w:tabs>
              <w:spacing w:line="360" w:lineRule="auto"/>
              <w:ind w:left="0"/>
              <w:jc w:val="both"/>
              <w:rPr>
                <w:rFonts w:cs="Arial"/>
                <w:b/>
                <w:bCs/>
                <w:lang w:val="fr-FR"/>
              </w:rPr>
            </w:pPr>
            <w:proofErr w:type="spellStart"/>
            <w:r w:rsidRPr="00202EB9">
              <w:rPr>
                <w:rFonts w:cs="Arial"/>
                <w:b/>
                <w:bCs/>
                <w:lang w:val="fr-FR"/>
              </w:rPr>
              <w:t>CNUCED</w:t>
            </w:r>
            <w:proofErr w:type="spellEnd"/>
          </w:p>
        </w:tc>
        <w:tc>
          <w:tcPr>
            <w:tcW w:w="8178" w:type="dxa"/>
            <w:tcBorders>
              <w:top w:val="single" w:sz="4" w:space="0" w:color="auto"/>
              <w:left w:val="single" w:sz="4" w:space="0" w:color="auto"/>
              <w:bottom w:val="single" w:sz="4" w:space="0" w:color="auto"/>
              <w:right w:val="single" w:sz="4" w:space="0" w:color="auto"/>
            </w:tcBorders>
            <w:hideMark/>
          </w:tcPr>
          <w:p w:rsidR="00C54E5A" w:rsidRPr="00202EB9" w:rsidRDefault="00C54E5A" w:rsidP="00127F5B">
            <w:pPr>
              <w:pStyle w:val="ListParagraph"/>
              <w:tabs>
                <w:tab w:val="left" w:pos="360"/>
                <w:tab w:val="left" w:pos="810"/>
                <w:tab w:val="left" w:pos="990"/>
              </w:tabs>
              <w:spacing w:line="360" w:lineRule="auto"/>
              <w:ind w:left="0"/>
              <w:jc w:val="both"/>
              <w:rPr>
                <w:rFonts w:cs="Arial"/>
                <w:lang w:val="fr-FR"/>
              </w:rPr>
            </w:pPr>
            <w:r w:rsidRPr="00202EB9">
              <w:rPr>
                <w:rFonts w:cs="Arial"/>
                <w:lang w:val="fr-FR"/>
              </w:rPr>
              <w:t xml:space="preserve">Conférence des </w:t>
            </w:r>
            <w:r w:rsidR="00426067" w:rsidRPr="00202EB9">
              <w:rPr>
                <w:rFonts w:cs="Arial"/>
                <w:lang w:val="fr-FR"/>
              </w:rPr>
              <w:t>Nations Unies</w:t>
            </w:r>
            <w:r w:rsidRPr="00202EB9">
              <w:rPr>
                <w:rFonts w:cs="Arial"/>
                <w:lang w:val="fr-FR"/>
              </w:rPr>
              <w:t xml:space="preserve"> sur le commerce et le développement</w:t>
            </w:r>
          </w:p>
        </w:tc>
      </w:tr>
      <w:tr w:rsidR="00C54E5A"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C54E5A" w:rsidRPr="00202EB9" w:rsidRDefault="00C54E5A" w:rsidP="0053052A">
            <w:pPr>
              <w:pStyle w:val="ListParagraph"/>
              <w:tabs>
                <w:tab w:val="left" w:pos="0"/>
                <w:tab w:val="left" w:pos="360"/>
                <w:tab w:val="left" w:pos="990"/>
              </w:tabs>
              <w:spacing w:line="360" w:lineRule="auto"/>
              <w:ind w:left="0"/>
              <w:jc w:val="both"/>
              <w:rPr>
                <w:rFonts w:cs="Arial"/>
                <w:b/>
                <w:bCs/>
                <w:lang w:val="fr-FR"/>
              </w:rPr>
            </w:pPr>
            <w:proofErr w:type="spellStart"/>
            <w:r w:rsidRPr="00202EB9">
              <w:rPr>
                <w:rFonts w:cs="Arial"/>
                <w:b/>
                <w:bCs/>
                <w:lang w:val="fr-FR"/>
              </w:rPr>
              <w:t>GNUE</w:t>
            </w:r>
            <w:proofErr w:type="spellEnd"/>
          </w:p>
        </w:tc>
        <w:tc>
          <w:tcPr>
            <w:tcW w:w="8178" w:type="dxa"/>
            <w:tcBorders>
              <w:top w:val="single" w:sz="4" w:space="0" w:color="auto"/>
              <w:left w:val="single" w:sz="4" w:space="0" w:color="auto"/>
              <w:bottom w:val="single" w:sz="4" w:space="0" w:color="auto"/>
              <w:right w:val="single" w:sz="4" w:space="0" w:color="auto"/>
            </w:tcBorders>
          </w:tcPr>
          <w:p w:rsidR="00C54E5A" w:rsidRPr="00202EB9" w:rsidRDefault="00C54E5A" w:rsidP="00127F5B">
            <w:pPr>
              <w:pStyle w:val="ListParagraph"/>
              <w:tabs>
                <w:tab w:val="left" w:pos="360"/>
                <w:tab w:val="left" w:pos="810"/>
                <w:tab w:val="left" w:pos="990"/>
              </w:tabs>
              <w:spacing w:line="360" w:lineRule="auto"/>
              <w:ind w:left="0"/>
              <w:jc w:val="both"/>
              <w:rPr>
                <w:rFonts w:cs="Arial"/>
                <w:lang w:val="fr-FR"/>
              </w:rPr>
            </w:pPr>
            <w:r w:rsidRPr="00202EB9">
              <w:rPr>
                <w:rFonts w:cs="Arial"/>
                <w:lang w:val="fr-FR"/>
              </w:rPr>
              <w:t xml:space="preserve">Groupe des </w:t>
            </w:r>
            <w:r w:rsidR="00426067" w:rsidRPr="00202EB9">
              <w:rPr>
                <w:rFonts w:cs="Arial"/>
                <w:lang w:val="fr-FR"/>
              </w:rPr>
              <w:t>Nations Unies</w:t>
            </w:r>
            <w:r w:rsidRPr="00202EB9">
              <w:rPr>
                <w:rFonts w:cs="Arial"/>
                <w:lang w:val="fr-FR"/>
              </w:rPr>
              <w:t xml:space="preserve"> sur l</w:t>
            </w:r>
            <w:r w:rsidR="00426067" w:rsidRPr="00202EB9">
              <w:rPr>
                <w:rFonts w:cs="Arial"/>
                <w:lang w:val="fr-FR"/>
              </w:rPr>
              <w:t>’</w:t>
            </w:r>
            <w:r w:rsidRPr="00202EB9">
              <w:rPr>
                <w:rFonts w:cs="Arial"/>
                <w:lang w:val="fr-FR"/>
              </w:rPr>
              <w:t>évaluation</w:t>
            </w:r>
          </w:p>
        </w:tc>
      </w:tr>
      <w:tr w:rsidR="00C54E5A"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C54E5A" w:rsidRPr="00202EB9" w:rsidRDefault="00C54E5A" w:rsidP="0053052A">
            <w:pPr>
              <w:pStyle w:val="ListParagraph"/>
              <w:tabs>
                <w:tab w:val="left" w:pos="0"/>
                <w:tab w:val="left" w:pos="360"/>
                <w:tab w:val="left" w:pos="990"/>
              </w:tabs>
              <w:spacing w:line="360" w:lineRule="auto"/>
              <w:ind w:left="0"/>
              <w:jc w:val="both"/>
              <w:rPr>
                <w:rFonts w:cs="Arial"/>
                <w:b/>
                <w:bCs/>
                <w:lang w:val="fr-FR"/>
              </w:rPr>
            </w:pPr>
            <w:r w:rsidRPr="00202EB9">
              <w:rPr>
                <w:rFonts w:cs="Arial"/>
                <w:b/>
                <w:bCs/>
                <w:lang w:val="fr-FR"/>
              </w:rPr>
              <w:t>OMPI</w:t>
            </w:r>
          </w:p>
        </w:tc>
        <w:tc>
          <w:tcPr>
            <w:tcW w:w="8178" w:type="dxa"/>
            <w:tcBorders>
              <w:top w:val="single" w:sz="4" w:space="0" w:color="auto"/>
              <w:left w:val="single" w:sz="4" w:space="0" w:color="auto"/>
              <w:bottom w:val="single" w:sz="4" w:space="0" w:color="auto"/>
              <w:right w:val="single" w:sz="4" w:space="0" w:color="auto"/>
            </w:tcBorders>
            <w:hideMark/>
          </w:tcPr>
          <w:p w:rsidR="00C54E5A" w:rsidRPr="00202EB9" w:rsidRDefault="00C54E5A" w:rsidP="00C54E5A">
            <w:pPr>
              <w:pStyle w:val="ListParagraph"/>
              <w:tabs>
                <w:tab w:val="left" w:pos="360"/>
                <w:tab w:val="left" w:pos="810"/>
                <w:tab w:val="left" w:pos="990"/>
              </w:tabs>
              <w:spacing w:line="360" w:lineRule="auto"/>
              <w:ind w:left="0"/>
              <w:jc w:val="both"/>
              <w:rPr>
                <w:rFonts w:cs="Arial"/>
                <w:lang w:val="fr-FR"/>
              </w:rPr>
            </w:pPr>
            <w:r w:rsidRPr="00202EB9">
              <w:rPr>
                <w:rFonts w:cs="Arial"/>
                <w:lang w:val="fr-FR"/>
              </w:rPr>
              <w:t>Organisation Mondiale de la Propriété Intellectuell</w:t>
            </w:r>
            <w:r w:rsidR="00E73F60" w:rsidRPr="00202EB9">
              <w:rPr>
                <w:rFonts w:cs="Arial"/>
                <w:lang w:val="fr-FR"/>
              </w:rPr>
              <w:t>e</w:t>
            </w:r>
          </w:p>
        </w:tc>
      </w:tr>
      <w:tr w:rsidR="00C54E5A"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C54E5A" w:rsidRPr="00202EB9" w:rsidRDefault="00C54E5A" w:rsidP="0053052A">
            <w:pPr>
              <w:pStyle w:val="ListParagraph"/>
              <w:tabs>
                <w:tab w:val="left" w:pos="0"/>
                <w:tab w:val="left" w:pos="360"/>
                <w:tab w:val="left" w:pos="990"/>
              </w:tabs>
              <w:spacing w:line="360" w:lineRule="auto"/>
              <w:ind w:left="0"/>
              <w:jc w:val="both"/>
              <w:rPr>
                <w:rFonts w:cs="Arial"/>
                <w:b/>
                <w:bCs/>
                <w:lang w:val="fr-FR"/>
              </w:rPr>
            </w:pPr>
            <w:proofErr w:type="spellStart"/>
            <w:r w:rsidRPr="00202EB9">
              <w:rPr>
                <w:rFonts w:cs="Arial"/>
                <w:b/>
                <w:bCs/>
                <w:lang w:val="fr-FR"/>
              </w:rPr>
              <w:t>SMSI</w:t>
            </w:r>
            <w:proofErr w:type="spellEnd"/>
          </w:p>
        </w:tc>
        <w:tc>
          <w:tcPr>
            <w:tcW w:w="8178" w:type="dxa"/>
            <w:tcBorders>
              <w:top w:val="single" w:sz="4" w:space="0" w:color="auto"/>
              <w:left w:val="single" w:sz="4" w:space="0" w:color="auto"/>
              <w:bottom w:val="single" w:sz="4" w:space="0" w:color="auto"/>
              <w:right w:val="single" w:sz="4" w:space="0" w:color="auto"/>
            </w:tcBorders>
            <w:hideMark/>
          </w:tcPr>
          <w:p w:rsidR="00C54E5A" w:rsidRPr="00202EB9" w:rsidRDefault="00C54E5A" w:rsidP="00127F5B">
            <w:pPr>
              <w:pStyle w:val="ListParagraph"/>
              <w:tabs>
                <w:tab w:val="left" w:pos="360"/>
                <w:tab w:val="left" w:pos="810"/>
                <w:tab w:val="left" w:pos="990"/>
              </w:tabs>
              <w:spacing w:line="360" w:lineRule="auto"/>
              <w:ind w:left="0"/>
              <w:jc w:val="both"/>
              <w:rPr>
                <w:rFonts w:cs="Arial"/>
                <w:lang w:val="fr-FR"/>
              </w:rPr>
            </w:pPr>
            <w:r w:rsidRPr="00202EB9">
              <w:rPr>
                <w:rFonts w:cs="Arial"/>
                <w:lang w:val="fr-FR"/>
              </w:rPr>
              <w:t>Sommet mondial sur la société de l</w:t>
            </w:r>
            <w:r w:rsidR="00426067" w:rsidRPr="00202EB9">
              <w:rPr>
                <w:rFonts w:cs="Arial"/>
                <w:lang w:val="fr-FR"/>
              </w:rPr>
              <w:t>’</w:t>
            </w:r>
            <w:r w:rsidRPr="00202EB9">
              <w:rPr>
                <w:rFonts w:cs="Arial"/>
                <w:lang w:val="fr-FR"/>
              </w:rPr>
              <w:t>information</w:t>
            </w:r>
          </w:p>
        </w:tc>
      </w:tr>
      <w:tr w:rsidR="00C54E5A"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hideMark/>
          </w:tcPr>
          <w:p w:rsidR="00C54E5A" w:rsidRPr="00202EB9" w:rsidRDefault="00C54E5A" w:rsidP="0053052A">
            <w:pPr>
              <w:pStyle w:val="ListParagraph"/>
              <w:tabs>
                <w:tab w:val="left" w:pos="0"/>
                <w:tab w:val="left" w:pos="360"/>
                <w:tab w:val="left" w:pos="990"/>
              </w:tabs>
              <w:spacing w:line="360" w:lineRule="auto"/>
              <w:ind w:left="0"/>
              <w:jc w:val="both"/>
              <w:rPr>
                <w:rFonts w:cs="Arial"/>
                <w:b/>
                <w:bCs/>
                <w:lang w:val="fr-FR"/>
              </w:rPr>
            </w:pPr>
            <w:r w:rsidRPr="00202EB9">
              <w:rPr>
                <w:rFonts w:cs="Arial"/>
                <w:b/>
                <w:bCs/>
                <w:lang w:val="fr-FR"/>
              </w:rPr>
              <w:t>OMC</w:t>
            </w:r>
          </w:p>
        </w:tc>
        <w:tc>
          <w:tcPr>
            <w:tcW w:w="8178" w:type="dxa"/>
            <w:tcBorders>
              <w:top w:val="single" w:sz="4" w:space="0" w:color="auto"/>
              <w:left w:val="single" w:sz="4" w:space="0" w:color="auto"/>
              <w:bottom w:val="single" w:sz="4" w:space="0" w:color="auto"/>
              <w:right w:val="single" w:sz="4" w:space="0" w:color="auto"/>
            </w:tcBorders>
            <w:hideMark/>
          </w:tcPr>
          <w:p w:rsidR="00C54E5A" w:rsidRPr="00202EB9" w:rsidRDefault="00C54E5A" w:rsidP="00127F5B">
            <w:pPr>
              <w:pStyle w:val="ListParagraph"/>
              <w:tabs>
                <w:tab w:val="left" w:pos="360"/>
                <w:tab w:val="left" w:pos="810"/>
                <w:tab w:val="left" w:pos="990"/>
              </w:tabs>
              <w:spacing w:line="360" w:lineRule="auto"/>
              <w:ind w:left="0"/>
              <w:jc w:val="both"/>
              <w:rPr>
                <w:rFonts w:cs="Arial"/>
                <w:lang w:val="fr-FR"/>
              </w:rPr>
            </w:pPr>
            <w:r w:rsidRPr="00202EB9">
              <w:rPr>
                <w:rFonts w:cs="Arial"/>
                <w:lang w:val="fr-FR"/>
              </w:rPr>
              <w:t>Organisation mondiale du commerce</w:t>
            </w:r>
          </w:p>
        </w:tc>
      </w:tr>
      <w:tr w:rsidR="00C54E5A" w:rsidRPr="00202EB9" w:rsidTr="00563BAA">
        <w:trPr>
          <w:trHeight w:val="369"/>
        </w:trPr>
        <w:tc>
          <w:tcPr>
            <w:tcW w:w="1350" w:type="dxa"/>
            <w:tcBorders>
              <w:top w:val="single" w:sz="4" w:space="0" w:color="auto"/>
              <w:left w:val="single" w:sz="4" w:space="0" w:color="auto"/>
              <w:bottom w:val="single" w:sz="4" w:space="0" w:color="auto"/>
              <w:right w:val="single" w:sz="4" w:space="0" w:color="auto"/>
            </w:tcBorders>
          </w:tcPr>
          <w:p w:rsidR="00C54E5A" w:rsidRPr="00202EB9" w:rsidRDefault="00C54E5A" w:rsidP="0053052A">
            <w:pPr>
              <w:pStyle w:val="ListParagraph"/>
              <w:tabs>
                <w:tab w:val="left" w:pos="0"/>
                <w:tab w:val="left" w:pos="360"/>
                <w:tab w:val="left" w:pos="990"/>
              </w:tabs>
              <w:spacing w:line="360" w:lineRule="auto"/>
              <w:ind w:left="0"/>
              <w:jc w:val="both"/>
              <w:rPr>
                <w:rFonts w:cs="Arial"/>
                <w:b/>
                <w:bCs/>
                <w:lang w:val="fr-FR"/>
              </w:rPr>
            </w:pPr>
            <w:r w:rsidRPr="00202EB9">
              <w:rPr>
                <w:rFonts w:cs="Arial"/>
                <w:b/>
                <w:bCs/>
                <w:lang w:val="fr-FR"/>
              </w:rPr>
              <w:t>OMS</w:t>
            </w:r>
          </w:p>
        </w:tc>
        <w:tc>
          <w:tcPr>
            <w:tcW w:w="8178" w:type="dxa"/>
            <w:tcBorders>
              <w:top w:val="single" w:sz="4" w:space="0" w:color="auto"/>
              <w:left w:val="single" w:sz="4" w:space="0" w:color="auto"/>
              <w:bottom w:val="single" w:sz="4" w:space="0" w:color="auto"/>
              <w:right w:val="single" w:sz="4" w:space="0" w:color="auto"/>
            </w:tcBorders>
          </w:tcPr>
          <w:p w:rsidR="00C54E5A" w:rsidRPr="00202EB9" w:rsidRDefault="00C54E5A" w:rsidP="00127F5B">
            <w:pPr>
              <w:pStyle w:val="ListParagraph"/>
              <w:tabs>
                <w:tab w:val="left" w:pos="360"/>
                <w:tab w:val="left" w:pos="810"/>
                <w:tab w:val="left" w:pos="990"/>
              </w:tabs>
              <w:spacing w:line="360" w:lineRule="auto"/>
              <w:ind w:left="0"/>
              <w:jc w:val="both"/>
              <w:rPr>
                <w:rFonts w:cs="Arial"/>
                <w:lang w:val="fr-FR"/>
              </w:rPr>
            </w:pPr>
            <w:r w:rsidRPr="00202EB9">
              <w:rPr>
                <w:rFonts w:cs="Arial"/>
                <w:lang w:val="fr-FR"/>
              </w:rPr>
              <w:t>Organisation mondiale de la Santé</w:t>
            </w:r>
          </w:p>
        </w:tc>
      </w:tr>
    </w:tbl>
    <w:p w:rsidR="0053052A" w:rsidRPr="00202EB9" w:rsidRDefault="0053052A" w:rsidP="0053052A">
      <w:pPr>
        <w:ind w:left="-90"/>
        <w:rPr>
          <w:rFonts w:cs="Arial"/>
          <w:lang w:val="fr-FR"/>
        </w:rPr>
      </w:pPr>
    </w:p>
    <w:p w:rsidR="00C54E5A" w:rsidRPr="00202EB9" w:rsidRDefault="00C54E5A">
      <w:pPr>
        <w:rPr>
          <w:rFonts w:cs="Arial"/>
          <w:b/>
          <w:lang w:val="fr-FR"/>
        </w:rPr>
      </w:pPr>
      <w:r w:rsidRPr="00202EB9">
        <w:rPr>
          <w:rFonts w:cs="Arial"/>
          <w:b/>
          <w:lang w:val="fr-FR"/>
        </w:rPr>
        <w:br w:type="page"/>
      </w:r>
    </w:p>
    <w:p w:rsidR="00B40915" w:rsidRPr="00202EB9" w:rsidRDefault="00B40915" w:rsidP="00C54E5A">
      <w:pPr>
        <w:pStyle w:val="Heading1"/>
        <w:rPr>
          <w:rFonts w:ascii="Arial" w:hAnsi="Arial"/>
          <w:szCs w:val="22"/>
          <w:lang w:val="fr-FR"/>
        </w:rPr>
      </w:pPr>
      <w:bookmarkStart w:id="4" w:name="_Toc460492846"/>
      <w:r w:rsidRPr="00202EB9">
        <w:rPr>
          <w:rFonts w:ascii="Arial" w:hAnsi="Arial"/>
          <w:szCs w:val="22"/>
          <w:lang w:val="fr-FR"/>
        </w:rPr>
        <w:t>A.</w:t>
      </w:r>
      <w:r w:rsidR="00C54E5A" w:rsidRPr="00202EB9">
        <w:rPr>
          <w:rFonts w:ascii="Arial" w:hAnsi="Arial"/>
          <w:szCs w:val="22"/>
          <w:lang w:val="fr-FR"/>
        </w:rPr>
        <w:tab/>
      </w:r>
      <w:r w:rsidR="000854D6" w:rsidRPr="00202EB9">
        <w:rPr>
          <w:rFonts w:ascii="Arial" w:hAnsi="Arial"/>
          <w:szCs w:val="22"/>
          <w:lang w:val="fr-FR"/>
        </w:rPr>
        <w:t>Résumé</w:t>
      </w:r>
      <w:bookmarkEnd w:id="4"/>
    </w:p>
    <w:p w:rsidR="00C54E5A" w:rsidRPr="00202EB9" w:rsidRDefault="00C54E5A" w:rsidP="00C54E5A">
      <w:pPr>
        <w:rPr>
          <w:rFonts w:cs="Arial"/>
          <w:lang w:val="fr-FR" w:eastAsia="zh-CN" w:bidi="ar-SA"/>
        </w:rPr>
      </w:pPr>
    </w:p>
    <w:p w:rsidR="00F62BFE" w:rsidRPr="00202EB9" w:rsidRDefault="0053508F" w:rsidP="00F3224E">
      <w:pPr>
        <w:pStyle w:val="ONUMFS"/>
        <w:numPr>
          <w:ilvl w:val="0"/>
          <w:numId w:val="8"/>
        </w:numPr>
        <w:rPr>
          <w:szCs w:val="22"/>
          <w:lang w:val="fr-FR"/>
        </w:rPr>
      </w:pPr>
      <w:r w:rsidRPr="00202EB9">
        <w:rPr>
          <w:szCs w:val="22"/>
          <w:lang w:val="fr-FR"/>
        </w:rPr>
        <w:t>L</w:t>
      </w:r>
      <w:r w:rsidR="00426067" w:rsidRPr="00202EB9">
        <w:rPr>
          <w:szCs w:val="22"/>
          <w:lang w:val="fr-FR"/>
        </w:rPr>
        <w:t>’</w:t>
      </w:r>
      <w:r w:rsidRPr="00202EB9">
        <w:rPr>
          <w:szCs w:val="22"/>
          <w:lang w:val="fr-FR"/>
        </w:rPr>
        <w:t>Assemblée générale de l</w:t>
      </w:r>
      <w:r w:rsidR="00426067" w:rsidRPr="00202EB9">
        <w:rPr>
          <w:szCs w:val="22"/>
          <w:lang w:val="fr-FR"/>
        </w:rPr>
        <w:t>’</w:t>
      </w:r>
      <w:r w:rsidRPr="00202EB9">
        <w:rPr>
          <w:szCs w:val="22"/>
          <w:lang w:val="fr-FR"/>
        </w:rPr>
        <w:t>Organisation Mondiale de la Propriété Intellectuelle (OMPI) a adopté en</w:t>
      </w:r>
      <w:r w:rsidR="00E15713" w:rsidRPr="00202EB9">
        <w:rPr>
          <w:szCs w:val="22"/>
          <w:lang w:val="fr-FR"/>
        </w:rPr>
        <w:t> </w:t>
      </w:r>
      <w:r w:rsidRPr="00202EB9">
        <w:rPr>
          <w:szCs w:val="22"/>
          <w:lang w:val="fr-FR"/>
        </w:rPr>
        <w:t>2007</w:t>
      </w:r>
      <w:r w:rsidR="00270B90" w:rsidRPr="00202EB9">
        <w:rPr>
          <w:szCs w:val="22"/>
          <w:lang w:val="fr-FR"/>
        </w:rPr>
        <w:t xml:space="preserve"> dans le cadre de son Plan d</w:t>
      </w:r>
      <w:r w:rsidR="00426067" w:rsidRPr="00202EB9">
        <w:rPr>
          <w:szCs w:val="22"/>
          <w:lang w:val="fr-FR"/>
        </w:rPr>
        <w:t>’</w:t>
      </w:r>
      <w:r w:rsidR="00270B90" w:rsidRPr="00202EB9">
        <w:rPr>
          <w:szCs w:val="22"/>
          <w:lang w:val="fr-FR"/>
        </w:rPr>
        <w:t>action pour le développement</w:t>
      </w:r>
      <w:r w:rsidR="00D27884" w:rsidRPr="00202EB9">
        <w:rPr>
          <w:szCs w:val="22"/>
          <w:lang w:val="fr-FR"/>
        </w:rPr>
        <w:t xml:space="preserve"> une série</w:t>
      </w:r>
      <w:r w:rsidR="001E787E" w:rsidRPr="00202EB9">
        <w:rPr>
          <w:szCs w:val="22"/>
          <w:lang w:val="fr-FR"/>
        </w:rPr>
        <w:t xml:space="preserve"> de 45 </w:t>
      </w:r>
      <w:r w:rsidR="00D27884" w:rsidRPr="00202EB9">
        <w:rPr>
          <w:szCs w:val="22"/>
          <w:lang w:val="fr-FR"/>
        </w:rPr>
        <w:t>recommandatio</w:t>
      </w:r>
      <w:r w:rsidR="001E787E" w:rsidRPr="00202EB9">
        <w:rPr>
          <w:szCs w:val="22"/>
          <w:lang w:val="fr-FR"/>
        </w:rPr>
        <w:t>ns.  Ce</w:t>
      </w:r>
      <w:r w:rsidR="00193E92" w:rsidRPr="00202EB9">
        <w:rPr>
          <w:szCs w:val="22"/>
          <w:lang w:val="fr-FR"/>
        </w:rPr>
        <w:t>s dernières étaient</w:t>
      </w:r>
      <w:r w:rsidR="006E0E78" w:rsidRPr="00202EB9">
        <w:rPr>
          <w:szCs w:val="22"/>
          <w:lang w:val="fr-FR"/>
        </w:rPr>
        <w:t xml:space="preserve"> réparties en six</w:t>
      </w:r>
      <w:r w:rsidR="00E15713" w:rsidRPr="00202EB9">
        <w:rPr>
          <w:szCs w:val="22"/>
          <w:lang w:val="fr-FR"/>
        </w:rPr>
        <w:t> </w:t>
      </w:r>
      <w:r w:rsidR="006E0E78" w:rsidRPr="00202EB9">
        <w:rPr>
          <w:szCs w:val="22"/>
          <w:lang w:val="fr-FR"/>
        </w:rPr>
        <w:t>groupes, afin de faciliter leur mise en œuvre.</w:t>
      </w:r>
      <w:r w:rsidR="00193E92" w:rsidRPr="00202EB9">
        <w:rPr>
          <w:szCs w:val="22"/>
          <w:lang w:val="fr-FR"/>
        </w:rPr>
        <w:t xml:space="preserve">  L</w:t>
      </w:r>
      <w:r w:rsidR="00426067" w:rsidRPr="00202EB9">
        <w:rPr>
          <w:szCs w:val="22"/>
          <w:lang w:val="fr-FR"/>
        </w:rPr>
        <w:t>’</w:t>
      </w:r>
      <w:r w:rsidR="00193E92" w:rsidRPr="00202EB9">
        <w:rPr>
          <w:szCs w:val="22"/>
          <w:lang w:val="fr-FR"/>
        </w:rPr>
        <w:t>Assemblée générale a en outre créé le Comité du développement et de la propriété intellectuelle (</w:t>
      </w:r>
      <w:proofErr w:type="spellStart"/>
      <w:r w:rsidR="00193E92" w:rsidRPr="00202EB9">
        <w:rPr>
          <w:szCs w:val="22"/>
          <w:lang w:val="fr-FR"/>
        </w:rPr>
        <w:t>CDIP</w:t>
      </w:r>
      <w:proofErr w:type="spellEnd"/>
      <w:r w:rsidR="00193E92" w:rsidRPr="00202EB9">
        <w:rPr>
          <w:szCs w:val="22"/>
          <w:lang w:val="fr-FR"/>
        </w:rPr>
        <w:t xml:space="preserve">), </w:t>
      </w:r>
      <w:r w:rsidR="00D27884" w:rsidRPr="00202EB9">
        <w:rPr>
          <w:szCs w:val="22"/>
          <w:lang w:val="fr-FR"/>
        </w:rPr>
        <w:t>et lui a donné</w:t>
      </w:r>
      <w:r w:rsidR="00193E92" w:rsidRPr="00202EB9">
        <w:rPr>
          <w:szCs w:val="22"/>
          <w:lang w:val="fr-FR"/>
        </w:rPr>
        <w:t xml:space="preserve"> </w:t>
      </w:r>
      <w:r w:rsidR="004C5297" w:rsidRPr="00202EB9">
        <w:rPr>
          <w:szCs w:val="22"/>
          <w:lang w:val="fr-FR"/>
        </w:rPr>
        <w:t>pour</w:t>
      </w:r>
      <w:r w:rsidR="00193E92" w:rsidRPr="00202EB9">
        <w:rPr>
          <w:szCs w:val="22"/>
          <w:lang w:val="fr-FR"/>
        </w:rPr>
        <w:t xml:space="preserve"> mandat</w:t>
      </w:r>
      <w:r w:rsidR="004C5297" w:rsidRPr="00202EB9">
        <w:rPr>
          <w:szCs w:val="22"/>
          <w:lang w:val="fr-FR"/>
        </w:rPr>
        <w:t xml:space="preserve"> d</w:t>
      </w:r>
      <w:r w:rsidR="00426067" w:rsidRPr="00202EB9">
        <w:rPr>
          <w:szCs w:val="22"/>
          <w:lang w:val="fr-FR"/>
        </w:rPr>
        <w:t>’</w:t>
      </w:r>
      <w:r w:rsidR="004C5297" w:rsidRPr="00202EB9">
        <w:rPr>
          <w:szCs w:val="22"/>
          <w:lang w:val="fr-FR"/>
        </w:rPr>
        <w:t>élaborer un programme de travail pour la mise en œuvre des 45</w:t>
      </w:r>
      <w:r w:rsidR="001E787E" w:rsidRPr="00202EB9">
        <w:rPr>
          <w:szCs w:val="22"/>
          <w:lang w:val="fr-FR"/>
        </w:rPr>
        <w:t> </w:t>
      </w:r>
      <w:r w:rsidR="004C5297" w:rsidRPr="00202EB9">
        <w:rPr>
          <w:szCs w:val="22"/>
          <w:lang w:val="fr-FR"/>
        </w:rPr>
        <w:t>recommandations du Plan d</w:t>
      </w:r>
      <w:r w:rsidR="00426067" w:rsidRPr="00202EB9">
        <w:rPr>
          <w:szCs w:val="22"/>
          <w:lang w:val="fr-FR"/>
        </w:rPr>
        <w:t>’</w:t>
      </w:r>
      <w:r w:rsidR="004C5297" w:rsidRPr="00202EB9">
        <w:rPr>
          <w:szCs w:val="22"/>
          <w:lang w:val="fr-FR"/>
        </w:rPr>
        <w:t>action pour le développement, de suivre, évaluer et examiner la mise en œuvre de toutes les recommandations adoptées</w:t>
      </w:r>
      <w:r w:rsidR="00950FD9" w:rsidRPr="00202EB9">
        <w:rPr>
          <w:szCs w:val="22"/>
          <w:lang w:val="fr-FR"/>
        </w:rPr>
        <w:t xml:space="preserve"> ainsi qu</w:t>
      </w:r>
      <w:r w:rsidR="006C1A45" w:rsidRPr="00202EB9">
        <w:rPr>
          <w:szCs w:val="22"/>
          <w:lang w:val="fr-FR"/>
        </w:rPr>
        <w:t>e d</w:t>
      </w:r>
      <w:r w:rsidR="00426067" w:rsidRPr="00202EB9">
        <w:rPr>
          <w:szCs w:val="22"/>
          <w:lang w:val="fr-FR"/>
        </w:rPr>
        <w:t>’</w:t>
      </w:r>
      <w:r w:rsidR="00131946" w:rsidRPr="00202EB9">
        <w:rPr>
          <w:szCs w:val="22"/>
          <w:lang w:val="fr-FR"/>
        </w:rPr>
        <w:t>en rendre compte,</w:t>
      </w:r>
      <w:r w:rsidR="00003A2A" w:rsidRPr="00202EB9">
        <w:rPr>
          <w:szCs w:val="22"/>
          <w:lang w:val="fr-FR"/>
        </w:rPr>
        <w:t xml:space="preserve"> </w:t>
      </w:r>
      <w:r w:rsidR="000E3DC9" w:rsidRPr="00202EB9">
        <w:rPr>
          <w:szCs w:val="22"/>
          <w:lang w:val="fr-FR"/>
        </w:rPr>
        <w:t>d</w:t>
      </w:r>
      <w:r w:rsidR="00426067" w:rsidRPr="00202EB9">
        <w:rPr>
          <w:szCs w:val="22"/>
          <w:lang w:val="fr-FR"/>
        </w:rPr>
        <w:t>’</w:t>
      </w:r>
      <w:r w:rsidR="00003A2A" w:rsidRPr="00202EB9">
        <w:rPr>
          <w:szCs w:val="22"/>
          <w:lang w:val="fr-FR"/>
        </w:rPr>
        <w:t>assurer</w:t>
      </w:r>
      <w:r w:rsidR="00131946" w:rsidRPr="00202EB9">
        <w:rPr>
          <w:szCs w:val="22"/>
          <w:lang w:val="fr-FR"/>
        </w:rPr>
        <w:t>, à cet effet,</w:t>
      </w:r>
      <w:r w:rsidR="00003A2A" w:rsidRPr="00202EB9">
        <w:rPr>
          <w:szCs w:val="22"/>
          <w:lang w:val="fr-FR"/>
        </w:rPr>
        <w:t xml:space="preserve"> </w:t>
      </w:r>
      <w:r w:rsidR="00674556" w:rsidRPr="00202EB9">
        <w:rPr>
          <w:szCs w:val="22"/>
          <w:lang w:val="fr-FR"/>
        </w:rPr>
        <w:t>une</w:t>
      </w:r>
      <w:r w:rsidR="00003A2A" w:rsidRPr="00202EB9">
        <w:rPr>
          <w:szCs w:val="22"/>
          <w:lang w:val="fr-FR"/>
        </w:rPr>
        <w:t xml:space="preserve"> coordination avec les organes</w:t>
      </w:r>
      <w:r w:rsidR="0095600D" w:rsidRPr="00202EB9">
        <w:rPr>
          <w:szCs w:val="22"/>
          <w:lang w:val="fr-FR"/>
        </w:rPr>
        <w:t xml:space="preserve"> compétents de l</w:t>
      </w:r>
      <w:r w:rsidR="00426067" w:rsidRPr="00202EB9">
        <w:rPr>
          <w:szCs w:val="22"/>
          <w:lang w:val="fr-FR"/>
        </w:rPr>
        <w:t>’</w:t>
      </w:r>
      <w:r w:rsidR="0095600D" w:rsidRPr="00202EB9">
        <w:rPr>
          <w:szCs w:val="22"/>
          <w:lang w:val="fr-FR"/>
        </w:rPr>
        <w:t>OMPI</w:t>
      </w:r>
      <w:r w:rsidR="00131946" w:rsidRPr="00202EB9">
        <w:rPr>
          <w:szCs w:val="22"/>
          <w:lang w:val="fr-FR"/>
        </w:rPr>
        <w:t xml:space="preserve"> </w:t>
      </w:r>
      <w:r w:rsidR="0095600D" w:rsidRPr="00202EB9">
        <w:rPr>
          <w:szCs w:val="22"/>
          <w:lang w:val="fr-FR"/>
        </w:rPr>
        <w:t xml:space="preserve">et </w:t>
      </w:r>
      <w:r w:rsidR="0047245C" w:rsidRPr="00202EB9">
        <w:rPr>
          <w:szCs w:val="22"/>
          <w:lang w:val="fr-FR"/>
        </w:rPr>
        <w:t>d</w:t>
      </w:r>
      <w:r w:rsidR="00426067" w:rsidRPr="00202EB9">
        <w:rPr>
          <w:szCs w:val="22"/>
          <w:lang w:val="fr-FR"/>
        </w:rPr>
        <w:t>’</w:t>
      </w:r>
      <w:r w:rsidR="00131946" w:rsidRPr="00202EB9">
        <w:rPr>
          <w:szCs w:val="22"/>
          <w:lang w:val="fr-FR"/>
        </w:rPr>
        <w:t>analyser l</w:t>
      </w:r>
      <w:r w:rsidR="0095600D" w:rsidRPr="00202EB9">
        <w:rPr>
          <w:szCs w:val="22"/>
          <w:lang w:val="fr-FR"/>
        </w:rPr>
        <w:t>es questions relatives à la propriété intellectuelle et au développement convenues par le comité</w:t>
      </w:r>
      <w:r w:rsidR="00131946" w:rsidRPr="00202EB9">
        <w:rPr>
          <w:szCs w:val="22"/>
          <w:lang w:val="fr-FR"/>
        </w:rPr>
        <w:t>, ainsi que</w:t>
      </w:r>
      <w:r w:rsidR="0095600D" w:rsidRPr="00202EB9">
        <w:rPr>
          <w:szCs w:val="22"/>
          <w:lang w:val="fr-FR"/>
        </w:rPr>
        <w:t xml:space="preserve"> celles décidées par l</w:t>
      </w:r>
      <w:r w:rsidR="00426067" w:rsidRPr="00202EB9">
        <w:rPr>
          <w:szCs w:val="22"/>
          <w:lang w:val="fr-FR"/>
        </w:rPr>
        <w:t>’</w:t>
      </w:r>
      <w:r w:rsidR="0095600D" w:rsidRPr="00202EB9">
        <w:rPr>
          <w:szCs w:val="22"/>
          <w:lang w:val="fr-FR"/>
        </w:rPr>
        <w:t>Assemblée générale.</w:t>
      </w:r>
    </w:p>
    <w:p w:rsidR="00426067" w:rsidRPr="00202EB9" w:rsidRDefault="00765CEC" w:rsidP="00255C01">
      <w:pPr>
        <w:pStyle w:val="ONUMFS"/>
        <w:rPr>
          <w:szCs w:val="22"/>
          <w:lang w:val="fr-FR"/>
        </w:rPr>
      </w:pPr>
      <w:r w:rsidRPr="00202EB9">
        <w:rPr>
          <w:szCs w:val="22"/>
          <w:lang w:val="fr-FR"/>
        </w:rPr>
        <w:t xml:space="preserve">Le </w:t>
      </w:r>
      <w:proofErr w:type="spellStart"/>
      <w:r w:rsidRPr="00202EB9">
        <w:rPr>
          <w:szCs w:val="22"/>
          <w:lang w:val="fr-FR"/>
        </w:rPr>
        <w:t>CDIP</w:t>
      </w:r>
      <w:proofErr w:type="spellEnd"/>
      <w:r w:rsidRPr="00202EB9">
        <w:rPr>
          <w:szCs w:val="22"/>
          <w:lang w:val="fr-FR"/>
        </w:rPr>
        <w:t xml:space="preserve"> a</w:t>
      </w:r>
      <w:r w:rsidR="00537C58" w:rsidRPr="00202EB9">
        <w:rPr>
          <w:szCs w:val="22"/>
          <w:lang w:val="fr-FR"/>
        </w:rPr>
        <w:t xml:space="preserve"> en</w:t>
      </w:r>
      <w:r w:rsidR="00B366E9" w:rsidRPr="00202EB9">
        <w:rPr>
          <w:szCs w:val="22"/>
          <w:lang w:val="fr-FR"/>
        </w:rPr>
        <w:t>gag</w:t>
      </w:r>
      <w:r w:rsidR="00537C58" w:rsidRPr="00202EB9">
        <w:rPr>
          <w:szCs w:val="22"/>
          <w:lang w:val="fr-FR"/>
        </w:rPr>
        <w:t>é ses travaux e</w:t>
      </w:r>
      <w:r w:rsidR="00F62BFE" w:rsidRPr="00202EB9">
        <w:rPr>
          <w:szCs w:val="22"/>
          <w:lang w:val="fr-FR"/>
        </w:rPr>
        <w:t>n</w:t>
      </w:r>
      <w:r w:rsidR="00E15713" w:rsidRPr="00202EB9">
        <w:rPr>
          <w:szCs w:val="22"/>
          <w:lang w:val="fr-FR"/>
        </w:rPr>
        <w:t> </w:t>
      </w:r>
      <w:r w:rsidR="00F62BFE" w:rsidRPr="00202EB9">
        <w:rPr>
          <w:szCs w:val="22"/>
          <w:lang w:val="fr-FR"/>
        </w:rPr>
        <w:t>2008</w:t>
      </w:r>
      <w:r w:rsidR="00A958F9" w:rsidRPr="00202EB9">
        <w:rPr>
          <w:szCs w:val="22"/>
          <w:lang w:val="fr-FR"/>
        </w:rPr>
        <w:t>, et a conclu en</w:t>
      </w:r>
      <w:r w:rsidR="00E15713" w:rsidRPr="00202EB9">
        <w:rPr>
          <w:szCs w:val="22"/>
          <w:lang w:val="fr-FR"/>
        </w:rPr>
        <w:t> </w:t>
      </w:r>
      <w:r w:rsidRPr="00202EB9">
        <w:rPr>
          <w:szCs w:val="22"/>
          <w:lang w:val="fr-FR"/>
        </w:rPr>
        <w:t>2010</w:t>
      </w:r>
      <w:r w:rsidR="00F62BFE" w:rsidRPr="00202EB9">
        <w:rPr>
          <w:szCs w:val="22"/>
          <w:lang w:val="fr-FR"/>
        </w:rPr>
        <w:t>,</w:t>
      </w:r>
      <w:r w:rsidR="00A958F9" w:rsidRPr="00202EB9">
        <w:rPr>
          <w:szCs w:val="22"/>
          <w:lang w:val="fr-FR"/>
        </w:rPr>
        <w:t xml:space="preserve"> dans l</w:t>
      </w:r>
      <w:r w:rsidR="00426067" w:rsidRPr="00202EB9">
        <w:rPr>
          <w:szCs w:val="22"/>
          <w:lang w:val="fr-FR"/>
        </w:rPr>
        <w:t>’</w:t>
      </w:r>
      <w:r w:rsidR="00A958F9" w:rsidRPr="00202EB9">
        <w:rPr>
          <w:szCs w:val="22"/>
          <w:lang w:val="fr-FR"/>
        </w:rPr>
        <w:t xml:space="preserve">exercice de son mandat, à la nécessité de mettre </w:t>
      </w:r>
      <w:r w:rsidR="00FE3732" w:rsidRPr="00202EB9">
        <w:rPr>
          <w:szCs w:val="22"/>
          <w:lang w:val="fr-FR"/>
        </w:rPr>
        <w:t>en place un mécanisme de coordinati</w:t>
      </w:r>
      <w:r w:rsidR="001E787E" w:rsidRPr="00202EB9">
        <w:rPr>
          <w:szCs w:val="22"/>
          <w:lang w:val="fr-FR"/>
        </w:rPr>
        <w:t>on.  Su</w:t>
      </w:r>
      <w:r w:rsidR="00CE55FE" w:rsidRPr="00202EB9">
        <w:rPr>
          <w:szCs w:val="22"/>
          <w:lang w:val="fr-FR"/>
        </w:rPr>
        <w:t>ite à l</w:t>
      </w:r>
      <w:r w:rsidR="00426067" w:rsidRPr="00202EB9">
        <w:rPr>
          <w:szCs w:val="22"/>
          <w:lang w:val="fr-FR"/>
        </w:rPr>
        <w:t>’</w:t>
      </w:r>
      <w:r w:rsidR="00FE3732" w:rsidRPr="00202EB9">
        <w:rPr>
          <w:szCs w:val="22"/>
          <w:lang w:val="fr-FR"/>
        </w:rPr>
        <w:t xml:space="preserve">établissement </w:t>
      </w:r>
      <w:r w:rsidR="00CE55FE" w:rsidRPr="00202EB9">
        <w:rPr>
          <w:szCs w:val="22"/>
          <w:lang w:val="fr-FR"/>
        </w:rPr>
        <w:t>de ce mécanisme de coordination,</w:t>
      </w:r>
      <w:r w:rsidR="00426067" w:rsidRPr="00202EB9">
        <w:rPr>
          <w:szCs w:val="22"/>
          <w:lang w:val="fr-FR"/>
        </w:rPr>
        <w:t xml:space="preserve"> le </w:t>
      </w:r>
      <w:proofErr w:type="spellStart"/>
      <w:r w:rsidR="00426067" w:rsidRPr="00202EB9">
        <w:rPr>
          <w:szCs w:val="22"/>
          <w:lang w:val="fr-FR"/>
        </w:rPr>
        <w:t>CDI</w:t>
      </w:r>
      <w:r w:rsidR="00CE55FE" w:rsidRPr="00202EB9">
        <w:rPr>
          <w:szCs w:val="22"/>
          <w:lang w:val="fr-FR"/>
        </w:rPr>
        <w:t>P</w:t>
      </w:r>
      <w:proofErr w:type="spellEnd"/>
      <w:r w:rsidR="00CE55FE" w:rsidRPr="00202EB9">
        <w:rPr>
          <w:szCs w:val="22"/>
          <w:lang w:val="fr-FR"/>
        </w:rPr>
        <w:t xml:space="preserve"> a été prié par l</w:t>
      </w:r>
      <w:r w:rsidR="00426067" w:rsidRPr="00202EB9">
        <w:rPr>
          <w:szCs w:val="22"/>
          <w:lang w:val="fr-FR"/>
        </w:rPr>
        <w:t>’</w:t>
      </w:r>
      <w:r w:rsidR="00CE55FE" w:rsidRPr="00202EB9">
        <w:rPr>
          <w:szCs w:val="22"/>
          <w:lang w:val="fr-FR"/>
        </w:rPr>
        <w:t>Assemblée générale de</w:t>
      </w:r>
      <w:r w:rsidR="00E15713" w:rsidRPr="00202EB9">
        <w:rPr>
          <w:szCs w:val="22"/>
          <w:lang w:val="fr-FR"/>
        </w:rPr>
        <w:t> </w:t>
      </w:r>
      <w:r w:rsidR="00CE55FE" w:rsidRPr="00202EB9">
        <w:rPr>
          <w:szCs w:val="22"/>
          <w:lang w:val="fr-FR"/>
        </w:rPr>
        <w:t xml:space="preserve">2010 </w:t>
      </w:r>
      <w:r w:rsidR="008F26D2" w:rsidRPr="00202EB9">
        <w:rPr>
          <w:szCs w:val="22"/>
          <w:lang w:val="fr-FR"/>
        </w:rPr>
        <w:t>de mener une étude indépendante sur le Plan d</w:t>
      </w:r>
      <w:r w:rsidR="00426067" w:rsidRPr="00202EB9">
        <w:rPr>
          <w:szCs w:val="22"/>
          <w:lang w:val="fr-FR"/>
        </w:rPr>
        <w:t>’</w:t>
      </w:r>
      <w:r w:rsidR="008F26D2" w:rsidRPr="00202EB9">
        <w:rPr>
          <w:szCs w:val="22"/>
          <w:lang w:val="fr-FR"/>
        </w:rPr>
        <w:t>action pour le développeme</w:t>
      </w:r>
      <w:r w:rsidR="001E787E" w:rsidRPr="00202EB9">
        <w:rPr>
          <w:szCs w:val="22"/>
          <w:lang w:val="fr-FR"/>
        </w:rPr>
        <w:t>nt.  Le</w:t>
      </w:r>
      <w:r w:rsidR="008F26D2" w:rsidRPr="00202EB9">
        <w:rPr>
          <w:szCs w:val="22"/>
          <w:lang w:val="fr-FR"/>
        </w:rPr>
        <w:t xml:space="preserve"> cahier des charges de cette étude a été adopté en</w:t>
      </w:r>
      <w:r w:rsidR="00E15713" w:rsidRPr="00202EB9">
        <w:rPr>
          <w:szCs w:val="22"/>
          <w:lang w:val="fr-FR"/>
        </w:rPr>
        <w:t> </w:t>
      </w:r>
      <w:r w:rsidR="008F26D2" w:rsidRPr="00202EB9">
        <w:rPr>
          <w:szCs w:val="22"/>
          <w:lang w:val="fr-FR"/>
        </w:rPr>
        <w:t>2014</w:t>
      </w:r>
      <w:r w:rsidR="00A958F9" w:rsidRPr="00202EB9">
        <w:rPr>
          <w:szCs w:val="22"/>
          <w:lang w:val="fr-FR"/>
        </w:rPr>
        <w:t>.  L</w:t>
      </w:r>
      <w:r w:rsidR="00426067" w:rsidRPr="00202EB9">
        <w:rPr>
          <w:szCs w:val="22"/>
          <w:lang w:val="fr-FR"/>
        </w:rPr>
        <w:t>’</w:t>
      </w:r>
      <w:r w:rsidR="00A958F9" w:rsidRPr="00202EB9">
        <w:rPr>
          <w:szCs w:val="22"/>
          <w:lang w:val="fr-FR"/>
        </w:rPr>
        <w:t>étude</w:t>
      </w:r>
      <w:r w:rsidR="008F26D2" w:rsidRPr="00202EB9">
        <w:rPr>
          <w:szCs w:val="22"/>
          <w:lang w:val="fr-FR"/>
        </w:rPr>
        <w:t xml:space="preserve"> porte sur la mise en œuvre des recommandations du Plan d</w:t>
      </w:r>
      <w:r w:rsidR="00426067" w:rsidRPr="00202EB9">
        <w:rPr>
          <w:szCs w:val="22"/>
          <w:lang w:val="fr-FR"/>
        </w:rPr>
        <w:t>’</w:t>
      </w:r>
      <w:r w:rsidR="008F26D2" w:rsidRPr="00202EB9">
        <w:rPr>
          <w:szCs w:val="22"/>
          <w:lang w:val="fr-FR"/>
        </w:rPr>
        <w:t>action pour le développement</w:t>
      </w:r>
      <w:r w:rsidRPr="00202EB9">
        <w:rPr>
          <w:szCs w:val="22"/>
          <w:lang w:val="fr-FR"/>
        </w:rPr>
        <w:t xml:space="preserve"> </w:t>
      </w:r>
      <w:r w:rsidR="00D962FD" w:rsidRPr="00202EB9">
        <w:rPr>
          <w:szCs w:val="22"/>
          <w:lang w:val="fr-FR"/>
        </w:rPr>
        <w:t xml:space="preserve">entre 2008 et </w:t>
      </w:r>
      <w:r w:rsidR="00426067" w:rsidRPr="00202EB9">
        <w:rPr>
          <w:szCs w:val="22"/>
          <w:lang w:val="fr-FR"/>
        </w:rPr>
        <w:t>avril 20</w:t>
      </w:r>
      <w:r w:rsidR="00D962FD" w:rsidRPr="00202EB9">
        <w:rPr>
          <w:szCs w:val="22"/>
          <w:lang w:val="fr-FR"/>
        </w:rPr>
        <w:t>15.</w:t>
      </w:r>
    </w:p>
    <w:p w:rsidR="00F62BFE" w:rsidRPr="00202EB9" w:rsidRDefault="00171A28" w:rsidP="00255C01">
      <w:pPr>
        <w:pStyle w:val="ONUMFS"/>
        <w:rPr>
          <w:szCs w:val="22"/>
          <w:lang w:val="fr-FR"/>
        </w:rPr>
      </w:pPr>
      <w:r w:rsidRPr="00202EB9">
        <w:rPr>
          <w:szCs w:val="22"/>
          <w:lang w:val="fr-FR"/>
        </w:rPr>
        <w:t>Une équipe de trois</w:t>
      </w:r>
      <w:r w:rsidR="00E15713" w:rsidRPr="00202EB9">
        <w:rPr>
          <w:szCs w:val="22"/>
          <w:lang w:val="fr-FR"/>
        </w:rPr>
        <w:t> </w:t>
      </w:r>
      <w:r w:rsidRPr="00202EB9">
        <w:rPr>
          <w:szCs w:val="22"/>
          <w:lang w:val="fr-FR"/>
        </w:rPr>
        <w:t>évaluateurs externes</w:t>
      </w:r>
      <w:r w:rsidRPr="00202EB9">
        <w:rPr>
          <w:rStyle w:val="FootnoteReference"/>
          <w:szCs w:val="22"/>
          <w:lang w:val="fr-FR"/>
        </w:rPr>
        <w:footnoteReference w:id="2"/>
      </w:r>
      <w:r w:rsidRPr="00202EB9">
        <w:rPr>
          <w:szCs w:val="22"/>
          <w:lang w:val="fr-FR"/>
        </w:rPr>
        <w:t xml:space="preserve"> a été constituée afin de réaliser l</w:t>
      </w:r>
      <w:r w:rsidR="00426067" w:rsidRPr="00202EB9">
        <w:rPr>
          <w:szCs w:val="22"/>
          <w:lang w:val="fr-FR"/>
        </w:rPr>
        <w:t>’</w:t>
      </w:r>
      <w:r w:rsidRPr="00202EB9">
        <w:rPr>
          <w:szCs w:val="22"/>
          <w:lang w:val="fr-FR"/>
        </w:rPr>
        <w:t>étude indépendante</w:t>
      </w:r>
      <w:r w:rsidR="00380889" w:rsidRPr="00202EB9">
        <w:rPr>
          <w:szCs w:val="22"/>
          <w:lang w:val="fr-FR"/>
        </w:rPr>
        <w:t>,</w:t>
      </w:r>
      <w:r w:rsidRPr="00202EB9">
        <w:rPr>
          <w:szCs w:val="22"/>
          <w:lang w:val="fr-FR"/>
        </w:rPr>
        <w:t xml:space="preserve"> et </w:t>
      </w:r>
      <w:r w:rsidR="00380889" w:rsidRPr="00202EB9">
        <w:rPr>
          <w:szCs w:val="22"/>
          <w:lang w:val="fr-FR"/>
        </w:rPr>
        <w:t>le rapport initial de cette dernière a été</w:t>
      </w:r>
      <w:r w:rsidRPr="00202EB9">
        <w:rPr>
          <w:szCs w:val="22"/>
          <w:lang w:val="fr-FR"/>
        </w:rPr>
        <w:t xml:space="preserve"> présenté</w:t>
      </w:r>
      <w:r w:rsidR="00380889" w:rsidRPr="00202EB9">
        <w:rPr>
          <w:szCs w:val="22"/>
          <w:lang w:val="fr-FR" w:bidi="en-US"/>
        </w:rPr>
        <w:t xml:space="preserve"> aux États membres</w:t>
      </w:r>
      <w:r w:rsidRPr="00202EB9">
        <w:rPr>
          <w:szCs w:val="22"/>
          <w:lang w:val="fr-FR"/>
        </w:rPr>
        <w:t xml:space="preserve"> en </w:t>
      </w:r>
      <w:r w:rsidR="00426067" w:rsidRPr="00202EB9">
        <w:rPr>
          <w:szCs w:val="22"/>
          <w:lang w:val="fr-FR"/>
        </w:rPr>
        <w:t>septembre 20</w:t>
      </w:r>
      <w:r w:rsidRPr="00202EB9">
        <w:rPr>
          <w:szCs w:val="22"/>
          <w:lang w:val="fr-FR"/>
        </w:rPr>
        <w:t>15</w:t>
      </w:r>
      <w:r w:rsidR="00DD229D" w:rsidRPr="00202EB9">
        <w:rPr>
          <w:szCs w:val="22"/>
          <w:lang w:val="fr-FR"/>
        </w:rPr>
        <w:t xml:space="preserve">.  Généralement bien accueilli par les États membres, </w:t>
      </w:r>
      <w:r w:rsidR="00BA5CF8" w:rsidRPr="00202EB9">
        <w:rPr>
          <w:szCs w:val="22"/>
          <w:lang w:val="fr-FR"/>
        </w:rPr>
        <w:t>ce rapport initial a également suscité des interventions supplémentaires de la part de groupes intéressés d</w:t>
      </w:r>
      <w:r w:rsidR="00426067" w:rsidRPr="00202EB9">
        <w:rPr>
          <w:szCs w:val="22"/>
          <w:lang w:val="fr-FR"/>
        </w:rPr>
        <w:t>’</w:t>
      </w:r>
      <w:r w:rsidR="00BA5CF8" w:rsidRPr="00202EB9">
        <w:rPr>
          <w:szCs w:val="22"/>
          <w:lang w:val="fr-FR"/>
        </w:rPr>
        <w:t>États membr</w:t>
      </w:r>
      <w:r w:rsidR="001E787E" w:rsidRPr="00202EB9">
        <w:rPr>
          <w:szCs w:val="22"/>
          <w:lang w:val="fr-FR"/>
        </w:rPr>
        <w:t>es.  L’é</w:t>
      </w:r>
      <w:r w:rsidR="00CA6616" w:rsidRPr="00202EB9">
        <w:rPr>
          <w:szCs w:val="22"/>
          <w:lang w:val="fr-FR"/>
        </w:rPr>
        <w:t>quipe chargée de l</w:t>
      </w:r>
      <w:r w:rsidR="00426067" w:rsidRPr="00202EB9">
        <w:rPr>
          <w:szCs w:val="22"/>
          <w:lang w:val="fr-FR"/>
        </w:rPr>
        <w:t>’</w:t>
      </w:r>
      <w:r w:rsidR="00CA6616" w:rsidRPr="00202EB9">
        <w:rPr>
          <w:szCs w:val="22"/>
          <w:lang w:val="fr-FR"/>
        </w:rPr>
        <w:t>étude a ainsi eu la possibilité</w:t>
      </w:r>
      <w:r w:rsidR="004712D9" w:rsidRPr="00202EB9">
        <w:rPr>
          <w:szCs w:val="22"/>
          <w:lang w:val="fr-FR"/>
        </w:rPr>
        <w:t xml:space="preserve"> de rencontrer les pays</w:t>
      </w:r>
      <w:r w:rsidR="00426067" w:rsidRPr="00202EB9">
        <w:rPr>
          <w:szCs w:val="22"/>
          <w:lang w:val="fr-FR"/>
        </w:rPr>
        <w:t xml:space="preserve"> du </w:t>
      </w:r>
      <w:proofErr w:type="spellStart"/>
      <w:r w:rsidR="00426067" w:rsidRPr="00202EB9">
        <w:rPr>
          <w:szCs w:val="22"/>
          <w:lang w:val="fr-FR"/>
        </w:rPr>
        <w:t>GRU</w:t>
      </w:r>
      <w:r w:rsidR="004712D9" w:rsidRPr="00202EB9">
        <w:rPr>
          <w:szCs w:val="22"/>
          <w:lang w:val="fr-FR"/>
        </w:rPr>
        <w:t>LAC</w:t>
      </w:r>
      <w:proofErr w:type="spellEnd"/>
      <w:r w:rsidR="004712D9" w:rsidRPr="00202EB9">
        <w:rPr>
          <w:szCs w:val="22"/>
          <w:lang w:val="fr-FR"/>
        </w:rPr>
        <w:t xml:space="preserve"> </w:t>
      </w:r>
      <w:r w:rsidR="00BD0A59" w:rsidRPr="00202EB9">
        <w:rPr>
          <w:szCs w:val="22"/>
          <w:lang w:val="fr-FR"/>
        </w:rPr>
        <w:t xml:space="preserve">dans le cadre </w:t>
      </w:r>
      <w:r w:rsidR="004712D9" w:rsidRPr="00202EB9">
        <w:rPr>
          <w:szCs w:val="22"/>
          <w:lang w:val="fr-FR"/>
        </w:rPr>
        <w:t>d</w:t>
      </w:r>
      <w:r w:rsidR="00426067" w:rsidRPr="00202EB9">
        <w:rPr>
          <w:szCs w:val="22"/>
          <w:lang w:val="fr-FR"/>
        </w:rPr>
        <w:t>’</w:t>
      </w:r>
      <w:r w:rsidR="004712D9" w:rsidRPr="00202EB9">
        <w:rPr>
          <w:szCs w:val="22"/>
          <w:lang w:val="fr-FR"/>
        </w:rPr>
        <w:t>une réunion spéciale, puis de participer, à la demande des pays du groupe</w:t>
      </w:r>
      <w:r w:rsidR="00E15713" w:rsidRPr="00202EB9">
        <w:rPr>
          <w:szCs w:val="22"/>
          <w:lang w:val="fr-FR"/>
        </w:rPr>
        <w:t> </w:t>
      </w:r>
      <w:r w:rsidR="004712D9" w:rsidRPr="00202EB9">
        <w:rPr>
          <w:szCs w:val="22"/>
          <w:lang w:val="fr-FR"/>
        </w:rPr>
        <w:t>B, à une téléconférence</w:t>
      </w:r>
      <w:r w:rsidR="00C459C0" w:rsidRPr="00202EB9">
        <w:rPr>
          <w:szCs w:val="22"/>
          <w:lang w:val="fr-FR"/>
        </w:rPr>
        <w:t xml:space="preserve"> destinée à permettre un échange de vues sur les résultats attendus de l</w:t>
      </w:r>
      <w:r w:rsidR="00426067" w:rsidRPr="00202EB9">
        <w:rPr>
          <w:szCs w:val="22"/>
          <w:lang w:val="fr-FR"/>
        </w:rPr>
        <w:t>’</w:t>
      </w:r>
      <w:r w:rsidR="00C459C0" w:rsidRPr="00202EB9">
        <w:rPr>
          <w:szCs w:val="22"/>
          <w:lang w:val="fr-FR"/>
        </w:rPr>
        <w:t>étude indépendan</w:t>
      </w:r>
      <w:r w:rsidR="001E787E" w:rsidRPr="00202EB9">
        <w:rPr>
          <w:szCs w:val="22"/>
          <w:lang w:val="fr-FR"/>
        </w:rPr>
        <w:t>te.  Le</w:t>
      </w:r>
      <w:r w:rsidR="00F30B63" w:rsidRPr="00202EB9">
        <w:rPr>
          <w:szCs w:val="22"/>
          <w:lang w:val="fr-FR"/>
        </w:rPr>
        <w:t xml:space="preserve"> présent rapport est donc le produit des travaux effectués</w:t>
      </w:r>
      <w:r w:rsidR="009C56F5" w:rsidRPr="00202EB9">
        <w:rPr>
          <w:szCs w:val="22"/>
          <w:lang w:val="fr-FR"/>
        </w:rPr>
        <w:t xml:space="preserve"> par les membres de l</w:t>
      </w:r>
      <w:r w:rsidR="00426067" w:rsidRPr="00202EB9">
        <w:rPr>
          <w:szCs w:val="22"/>
          <w:lang w:val="fr-FR"/>
        </w:rPr>
        <w:t>’</w:t>
      </w:r>
      <w:r w:rsidR="009C56F5" w:rsidRPr="00202EB9">
        <w:rPr>
          <w:szCs w:val="22"/>
          <w:lang w:val="fr-FR"/>
        </w:rPr>
        <w:t>équipe d</w:t>
      </w:r>
      <w:r w:rsidR="00426067" w:rsidRPr="00202EB9">
        <w:rPr>
          <w:szCs w:val="22"/>
          <w:lang w:val="fr-FR"/>
        </w:rPr>
        <w:t>’</w:t>
      </w:r>
      <w:r w:rsidR="009C56F5" w:rsidRPr="00202EB9">
        <w:rPr>
          <w:szCs w:val="22"/>
          <w:lang w:val="fr-FR"/>
        </w:rPr>
        <w:t xml:space="preserve">évaluateurs depuis </w:t>
      </w:r>
      <w:r w:rsidR="00426067" w:rsidRPr="00202EB9">
        <w:rPr>
          <w:szCs w:val="22"/>
          <w:lang w:val="fr-FR"/>
        </w:rPr>
        <w:t>mai 20</w:t>
      </w:r>
      <w:r w:rsidR="009C56F5" w:rsidRPr="00202EB9">
        <w:rPr>
          <w:szCs w:val="22"/>
          <w:lang w:val="fr-FR"/>
        </w:rPr>
        <w:t>15.</w:t>
      </w:r>
    </w:p>
    <w:p w:rsidR="00C54E5A" w:rsidRPr="00202EB9" w:rsidRDefault="007F0D55" w:rsidP="00255C01">
      <w:pPr>
        <w:pStyle w:val="ONUMFS"/>
        <w:rPr>
          <w:szCs w:val="22"/>
          <w:lang w:val="fr-FR"/>
        </w:rPr>
      </w:pPr>
      <w:r w:rsidRPr="00202EB9">
        <w:rPr>
          <w:szCs w:val="22"/>
          <w:lang w:val="fr-FR"/>
        </w:rPr>
        <w:t>Conformément au cahier des charges, l</w:t>
      </w:r>
      <w:r w:rsidR="00426067" w:rsidRPr="00202EB9">
        <w:rPr>
          <w:szCs w:val="22"/>
          <w:lang w:val="fr-FR"/>
        </w:rPr>
        <w:t>’</w:t>
      </w:r>
      <w:r w:rsidRPr="00202EB9">
        <w:rPr>
          <w:szCs w:val="22"/>
          <w:lang w:val="fr-FR"/>
        </w:rPr>
        <w:t>étude indépendante a évalué la pertinence, l</w:t>
      </w:r>
      <w:r w:rsidR="00426067" w:rsidRPr="00202EB9">
        <w:rPr>
          <w:szCs w:val="22"/>
          <w:lang w:val="fr-FR"/>
        </w:rPr>
        <w:t>’</w:t>
      </w:r>
      <w:r w:rsidRPr="00202EB9">
        <w:rPr>
          <w:szCs w:val="22"/>
          <w:lang w:val="fr-FR"/>
        </w:rPr>
        <w:t>efficacité, l</w:t>
      </w:r>
      <w:r w:rsidR="00426067" w:rsidRPr="00202EB9">
        <w:rPr>
          <w:szCs w:val="22"/>
          <w:lang w:val="fr-FR"/>
        </w:rPr>
        <w:t>’</w:t>
      </w:r>
      <w:r w:rsidRPr="00202EB9">
        <w:rPr>
          <w:szCs w:val="22"/>
          <w:lang w:val="fr-FR"/>
        </w:rPr>
        <w:t>efficience, l</w:t>
      </w:r>
      <w:r w:rsidR="00426067" w:rsidRPr="00202EB9">
        <w:rPr>
          <w:szCs w:val="22"/>
          <w:lang w:val="fr-FR"/>
        </w:rPr>
        <w:t>’</w:t>
      </w:r>
      <w:r w:rsidR="00661BB0" w:rsidRPr="00202EB9">
        <w:rPr>
          <w:szCs w:val="22"/>
          <w:lang w:val="fr-FR"/>
        </w:rPr>
        <w:t>impact</w:t>
      </w:r>
      <w:r w:rsidR="00073994" w:rsidRPr="00202EB9">
        <w:rPr>
          <w:szCs w:val="22"/>
          <w:lang w:val="fr-FR"/>
        </w:rPr>
        <w:t xml:space="preserve"> et la durabilité des </w:t>
      </w:r>
      <w:r w:rsidR="00F62BFE" w:rsidRPr="00202EB9">
        <w:rPr>
          <w:szCs w:val="22"/>
          <w:lang w:val="fr-FR"/>
        </w:rPr>
        <w:t>“</w:t>
      </w:r>
      <w:r w:rsidR="006D6E38" w:rsidRPr="00202EB9">
        <w:rPr>
          <w:szCs w:val="22"/>
          <w:lang w:val="fr-FR"/>
        </w:rPr>
        <w:t>travaux</w:t>
      </w:r>
      <w:r w:rsidR="00073994" w:rsidRPr="00202EB9">
        <w:rPr>
          <w:szCs w:val="22"/>
          <w:lang w:val="fr-FR"/>
        </w:rPr>
        <w:t xml:space="preserve"> de l</w:t>
      </w:r>
      <w:r w:rsidR="00426067" w:rsidRPr="00202EB9">
        <w:rPr>
          <w:szCs w:val="22"/>
          <w:lang w:val="fr-FR"/>
        </w:rPr>
        <w:t>’</w:t>
      </w:r>
      <w:r w:rsidR="00073994" w:rsidRPr="00202EB9">
        <w:rPr>
          <w:szCs w:val="22"/>
          <w:lang w:val="fr-FR"/>
        </w:rPr>
        <w:t>OMPI</w:t>
      </w:r>
      <w:r w:rsidR="00F62BFE" w:rsidRPr="00202EB9">
        <w:rPr>
          <w:szCs w:val="22"/>
          <w:lang w:val="fr-FR"/>
        </w:rPr>
        <w:t xml:space="preserve">” </w:t>
      </w:r>
      <w:r w:rsidR="00073994" w:rsidRPr="00202EB9">
        <w:rPr>
          <w:szCs w:val="22"/>
          <w:lang w:val="fr-FR"/>
        </w:rPr>
        <w:t>relati</w:t>
      </w:r>
      <w:r w:rsidR="006D6E38" w:rsidRPr="00202EB9">
        <w:rPr>
          <w:szCs w:val="22"/>
          <w:lang w:val="fr-FR"/>
        </w:rPr>
        <w:t>f</w:t>
      </w:r>
      <w:r w:rsidR="00073994" w:rsidRPr="00202EB9">
        <w:rPr>
          <w:szCs w:val="22"/>
          <w:lang w:val="fr-FR"/>
        </w:rPr>
        <w:t>s à la mise en œuvre des recommandations du Plan d</w:t>
      </w:r>
      <w:r w:rsidR="00426067" w:rsidRPr="00202EB9">
        <w:rPr>
          <w:szCs w:val="22"/>
          <w:lang w:val="fr-FR"/>
        </w:rPr>
        <w:t>’</w:t>
      </w:r>
      <w:r w:rsidR="00073994" w:rsidRPr="00202EB9">
        <w:rPr>
          <w:szCs w:val="22"/>
          <w:lang w:val="fr-FR"/>
        </w:rPr>
        <w:t>action pour le développeme</w:t>
      </w:r>
      <w:r w:rsidR="001E787E" w:rsidRPr="00202EB9">
        <w:rPr>
          <w:szCs w:val="22"/>
          <w:lang w:val="fr-FR"/>
        </w:rPr>
        <w:t>nt.  L’é</w:t>
      </w:r>
      <w:r w:rsidR="00A7301F" w:rsidRPr="00202EB9">
        <w:rPr>
          <w:szCs w:val="22"/>
          <w:lang w:val="fr-FR"/>
        </w:rPr>
        <w:t>quipe chargée de l</w:t>
      </w:r>
      <w:r w:rsidR="00426067" w:rsidRPr="00202EB9">
        <w:rPr>
          <w:szCs w:val="22"/>
          <w:lang w:val="fr-FR"/>
        </w:rPr>
        <w:t>’</w:t>
      </w:r>
      <w:r w:rsidR="00A7301F" w:rsidRPr="00202EB9">
        <w:rPr>
          <w:szCs w:val="22"/>
          <w:lang w:val="fr-FR"/>
        </w:rPr>
        <w:t xml:space="preserve">étude a examiné à cet effet les résultats des activités entreprises </w:t>
      </w:r>
      <w:r w:rsidR="00A055E4" w:rsidRPr="00202EB9">
        <w:rPr>
          <w:szCs w:val="22"/>
          <w:lang w:val="fr-FR"/>
        </w:rPr>
        <w:t>aux fins</w:t>
      </w:r>
      <w:r w:rsidR="00A7301F" w:rsidRPr="00202EB9">
        <w:rPr>
          <w:szCs w:val="22"/>
          <w:lang w:val="fr-FR"/>
        </w:rPr>
        <w:t xml:space="preserve"> de </w:t>
      </w:r>
      <w:r w:rsidR="00126371" w:rsidRPr="00202EB9">
        <w:rPr>
          <w:szCs w:val="22"/>
          <w:lang w:val="fr-FR"/>
        </w:rPr>
        <w:t>cette</w:t>
      </w:r>
      <w:r w:rsidR="00A7301F" w:rsidRPr="00202EB9">
        <w:rPr>
          <w:szCs w:val="22"/>
          <w:lang w:val="fr-FR"/>
        </w:rPr>
        <w:t xml:space="preserve"> mise en œuvre</w:t>
      </w:r>
      <w:r w:rsidR="00082A8A" w:rsidRPr="00202EB9">
        <w:rPr>
          <w:szCs w:val="22"/>
          <w:lang w:val="fr-FR"/>
        </w:rPr>
        <w:t>, en portant une attention particulière</w:t>
      </w:r>
      <w:r w:rsidR="00A055E4" w:rsidRPr="00202EB9">
        <w:rPr>
          <w:szCs w:val="22"/>
          <w:lang w:val="fr-FR"/>
        </w:rPr>
        <w:t xml:space="preserve"> à </w:t>
      </w:r>
      <w:r w:rsidR="00640A10" w:rsidRPr="00202EB9">
        <w:rPr>
          <w:szCs w:val="22"/>
          <w:lang w:val="fr-FR"/>
        </w:rPr>
        <w:t>l</w:t>
      </w:r>
      <w:r w:rsidR="00EB58DC" w:rsidRPr="00202EB9">
        <w:rPr>
          <w:szCs w:val="22"/>
          <w:lang w:val="fr-FR"/>
        </w:rPr>
        <w:t>a manière dont l</w:t>
      </w:r>
      <w:r w:rsidR="00A055E4" w:rsidRPr="00202EB9">
        <w:rPr>
          <w:szCs w:val="22"/>
          <w:lang w:val="fr-FR"/>
        </w:rPr>
        <w:t xml:space="preserve">es </w:t>
      </w:r>
      <w:r w:rsidR="00BD3CCE" w:rsidRPr="00202EB9">
        <w:rPr>
          <w:szCs w:val="22"/>
          <w:lang w:val="fr-FR"/>
        </w:rPr>
        <w:t>travaux de l</w:t>
      </w:r>
      <w:r w:rsidR="00426067" w:rsidRPr="00202EB9">
        <w:rPr>
          <w:szCs w:val="22"/>
          <w:lang w:val="fr-FR"/>
        </w:rPr>
        <w:t>’</w:t>
      </w:r>
      <w:r w:rsidR="00BD3CCE" w:rsidRPr="00202EB9">
        <w:rPr>
          <w:szCs w:val="22"/>
          <w:lang w:val="fr-FR"/>
        </w:rPr>
        <w:t>OMPI</w:t>
      </w:r>
      <w:r w:rsidR="00A055E4" w:rsidRPr="00202EB9">
        <w:rPr>
          <w:szCs w:val="22"/>
          <w:lang w:val="fr-FR"/>
        </w:rPr>
        <w:t xml:space="preserve"> et leurs résultats</w:t>
      </w:r>
      <w:r w:rsidR="00640A10" w:rsidRPr="00202EB9">
        <w:rPr>
          <w:szCs w:val="22"/>
          <w:lang w:val="fr-FR"/>
        </w:rPr>
        <w:t xml:space="preserve"> </w:t>
      </w:r>
      <w:r w:rsidR="00EB58DC" w:rsidRPr="00202EB9">
        <w:rPr>
          <w:szCs w:val="22"/>
          <w:lang w:val="fr-FR"/>
        </w:rPr>
        <w:t>avaient répondu</w:t>
      </w:r>
      <w:r w:rsidR="00640A10" w:rsidRPr="00202EB9">
        <w:rPr>
          <w:szCs w:val="22"/>
          <w:lang w:val="fr-FR"/>
        </w:rPr>
        <w:t xml:space="preserve"> </w:t>
      </w:r>
      <w:r w:rsidR="00A33DD0" w:rsidRPr="00202EB9">
        <w:rPr>
          <w:szCs w:val="22"/>
          <w:lang w:val="fr-FR"/>
        </w:rPr>
        <w:t>aux besoins des États membres, des parties prenantes et des autres bénéficiaires</w:t>
      </w:r>
      <w:r w:rsidR="000706F2" w:rsidRPr="00202EB9">
        <w:rPr>
          <w:szCs w:val="22"/>
          <w:lang w:val="fr-FR"/>
        </w:rPr>
        <w:t xml:space="preserve"> visés</w:t>
      </w:r>
      <w:r w:rsidR="00A33DD0" w:rsidRPr="00202EB9">
        <w:rPr>
          <w:szCs w:val="22"/>
          <w:lang w:val="fr-FR"/>
        </w:rPr>
        <w:t>.</w:t>
      </w:r>
    </w:p>
    <w:p w:rsidR="00F62BFE" w:rsidRPr="00202EB9" w:rsidRDefault="006C2002" w:rsidP="00255C01">
      <w:pPr>
        <w:pStyle w:val="ONUMFS"/>
        <w:rPr>
          <w:szCs w:val="22"/>
          <w:lang w:val="fr-FR"/>
        </w:rPr>
      </w:pPr>
      <w:r w:rsidRPr="00202EB9">
        <w:rPr>
          <w:szCs w:val="22"/>
          <w:lang w:val="fr-FR"/>
        </w:rPr>
        <w:t xml:space="preserve">Dans le cadre de son étude des </w:t>
      </w:r>
      <w:r w:rsidR="00BD3CCE" w:rsidRPr="00202EB9">
        <w:rPr>
          <w:szCs w:val="22"/>
          <w:lang w:val="fr-FR"/>
        </w:rPr>
        <w:t>travaux de l</w:t>
      </w:r>
      <w:r w:rsidR="00426067" w:rsidRPr="00202EB9">
        <w:rPr>
          <w:szCs w:val="22"/>
          <w:lang w:val="fr-FR"/>
        </w:rPr>
        <w:t>’</w:t>
      </w:r>
      <w:r w:rsidR="00BD3CCE" w:rsidRPr="00202EB9">
        <w:rPr>
          <w:szCs w:val="22"/>
          <w:lang w:val="fr-FR"/>
        </w:rPr>
        <w:t>OMPI</w:t>
      </w:r>
      <w:r w:rsidRPr="00202EB9">
        <w:rPr>
          <w:szCs w:val="22"/>
          <w:lang w:val="fr-FR"/>
        </w:rPr>
        <w:t>, l</w:t>
      </w:r>
      <w:r w:rsidR="00426067" w:rsidRPr="00202EB9">
        <w:rPr>
          <w:szCs w:val="22"/>
          <w:lang w:val="fr-FR"/>
        </w:rPr>
        <w:t>’</w:t>
      </w:r>
      <w:r w:rsidRPr="00202EB9">
        <w:rPr>
          <w:szCs w:val="22"/>
          <w:lang w:val="fr-FR"/>
        </w:rPr>
        <w:t>équipe d</w:t>
      </w:r>
      <w:r w:rsidR="00426067" w:rsidRPr="00202EB9">
        <w:rPr>
          <w:szCs w:val="22"/>
          <w:lang w:val="fr-FR"/>
        </w:rPr>
        <w:t>’</w:t>
      </w:r>
      <w:r w:rsidRPr="00202EB9">
        <w:rPr>
          <w:szCs w:val="22"/>
          <w:lang w:val="fr-FR"/>
        </w:rPr>
        <w:t>évaluateurs a notamment examiné le mode et l</w:t>
      </w:r>
      <w:r w:rsidR="00426067" w:rsidRPr="00202EB9">
        <w:rPr>
          <w:szCs w:val="22"/>
          <w:lang w:val="fr-FR"/>
        </w:rPr>
        <w:t>’</w:t>
      </w:r>
      <w:r w:rsidRPr="00202EB9">
        <w:rPr>
          <w:szCs w:val="22"/>
          <w:lang w:val="fr-FR"/>
        </w:rPr>
        <w:t>étendue de la mise en œuvre des recommandations du Plan d</w:t>
      </w:r>
      <w:r w:rsidR="00426067" w:rsidRPr="00202EB9">
        <w:rPr>
          <w:szCs w:val="22"/>
          <w:lang w:val="fr-FR"/>
        </w:rPr>
        <w:t>’</w:t>
      </w:r>
      <w:r w:rsidRPr="00202EB9">
        <w:rPr>
          <w:szCs w:val="22"/>
          <w:lang w:val="fr-FR"/>
        </w:rPr>
        <w:t>action</w:t>
      </w:r>
      <w:r w:rsidR="00012D6F" w:rsidRPr="00202EB9">
        <w:rPr>
          <w:szCs w:val="22"/>
          <w:lang w:val="fr-FR"/>
        </w:rPr>
        <w:t xml:space="preserve"> pour le développement, ainsi que le degré d</w:t>
      </w:r>
      <w:r w:rsidR="00426067" w:rsidRPr="00202EB9">
        <w:rPr>
          <w:szCs w:val="22"/>
          <w:lang w:val="fr-FR"/>
        </w:rPr>
        <w:t>’</w:t>
      </w:r>
      <w:r w:rsidR="00012D6F" w:rsidRPr="00202EB9">
        <w:rPr>
          <w:szCs w:val="22"/>
          <w:lang w:val="fr-FR"/>
        </w:rPr>
        <w:t>intégration de ces dernières dans les activités ordinaires de l</w:t>
      </w:r>
      <w:r w:rsidR="00426067" w:rsidRPr="00202EB9">
        <w:rPr>
          <w:szCs w:val="22"/>
          <w:lang w:val="fr-FR"/>
        </w:rPr>
        <w:t>’</w:t>
      </w:r>
      <w:r w:rsidR="00012D6F" w:rsidRPr="00202EB9">
        <w:rPr>
          <w:szCs w:val="22"/>
          <w:lang w:val="fr-FR"/>
        </w:rPr>
        <w:t>OMPI, le travail accompli par les différents organes de l</w:t>
      </w:r>
      <w:r w:rsidR="00426067" w:rsidRPr="00202EB9">
        <w:rPr>
          <w:szCs w:val="22"/>
          <w:lang w:val="fr-FR"/>
        </w:rPr>
        <w:t>’</w:t>
      </w:r>
      <w:r w:rsidR="00012D6F" w:rsidRPr="00202EB9">
        <w:rPr>
          <w:szCs w:val="22"/>
          <w:lang w:val="fr-FR"/>
        </w:rPr>
        <w:t>OMPI, et en particulier</w:t>
      </w:r>
      <w:r w:rsidR="00426067" w:rsidRPr="00202EB9">
        <w:rPr>
          <w:szCs w:val="22"/>
          <w:lang w:val="fr-FR"/>
        </w:rPr>
        <w:t xml:space="preserve"> le </w:t>
      </w:r>
      <w:proofErr w:type="spellStart"/>
      <w:r w:rsidR="00426067" w:rsidRPr="00202EB9">
        <w:rPr>
          <w:szCs w:val="22"/>
          <w:lang w:val="fr-FR"/>
        </w:rPr>
        <w:t>CDI</w:t>
      </w:r>
      <w:r w:rsidR="00012D6F" w:rsidRPr="00202EB9">
        <w:rPr>
          <w:szCs w:val="22"/>
          <w:lang w:val="fr-FR"/>
        </w:rPr>
        <w:t>P</w:t>
      </w:r>
      <w:proofErr w:type="spellEnd"/>
      <w:r w:rsidR="00012D6F" w:rsidRPr="00202EB9">
        <w:rPr>
          <w:szCs w:val="22"/>
          <w:lang w:val="fr-FR"/>
        </w:rPr>
        <w:t>, l</w:t>
      </w:r>
      <w:r w:rsidR="00426067" w:rsidRPr="00202EB9">
        <w:rPr>
          <w:szCs w:val="22"/>
          <w:lang w:val="fr-FR"/>
        </w:rPr>
        <w:t>’</w:t>
      </w:r>
      <w:r w:rsidR="00012D6F" w:rsidRPr="00202EB9">
        <w:rPr>
          <w:szCs w:val="22"/>
          <w:lang w:val="fr-FR"/>
        </w:rPr>
        <w:t>utilisation de ressources humaines et financières</w:t>
      </w:r>
      <w:r w:rsidR="00ED5D02" w:rsidRPr="00202EB9">
        <w:rPr>
          <w:szCs w:val="22"/>
          <w:lang w:val="fr-FR"/>
        </w:rPr>
        <w:t xml:space="preserve"> dans la mise en </w:t>
      </w:r>
      <w:r w:rsidR="00807787" w:rsidRPr="00202EB9">
        <w:rPr>
          <w:szCs w:val="22"/>
          <w:lang w:val="fr-FR"/>
        </w:rPr>
        <w:t xml:space="preserve">œuvre </w:t>
      </w:r>
      <w:r w:rsidR="00ED5D02" w:rsidRPr="00202EB9">
        <w:rPr>
          <w:szCs w:val="22"/>
          <w:lang w:val="fr-FR"/>
        </w:rPr>
        <w:t>du Plan d</w:t>
      </w:r>
      <w:r w:rsidR="00426067" w:rsidRPr="00202EB9">
        <w:rPr>
          <w:szCs w:val="22"/>
          <w:lang w:val="fr-FR"/>
        </w:rPr>
        <w:t>’</w:t>
      </w:r>
      <w:r w:rsidR="00ED5D02" w:rsidRPr="00202EB9">
        <w:rPr>
          <w:szCs w:val="22"/>
          <w:lang w:val="fr-FR"/>
        </w:rPr>
        <w:t xml:space="preserve">action pour le développement, ainsi que la </w:t>
      </w:r>
      <w:r w:rsidR="002D5E77" w:rsidRPr="00202EB9">
        <w:rPr>
          <w:szCs w:val="22"/>
          <w:lang w:val="fr-FR"/>
        </w:rPr>
        <w:t>durabilité</w:t>
      </w:r>
      <w:r w:rsidR="00ED5D02" w:rsidRPr="00202EB9">
        <w:rPr>
          <w:szCs w:val="22"/>
          <w:lang w:val="fr-FR"/>
        </w:rPr>
        <w:t xml:space="preserve"> des différents projets et activités </w:t>
      </w:r>
      <w:r w:rsidR="00807787" w:rsidRPr="00202EB9">
        <w:rPr>
          <w:szCs w:val="22"/>
          <w:lang w:val="fr-FR"/>
        </w:rPr>
        <w:t>approuvés par</w:t>
      </w:r>
      <w:r w:rsidR="00426067" w:rsidRPr="00202EB9">
        <w:rPr>
          <w:szCs w:val="22"/>
          <w:lang w:val="fr-FR"/>
        </w:rPr>
        <w:t xml:space="preserve"> le </w:t>
      </w:r>
      <w:proofErr w:type="spellStart"/>
      <w:r w:rsidR="00426067" w:rsidRPr="00202EB9">
        <w:rPr>
          <w:szCs w:val="22"/>
          <w:lang w:val="fr-FR"/>
        </w:rPr>
        <w:t>CDI</w:t>
      </w:r>
      <w:r w:rsidR="00807787" w:rsidRPr="00202EB9">
        <w:rPr>
          <w:szCs w:val="22"/>
          <w:lang w:val="fr-FR"/>
        </w:rPr>
        <w:t>P</w:t>
      </w:r>
      <w:proofErr w:type="spellEnd"/>
      <w:r w:rsidR="00807787" w:rsidRPr="00202EB9">
        <w:rPr>
          <w:szCs w:val="22"/>
          <w:lang w:val="fr-FR"/>
        </w:rPr>
        <w:t>.</w:t>
      </w:r>
    </w:p>
    <w:p w:rsidR="00F62BFE" w:rsidRPr="00202EB9" w:rsidRDefault="002679DC"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 xml:space="preserve">étude a été menée conformément aux directives du Groupe des </w:t>
      </w:r>
      <w:r w:rsidR="00426067" w:rsidRPr="00202EB9">
        <w:rPr>
          <w:szCs w:val="22"/>
          <w:lang w:val="fr-FR"/>
        </w:rPr>
        <w:t>Nations Unies</w:t>
      </w:r>
      <w:r w:rsidRPr="00202EB9">
        <w:rPr>
          <w:szCs w:val="22"/>
          <w:lang w:val="fr-FR"/>
        </w:rPr>
        <w:t xml:space="preserve"> pour l</w:t>
      </w:r>
      <w:r w:rsidR="00426067" w:rsidRPr="00202EB9">
        <w:rPr>
          <w:szCs w:val="22"/>
          <w:lang w:val="fr-FR"/>
        </w:rPr>
        <w:t>’</w:t>
      </w:r>
      <w:r w:rsidRPr="00202EB9">
        <w:rPr>
          <w:szCs w:val="22"/>
          <w:lang w:val="fr-FR"/>
        </w:rPr>
        <w:t>évaluation (</w:t>
      </w:r>
      <w:proofErr w:type="spellStart"/>
      <w:r w:rsidRPr="00202EB9">
        <w:rPr>
          <w:szCs w:val="22"/>
          <w:lang w:val="fr-FR"/>
        </w:rPr>
        <w:t>UNEG</w:t>
      </w:r>
      <w:proofErr w:type="spellEnd"/>
      <w:r w:rsidRPr="00202EB9">
        <w:rPr>
          <w:szCs w:val="22"/>
          <w:lang w:val="fr-FR"/>
        </w:rPr>
        <w:t>) et à la politique d</w:t>
      </w:r>
      <w:r w:rsidR="00426067" w:rsidRPr="00202EB9">
        <w:rPr>
          <w:szCs w:val="22"/>
          <w:lang w:val="fr-FR"/>
        </w:rPr>
        <w:t>’</w:t>
      </w:r>
      <w:r w:rsidRPr="00202EB9">
        <w:rPr>
          <w:szCs w:val="22"/>
          <w:lang w:val="fr-FR"/>
        </w:rPr>
        <w:t>évaluation de l</w:t>
      </w:r>
      <w:r w:rsidR="00426067" w:rsidRPr="00202EB9">
        <w:rPr>
          <w:szCs w:val="22"/>
          <w:lang w:val="fr-FR"/>
        </w:rPr>
        <w:t>’</w:t>
      </w:r>
      <w:r w:rsidRPr="00202EB9">
        <w:rPr>
          <w:szCs w:val="22"/>
          <w:lang w:val="fr-FR"/>
        </w:rPr>
        <w:t xml:space="preserve">OMPI (2010), </w:t>
      </w:r>
      <w:r w:rsidR="006F6159" w:rsidRPr="00202EB9">
        <w:rPr>
          <w:szCs w:val="22"/>
          <w:lang w:val="fr-FR"/>
        </w:rPr>
        <w:t>ainsi que dans le respect de principes méthodologiques fondamentaux</w:t>
      </w:r>
      <w:r w:rsidR="00281E61" w:rsidRPr="00202EB9">
        <w:rPr>
          <w:szCs w:val="22"/>
          <w:lang w:val="fr-FR"/>
        </w:rPr>
        <w:t xml:space="preserve"> mettant notamment l</w:t>
      </w:r>
      <w:r w:rsidR="00426067" w:rsidRPr="00202EB9">
        <w:rPr>
          <w:szCs w:val="22"/>
          <w:lang w:val="fr-FR"/>
        </w:rPr>
        <w:t>’</w:t>
      </w:r>
      <w:r w:rsidR="00281E61" w:rsidRPr="00202EB9">
        <w:rPr>
          <w:szCs w:val="22"/>
          <w:lang w:val="fr-FR"/>
        </w:rPr>
        <w:t>accent sur la triangulation (validation croisée) des sources de données et l</w:t>
      </w:r>
      <w:r w:rsidR="00426067" w:rsidRPr="00202EB9">
        <w:rPr>
          <w:szCs w:val="22"/>
          <w:lang w:val="fr-FR"/>
        </w:rPr>
        <w:t>’</w:t>
      </w:r>
      <w:r w:rsidR="00281E61" w:rsidRPr="00202EB9">
        <w:rPr>
          <w:szCs w:val="22"/>
          <w:lang w:val="fr-FR"/>
        </w:rPr>
        <w:t>évaluation de la plausibilité des résultats obtenus,</w:t>
      </w:r>
      <w:r w:rsidR="00C82B67" w:rsidRPr="00202EB9">
        <w:rPr>
          <w:szCs w:val="22"/>
          <w:lang w:val="fr-FR"/>
        </w:rPr>
        <w:t xml:space="preserve"> </w:t>
      </w:r>
      <w:r w:rsidR="00F030CB" w:rsidRPr="00202EB9">
        <w:rPr>
          <w:szCs w:val="22"/>
          <w:lang w:val="fr-FR"/>
        </w:rPr>
        <w:t>l</w:t>
      </w:r>
      <w:r w:rsidR="00426067" w:rsidRPr="00202EB9">
        <w:rPr>
          <w:szCs w:val="22"/>
          <w:lang w:val="fr-FR"/>
        </w:rPr>
        <w:t>’</w:t>
      </w:r>
      <w:r w:rsidR="00F030CB" w:rsidRPr="00202EB9">
        <w:rPr>
          <w:szCs w:val="22"/>
          <w:lang w:val="fr-FR"/>
        </w:rPr>
        <w:t>application du raisonnement déductif pour parvenir à des conclusions et recommandations à partir des observations issues de l</w:t>
      </w:r>
      <w:r w:rsidR="00426067" w:rsidRPr="00202EB9">
        <w:rPr>
          <w:szCs w:val="22"/>
          <w:lang w:val="fr-FR"/>
        </w:rPr>
        <w:t>’</w:t>
      </w:r>
      <w:r w:rsidR="00F030CB" w:rsidRPr="00202EB9">
        <w:rPr>
          <w:szCs w:val="22"/>
          <w:lang w:val="fr-FR"/>
        </w:rPr>
        <w:t>évaluation, une démarche participative</w:t>
      </w:r>
      <w:r w:rsidR="00B5510F" w:rsidRPr="00202EB9">
        <w:rPr>
          <w:szCs w:val="22"/>
          <w:lang w:val="fr-FR"/>
        </w:rPr>
        <w:t xml:space="preserve"> consistant à solliciter activement les points de vue des bénéficiaires des projets et activités, </w:t>
      </w:r>
      <w:r w:rsidR="00E938BD" w:rsidRPr="00202EB9">
        <w:rPr>
          <w:szCs w:val="22"/>
          <w:lang w:val="fr-FR"/>
        </w:rPr>
        <w:t>ainsi que la collecte des opinions, idées et perceptions des diverses parties prenantes.</w:t>
      </w:r>
    </w:p>
    <w:p w:rsidR="00F62BFE" w:rsidRPr="00202EB9" w:rsidRDefault="00C02165" w:rsidP="00255C01">
      <w:pPr>
        <w:pStyle w:val="ONUMFS"/>
        <w:rPr>
          <w:szCs w:val="22"/>
          <w:lang w:val="fr-FR"/>
        </w:rPr>
      </w:pPr>
      <w:r w:rsidRPr="00202EB9">
        <w:rPr>
          <w:szCs w:val="22"/>
          <w:lang w:val="fr-FR"/>
        </w:rPr>
        <w:t>Les questions de l</w:t>
      </w:r>
      <w:r w:rsidR="00426067" w:rsidRPr="00202EB9">
        <w:rPr>
          <w:szCs w:val="22"/>
          <w:lang w:val="fr-FR"/>
        </w:rPr>
        <w:t>’</w:t>
      </w:r>
      <w:r w:rsidRPr="00202EB9">
        <w:rPr>
          <w:szCs w:val="22"/>
          <w:lang w:val="fr-FR"/>
        </w:rPr>
        <w:t xml:space="preserve">étude </w:t>
      </w:r>
      <w:r w:rsidR="001913D9" w:rsidRPr="00202EB9">
        <w:rPr>
          <w:szCs w:val="22"/>
          <w:lang w:val="fr-FR"/>
        </w:rPr>
        <w:t>s</w:t>
      </w:r>
      <w:r w:rsidR="00426067" w:rsidRPr="00202EB9">
        <w:rPr>
          <w:szCs w:val="22"/>
          <w:lang w:val="fr-FR"/>
        </w:rPr>
        <w:t>’</w:t>
      </w:r>
      <w:r w:rsidR="001913D9" w:rsidRPr="00202EB9">
        <w:rPr>
          <w:szCs w:val="22"/>
          <w:lang w:val="fr-FR"/>
        </w:rPr>
        <w:t>inscrivaient dans le cadre d</w:t>
      </w:r>
      <w:r w:rsidR="00426067" w:rsidRPr="00202EB9">
        <w:rPr>
          <w:szCs w:val="22"/>
          <w:lang w:val="fr-FR"/>
        </w:rPr>
        <w:t>’</w:t>
      </w:r>
      <w:r w:rsidR="001913D9" w:rsidRPr="00202EB9">
        <w:rPr>
          <w:szCs w:val="22"/>
          <w:lang w:val="fr-FR"/>
        </w:rPr>
        <w:t>une démarche favorisant largement l</w:t>
      </w:r>
      <w:r w:rsidR="00426067" w:rsidRPr="00202EB9">
        <w:rPr>
          <w:szCs w:val="22"/>
          <w:lang w:val="fr-FR"/>
        </w:rPr>
        <w:t>’</w:t>
      </w:r>
      <w:r w:rsidR="001913D9" w:rsidRPr="00202EB9">
        <w:rPr>
          <w:szCs w:val="22"/>
          <w:lang w:val="fr-FR"/>
        </w:rPr>
        <w:t xml:space="preserve">inclusion et la participation </w:t>
      </w:r>
      <w:r w:rsidR="007248E2" w:rsidRPr="00202EB9">
        <w:rPr>
          <w:szCs w:val="22"/>
          <w:lang w:val="fr-FR"/>
        </w:rPr>
        <w:t xml:space="preserve">des principaux bénéficiaires et </w:t>
      </w:r>
      <w:r w:rsidR="001A0C6A" w:rsidRPr="00202EB9">
        <w:rPr>
          <w:szCs w:val="22"/>
          <w:lang w:val="fr-FR"/>
        </w:rPr>
        <w:t>acteurs</w:t>
      </w:r>
      <w:r w:rsidR="007248E2" w:rsidRPr="00202EB9">
        <w:rPr>
          <w:szCs w:val="22"/>
          <w:lang w:val="fr-FR"/>
        </w:rPr>
        <w:t>, et notamment</w:t>
      </w:r>
      <w:r w:rsidR="003A1C6E" w:rsidRPr="00202EB9">
        <w:rPr>
          <w:szCs w:val="22"/>
          <w:lang w:val="fr-FR"/>
        </w:rPr>
        <w:t xml:space="preserve"> </w:t>
      </w:r>
      <w:r w:rsidR="000A547E" w:rsidRPr="00202EB9">
        <w:rPr>
          <w:szCs w:val="22"/>
          <w:lang w:val="fr-FR"/>
        </w:rPr>
        <w:t xml:space="preserve">de </w:t>
      </w:r>
      <w:r w:rsidR="001270AC" w:rsidRPr="00202EB9">
        <w:rPr>
          <w:szCs w:val="22"/>
          <w:lang w:val="fr-FR"/>
        </w:rPr>
        <w:t>ceux contribuant à la mise en œuvre des recommandations du Plan d</w:t>
      </w:r>
      <w:r w:rsidR="00426067" w:rsidRPr="00202EB9">
        <w:rPr>
          <w:szCs w:val="22"/>
          <w:lang w:val="fr-FR"/>
        </w:rPr>
        <w:t>’</w:t>
      </w:r>
      <w:r w:rsidR="001270AC" w:rsidRPr="00202EB9">
        <w:rPr>
          <w:szCs w:val="22"/>
          <w:lang w:val="fr-FR"/>
        </w:rPr>
        <w:t xml:space="preserve">action pour le développement et </w:t>
      </w:r>
      <w:r w:rsidR="003A1C6E" w:rsidRPr="00202EB9">
        <w:rPr>
          <w:szCs w:val="22"/>
          <w:lang w:val="fr-FR"/>
        </w:rPr>
        <w:t xml:space="preserve">les parties prenantes </w:t>
      </w:r>
      <w:r w:rsidR="007248E2" w:rsidRPr="00202EB9">
        <w:rPr>
          <w:szCs w:val="22"/>
          <w:lang w:val="fr-FR"/>
        </w:rPr>
        <w:t>aux négociations du</w:t>
      </w:r>
      <w:r w:rsidR="00087935" w:rsidRPr="00202EB9">
        <w:rPr>
          <w:szCs w:val="22"/>
          <w:lang w:val="fr-FR"/>
        </w:rPr>
        <w:t xml:space="preserve"> Plan d</w:t>
      </w:r>
      <w:r w:rsidR="00426067" w:rsidRPr="00202EB9">
        <w:rPr>
          <w:szCs w:val="22"/>
          <w:lang w:val="fr-FR"/>
        </w:rPr>
        <w:t>’</w:t>
      </w:r>
      <w:r w:rsidR="00087935" w:rsidRPr="00202EB9">
        <w:rPr>
          <w:szCs w:val="22"/>
          <w:lang w:val="fr-FR"/>
        </w:rPr>
        <w:t>action pour le développement et aux réunions</w:t>
      </w:r>
      <w:r w:rsidR="00426067" w:rsidRPr="00202EB9">
        <w:rPr>
          <w:szCs w:val="22"/>
          <w:lang w:val="fr-FR"/>
        </w:rPr>
        <w:t xml:space="preserve"> du </w:t>
      </w:r>
      <w:proofErr w:type="spellStart"/>
      <w:r w:rsidR="00426067" w:rsidRPr="00202EB9">
        <w:rPr>
          <w:szCs w:val="22"/>
          <w:lang w:val="fr-FR"/>
        </w:rPr>
        <w:t>C</w:t>
      </w:r>
      <w:r w:rsidR="001E787E" w:rsidRPr="00202EB9">
        <w:rPr>
          <w:szCs w:val="22"/>
          <w:lang w:val="fr-FR"/>
        </w:rPr>
        <w:t>DIP</w:t>
      </w:r>
      <w:proofErr w:type="spellEnd"/>
      <w:r w:rsidR="001E787E" w:rsidRPr="00202EB9">
        <w:rPr>
          <w:szCs w:val="22"/>
          <w:lang w:val="fr-FR"/>
        </w:rPr>
        <w:t>.  Un</w:t>
      </w:r>
      <w:r w:rsidR="00567A13" w:rsidRPr="00202EB9">
        <w:rPr>
          <w:szCs w:val="22"/>
          <w:lang w:val="fr-FR"/>
        </w:rPr>
        <w:t>e combinaison d</w:t>
      </w:r>
      <w:r w:rsidR="00426067" w:rsidRPr="00202EB9">
        <w:rPr>
          <w:szCs w:val="22"/>
          <w:lang w:val="fr-FR"/>
        </w:rPr>
        <w:t>’</w:t>
      </w:r>
      <w:r w:rsidR="000015E7" w:rsidRPr="00202EB9">
        <w:rPr>
          <w:szCs w:val="22"/>
          <w:lang w:val="fr-FR"/>
        </w:rPr>
        <w:t xml:space="preserve">outils </w:t>
      </w:r>
      <w:r w:rsidR="00567A13" w:rsidRPr="00202EB9">
        <w:rPr>
          <w:szCs w:val="22"/>
          <w:lang w:val="fr-FR"/>
        </w:rPr>
        <w:t>a</w:t>
      </w:r>
      <w:r w:rsidR="000015E7" w:rsidRPr="00202EB9">
        <w:rPr>
          <w:szCs w:val="22"/>
          <w:lang w:val="fr-FR"/>
        </w:rPr>
        <w:t xml:space="preserve"> été utilisé</w:t>
      </w:r>
      <w:r w:rsidR="00567A13" w:rsidRPr="00202EB9">
        <w:rPr>
          <w:szCs w:val="22"/>
          <w:lang w:val="fr-FR"/>
        </w:rPr>
        <w:t>e</w:t>
      </w:r>
      <w:r w:rsidR="000015E7" w:rsidRPr="00202EB9">
        <w:rPr>
          <w:szCs w:val="22"/>
          <w:lang w:val="fr-FR"/>
        </w:rPr>
        <w:t xml:space="preserve"> </w:t>
      </w:r>
      <w:r w:rsidR="009F2510" w:rsidRPr="00202EB9">
        <w:rPr>
          <w:szCs w:val="22"/>
          <w:lang w:val="fr-FR"/>
        </w:rPr>
        <w:t>afin de garantir l</w:t>
      </w:r>
      <w:r w:rsidR="004F2448" w:rsidRPr="00202EB9">
        <w:rPr>
          <w:szCs w:val="22"/>
          <w:lang w:val="fr-FR"/>
        </w:rPr>
        <w:t xml:space="preserve">a fiabilité </w:t>
      </w:r>
      <w:r w:rsidR="009F2510" w:rsidRPr="00202EB9">
        <w:rPr>
          <w:szCs w:val="22"/>
          <w:lang w:val="fr-FR"/>
        </w:rPr>
        <w:t>des données recueillies</w:t>
      </w:r>
      <w:r w:rsidR="000E50C9" w:rsidRPr="00202EB9">
        <w:rPr>
          <w:szCs w:val="22"/>
          <w:lang w:val="fr-FR"/>
        </w:rPr>
        <w:t>, et donc des résultats, conclusions et recommandations fondés sur une information</w:t>
      </w:r>
      <w:r w:rsidR="00663E1E" w:rsidRPr="00202EB9">
        <w:rPr>
          <w:szCs w:val="22"/>
          <w:lang w:val="fr-FR"/>
        </w:rPr>
        <w:t xml:space="preserve"> </w:t>
      </w:r>
      <w:r w:rsidR="004F2448" w:rsidRPr="00202EB9">
        <w:rPr>
          <w:szCs w:val="22"/>
          <w:lang w:val="fr-FR"/>
        </w:rPr>
        <w:t>bien étayée</w:t>
      </w:r>
      <w:r w:rsidR="00663E1E" w:rsidRPr="00202EB9">
        <w:rPr>
          <w:szCs w:val="22"/>
          <w:lang w:val="fr-FR"/>
        </w:rPr>
        <w:t>, abondante et de qualité.</w:t>
      </w:r>
    </w:p>
    <w:p w:rsidR="00C54E5A" w:rsidRPr="00202EB9" w:rsidRDefault="00961E2D"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étude préliminaire s</w:t>
      </w:r>
      <w:r w:rsidR="00426067" w:rsidRPr="00202EB9">
        <w:rPr>
          <w:szCs w:val="22"/>
          <w:lang w:val="fr-FR"/>
        </w:rPr>
        <w:t>’</w:t>
      </w:r>
      <w:r w:rsidRPr="00202EB9">
        <w:rPr>
          <w:szCs w:val="22"/>
          <w:lang w:val="fr-FR"/>
        </w:rPr>
        <w:t xml:space="preserve">est </w:t>
      </w:r>
      <w:r w:rsidR="004C581D" w:rsidRPr="00202EB9">
        <w:rPr>
          <w:szCs w:val="22"/>
          <w:lang w:val="fr-FR"/>
        </w:rPr>
        <w:t>concentr</w:t>
      </w:r>
      <w:r w:rsidRPr="00202EB9">
        <w:rPr>
          <w:szCs w:val="22"/>
          <w:lang w:val="fr-FR"/>
        </w:rPr>
        <w:t>ée sur l</w:t>
      </w:r>
      <w:r w:rsidR="00426067" w:rsidRPr="00202EB9">
        <w:rPr>
          <w:szCs w:val="22"/>
          <w:lang w:val="fr-FR"/>
        </w:rPr>
        <w:t>’</w:t>
      </w:r>
      <w:r w:rsidRPr="00202EB9">
        <w:rPr>
          <w:szCs w:val="22"/>
          <w:lang w:val="fr-FR"/>
        </w:rPr>
        <w:t xml:space="preserve">analyse de données secondaires pertinentes, </w:t>
      </w:r>
      <w:r w:rsidR="005D0E5F" w:rsidRPr="00202EB9">
        <w:rPr>
          <w:szCs w:val="22"/>
          <w:lang w:val="fr-FR"/>
        </w:rPr>
        <w:t>notamment</w:t>
      </w:r>
      <w:r w:rsidRPr="00202EB9">
        <w:rPr>
          <w:szCs w:val="22"/>
          <w:lang w:val="fr-FR"/>
        </w:rPr>
        <w:t xml:space="preserve"> de documents produits dans le contexte</w:t>
      </w:r>
      <w:r w:rsidR="00426067" w:rsidRPr="00202EB9">
        <w:rPr>
          <w:szCs w:val="22"/>
          <w:lang w:val="fr-FR"/>
        </w:rPr>
        <w:t xml:space="preserve"> du </w:t>
      </w:r>
      <w:proofErr w:type="spellStart"/>
      <w:r w:rsidR="00426067" w:rsidRPr="00202EB9">
        <w:rPr>
          <w:szCs w:val="22"/>
          <w:lang w:val="fr-FR"/>
        </w:rPr>
        <w:t>CDI</w:t>
      </w:r>
      <w:r w:rsidRPr="00202EB9">
        <w:rPr>
          <w:szCs w:val="22"/>
          <w:lang w:val="fr-FR"/>
        </w:rPr>
        <w:t>P</w:t>
      </w:r>
      <w:proofErr w:type="spellEnd"/>
      <w:r w:rsidRPr="00202EB9">
        <w:rPr>
          <w:szCs w:val="22"/>
          <w:lang w:val="fr-FR"/>
        </w:rPr>
        <w:t>, tels que</w:t>
      </w:r>
      <w:r w:rsidR="007B5D54" w:rsidRPr="00202EB9">
        <w:rPr>
          <w:szCs w:val="22"/>
          <w:lang w:val="fr-FR"/>
        </w:rPr>
        <w:t xml:space="preserve"> documents de travail, études, </w:t>
      </w:r>
      <w:r w:rsidR="00345E5E" w:rsidRPr="00202EB9">
        <w:rPr>
          <w:szCs w:val="22"/>
          <w:lang w:val="fr-FR"/>
        </w:rPr>
        <w:t>rapports de projets, rapports d</w:t>
      </w:r>
      <w:r w:rsidR="00426067" w:rsidRPr="00202EB9">
        <w:rPr>
          <w:szCs w:val="22"/>
          <w:lang w:val="fr-FR"/>
        </w:rPr>
        <w:t>’</w:t>
      </w:r>
      <w:r w:rsidR="00345E5E" w:rsidRPr="00202EB9">
        <w:rPr>
          <w:szCs w:val="22"/>
          <w:lang w:val="fr-FR"/>
        </w:rPr>
        <w:t xml:space="preserve">évaluations, rapports intérimaires, </w:t>
      </w:r>
      <w:r w:rsidR="00282478" w:rsidRPr="00202EB9">
        <w:rPr>
          <w:szCs w:val="22"/>
          <w:lang w:val="fr-FR"/>
        </w:rPr>
        <w:t>mécanisme de coordination, modalités de suivi, d</w:t>
      </w:r>
      <w:r w:rsidR="00426067" w:rsidRPr="00202EB9">
        <w:rPr>
          <w:szCs w:val="22"/>
          <w:lang w:val="fr-FR"/>
        </w:rPr>
        <w:t>’</w:t>
      </w:r>
      <w:r w:rsidR="00282478" w:rsidRPr="00202EB9">
        <w:rPr>
          <w:szCs w:val="22"/>
          <w:lang w:val="fr-FR"/>
        </w:rPr>
        <w:t>évaluation et d</w:t>
      </w:r>
      <w:r w:rsidR="00426067" w:rsidRPr="00202EB9">
        <w:rPr>
          <w:szCs w:val="22"/>
          <w:lang w:val="fr-FR"/>
        </w:rPr>
        <w:t>’</w:t>
      </w:r>
      <w:r w:rsidR="00282478" w:rsidRPr="00202EB9">
        <w:rPr>
          <w:szCs w:val="22"/>
          <w:lang w:val="fr-FR"/>
        </w:rPr>
        <w:t>établissement de rapports</w:t>
      </w:r>
      <w:r w:rsidR="00390C0C" w:rsidRPr="00202EB9">
        <w:rPr>
          <w:szCs w:val="22"/>
          <w:lang w:val="fr-FR"/>
        </w:rPr>
        <w:t>, pour n</w:t>
      </w:r>
      <w:r w:rsidR="00426067" w:rsidRPr="00202EB9">
        <w:rPr>
          <w:szCs w:val="22"/>
          <w:lang w:val="fr-FR"/>
        </w:rPr>
        <w:t>’</w:t>
      </w:r>
      <w:r w:rsidR="00390C0C" w:rsidRPr="00202EB9">
        <w:rPr>
          <w:szCs w:val="22"/>
          <w:lang w:val="fr-FR"/>
        </w:rPr>
        <w:t xml:space="preserve">en </w:t>
      </w:r>
      <w:r w:rsidR="004F53E0" w:rsidRPr="00202EB9">
        <w:rPr>
          <w:szCs w:val="22"/>
          <w:lang w:val="fr-FR"/>
        </w:rPr>
        <w:t>cit</w:t>
      </w:r>
      <w:r w:rsidR="00390C0C" w:rsidRPr="00202EB9">
        <w:rPr>
          <w:szCs w:val="22"/>
          <w:lang w:val="fr-FR"/>
        </w:rPr>
        <w:t>er que quelques</w:t>
      </w:r>
      <w:r w:rsidR="001E787E" w:rsidRPr="00202EB9">
        <w:rPr>
          <w:szCs w:val="22"/>
          <w:lang w:val="fr-FR"/>
        </w:rPr>
        <w:noBreakHyphen/>
      </w:r>
      <w:r w:rsidR="00390C0C" w:rsidRPr="00202EB9">
        <w:rPr>
          <w:szCs w:val="22"/>
          <w:lang w:val="fr-FR"/>
        </w:rPr>
        <w:t>uns.</w:t>
      </w:r>
    </w:p>
    <w:p w:rsidR="00F62BFE" w:rsidRPr="00202EB9" w:rsidRDefault="00842798"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étude a également été menée sous forme d</w:t>
      </w:r>
      <w:r w:rsidR="00426067" w:rsidRPr="00202EB9">
        <w:rPr>
          <w:szCs w:val="22"/>
          <w:lang w:val="fr-FR"/>
        </w:rPr>
        <w:t>’</w:t>
      </w:r>
      <w:r w:rsidR="00184946" w:rsidRPr="00202EB9">
        <w:rPr>
          <w:szCs w:val="22"/>
          <w:lang w:val="fr-FR"/>
        </w:rPr>
        <w:t>entre</w:t>
      </w:r>
      <w:r w:rsidR="00A471B6" w:rsidRPr="00202EB9">
        <w:rPr>
          <w:szCs w:val="22"/>
          <w:lang w:val="fr-FR"/>
        </w:rPr>
        <w:t>tiens</w:t>
      </w:r>
      <w:r w:rsidR="00184946" w:rsidRPr="00202EB9">
        <w:rPr>
          <w:szCs w:val="22"/>
          <w:lang w:val="fr-FR"/>
        </w:rPr>
        <w:t xml:space="preserve"> </w:t>
      </w:r>
      <w:r w:rsidRPr="00202EB9">
        <w:rPr>
          <w:szCs w:val="22"/>
          <w:lang w:val="fr-FR"/>
        </w:rPr>
        <w:t>auprès de</w:t>
      </w:r>
      <w:r w:rsidR="00184946" w:rsidRPr="00202EB9">
        <w:rPr>
          <w:szCs w:val="22"/>
          <w:lang w:val="fr-FR"/>
        </w:rPr>
        <w:t xml:space="preserve"> fonctionnaires de l</w:t>
      </w:r>
      <w:r w:rsidR="00426067" w:rsidRPr="00202EB9">
        <w:rPr>
          <w:szCs w:val="22"/>
          <w:lang w:val="fr-FR"/>
        </w:rPr>
        <w:t>’</w:t>
      </w:r>
      <w:r w:rsidR="00184946" w:rsidRPr="00202EB9">
        <w:rPr>
          <w:szCs w:val="22"/>
          <w:lang w:val="fr-FR"/>
        </w:rPr>
        <w:t xml:space="preserve">OMPI, </w:t>
      </w:r>
      <w:r w:rsidR="00210E0A" w:rsidRPr="00202EB9">
        <w:rPr>
          <w:szCs w:val="22"/>
          <w:lang w:val="fr-FR"/>
        </w:rPr>
        <w:t>notamment des membres de la haute direction, des responsables de projet et des</w:t>
      </w:r>
      <w:r w:rsidR="00096391" w:rsidRPr="00202EB9">
        <w:rPr>
          <w:szCs w:val="22"/>
          <w:lang w:val="fr-FR"/>
        </w:rPr>
        <w:t xml:space="preserve"> fonctionnaires </w:t>
      </w:r>
      <w:r w:rsidR="0002768C" w:rsidRPr="00202EB9">
        <w:rPr>
          <w:szCs w:val="22"/>
          <w:lang w:val="fr-FR"/>
        </w:rPr>
        <w:t>participant à</w:t>
      </w:r>
      <w:r w:rsidR="00210E0A" w:rsidRPr="00202EB9">
        <w:rPr>
          <w:szCs w:val="22"/>
          <w:lang w:val="fr-FR"/>
        </w:rPr>
        <w:t xml:space="preserve"> la mise en œuvre du Plan d</w:t>
      </w:r>
      <w:r w:rsidR="00426067" w:rsidRPr="00202EB9">
        <w:rPr>
          <w:szCs w:val="22"/>
          <w:lang w:val="fr-FR"/>
        </w:rPr>
        <w:t>’</w:t>
      </w:r>
      <w:r w:rsidR="00210E0A" w:rsidRPr="00202EB9">
        <w:rPr>
          <w:szCs w:val="22"/>
          <w:lang w:val="fr-FR"/>
        </w:rPr>
        <w:t>action pour le développeme</w:t>
      </w:r>
      <w:r w:rsidR="001E787E" w:rsidRPr="00202EB9">
        <w:rPr>
          <w:szCs w:val="22"/>
          <w:lang w:val="fr-FR"/>
        </w:rPr>
        <w:t>nt.  De</w:t>
      </w:r>
      <w:r w:rsidR="00096391" w:rsidRPr="00202EB9">
        <w:rPr>
          <w:szCs w:val="22"/>
          <w:lang w:val="fr-FR"/>
        </w:rPr>
        <w:t xml:space="preserve">s entretiens ont été tenus </w:t>
      </w:r>
      <w:r w:rsidRPr="00202EB9">
        <w:rPr>
          <w:szCs w:val="22"/>
          <w:lang w:val="fr-FR"/>
        </w:rPr>
        <w:t xml:space="preserve">aussi </w:t>
      </w:r>
      <w:r w:rsidR="00096391" w:rsidRPr="00202EB9">
        <w:rPr>
          <w:szCs w:val="22"/>
          <w:lang w:val="fr-FR"/>
        </w:rPr>
        <w:t>avec</w:t>
      </w:r>
      <w:r w:rsidR="006107A7" w:rsidRPr="00202EB9">
        <w:rPr>
          <w:szCs w:val="22"/>
          <w:lang w:val="fr-FR"/>
        </w:rPr>
        <w:t xml:space="preserve"> </w:t>
      </w:r>
      <w:r w:rsidR="00D72B39" w:rsidRPr="00202EB9">
        <w:rPr>
          <w:szCs w:val="22"/>
          <w:lang w:val="fr-FR"/>
        </w:rPr>
        <w:t>d</w:t>
      </w:r>
      <w:r w:rsidR="006107A7" w:rsidRPr="00202EB9">
        <w:rPr>
          <w:szCs w:val="22"/>
          <w:lang w:val="fr-FR"/>
        </w:rPr>
        <w:t>es représentants de</w:t>
      </w:r>
      <w:r w:rsidR="00D72B39" w:rsidRPr="00202EB9">
        <w:rPr>
          <w:szCs w:val="22"/>
          <w:lang w:val="fr-FR"/>
        </w:rPr>
        <w:t xml:space="preserve">s missions permanentes à Genève, </w:t>
      </w:r>
      <w:r w:rsidR="006107A7" w:rsidRPr="00202EB9">
        <w:rPr>
          <w:szCs w:val="22"/>
          <w:lang w:val="fr-FR"/>
        </w:rPr>
        <w:t>des membres d</w:t>
      </w:r>
      <w:r w:rsidR="00426067" w:rsidRPr="00202EB9">
        <w:rPr>
          <w:szCs w:val="22"/>
          <w:lang w:val="fr-FR"/>
        </w:rPr>
        <w:t>’</w:t>
      </w:r>
      <w:r w:rsidR="006107A7" w:rsidRPr="00202EB9">
        <w:rPr>
          <w:szCs w:val="22"/>
          <w:lang w:val="fr-FR"/>
        </w:rPr>
        <w:t xml:space="preserve">administrations chargées de la propriété intellectuelle, </w:t>
      </w:r>
      <w:r w:rsidR="00AF7171" w:rsidRPr="00202EB9">
        <w:rPr>
          <w:szCs w:val="22"/>
          <w:lang w:val="fr-FR"/>
        </w:rPr>
        <w:t>des fonctionnaires basés dans différentes capitales, d</w:t>
      </w:r>
      <w:r w:rsidR="00426067" w:rsidRPr="00202EB9">
        <w:rPr>
          <w:szCs w:val="22"/>
          <w:lang w:val="fr-FR"/>
        </w:rPr>
        <w:t>’</w:t>
      </w:r>
      <w:r w:rsidR="00AF7171" w:rsidRPr="00202EB9">
        <w:rPr>
          <w:szCs w:val="22"/>
          <w:lang w:val="fr-FR"/>
        </w:rPr>
        <w:t>anciens présidents</w:t>
      </w:r>
      <w:r w:rsidR="00426067" w:rsidRPr="00202EB9">
        <w:rPr>
          <w:szCs w:val="22"/>
          <w:lang w:val="fr-FR"/>
        </w:rPr>
        <w:t xml:space="preserve"> du </w:t>
      </w:r>
      <w:proofErr w:type="spellStart"/>
      <w:r w:rsidR="00426067" w:rsidRPr="00202EB9">
        <w:rPr>
          <w:szCs w:val="22"/>
          <w:lang w:val="fr-FR"/>
        </w:rPr>
        <w:t>CDI</w:t>
      </w:r>
      <w:r w:rsidR="00AF7171" w:rsidRPr="00202EB9">
        <w:rPr>
          <w:szCs w:val="22"/>
          <w:lang w:val="fr-FR"/>
        </w:rPr>
        <w:t>P</w:t>
      </w:r>
      <w:proofErr w:type="spellEnd"/>
      <w:r w:rsidR="00AF7171" w:rsidRPr="00202EB9">
        <w:rPr>
          <w:szCs w:val="22"/>
          <w:lang w:val="fr-FR"/>
        </w:rPr>
        <w:t xml:space="preserve">, des évaluateurs et des </w:t>
      </w:r>
      <w:r w:rsidR="0002768C" w:rsidRPr="00202EB9">
        <w:rPr>
          <w:szCs w:val="22"/>
          <w:lang w:val="fr-FR"/>
        </w:rPr>
        <w:t>représentants</w:t>
      </w:r>
      <w:r w:rsidR="00AF7171" w:rsidRPr="00202EB9">
        <w:rPr>
          <w:szCs w:val="22"/>
          <w:lang w:val="fr-FR"/>
        </w:rPr>
        <w:t xml:space="preserve"> d</w:t>
      </w:r>
      <w:r w:rsidR="00426067" w:rsidRPr="00202EB9">
        <w:rPr>
          <w:szCs w:val="22"/>
          <w:lang w:val="fr-FR"/>
        </w:rPr>
        <w:t>’</w:t>
      </w:r>
      <w:r w:rsidR="00AF7171" w:rsidRPr="00202EB9">
        <w:rPr>
          <w:szCs w:val="22"/>
          <w:lang w:val="fr-FR"/>
        </w:rPr>
        <w:t>industries, d</w:t>
      </w:r>
      <w:r w:rsidR="00426067" w:rsidRPr="00202EB9">
        <w:rPr>
          <w:szCs w:val="22"/>
          <w:lang w:val="fr-FR"/>
        </w:rPr>
        <w:t>’</w:t>
      </w:r>
      <w:r w:rsidR="00AF7171" w:rsidRPr="00202EB9">
        <w:rPr>
          <w:szCs w:val="22"/>
          <w:lang w:val="fr-FR"/>
        </w:rPr>
        <w:t xml:space="preserve">organisations </w:t>
      </w:r>
      <w:proofErr w:type="spellStart"/>
      <w:r w:rsidR="00AF7171" w:rsidRPr="00202EB9">
        <w:rPr>
          <w:szCs w:val="22"/>
          <w:lang w:val="fr-FR"/>
        </w:rPr>
        <w:t>intergouvernementales</w:t>
      </w:r>
      <w:proofErr w:type="spellEnd"/>
      <w:r w:rsidR="00AF7171" w:rsidRPr="00202EB9">
        <w:rPr>
          <w:szCs w:val="22"/>
          <w:lang w:val="fr-FR"/>
        </w:rPr>
        <w:t>, d</w:t>
      </w:r>
      <w:r w:rsidR="00426067" w:rsidRPr="00202EB9">
        <w:rPr>
          <w:szCs w:val="22"/>
          <w:lang w:val="fr-FR"/>
        </w:rPr>
        <w:t>’</w:t>
      </w:r>
      <w:r w:rsidR="00AF7171" w:rsidRPr="00202EB9">
        <w:rPr>
          <w:szCs w:val="22"/>
          <w:lang w:val="fr-FR"/>
        </w:rPr>
        <w:t>organisations non gouvernementales, du secteur privé et du monde universitaire.</w:t>
      </w:r>
    </w:p>
    <w:p w:rsidR="00F62BFE" w:rsidRPr="00202EB9" w:rsidRDefault="009F736B" w:rsidP="00255C01">
      <w:pPr>
        <w:pStyle w:val="ONUMFS"/>
        <w:rPr>
          <w:szCs w:val="22"/>
          <w:lang w:val="fr-FR"/>
        </w:rPr>
      </w:pPr>
      <w:r w:rsidRPr="00202EB9">
        <w:rPr>
          <w:szCs w:val="22"/>
          <w:lang w:val="fr-FR"/>
        </w:rPr>
        <w:t>Des missions</w:t>
      </w:r>
      <w:r w:rsidR="00842798" w:rsidRPr="00202EB9">
        <w:rPr>
          <w:szCs w:val="22"/>
          <w:lang w:val="fr-FR"/>
        </w:rPr>
        <w:t xml:space="preserve"> ont été organisées </w:t>
      </w:r>
      <w:r w:rsidR="00145508" w:rsidRPr="00202EB9">
        <w:rPr>
          <w:szCs w:val="22"/>
          <w:lang w:val="fr-FR"/>
        </w:rPr>
        <w:t xml:space="preserve">en outre </w:t>
      </w:r>
      <w:r w:rsidR="00842798" w:rsidRPr="00202EB9">
        <w:rPr>
          <w:szCs w:val="22"/>
          <w:lang w:val="fr-FR"/>
        </w:rPr>
        <w:t xml:space="preserve">en Argentine, en Égypte, en Éthiopie, en </w:t>
      </w:r>
      <w:r w:rsidR="004F398F" w:rsidRPr="00202EB9">
        <w:rPr>
          <w:szCs w:val="22"/>
          <w:lang w:val="fr-FR"/>
        </w:rPr>
        <w:t xml:space="preserve">République de </w:t>
      </w:r>
      <w:r w:rsidR="00842798" w:rsidRPr="00202EB9">
        <w:rPr>
          <w:szCs w:val="22"/>
          <w:lang w:val="fr-FR"/>
        </w:rPr>
        <w:t>Mold</w:t>
      </w:r>
      <w:r w:rsidR="004F398F" w:rsidRPr="00202EB9">
        <w:rPr>
          <w:szCs w:val="22"/>
          <w:lang w:val="fr-FR"/>
        </w:rPr>
        <w:t>ova</w:t>
      </w:r>
      <w:r w:rsidR="00842798" w:rsidRPr="00202EB9">
        <w:rPr>
          <w:szCs w:val="22"/>
          <w:lang w:val="fr-FR"/>
        </w:rPr>
        <w:t xml:space="preserve"> et en Thaïlan</w:t>
      </w:r>
      <w:r w:rsidR="001E787E" w:rsidRPr="00202EB9">
        <w:rPr>
          <w:szCs w:val="22"/>
          <w:lang w:val="fr-FR"/>
        </w:rPr>
        <w:t>de.  Le</w:t>
      </w:r>
      <w:r w:rsidR="0086417C" w:rsidRPr="00202EB9">
        <w:rPr>
          <w:szCs w:val="22"/>
          <w:lang w:val="fr-FR"/>
        </w:rPr>
        <w:t xml:space="preserve">s critères ayant présidé au choix de ces pays </w:t>
      </w:r>
      <w:r w:rsidR="00566E9C" w:rsidRPr="00202EB9">
        <w:rPr>
          <w:szCs w:val="22"/>
          <w:lang w:val="fr-FR"/>
        </w:rPr>
        <w:t>sont l</w:t>
      </w:r>
      <w:r w:rsidR="00B73DF0" w:rsidRPr="00202EB9">
        <w:rPr>
          <w:szCs w:val="22"/>
          <w:lang w:val="fr-FR"/>
        </w:rPr>
        <w:t xml:space="preserve">eur </w:t>
      </w:r>
      <w:r w:rsidR="00566E9C" w:rsidRPr="00202EB9">
        <w:rPr>
          <w:szCs w:val="22"/>
          <w:lang w:val="fr-FR"/>
        </w:rPr>
        <w:t>équilibre géographique, le</w:t>
      </w:r>
      <w:r w:rsidR="00B73DF0" w:rsidRPr="00202EB9">
        <w:rPr>
          <w:szCs w:val="22"/>
          <w:lang w:val="fr-FR"/>
        </w:rPr>
        <w:t>ur</w:t>
      </w:r>
      <w:r w:rsidR="00566E9C" w:rsidRPr="00202EB9">
        <w:rPr>
          <w:szCs w:val="22"/>
          <w:lang w:val="fr-FR"/>
        </w:rPr>
        <w:t xml:space="preserve"> niveau de développement</w:t>
      </w:r>
      <w:r w:rsidR="00B73DF0" w:rsidRPr="00202EB9">
        <w:rPr>
          <w:szCs w:val="22"/>
          <w:lang w:val="fr-FR"/>
        </w:rPr>
        <w:t xml:space="preserve"> et</w:t>
      </w:r>
      <w:r w:rsidR="00344DE8" w:rsidRPr="00202EB9">
        <w:rPr>
          <w:szCs w:val="22"/>
          <w:lang w:val="fr-FR"/>
        </w:rPr>
        <w:t xml:space="preserve"> le fait qu</w:t>
      </w:r>
      <w:r w:rsidR="00426067" w:rsidRPr="00202EB9">
        <w:rPr>
          <w:szCs w:val="22"/>
          <w:lang w:val="fr-FR"/>
        </w:rPr>
        <w:t>’</w:t>
      </w:r>
      <w:r w:rsidR="00344DE8" w:rsidRPr="00202EB9">
        <w:rPr>
          <w:szCs w:val="22"/>
          <w:lang w:val="fr-FR"/>
        </w:rPr>
        <w:t>ils bénéficient d</w:t>
      </w:r>
      <w:r w:rsidR="00426067" w:rsidRPr="00202EB9">
        <w:rPr>
          <w:szCs w:val="22"/>
          <w:lang w:val="fr-FR"/>
        </w:rPr>
        <w:t>’</w:t>
      </w:r>
      <w:r w:rsidR="00344DE8" w:rsidRPr="00202EB9">
        <w:rPr>
          <w:szCs w:val="22"/>
          <w:lang w:val="fr-FR"/>
        </w:rPr>
        <w:t>activités d</w:t>
      </w:r>
      <w:r w:rsidR="00426067" w:rsidRPr="00202EB9">
        <w:rPr>
          <w:szCs w:val="22"/>
          <w:lang w:val="fr-FR"/>
        </w:rPr>
        <w:t>’</w:t>
      </w:r>
      <w:r w:rsidR="00344DE8" w:rsidRPr="00202EB9">
        <w:rPr>
          <w:szCs w:val="22"/>
          <w:lang w:val="fr-FR"/>
        </w:rPr>
        <w:t>assistance technique</w:t>
      </w:r>
      <w:r w:rsidR="007A4423" w:rsidRPr="00202EB9">
        <w:rPr>
          <w:szCs w:val="22"/>
          <w:lang w:val="fr-FR"/>
        </w:rPr>
        <w:t xml:space="preserve"> relevant du Plan d</w:t>
      </w:r>
      <w:r w:rsidR="00426067" w:rsidRPr="00202EB9">
        <w:rPr>
          <w:szCs w:val="22"/>
          <w:lang w:val="fr-FR"/>
        </w:rPr>
        <w:t>’</w:t>
      </w:r>
      <w:r w:rsidR="007A4423" w:rsidRPr="00202EB9">
        <w:rPr>
          <w:szCs w:val="22"/>
          <w:lang w:val="fr-FR"/>
        </w:rPr>
        <w:t xml:space="preserve">action pour le développement, </w:t>
      </w:r>
      <w:r w:rsidR="00E845AE" w:rsidRPr="00202EB9">
        <w:rPr>
          <w:szCs w:val="22"/>
          <w:lang w:val="fr-FR"/>
        </w:rPr>
        <w:t>d</w:t>
      </w:r>
      <w:r w:rsidR="00426067" w:rsidRPr="00202EB9">
        <w:rPr>
          <w:szCs w:val="22"/>
          <w:lang w:val="fr-FR"/>
        </w:rPr>
        <w:t>’</w:t>
      </w:r>
      <w:r w:rsidR="00E845AE" w:rsidRPr="00202EB9">
        <w:rPr>
          <w:szCs w:val="22"/>
          <w:lang w:val="fr-FR"/>
        </w:rPr>
        <w:t>études économiques, de stratégies nationales</w:t>
      </w:r>
      <w:r w:rsidR="00344DE8" w:rsidRPr="00202EB9">
        <w:rPr>
          <w:szCs w:val="22"/>
          <w:lang w:val="fr-FR"/>
        </w:rPr>
        <w:t xml:space="preserve"> </w:t>
      </w:r>
      <w:r w:rsidR="00E845AE" w:rsidRPr="00202EB9">
        <w:rPr>
          <w:szCs w:val="22"/>
          <w:lang w:val="fr-FR"/>
        </w:rPr>
        <w:t>de propriété intellectuelle</w:t>
      </w:r>
      <w:r w:rsidR="00566E9C" w:rsidRPr="00202EB9">
        <w:rPr>
          <w:szCs w:val="22"/>
          <w:lang w:val="fr-FR"/>
        </w:rPr>
        <w:t xml:space="preserve"> </w:t>
      </w:r>
      <w:r w:rsidR="00E845AE" w:rsidRPr="00202EB9">
        <w:rPr>
          <w:szCs w:val="22"/>
          <w:lang w:val="fr-FR"/>
        </w:rPr>
        <w:t>ou de l</w:t>
      </w:r>
      <w:r w:rsidR="00426067" w:rsidRPr="00202EB9">
        <w:rPr>
          <w:szCs w:val="22"/>
          <w:lang w:val="fr-FR"/>
        </w:rPr>
        <w:t>’</w:t>
      </w:r>
      <w:r w:rsidR="00E845AE" w:rsidRPr="00202EB9">
        <w:rPr>
          <w:szCs w:val="22"/>
          <w:lang w:val="fr-FR"/>
        </w:rPr>
        <w:t>appui de l</w:t>
      </w:r>
      <w:r w:rsidR="00426067" w:rsidRPr="00202EB9">
        <w:rPr>
          <w:szCs w:val="22"/>
          <w:lang w:val="fr-FR"/>
        </w:rPr>
        <w:t>’</w:t>
      </w:r>
      <w:r w:rsidR="00E845AE" w:rsidRPr="00202EB9">
        <w:rPr>
          <w:szCs w:val="22"/>
          <w:lang w:val="fr-FR"/>
        </w:rPr>
        <w:t>OMPI en matière de renforcement des capacités nationales.</w:t>
      </w:r>
    </w:p>
    <w:p w:rsidR="00F62BFE" w:rsidRPr="00202EB9" w:rsidRDefault="00F6719C" w:rsidP="00255C01">
      <w:pPr>
        <w:pStyle w:val="ONUMFS"/>
        <w:rPr>
          <w:szCs w:val="22"/>
          <w:lang w:val="fr-FR"/>
        </w:rPr>
      </w:pPr>
      <w:r w:rsidRPr="00202EB9">
        <w:rPr>
          <w:szCs w:val="22"/>
          <w:lang w:val="fr-FR"/>
        </w:rPr>
        <w:t>Afin d</w:t>
      </w:r>
      <w:r w:rsidR="00426067" w:rsidRPr="00202EB9">
        <w:rPr>
          <w:szCs w:val="22"/>
          <w:lang w:val="fr-FR"/>
        </w:rPr>
        <w:t>’</w:t>
      </w:r>
      <w:r w:rsidR="009C73B0" w:rsidRPr="00202EB9">
        <w:rPr>
          <w:szCs w:val="22"/>
          <w:lang w:val="fr-FR"/>
        </w:rPr>
        <w:t>élargi</w:t>
      </w:r>
      <w:r w:rsidRPr="00202EB9">
        <w:rPr>
          <w:szCs w:val="22"/>
          <w:lang w:val="fr-FR"/>
        </w:rPr>
        <w:t>r la portée de l</w:t>
      </w:r>
      <w:r w:rsidR="00426067" w:rsidRPr="00202EB9">
        <w:rPr>
          <w:szCs w:val="22"/>
          <w:lang w:val="fr-FR"/>
        </w:rPr>
        <w:t>’</w:t>
      </w:r>
      <w:r w:rsidRPr="00202EB9">
        <w:rPr>
          <w:szCs w:val="22"/>
          <w:lang w:val="fr-FR"/>
        </w:rPr>
        <w:t>étude, des questionnaires structurés ont été adressés en ligne</w:t>
      </w:r>
      <w:r w:rsidR="0088735D" w:rsidRPr="00202EB9">
        <w:rPr>
          <w:szCs w:val="22"/>
          <w:lang w:val="fr-FR"/>
        </w:rPr>
        <w:t xml:space="preserve"> à des parties prenantes telles que les représentants en poste à Genève, les offices nationaux et régionaux de propriété intellectuelle, les organisations non gouvernementales, les organisations </w:t>
      </w:r>
      <w:proofErr w:type="spellStart"/>
      <w:r w:rsidR="0088735D" w:rsidRPr="00202EB9">
        <w:rPr>
          <w:szCs w:val="22"/>
          <w:lang w:val="fr-FR"/>
        </w:rPr>
        <w:t>intergouvernementales</w:t>
      </w:r>
      <w:proofErr w:type="spellEnd"/>
      <w:r w:rsidR="0088735D" w:rsidRPr="00202EB9">
        <w:rPr>
          <w:szCs w:val="22"/>
          <w:lang w:val="fr-FR"/>
        </w:rPr>
        <w:t xml:space="preserve"> et le public en général.</w:t>
      </w:r>
    </w:p>
    <w:p w:rsidR="00D317DA" w:rsidRPr="00202EB9" w:rsidRDefault="00B07CE3"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étude a permis à l</w:t>
      </w:r>
      <w:r w:rsidR="00426067" w:rsidRPr="00202EB9">
        <w:rPr>
          <w:szCs w:val="22"/>
          <w:lang w:val="fr-FR"/>
        </w:rPr>
        <w:t>’</w:t>
      </w:r>
      <w:r w:rsidRPr="00202EB9">
        <w:rPr>
          <w:szCs w:val="22"/>
          <w:lang w:val="fr-FR"/>
        </w:rPr>
        <w:t>équipe de dégager 15</w:t>
      </w:r>
      <w:r w:rsidR="001E787E" w:rsidRPr="00202EB9">
        <w:rPr>
          <w:szCs w:val="22"/>
          <w:lang w:val="fr-FR"/>
        </w:rPr>
        <w:t> </w:t>
      </w:r>
      <w:r w:rsidR="006D123A" w:rsidRPr="00202EB9">
        <w:rPr>
          <w:szCs w:val="22"/>
          <w:lang w:val="fr-FR"/>
        </w:rPr>
        <w:t>con</w:t>
      </w:r>
      <w:r w:rsidR="00CA2748" w:rsidRPr="00202EB9">
        <w:rPr>
          <w:szCs w:val="22"/>
          <w:lang w:val="fr-FR"/>
        </w:rPr>
        <w:t>clus</w:t>
      </w:r>
      <w:r w:rsidR="006D123A" w:rsidRPr="00202EB9">
        <w:rPr>
          <w:szCs w:val="22"/>
          <w:lang w:val="fr-FR"/>
        </w:rPr>
        <w:t xml:space="preserve">ions </w:t>
      </w:r>
      <w:r w:rsidR="00396659" w:rsidRPr="00202EB9">
        <w:rPr>
          <w:szCs w:val="22"/>
          <w:lang w:val="fr-FR"/>
        </w:rPr>
        <w:t>sur la base d</w:t>
      </w:r>
      <w:r w:rsidR="002C5C35" w:rsidRPr="00202EB9">
        <w:rPr>
          <w:szCs w:val="22"/>
          <w:lang w:val="fr-FR"/>
        </w:rPr>
        <w:t>es critères de pertinence, d</w:t>
      </w:r>
      <w:r w:rsidR="00426067" w:rsidRPr="00202EB9">
        <w:rPr>
          <w:szCs w:val="22"/>
          <w:lang w:val="fr-FR"/>
        </w:rPr>
        <w:t>’</w:t>
      </w:r>
      <w:r w:rsidR="002C5C35" w:rsidRPr="00202EB9">
        <w:rPr>
          <w:szCs w:val="22"/>
          <w:lang w:val="fr-FR"/>
        </w:rPr>
        <w:t>efficacité, d</w:t>
      </w:r>
      <w:r w:rsidR="00426067" w:rsidRPr="00202EB9">
        <w:rPr>
          <w:szCs w:val="22"/>
          <w:lang w:val="fr-FR"/>
        </w:rPr>
        <w:t>’</w:t>
      </w:r>
      <w:r w:rsidR="006D123A" w:rsidRPr="00202EB9">
        <w:rPr>
          <w:szCs w:val="22"/>
          <w:lang w:val="fr-FR"/>
        </w:rPr>
        <w:t>e</w:t>
      </w:r>
      <w:r w:rsidR="002C5C35" w:rsidRPr="00202EB9">
        <w:rPr>
          <w:szCs w:val="22"/>
          <w:lang w:val="fr-FR"/>
        </w:rPr>
        <w:t>f</w:t>
      </w:r>
      <w:r w:rsidR="006D123A" w:rsidRPr="00202EB9">
        <w:rPr>
          <w:szCs w:val="22"/>
          <w:lang w:val="fr-FR"/>
        </w:rPr>
        <w:t>f</w:t>
      </w:r>
      <w:r w:rsidR="002C5C35" w:rsidRPr="00202EB9">
        <w:rPr>
          <w:szCs w:val="22"/>
          <w:lang w:val="fr-FR"/>
        </w:rPr>
        <w:t>icience, d</w:t>
      </w:r>
      <w:r w:rsidR="00426067" w:rsidRPr="00202EB9">
        <w:rPr>
          <w:szCs w:val="22"/>
          <w:lang w:val="fr-FR"/>
        </w:rPr>
        <w:t>’</w:t>
      </w:r>
      <w:r w:rsidR="00661BB0" w:rsidRPr="00202EB9">
        <w:rPr>
          <w:szCs w:val="22"/>
          <w:lang w:val="fr-FR"/>
        </w:rPr>
        <w:t>impact</w:t>
      </w:r>
      <w:r w:rsidR="002C5C35" w:rsidRPr="00202EB9">
        <w:rPr>
          <w:szCs w:val="22"/>
          <w:lang w:val="fr-FR"/>
        </w:rPr>
        <w:t xml:space="preserve"> et de </w:t>
      </w:r>
      <w:r w:rsidR="00017779" w:rsidRPr="00202EB9">
        <w:rPr>
          <w:szCs w:val="22"/>
          <w:lang w:val="fr-FR"/>
        </w:rPr>
        <w:t>dura</w:t>
      </w:r>
      <w:r w:rsidR="002C5C35" w:rsidRPr="00202EB9">
        <w:rPr>
          <w:szCs w:val="22"/>
          <w:lang w:val="fr-FR"/>
        </w:rPr>
        <w:t>bili</w:t>
      </w:r>
      <w:r w:rsidR="001E787E" w:rsidRPr="00202EB9">
        <w:rPr>
          <w:szCs w:val="22"/>
          <w:lang w:val="fr-FR"/>
        </w:rPr>
        <w:t>té.  Le</w:t>
      </w:r>
      <w:r w:rsidR="002C5C35" w:rsidRPr="00202EB9">
        <w:rPr>
          <w:szCs w:val="22"/>
          <w:lang w:val="fr-FR"/>
        </w:rPr>
        <w:t xml:space="preserve"> principal</w:t>
      </w:r>
      <w:r w:rsidR="00CA2748" w:rsidRPr="00202EB9">
        <w:rPr>
          <w:szCs w:val="22"/>
          <w:lang w:val="fr-FR"/>
        </w:rPr>
        <w:t xml:space="preserve"> constat issu</w:t>
      </w:r>
      <w:r w:rsidRPr="00202EB9">
        <w:rPr>
          <w:szCs w:val="22"/>
          <w:lang w:val="fr-FR"/>
        </w:rPr>
        <w:t xml:space="preserve"> de ces</w:t>
      </w:r>
      <w:r w:rsidR="006D123A" w:rsidRPr="00202EB9">
        <w:rPr>
          <w:szCs w:val="22"/>
          <w:lang w:val="fr-FR"/>
        </w:rPr>
        <w:t xml:space="preserve"> con</w:t>
      </w:r>
      <w:r w:rsidR="00CA2748" w:rsidRPr="00202EB9">
        <w:rPr>
          <w:szCs w:val="22"/>
          <w:lang w:val="fr-FR"/>
        </w:rPr>
        <w:t>clusi</w:t>
      </w:r>
      <w:r w:rsidR="006D123A" w:rsidRPr="00202EB9">
        <w:rPr>
          <w:szCs w:val="22"/>
          <w:lang w:val="fr-FR"/>
        </w:rPr>
        <w:t xml:space="preserve">ons </w:t>
      </w:r>
      <w:r w:rsidR="002C5C35" w:rsidRPr="00202EB9">
        <w:rPr>
          <w:szCs w:val="22"/>
          <w:lang w:val="fr-FR"/>
        </w:rPr>
        <w:t>est que</w:t>
      </w:r>
      <w:r w:rsidRPr="00202EB9">
        <w:rPr>
          <w:szCs w:val="22"/>
          <w:lang w:val="fr-FR"/>
        </w:rPr>
        <w:t xml:space="preserve"> la </w:t>
      </w:r>
      <w:r w:rsidR="002C5C35" w:rsidRPr="00202EB9">
        <w:rPr>
          <w:szCs w:val="22"/>
          <w:lang w:val="fr-FR"/>
        </w:rPr>
        <w:t>mise en œuvre des recommandations du Plan d</w:t>
      </w:r>
      <w:r w:rsidR="00426067" w:rsidRPr="00202EB9">
        <w:rPr>
          <w:szCs w:val="22"/>
          <w:lang w:val="fr-FR"/>
        </w:rPr>
        <w:t>’</w:t>
      </w:r>
      <w:r w:rsidR="002C5C35" w:rsidRPr="00202EB9">
        <w:rPr>
          <w:szCs w:val="22"/>
          <w:lang w:val="fr-FR"/>
        </w:rPr>
        <w:t xml:space="preserve">action pour le développement </w:t>
      </w:r>
      <w:r w:rsidRPr="00202EB9">
        <w:rPr>
          <w:szCs w:val="22"/>
          <w:lang w:val="fr-FR"/>
        </w:rPr>
        <w:t>répond dans une large mesure aux attentes des États membres, des parties prenantes et des autres bénéficiaires</w:t>
      </w:r>
      <w:r w:rsidR="000706F2" w:rsidRPr="00202EB9">
        <w:rPr>
          <w:szCs w:val="22"/>
          <w:lang w:val="fr-FR"/>
        </w:rPr>
        <w:t xml:space="preserve"> visés</w:t>
      </w:r>
      <w:r w:rsidR="00AC2D50" w:rsidRPr="00202EB9">
        <w:rPr>
          <w:szCs w:val="22"/>
          <w:lang w:val="fr-FR"/>
        </w:rPr>
        <w:t>, et que l</w:t>
      </w:r>
      <w:r w:rsidR="00426067" w:rsidRPr="00202EB9">
        <w:rPr>
          <w:szCs w:val="22"/>
          <w:lang w:val="fr-FR"/>
        </w:rPr>
        <w:t>’</w:t>
      </w:r>
      <w:r w:rsidR="00AC2D50" w:rsidRPr="00202EB9">
        <w:rPr>
          <w:szCs w:val="22"/>
          <w:lang w:val="fr-FR"/>
        </w:rPr>
        <w:t>approche thématique fondée sur des projets</w:t>
      </w:r>
      <w:r w:rsidR="001002A6" w:rsidRPr="00202EB9">
        <w:rPr>
          <w:szCs w:val="22"/>
          <w:lang w:val="fr-FR"/>
        </w:rPr>
        <w:t xml:space="preserve"> </w:t>
      </w:r>
      <w:r w:rsidR="00CA2748" w:rsidRPr="00202EB9">
        <w:rPr>
          <w:szCs w:val="22"/>
          <w:lang w:val="fr-FR"/>
        </w:rPr>
        <w:t>a été</w:t>
      </w:r>
      <w:r w:rsidR="001002A6" w:rsidRPr="00202EB9">
        <w:rPr>
          <w:szCs w:val="22"/>
          <w:lang w:val="fr-FR"/>
        </w:rPr>
        <w:t xml:space="preserve"> un excellent moyen</w:t>
      </w:r>
      <w:r w:rsidR="00914821" w:rsidRPr="00202EB9">
        <w:rPr>
          <w:szCs w:val="22"/>
          <w:lang w:val="fr-FR"/>
        </w:rPr>
        <w:t xml:space="preserve"> </w:t>
      </w:r>
      <w:r w:rsidR="001002A6" w:rsidRPr="00202EB9">
        <w:rPr>
          <w:szCs w:val="22"/>
          <w:lang w:val="fr-FR"/>
        </w:rPr>
        <w:t>d</w:t>
      </w:r>
      <w:r w:rsidR="00426067" w:rsidRPr="00202EB9">
        <w:rPr>
          <w:szCs w:val="22"/>
          <w:lang w:val="fr-FR"/>
        </w:rPr>
        <w:t>’</w:t>
      </w:r>
      <w:r w:rsidR="001002A6" w:rsidRPr="00202EB9">
        <w:rPr>
          <w:szCs w:val="22"/>
          <w:lang w:val="fr-FR"/>
        </w:rPr>
        <w:t>en hâter le ryth</w:t>
      </w:r>
      <w:r w:rsidR="001E787E" w:rsidRPr="00202EB9">
        <w:rPr>
          <w:szCs w:val="22"/>
          <w:lang w:val="fr-FR"/>
        </w:rPr>
        <w:t>me.  Un</w:t>
      </w:r>
      <w:r w:rsidR="00B64043" w:rsidRPr="00202EB9">
        <w:rPr>
          <w:szCs w:val="22"/>
          <w:lang w:val="fr-FR"/>
        </w:rPr>
        <w:t>e autre conclusion de l</w:t>
      </w:r>
      <w:r w:rsidR="00426067" w:rsidRPr="00202EB9">
        <w:rPr>
          <w:szCs w:val="22"/>
          <w:lang w:val="fr-FR"/>
        </w:rPr>
        <w:t>’</w:t>
      </w:r>
      <w:r w:rsidR="00B64043" w:rsidRPr="00202EB9">
        <w:rPr>
          <w:szCs w:val="22"/>
          <w:lang w:val="fr-FR"/>
        </w:rPr>
        <w:t>équipe chargée de l</w:t>
      </w:r>
      <w:r w:rsidR="00426067" w:rsidRPr="00202EB9">
        <w:rPr>
          <w:szCs w:val="22"/>
          <w:lang w:val="fr-FR"/>
        </w:rPr>
        <w:t>’</w:t>
      </w:r>
      <w:r w:rsidR="00B64043" w:rsidRPr="00202EB9">
        <w:rPr>
          <w:szCs w:val="22"/>
          <w:lang w:val="fr-FR"/>
        </w:rPr>
        <w:t>étude a été</w:t>
      </w:r>
      <w:r w:rsidR="008417BF" w:rsidRPr="00202EB9">
        <w:rPr>
          <w:szCs w:val="22"/>
          <w:lang w:val="fr-FR"/>
        </w:rPr>
        <w:t xml:space="preserve"> que des amélioration</w:t>
      </w:r>
      <w:r w:rsidR="00CA2748" w:rsidRPr="00202EB9">
        <w:rPr>
          <w:szCs w:val="22"/>
          <w:lang w:val="fr-FR"/>
        </w:rPr>
        <w:t>s</w:t>
      </w:r>
      <w:r w:rsidR="008417BF" w:rsidRPr="00202EB9">
        <w:rPr>
          <w:szCs w:val="22"/>
          <w:lang w:val="fr-FR"/>
        </w:rPr>
        <w:t xml:space="preserve"> de la mise en œuvre du Plan d</w:t>
      </w:r>
      <w:r w:rsidR="00426067" w:rsidRPr="00202EB9">
        <w:rPr>
          <w:szCs w:val="22"/>
          <w:lang w:val="fr-FR"/>
        </w:rPr>
        <w:t>’</w:t>
      </w:r>
      <w:r w:rsidR="008417BF" w:rsidRPr="00202EB9">
        <w:rPr>
          <w:szCs w:val="22"/>
          <w:lang w:val="fr-FR"/>
        </w:rPr>
        <w:t>action pour le développement étaient possibles au niveau du Secrétariat,</w:t>
      </w:r>
      <w:r w:rsidR="00426067" w:rsidRPr="00202EB9">
        <w:rPr>
          <w:szCs w:val="22"/>
          <w:lang w:val="fr-FR"/>
        </w:rPr>
        <w:t xml:space="preserve"> du </w:t>
      </w:r>
      <w:proofErr w:type="spellStart"/>
      <w:r w:rsidR="00426067" w:rsidRPr="00202EB9">
        <w:rPr>
          <w:szCs w:val="22"/>
          <w:lang w:val="fr-FR"/>
        </w:rPr>
        <w:t>CDI</w:t>
      </w:r>
      <w:r w:rsidR="008417BF" w:rsidRPr="00202EB9">
        <w:rPr>
          <w:szCs w:val="22"/>
          <w:lang w:val="fr-FR"/>
        </w:rPr>
        <w:t>P</w:t>
      </w:r>
      <w:proofErr w:type="spellEnd"/>
      <w:r w:rsidR="008417BF" w:rsidRPr="00202EB9">
        <w:rPr>
          <w:szCs w:val="22"/>
          <w:lang w:val="fr-FR"/>
        </w:rPr>
        <w:t>, de la Division de la coordination du Plan d</w:t>
      </w:r>
      <w:r w:rsidR="00426067" w:rsidRPr="00202EB9">
        <w:rPr>
          <w:szCs w:val="22"/>
          <w:lang w:val="fr-FR"/>
        </w:rPr>
        <w:t>’</w:t>
      </w:r>
      <w:r w:rsidR="008417BF" w:rsidRPr="00202EB9">
        <w:rPr>
          <w:szCs w:val="22"/>
          <w:lang w:val="fr-FR"/>
        </w:rPr>
        <w:t>action pour le développement</w:t>
      </w:r>
      <w:r w:rsidR="00585823" w:rsidRPr="00202EB9">
        <w:rPr>
          <w:szCs w:val="22"/>
          <w:lang w:val="fr-FR"/>
        </w:rPr>
        <w:t xml:space="preserve"> et des États membres.</w:t>
      </w:r>
    </w:p>
    <w:p w:rsidR="00D64D93" w:rsidRPr="00202EB9" w:rsidRDefault="00322C31" w:rsidP="00255C01">
      <w:pPr>
        <w:pStyle w:val="ONUMFS"/>
        <w:numPr>
          <w:ilvl w:val="0"/>
          <w:numId w:val="0"/>
        </w:numPr>
        <w:rPr>
          <w:b/>
          <w:szCs w:val="22"/>
          <w:lang w:val="fr-FR"/>
        </w:rPr>
      </w:pPr>
      <w:r w:rsidRPr="00202EB9">
        <w:rPr>
          <w:b/>
          <w:szCs w:val="22"/>
          <w:lang w:val="fr-FR"/>
        </w:rPr>
        <w:t>R</w:t>
      </w:r>
      <w:r w:rsidR="00D64D93" w:rsidRPr="00202EB9">
        <w:rPr>
          <w:b/>
          <w:szCs w:val="22"/>
          <w:lang w:val="fr-FR"/>
        </w:rPr>
        <w:t>ecomm</w:t>
      </w:r>
      <w:r w:rsidR="00585823" w:rsidRPr="00202EB9">
        <w:rPr>
          <w:b/>
          <w:szCs w:val="22"/>
          <w:lang w:val="fr-FR"/>
        </w:rPr>
        <w:t>a</w:t>
      </w:r>
      <w:r w:rsidR="00D64D93" w:rsidRPr="00202EB9">
        <w:rPr>
          <w:b/>
          <w:szCs w:val="22"/>
          <w:lang w:val="fr-FR"/>
        </w:rPr>
        <w:t>ndations</w:t>
      </w:r>
    </w:p>
    <w:p w:rsidR="00426067" w:rsidRPr="00202EB9" w:rsidRDefault="0013576C" w:rsidP="00255C01">
      <w:pPr>
        <w:pStyle w:val="ONUMFS"/>
        <w:rPr>
          <w:szCs w:val="22"/>
          <w:lang w:val="fr-FR"/>
        </w:rPr>
      </w:pPr>
      <w:r w:rsidRPr="00202EB9">
        <w:rPr>
          <w:szCs w:val="22"/>
          <w:lang w:val="fr-FR"/>
        </w:rPr>
        <w:t>Les constatations et conclusions de l</w:t>
      </w:r>
      <w:r w:rsidR="00426067" w:rsidRPr="00202EB9">
        <w:rPr>
          <w:szCs w:val="22"/>
          <w:lang w:val="fr-FR"/>
        </w:rPr>
        <w:t>’</w:t>
      </w:r>
      <w:r w:rsidRPr="00202EB9">
        <w:rPr>
          <w:szCs w:val="22"/>
          <w:lang w:val="fr-FR"/>
        </w:rPr>
        <w:t>équipe chargée de l</w:t>
      </w:r>
      <w:r w:rsidR="00426067" w:rsidRPr="00202EB9">
        <w:rPr>
          <w:szCs w:val="22"/>
          <w:lang w:val="fr-FR"/>
        </w:rPr>
        <w:t>’</w:t>
      </w:r>
      <w:r w:rsidRPr="00202EB9">
        <w:rPr>
          <w:szCs w:val="22"/>
          <w:lang w:val="fr-FR"/>
        </w:rPr>
        <w:t>étude ont conduit cette dernière à formuler les recommandations suivantes, qu</w:t>
      </w:r>
      <w:r w:rsidR="00426067" w:rsidRPr="00202EB9">
        <w:rPr>
          <w:szCs w:val="22"/>
          <w:lang w:val="fr-FR"/>
        </w:rPr>
        <w:t>’</w:t>
      </w:r>
      <w:r w:rsidRPr="00202EB9">
        <w:rPr>
          <w:szCs w:val="22"/>
          <w:lang w:val="fr-FR"/>
        </w:rPr>
        <w:t>elle soumet à l</w:t>
      </w:r>
      <w:r w:rsidR="00426067" w:rsidRPr="00202EB9">
        <w:rPr>
          <w:szCs w:val="22"/>
          <w:lang w:val="fr-FR"/>
        </w:rPr>
        <w:t>’</w:t>
      </w:r>
      <w:r w:rsidRPr="00202EB9">
        <w:rPr>
          <w:szCs w:val="22"/>
          <w:lang w:val="fr-FR"/>
        </w:rPr>
        <w:t>attention du comité</w:t>
      </w:r>
      <w:r w:rsidR="00E15713" w:rsidRPr="00202EB9">
        <w:rPr>
          <w:szCs w:val="22"/>
          <w:lang w:val="fr-FR"/>
        </w:rPr>
        <w:t> </w:t>
      </w:r>
      <w:r w:rsidRPr="00202EB9">
        <w:rPr>
          <w:szCs w:val="22"/>
          <w:lang w:val="fr-FR"/>
        </w:rPr>
        <w:t>:</w:t>
      </w:r>
    </w:p>
    <w:p w:rsidR="00781C9E" w:rsidRPr="00202EB9" w:rsidRDefault="0013576C" w:rsidP="00255C01">
      <w:pPr>
        <w:pStyle w:val="ONUMFS"/>
        <w:numPr>
          <w:ilvl w:val="0"/>
          <w:numId w:val="0"/>
        </w:numPr>
        <w:rPr>
          <w:szCs w:val="22"/>
          <w:lang w:val="fr-FR"/>
        </w:rPr>
      </w:pPr>
      <w:r w:rsidRPr="008D1193">
        <w:rPr>
          <w:b/>
          <w:szCs w:val="22"/>
          <w:lang w:val="fr-FR"/>
        </w:rPr>
        <w:t>Recommandation</w:t>
      </w:r>
      <w:r w:rsidR="00E15713" w:rsidRPr="008D1193">
        <w:rPr>
          <w:b/>
          <w:szCs w:val="22"/>
          <w:lang w:val="fr-FR"/>
        </w:rPr>
        <w:t> </w:t>
      </w:r>
      <w:r w:rsidR="00781C9E" w:rsidRPr="008D1193">
        <w:rPr>
          <w:b/>
          <w:szCs w:val="22"/>
          <w:lang w:val="fr-FR"/>
        </w:rPr>
        <w:t>1</w:t>
      </w:r>
      <w:r w:rsidR="00E15713" w:rsidRPr="008D1193">
        <w:rPr>
          <w:b/>
          <w:szCs w:val="22"/>
          <w:lang w:val="fr-FR"/>
        </w:rPr>
        <w:t> </w:t>
      </w:r>
      <w:proofErr w:type="gramStart"/>
      <w:r w:rsidR="00781C9E" w:rsidRPr="008D1193">
        <w:rPr>
          <w:b/>
          <w:lang w:val="fr-FR"/>
        </w:rPr>
        <w:t>:</w:t>
      </w:r>
      <w:r w:rsidR="00781C9E" w:rsidRPr="008D1193">
        <w:rPr>
          <w:szCs w:val="22"/>
          <w:lang w:val="fr-FR"/>
        </w:rPr>
        <w:t xml:space="preserve"> </w:t>
      </w:r>
      <w:r w:rsidR="00426F59" w:rsidRPr="008D1193">
        <w:rPr>
          <w:szCs w:val="22"/>
          <w:lang w:val="fr-FR"/>
        </w:rPr>
        <w:t>Il</w:t>
      </w:r>
      <w:proofErr w:type="gramEnd"/>
      <w:r w:rsidR="00426F59" w:rsidRPr="008D1193">
        <w:rPr>
          <w:szCs w:val="22"/>
          <w:lang w:val="fr-FR"/>
        </w:rPr>
        <w:t xml:space="preserve"> importe de consolider les progrès accomplis au sein</w:t>
      </w:r>
      <w:r w:rsidR="00426067" w:rsidRPr="008D1193">
        <w:rPr>
          <w:szCs w:val="22"/>
          <w:lang w:val="fr-FR"/>
        </w:rPr>
        <w:t xml:space="preserve"> du </w:t>
      </w:r>
      <w:proofErr w:type="spellStart"/>
      <w:r w:rsidR="00426067" w:rsidRPr="008D1193">
        <w:rPr>
          <w:szCs w:val="22"/>
          <w:lang w:val="fr-FR"/>
        </w:rPr>
        <w:t>CDI</w:t>
      </w:r>
      <w:r w:rsidR="00426F59" w:rsidRPr="008D1193">
        <w:rPr>
          <w:szCs w:val="22"/>
          <w:lang w:val="fr-FR"/>
        </w:rPr>
        <w:t>P</w:t>
      </w:r>
      <w:proofErr w:type="spellEnd"/>
      <w:r w:rsidR="00426F59" w:rsidRPr="008D1193">
        <w:rPr>
          <w:szCs w:val="22"/>
          <w:lang w:val="fr-FR"/>
        </w:rPr>
        <w:t xml:space="preserve"> en</w:t>
      </w:r>
      <w:r w:rsidR="00426F59" w:rsidRPr="00202EB9">
        <w:rPr>
          <w:szCs w:val="22"/>
          <w:lang w:val="fr-FR"/>
        </w:rPr>
        <w:t xml:space="preserve"> engageant un débat de haut niveau</w:t>
      </w:r>
      <w:r w:rsidR="00A01CAB" w:rsidRPr="00202EB9">
        <w:rPr>
          <w:szCs w:val="22"/>
          <w:lang w:val="fr-FR"/>
        </w:rPr>
        <w:t xml:space="preserve"> sur les besoins </w:t>
      </w:r>
      <w:r w:rsidR="00C31F69" w:rsidRPr="00202EB9">
        <w:rPr>
          <w:szCs w:val="22"/>
          <w:lang w:val="fr-FR"/>
        </w:rPr>
        <w:t>nouveaux</w:t>
      </w:r>
      <w:r w:rsidR="00A01CAB" w:rsidRPr="00202EB9">
        <w:rPr>
          <w:szCs w:val="22"/>
          <w:lang w:val="fr-FR"/>
        </w:rPr>
        <w:t xml:space="preserve"> et en examinant les travaux accomplis par l</w:t>
      </w:r>
      <w:r w:rsidR="00426067" w:rsidRPr="00202EB9">
        <w:rPr>
          <w:szCs w:val="22"/>
          <w:lang w:val="fr-FR"/>
        </w:rPr>
        <w:t>’</w:t>
      </w:r>
      <w:r w:rsidR="00A01CAB" w:rsidRPr="00202EB9">
        <w:rPr>
          <w:szCs w:val="22"/>
          <w:lang w:val="fr-FR"/>
        </w:rPr>
        <w:t>Organisation sur les questions nouvelles et émergentes relatives aux droits de propriété intellectuel</w:t>
      </w:r>
      <w:r w:rsidR="001E787E" w:rsidRPr="00202EB9">
        <w:rPr>
          <w:szCs w:val="22"/>
          <w:lang w:val="fr-FR"/>
        </w:rPr>
        <w:t>le.  Le</w:t>
      </w:r>
      <w:r w:rsidR="006C547D" w:rsidRPr="00202EB9">
        <w:rPr>
          <w:szCs w:val="22"/>
          <w:lang w:val="fr-FR"/>
        </w:rPr>
        <w:t xml:space="preserve"> comité devrait également faciliter un échange de stratégies et de pratiques recommandées entre les États membres, en ce qui concerne leurs expériences face aux préoccupations </w:t>
      </w:r>
      <w:r w:rsidR="00BC2A43" w:rsidRPr="00202EB9">
        <w:rPr>
          <w:szCs w:val="22"/>
          <w:lang w:val="fr-FR"/>
        </w:rPr>
        <w:t>en matière de propriété intellectuelle et de développement.</w:t>
      </w:r>
    </w:p>
    <w:p w:rsidR="00781C9E" w:rsidRPr="00202EB9" w:rsidRDefault="0013576C" w:rsidP="00255C01">
      <w:pPr>
        <w:pStyle w:val="ONUMFS"/>
        <w:numPr>
          <w:ilvl w:val="0"/>
          <w:numId w:val="0"/>
        </w:numPr>
        <w:rPr>
          <w:szCs w:val="22"/>
          <w:lang w:val="fr-FR"/>
        </w:rPr>
      </w:pPr>
      <w:r w:rsidRPr="00202EB9">
        <w:rPr>
          <w:b/>
          <w:szCs w:val="22"/>
          <w:lang w:val="fr-FR"/>
        </w:rPr>
        <w:t>Recommandation</w:t>
      </w:r>
      <w:r w:rsidR="00E15713" w:rsidRPr="00202EB9">
        <w:rPr>
          <w:b/>
          <w:szCs w:val="22"/>
          <w:lang w:val="fr-FR"/>
        </w:rPr>
        <w:t> </w:t>
      </w:r>
      <w:r w:rsidR="00781C9E" w:rsidRPr="00202EB9">
        <w:rPr>
          <w:b/>
          <w:szCs w:val="22"/>
          <w:lang w:val="fr-FR"/>
        </w:rPr>
        <w:t>2</w:t>
      </w:r>
      <w:r w:rsidR="00E15713" w:rsidRPr="00202EB9">
        <w:rPr>
          <w:b/>
          <w:szCs w:val="22"/>
          <w:lang w:val="fr-FR"/>
        </w:rPr>
        <w:t> </w:t>
      </w:r>
      <w:proofErr w:type="gramStart"/>
      <w:r w:rsidR="00781C9E" w:rsidRPr="00202EB9">
        <w:rPr>
          <w:b/>
          <w:lang w:val="fr-FR"/>
        </w:rPr>
        <w:t>:</w:t>
      </w:r>
      <w:r w:rsidR="00781C9E" w:rsidRPr="00202EB9">
        <w:rPr>
          <w:szCs w:val="22"/>
          <w:lang w:val="fr-FR"/>
        </w:rPr>
        <w:t xml:space="preserve"> </w:t>
      </w:r>
      <w:r w:rsidR="007A6E58" w:rsidRPr="00202EB9">
        <w:rPr>
          <w:szCs w:val="22"/>
          <w:lang w:val="fr-FR"/>
        </w:rPr>
        <w:t>Les</w:t>
      </w:r>
      <w:proofErr w:type="gramEnd"/>
      <w:r w:rsidR="007A6E58" w:rsidRPr="00202EB9">
        <w:rPr>
          <w:szCs w:val="22"/>
          <w:lang w:val="fr-FR"/>
        </w:rPr>
        <w:t xml:space="preserve"> États membres devraient prendre des mesures pour résoudre les questions en suspens </w:t>
      </w:r>
      <w:r w:rsidR="00BB4EE1" w:rsidRPr="00202EB9">
        <w:rPr>
          <w:szCs w:val="22"/>
          <w:lang w:val="fr-FR"/>
        </w:rPr>
        <w:t>relatives</w:t>
      </w:r>
      <w:r w:rsidR="007A6E58" w:rsidRPr="00202EB9">
        <w:rPr>
          <w:szCs w:val="22"/>
          <w:lang w:val="fr-FR"/>
        </w:rPr>
        <w:t xml:space="preserve"> au mandat du comité et à la mise en œuvre du mécanisme de coordination.</w:t>
      </w:r>
    </w:p>
    <w:p w:rsidR="00781C9E" w:rsidRPr="00202EB9" w:rsidRDefault="0013576C" w:rsidP="00255C01">
      <w:pPr>
        <w:pStyle w:val="ONUMFS"/>
        <w:numPr>
          <w:ilvl w:val="0"/>
          <w:numId w:val="0"/>
        </w:numPr>
        <w:rPr>
          <w:szCs w:val="22"/>
          <w:lang w:val="fr-FR"/>
        </w:rPr>
      </w:pPr>
      <w:r w:rsidRPr="00202EB9">
        <w:rPr>
          <w:b/>
          <w:szCs w:val="22"/>
          <w:lang w:val="fr-FR"/>
        </w:rPr>
        <w:t>Recommandation</w:t>
      </w:r>
      <w:r w:rsidR="00E15713" w:rsidRPr="00202EB9">
        <w:rPr>
          <w:b/>
          <w:szCs w:val="22"/>
          <w:lang w:val="fr-FR"/>
        </w:rPr>
        <w:t> </w:t>
      </w:r>
      <w:r w:rsidR="00781C9E" w:rsidRPr="00202EB9">
        <w:rPr>
          <w:b/>
          <w:szCs w:val="22"/>
          <w:lang w:val="fr-FR"/>
        </w:rPr>
        <w:t>3</w:t>
      </w:r>
      <w:r w:rsidR="00E15713" w:rsidRPr="00202EB9">
        <w:rPr>
          <w:b/>
          <w:szCs w:val="22"/>
          <w:lang w:val="fr-FR"/>
        </w:rPr>
        <w:t> </w:t>
      </w:r>
      <w:r w:rsidR="00781C9E" w:rsidRPr="00202EB9">
        <w:rPr>
          <w:b/>
          <w:lang w:val="fr-FR"/>
        </w:rPr>
        <w:t>:</w:t>
      </w:r>
      <w:r w:rsidR="00781C9E" w:rsidRPr="00202EB9">
        <w:rPr>
          <w:szCs w:val="22"/>
          <w:lang w:val="fr-FR"/>
        </w:rPr>
        <w:t xml:space="preserve"> </w:t>
      </w:r>
      <w:r w:rsidR="00EF0F36" w:rsidRPr="00202EB9">
        <w:rPr>
          <w:szCs w:val="22"/>
          <w:lang w:val="fr-FR"/>
        </w:rPr>
        <w:t>L</w:t>
      </w:r>
      <w:r w:rsidR="00426067" w:rsidRPr="00202EB9">
        <w:rPr>
          <w:szCs w:val="22"/>
          <w:lang w:val="fr-FR"/>
        </w:rPr>
        <w:t>’</w:t>
      </w:r>
      <w:r w:rsidR="00EF0F36" w:rsidRPr="00202EB9">
        <w:rPr>
          <w:szCs w:val="22"/>
          <w:lang w:val="fr-FR"/>
        </w:rPr>
        <w:t>OMPI</w:t>
      </w:r>
      <w:r w:rsidR="00DF13C4" w:rsidRPr="00202EB9">
        <w:rPr>
          <w:szCs w:val="22"/>
          <w:lang w:val="fr-FR"/>
        </w:rPr>
        <w:t xml:space="preserve"> devrait continuer à assurer d</w:t>
      </w:r>
      <w:r w:rsidR="00426067" w:rsidRPr="00202EB9">
        <w:rPr>
          <w:szCs w:val="22"/>
          <w:lang w:val="fr-FR"/>
        </w:rPr>
        <w:t>’</w:t>
      </w:r>
      <w:r w:rsidR="00DF13C4" w:rsidRPr="00202EB9">
        <w:rPr>
          <w:szCs w:val="22"/>
          <w:lang w:val="fr-FR"/>
        </w:rPr>
        <w:t xml:space="preserve">une manière </w:t>
      </w:r>
      <w:r w:rsidR="00ED1D99" w:rsidRPr="00202EB9">
        <w:rPr>
          <w:szCs w:val="22"/>
          <w:lang w:val="fr-FR"/>
        </w:rPr>
        <w:t xml:space="preserve">concrète son travail de coordination, de surveillance, </w:t>
      </w:r>
      <w:r w:rsidR="00EC7EC1" w:rsidRPr="00202EB9">
        <w:rPr>
          <w:szCs w:val="22"/>
          <w:lang w:val="fr-FR"/>
        </w:rPr>
        <w:t>d</w:t>
      </w:r>
      <w:r w:rsidR="00426067" w:rsidRPr="00202EB9">
        <w:rPr>
          <w:szCs w:val="22"/>
          <w:lang w:val="fr-FR"/>
        </w:rPr>
        <w:t>’</w:t>
      </w:r>
      <w:r w:rsidR="00EC7EC1" w:rsidRPr="00202EB9">
        <w:rPr>
          <w:szCs w:val="22"/>
          <w:lang w:val="fr-FR"/>
        </w:rPr>
        <w:t>établissement de rapports, d</w:t>
      </w:r>
      <w:r w:rsidR="00426067" w:rsidRPr="00202EB9">
        <w:rPr>
          <w:szCs w:val="22"/>
          <w:lang w:val="fr-FR"/>
        </w:rPr>
        <w:t>’</w:t>
      </w:r>
      <w:r w:rsidR="00EC7EC1" w:rsidRPr="00202EB9">
        <w:rPr>
          <w:szCs w:val="22"/>
          <w:lang w:val="fr-FR"/>
        </w:rPr>
        <w:t>évaluation et d</w:t>
      </w:r>
      <w:r w:rsidR="00426067" w:rsidRPr="00202EB9">
        <w:rPr>
          <w:szCs w:val="22"/>
          <w:lang w:val="fr-FR"/>
        </w:rPr>
        <w:t>’</w:t>
      </w:r>
      <w:r w:rsidR="00EC7EC1" w:rsidRPr="00202EB9">
        <w:rPr>
          <w:szCs w:val="22"/>
          <w:lang w:val="fr-FR"/>
        </w:rPr>
        <w:t>intégration relatif à la mise en œuvre des recommandations du Plan d</w:t>
      </w:r>
      <w:r w:rsidR="00426067" w:rsidRPr="00202EB9">
        <w:rPr>
          <w:szCs w:val="22"/>
          <w:lang w:val="fr-FR"/>
        </w:rPr>
        <w:t>’</w:t>
      </w:r>
      <w:r w:rsidR="00EC7EC1" w:rsidRPr="00202EB9">
        <w:rPr>
          <w:szCs w:val="22"/>
          <w:lang w:val="fr-FR"/>
        </w:rPr>
        <w:t>action pour le développeme</w:t>
      </w:r>
      <w:r w:rsidR="001E787E" w:rsidRPr="00202EB9">
        <w:rPr>
          <w:szCs w:val="22"/>
          <w:lang w:val="fr-FR"/>
        </w:rPr>
        <w:t>nt.  Le</w:t>
      </w:r>
      <w:r w:rsidR="00EC7EC1" w:rsidRPr="00202EB9">
        <w:rPr>
          <w:szCs w:val="22"/>
          <w:lang w:val="fr-FR"/>
        </w:rPr>
        <w:t xml:space="preserve"> rôle de coordination de la Division de la coordination du Plan d</w:t>
      </w:r>
      <w:r w:rsidR="00426067" w:rsidRPr="00202EB9">
        <w:rPr>
          <w:szCs w:val="22"/>
          <w:lang w:val="fr-FR"/>
        </w:rPr>
        <w:t>’</w:t>
      </w:r>
      <w:r w:rsidR="00EC7EC1" w:rsidRPr="00202EB9">
        <w:rPr>
          <w:szCs w:val="22"/>
          <w:lang w:val="fr-FR"/>
        </w:rPr>
        <w:t>action pour le développement</w:t>
      </w:r>
      <w:r w:rsidR="00863A67" w:rsidRPr="00202EB9">
        <w:rPr>
          <w:szCs w:val="22"/>
          <w:lang w:val="fr-FR"/>
        </w:rPr>
        <w:t>,</w:t>
      </w:r>
      <w:r w:rsidR="00EC7EC1" w:rsidRPr="00202EB9">
        <w:rPr>
          <w:szCs w:val="22"/>
          <w:lang w:val="fr-FR"/>
        </w:rPr>
        <w:t xml:space="preserve"> en ce qui concerne la mise en œuvre de ces recommandations</w:t>
      </w:r>
      <w:r w:rsidR="00863A67" w:rsidRPr="00202EB9">
        <w:rPr>
          <w:szCs w:val="22"/>
          <w:lang w:val="fr-FR"/>
        </w:rPr>
        <w:t>,</w:t>
      </w:r>
      <w:r w:rsidR="00EC7EC1" w:rsidRPr="00202EB9">
        <w:rPr>
          <w:szCs w:val="22"/>
          <w:lang w:val="fr-FR"/>
        </w:rPr>
        <w:t xml:space="preserve"> devrait être renforcé.</w:t>
      </w:r>
    </w:p>
    <w:p w:rsidR="00781C9E" w:rsidRPr="00202EB9" w:rsidRDefault="0013576C" w:rsidP="00255C01">
      <w:pPr>
        <w:pStyle w:val="ONUMFS"/>
        <w:numPr>
          <w:ilvl w:val="0"/>
          <w:numId w:val="0"/>
        </w:numPr>
        <w:rPr>
          <w:szCs w:val="22"/>
          <w:lang w:val="fr-FR"/>
        </w:rPr>
      </w:pPr>
      <w:r w:rsidRPr="00202EB9">
        <w:rPr>
          <w:b/>
          <w:szCs w:val="22"/>
          <w:lang w:val="fr-FR"/>
        </w:rPr>
        <w:t>Recommandation</w:t>
      </w:r>
      <w:r w:rsidR="00E15713" w:rsidRPr="00202EB9">
        <w:rPr>
          <w:b/>
          <w:szCs w:val="22"/>
          <w:lang w:val="fr-FR"/>
        </w:rPr>
        <w:t> </w:t>
      </w:r>
      <w:r w:rsidR="00781C9E" w:rsidRPr="00202EB9">
        <w:rPr>
          <w:b/>
          <w:szCs w:val="22"/>
          <w:lang w:val="fr-FR"/>
        </w:rPr>
        <w:t>4</w:t>
      </w:r>
      <w:r w:rsidR="00E15713" w:rsidRPr="00202EB9">
        <w:rPr>
          <w:b/>
          <w:szCs w:val="22"/>
          <w:lang w:val="fr-FR"/>
        </w:rPr>
        <w:t> </w:t>
      </w:r>
      <w:proofErr w:type="gramStart"/>
      <w:r w:rsidR="00781C9E" w:rsidRPr="00202EB9">
        <w:rPr>
          <w:b/>
          <w:lang w:val="fr-FR"/>
        </w:rPr>
        <w:t>:</w:t>
      </w:r>
      <w:r w:rsidR="00426067" w:rsidRPr="00202EB9">
        <w:rPr>
          <w:szCs w:val="22"/>
          <w:lang w:val="fr-FR"/>
        </w:rPr>
        <w:t xml:space="preserve"> Le</w:t>
      </w:r>
      <w:proofErr w:type="gramEnd"/>
      <w:r w:rsidR="00426067" w:rsidRPr="00202EB9">
        <w:rPr>
          <w:szCs w:val="22"/>
          <w:lang w:val="fr-FR"/>
        </w:rPr>
        <w:t> </w:t>
      </w:r>
      <w:proofErr w:type="spellStart"/>
      <w:r w:rsidR="00426067" w:rsidRPr="00202EB9">
        <w:rPr>
          <w:szCs w:val="22"/>
          <w:lang w:val="fr-FR"/>
        </w:rPr>
        <w:t>CDI</w:t>
      </w:r>
      <w:r w:rsidR="00781C9E" w:rsidRPr="00202EB9">
        <w:rPr>
          <w:szCs w:val="22"/>
          <w:lang w:val="fr-FR"/>
        </w:rPr>
        <w:t>P</w:t>
      </w:r>
      <w:proofErr w:type="spellEnd"/>
      <w:r w:rsidR="004C7529" w:rsidRPr="00202EB9">
        <w:rPr>
          <w:szCs w:val="22"/>
          <w:lang w:val="fr-FR"/>
        </w:rPr>
        <w:t xml:space="preserve"> devrait </w:t>
      </w:r>
      <w:r w:rsidR="007D7B1D" w:rsidRPr="00202EB9">
        <w:rPr>
          <w:szCs w:val="22"/>
          <w:lang w:val="fr-FR"/>
        </w:rPr>
        <w:t>s</w:t>
      </w:r>
      <w:r w:rsidR="00426067" w:rsidRPr="00202EB9">
        <w:rPr>
          <w:szCs w:val="22"/>
          <w:lang w:val="fr-FR"/>
        </w:rPr>
        <w:t>’</w:t>
      </w:r>
      <w:r w:rsidR="004C7529" w:rsidRPr="00202EB9">
        <w:rPr>
          <w:szCs w:val="22"/>
          <w:lang w:val="fr-FR"/>
        </w:rPr>
        <w:t>interroger quant à la meilleure manière de répondre</w:t>
      </w:r>
      <w:r w:rsidR="007D7B1D" w:rsidRPr="00202EB9">
        <w:rPr>
          <w:szCs w:val="22"/>
          <w:lang w:val="fr-FR"/>
        </w:rPr>
        <w:t>, dans le cadre de la mise en œuvre des recommandations du Plan d</w:t>
      </w:r>
      <w:r w:rsidR="00426067" w:rsidRPr="00202EB9">
        <w:rPr>
          <w:szCs w:val="22"/>
          <w:lang w:val="fr-FR"/>
        </w:rPr>
        <w:t>’</w:t>
      </w:r>
      <w:r w:rsidR="007D7B1D" w:rsidRPr="00202EB9">
        <w:rPr>
          <w:szCs w:val="22"/>
          <w:lang w:val="fr-FR"/>
        </w:rPr>
        <w:t>action pour le développement, à l</w:t>
      </w:r>
      <w:r w:rsidR="00426067" w:rsidRPr="00202EB9">
        <w:rPr>
          <w:szCs w:val="22"/>
          <w:lang w:val="fr-FR"/>
        </w:rPr>
        <w:t>’</w:t>
      </w:r>
      <w:r w:rsidR="007D7B1D" w:rsidRPr="00202EB9">
        <w:rPr>
          <w:szCs w:val="22"/>
          <w:lang w:val="fr-FR"/>
        </w:rPr>
        <w:t>évolution des circonstances ainsi qu</w:t>
      </w:r>
      <w:r w:rsidR="00426067" w:rsidRPr="00202EB9">
        <w:rPr>
          <w:szCs w:val="22"/>
          <w:lang w:val="fr-FR"/>
        </w:rPr>
        <w:t>’</w:t>
      </w:r>
      <w:r w:rsidR="007D7B1D" w:rsidRPr="00202EB9">
        <w:rPr>
          <w:szCs w:val="22"/>
          <w:lang w:val="fr-FR"/>
        </w:rPr>
        <w:t>aux nouveaux enjeux du développement auxquels est confronté le système de la propriété intellectuel</w:t>
      </w:r>
      <w:r w:rsidR="001E787E" w:rsidRPr="00202EB9">
        <w:rPr>
          <w:szCs w:val="22"/>
          <w:lang w:val="fr-FR"/>
        </w:rPr>
        <w:t>le.  Ce</w:t>
      </w:r>
      <w:r w:rsidR="00834E51" w:rsidRPr="00202EB9">
        <w:rPr>
          <w:szCs w:val="22"/>
          <w:lang w:val="fr-FR"/>
        </w:rPr>
        <w:t>la devrait s</w:t>
      </w:r>
      <w:r w:rsidR="00426067" w:rsidRPr="00202EB9">
        <w:rPr>
          <w:szCs w:val="22"/>
          <w:lang w:val="fr-FR"/>
        </w:rPr>
        <w:t>’</w:t>
      </w:r>
      <w:r w:rsidR="00834E51" w:rsidRPr="00202EB9">
        <w:rPr>
          <w:szCs w:val="22"/>
          <w:lang w:val="fr-FR"/>
        </w:rPr>
        <w:t>accompagner d</w:t>
      </w:r>
      <w:r w:rsidR="00426067" w:rsidRPr="00202EB9">
        <w:rPr>
          <w:szCs w:val="22"/>
          <w:lang w:val="fr-FR"/>
        </w:rPr>
        <w:t>’</w:t>
      </w:r>
      <w:r w:rsidR="00834E51" w:rsidRPr="00202EB9">
        <w:rPr>
          <w:szCs w:val="22"/>
          <w:lang w:val="fr-FR"/>
        </w:rPr>
        <w:t>un</w:t>
      </w:r>
      <w:r w:rsidR="009E10CE" w:rsidRPr="00202EB9">
        <w:rPr>
          <w:szCs w:val="22"/>
          <w:lang w:val="fr-FR"/>
        </w:rPr>
        <w:t>e association</w:t>
      </w:r>
      <w:r w:rsidR="00834E51" w:rsidRPr="00202EB9">
        <w:rPr>
          <w:szCs w:val="22"/>
          <w:lang w:val="fr-FR"/>
        </w:rPr>
        <w:t xml:space="preserve"> plus étroit</w:t>
      </w:r>
      <w:r w:rsidR="009E10CE" w:rsidRPr="00202EB9">
        <w:rPr>
          <w:szCs w:val="22"/>
          <w:lang w:val="fr-FR"/>
        </w:rPr>
        <w:t>e</w:t>
      </w:r>
      <w:r w:rsidR="00834E51" w:rsidRPr="00202EB9">
        <w:rPr>
          <w:szCs w:val="22"/>
          <w:lang w:val="fr-FR"/>
        </w:rPr>
        <w:t xml:space="preserve"> avec les</w:t>
      </w:r>
      <w:r w:rsidR="009455D1" w:rsidRPr="00202EB9">
        <w:rPr>
          <w:szCs w:val="22"/>
          <w:lang w:val="fr-FR"/>
        </w:rPr>
        <w:t xml:space="preserve"> autres organismes de développement du système des </w:t>
      </w:r>
      <w:r w:rsidR="00426067" w:rsidRPr="00202EB9">
        <w:rPr>
          <w:szCs w:val="22"/>
          <w:lang w:val="fr-FR"/>
        </w:rPr>
        <w:t>Nations Unies</w:t>
      </w:r>
      <w:r w:rsidR="00834E51" w:rsidRPr="00202EB9">
        <w:rPr>
          <w:szCs w:val="22"/>
          <w:lang w:val="fr-FR"/>
        </w:rPr>
        <w:t>,</w:t>
      </w:r>
      <w:r w:rsidR="009E10CE" w:rsidRPr="00202EB9">
        <w:rPr>
          <w:szCs w:val="22"/>
          <w:lang w:val="fr-FR"/>
        </w:rPr>
        <w:t xml:space="preserve"> afin de pouvoir bénéficier de leurs connaissances </w:t>
      </w:r>
      <w:r w:rsidR="00BB4EE1" w:rsidRPr="00202EB9">
        <w:rPr>
          <w:szCs w:val="22"/>
          <w:lang w:val="fr-FR"/>
        </w:rPr>
        <w:t xml:space="preserve">en matière de </w:t>
      </w:r>
      <w:r w:rsidR="009E10CE" w:rsidRPr="00202EB9">
        <w:rPr>
          <w:szCs w:val="22"/>
          <w:lang w:val="fr-FR"/>
        </w:rPr>
        <w:t>mise en œuvre des recommandations du Plan d</w:t>
      </w:r>
      <w:r w:rsidR="00426067" w:rsidRPr="00202EB9">
        <w:rPr>
          <w:szCs w:val="22"/>
          <w:lang w:val="fr-FR"/>
        </w:rPr>
        <w:t>’</w:t>
      </w:r>
      <w:r w:rsidR="009E10CE" w:rsidRPr="00202EB9">
        <w:rPr>
          <w:szCs w:val="22"/>
          <w:lang w:val="fr-FR"/>
        </w:rPr>
        <w:t xml:space="preserve">action pour le développement </w:t>
      </w:r>
      <w:r w:rsidR="00922885" w:rsidRPr="00202EB9">
        <w:rPr>
          <w:szCs w:val="22"/>
          <w:lang w:val="fr-FR"/>
        </w:rPr>
        <w:t>et faire progresser</w:t>
      </w:r>
      <w:r w:rsidR="00665522" w:rsidRPr="00202EB9">
        <w:rPr>
          <w:szCs w:val="22"/>
          <w:lang w:val="fr-FR"/>
        </w:rPr>
        <w:t xml:space="preserve"> celle des objectifs de développement durable.</w:t>
      </w:r>
    </w:p>
    <w:p w:rsidR="00781C9E" w:rsidRPr="00202EB9" w:rsidRDefault="0013576C" w:rsidP="00255C01">
      <w:pPr>
        <w:pStyle w:val="ONUMFS"/>
        <w:numPr>
          <w:ilvl w:val="0"/>
          <w:numId w:val="0"/>
        </w:numPr>
        <w:rPr>
          <w:szCs w:val="22"/>
          <w:lang w:val="fr-FR"/>
        </w:rPr>
      </w:pPr>
      <w:r w:rsidRPr="00202EB9">
        <w:rPr>
          <w:b/>
          <w:szCs w:val="22"/>
          <w:lang w:val="fr-FR"/>
        </w:rPr>
        <w:t>Recommandation</w:t>
      </w:r>
      <w:r w:rsidR="00E15713" w:rsidRPr="00202EB9">
        <w:rPr>
          <w:b/>
          <w:szCs w:val="22"/>
          <w:lang w:val="fr-FR"/>
        </w:rPr>
        <w:t> </w:t>
      </w:r>
      <w:r w:rsidR="00781C9E" w:rsidRPr="00202EB9">
        <w:rPr>
          <w:b/>
          <w:szCs w:val="22"/>
          <w:lang w:val="fr-FR"/>
        </w:rPr>
        <w:t>5</w:t>
      </w:r>
      <w:r w:rsidR="00E15713" w:rsidRPr="00202EB9">
        <w:rPr>
          <w:b/>
          <w:szCs w:val="22"/>
          <w:lang w:val="fr-FR"/>
        </w:rPr>
        <w:t> </w:t>
      </w:r>
      <w:proofErr w:type="gramStart"/>
      <w:r w:rsidR="00781C9E" w:rsidRPr="00202EB9">
        <w:rPr>
          <w:b/>
          <w:lang w:val="fr-FR"/>
        </w:rPr>
        <w:t>:</w:t>
      </w:r>
      <w:r w:rsidR="00431342" w:rsidRPr="00202EB9">
        <w:rPr>
          <w:szCs w:val="22"/>
          <w:lang w:val="fr-FR"/>
        </w:rPr>
        <w:t xml:space="preserve"> L</w:t>
      </w:r>
      <w:r w:rsidR="00426067" w:rsidRPr="00202EB9">
        <w:rPr>
          <w:szCs w:val="22"/>
          <w:lang w:val="fr-FR"/>
        </w:rPr>
        <w:t>’</w:t>
      </w:r>
      <w:r w:rsidR="00431342" w:rsidRPr="00202EB9">
        <w:rPr>
          <w:szCs w:val="22"/>
          <w:lang w:val="fr-FR"/>
        </w:rPr>
        <w:t>OMPI</w:t>
      </w:r>
      <w:proofErr w:type="gramEnd"/>
      <w:r w:rsidR="00431342" w:rsidRPr="00202EB9">
        <w:rPr>
          <w:szCs w:val="22"/>
          <w:lang w:val="fr-FR"/>
        </w:rPr>
        <w:t xml:space="preserve"> devrait envisager de lier, chaque fois que cela est faisable, les </w:t>
      </w:r>
      <w:r w:rsidR="00AB0D64" w:rsidRPr="00202EB9">
        <w:rPr>
          <w:szCs w:val="22"/>
          <w:lang w:val="fr-FR"/>
        </w:rPr>
        <w:t>recommandations du Plan d</w:t>
      </w:r>
      <w:r w:rsidR="00426067" w:rsidRPr="00202EB9">
        <w:rPr>
          <w:szCs w:val="22"/>
          <w:lang w:val="fr-FR"/>
        </w:rPr>
        <w:t>’</w:t>
      </w:r>
      <w:r w:rsidR="00AB0D64" w:rsidRPr="00202EB9">
        <w:rPr>
          <w:szCs w:val="22"/>
          <w:lang w:val="fr-FR"/>
        </w:rPr>
        <w:t xml:space="preserve">action pour le développement aux </w:t>
      </w:r>
      <w:r w:rsidR="00431342" w:rsidRPr="00202EB9">
        <w:rPr>
          <w:szCs w:val="22"/>
          <w:lang w:val="fr-FR"/>
        </w:rPr>
        <w:t xml:space="preserve">résultats escomptés </w:t>
      </w:r>
      <w:r w:rsidR="00AB0D64" w:rsidRPr="00202EB9">
        <w:rPr>
          <w:szCs w:val="22"/>
          <w:lang w:val="fr-FR"/>
        </w:rPr>
        <w:t>définis dans le Programme et budg</w:t>
      </w:r>
      <w:r w:rsidR="001E787E" w:rsidRPr="00202EB9">
        <w:rPr>
          <w:szCs w:val="22"/>
          <w:lang w:val="fr-FR"/>
        </w:rPr>
        <w:t>et.  Il</w:t>
      </w:r>
      <w:r w:rsidR="00AB0D64" w:rsidRPr="00202EB9">
        <w:rPr>
          <w:szCs w:val="22"/>
          <w:lang w:val="fr-FR"/>
        </w:rPr>
        <w:t xml:space="preserve"> est possible de modifier les résultats escomptés </w:t>
      </w:r>
      <w:r w:rsidR="0076373B" w:rsidRPr="00202EB9">
        <w:rPr>
          <w:szCs w:val="22"/>
          <w:lang w:val="fr-FR"/>
        </w:rPr>
        <w:t>ou d</w:t>
      </w:r>
      <w:r w:rsidR="00426067" w:rsidRPr="00202EB9">
        <w:rPr>
          <w:szCs w:val="22"/>
          <w:lang w:val="fr-FR"/>
        </w:rPr>
        <w:t>’</w:t>
      </w:r>
      <w:r w:rsidR="0076373B" w:rsidRPr="00202EB9">
        <w:rPr>
          <w:szCs w:val="22"/>
          <w:lang w:val="fr-FR"/>
        </w:rPr>
        <w:t>en formuler de nouveaux pour faire en sorte que l</w:t>
      </w:r>
      <w:r w:rsidR="00426067" w:rsidRPr="00202EB9">
        <w:rPr>
          <w:szCs w:val="22"/>
          <w:lang w:val="fr-FR"/>
        </w:rPr>
        <w:t>’</w:t>
      </w:r>
      <w:r w:rsidR="0076373B" w:rsidRPr="00202EB9">
        <w:rPr>
          <w:szCs w:val="22"/>
          <w:lang w:val="fr-FR"/>
        </w:rPr>
        <w:t>intégration des recommandations du Plan d</w:t>
      </w:r>
      <w:r w:rsidR="00426067" w:rsidRPr="00202EB9">
        <w:rPr>
          <w:szCs w:val="22"/>
          <w:lang w:val="fr-FR"/>
        </w:rPr>
        <w:t>’</w:t>
      </w:r>
      <w:r w:rsidR="0076373B" w:rsidRPr="00202EB9">
        <w:rPr>
          <w:szCs w:val="22"/>
          <w:lang w:val="fr-FR"/>
        </w:rPr>
        <w:t>action pour le développement</w:t>
      </w:r>
      <w:r w:rsidR="00961FF9" w:rsidRPr="00202EB9">
        <w:rPr>
          <w:szCs w:val="22"/>
          <w:lang w:val="fr-FR"/>
        </w:rPr>
        <w:t xml:space="preserve"> s</w:t>
      </w:r>
      <w:r w:rsidR="00426067" w:rsidRPr="00202EB9">
        <w:rPr>
          <w:szCs w:val="22"/>
          <w:lang w:val="fr-FR"/>
        </w:rPr>
        <w:t>’</w:t>
      </w:r>
      <w:r w:rsidR="00961FF9" w:rsidRPr="00202EB9">
        <w:rPr>
          <w:szCs w:val="22"/>
          <w:lang w:val="fr-FR"/>
        </w:rPr>
        <w:t>effectue d</w:t>
      </w:r>
      <w:r w:rsidR="00426067" w:rsidRPr="00202EB9">
        <w:rPr>
          <w:szCs w:val="22"/>
          <w:lang w:val="fr-FR"/>
        </w:rPr>
        <w:t>’</w:t>
      </w:r>
      <w:r w:rsidR="00961FF9" w:rsidRPr="00202EB9">
        <w:rPr>
          <w:szCs w:val="22"/>
          <w:lang w:val="fr-FR"/>
        </w:rPr>
        <w:t>une manière plus efficace et durable.</w:t>
      </w:r>
    </w:p>
    <w:p w:rsidR="00781C9E" w:rsidRPr="00202EB9" w:rsidRDefault="0013576C" w:rsidP="00255C01">
      <w:pPr>
        <w:pStyle w:val="ONUMFS"/>
        <w:numPr>
          <w:ilvl w:val="0"/>
          <w:numId w:val="0"/>
        </w:numPr>
        <w:rPr>
          <w:szCs w:val="22"/>
          <w:lang w:val="fr-FR"/>
        </w:rPr>
      </w:pPr>
      <w:r w:rsidRPr="00202EB9">
        <w:rPr>
          <w:b/>
          <w:szCs w:val="22"/>
          <w:lang w:val="fr-FR"/>
        </w:rPr>
        <w:t>Recommandation</w:t>
      </w:r>
      <w:r w:rsidR="00E15713" w:rsidRPr="00202EB9">
        <w:rPr>
          <w:b/>
          <w:szCs w:val="22"/>
          <w:lang w:val="fr-FR"/>
        </w:rPr>
        <w:t> </w:t>
      </w:r>
      <w:r w:rsidR="00781C9E" w:rsidRPr="00202EB9">
        <w:rPr>
          <w:b/>
          <w:szCs w:val="22"/>
          <w:lang w:val="fr-FR"/>
        </w:rPr>
        <w:t>6</w:t>
      </w:r>
      <w:r w:rsidR="00E15713" w:rsidRPr="00202EB9">
        <w:rPr>
          <w:b/>
          <w:szCs w:val="22"/>
          <w:lang w:val="fr-FR"/>
        </w:rPr>
        <w:t> </w:t>
      </w:r>
      <w:proofErr w:type="gramStart"/>
      <w:r w:rsidR="00781C9E" w:rsidRPr="00202EB9">
        <w:rPr>
          <w:b/>
          <w:lang w:val="fr-FR"/>
        </w:rPr>
        <w:t>:</w:t>
      </w:r>
      <w:r w:rsidR="00AD125E" w:rsidRPr="00202EB9">
        <w:rPr>
          <w:szCs w:val="22"/>
          <w:lang w:val="fr-FR"/>
        </w:rPr>
        <w:t xml:space="preserve"> Les</w:t>
      </w:r>
      <w:proofErr w:type="gramEnd"/>
      <w:r w:rsidR="00AD125E" w:rsidRPr="00202EB9">
        <w:rPr>
          <w:szCs w:val="22"/>
          <w:lang w:val="fr-FR"/>
        </w:rPr>
        <w:t xml:space="preserve"> États membres sont encouragés à </w:t>
      </w:r>
      <w:r w:rsidR="00F05973" w:rsidRPr="00202EB9">
        <w:rPr>
          <w:szCs w:val="22"/>
          <w:lang w:val="fr-FR"/>
        </w:rPr>
        <w:t>renforcer la coordination entre les missions basées à Genève et leurs offices de propriété intellectuelle</w:t>
      </w:r>
      <w:r w:rsidR="00772F26" w:rsidRPr="00202EB9">
        <w:rPr>
          <w:szCs w:val="22"/>
          <w:lang w:val="fr-FR"/>
        </w:rPr>
        <w:t xml:space="preserve"> et les autorités de leurs capitales</w:t>
      </w:r>
      <w:r w:rsidR="00357E40" w:rsidRPr="00202EB9">
        <w:rPr>
          <w:szCs w:val="22"/>
          <w:lang w:val="fr-FR"/>
        </w:rPr>
        <w:t xml:space="preserve">, </w:t>
      </w:r>
      <w:r w:rsidR="00F33E4B" w:rsidRPr="00202EB9">
        <w:rPr>
          <w:szCs w:val="22"/>
          <w:lang w:val="fr-FR"/>
        </w:rPr>
        <w:t>de manière à permettre</w:t>
      </w:r>
      <w:r w:rsidR="00DD0950" w:rsidRPr="00202EB9">
        <w:rPr>
          <w:szCs w:val="22"/>
          <w:lang w:val="fr-FR"/>
        </w:rPr>
        <w:t xml:space="preserve"> une plus grande concertation dans la manière d</w:t>
      </w:r>
      <w:r w:rsidR="00426067" w:rsidRPr="00202EB9">
        <w:rPr>
          <w:szCs w:val="22"/>
          <w:lang w:val="fr-FR"/>
        </w:rPr>
        <w:t>’</w:t>
      </w:r>
      <w:r w:rsidR="00DD0950" w:rsidRPr="00202EB9">
        <w:rPr>
          <w:szCs w:val="22"/>
          <w:lang w:val="fr-FR"/>
        </w:rPr>
        <w:t>aborder les débats</w:t>
      </w:r>
      <w:r w:rsidR="00426067" w:rsidRPr="00202EB9">
        <w:rPr>
          <w:szCs w:val="22"/>
          <w:lang w:val="fr-FR"/>
        </w:rPr>
        <w:t xml:space="preserve"> du </w:t>
      </w:r>
      <w:proofErr w:type="spellStart"/>
      <w:r w:rsidR="00426067" w:rsidRPr="00202EB9">
        <w:rPr>
          <w:szCs w:val="22"/>
          <w:lang w:val="fr-FR"/>
        </w:rPr>
        <w:t>CDI</w:t>
      </w:r>
      <w:r w:rsidR="00F33E4B" w:rsidRPr="00202EB9">
        <w:rPr>
          <w:szCs w:val="22"/>
          <w:lang w:val="fr-FR"/>
        </w:rPr>
        <w:t>P</w:t>
      </w:r>
      <w:proofErr w:type="spellEnd"/>
      <w:r w:rsidR="002A7772" w:rsidRPr="00202EB9">
        <w:rPr>
          <w:szCs w:val="22"/>
          <w:lang w:val="fr-FR"/>
        </w:rPr>
        <w:t>, ainsi qu</w:t>
      </w:r>
      <w:r w:rsidR="00426067" w:rsidRPr="00202EB9">
        <w:rPr>
          <w:szCs w:val="22"/>
          <w:lang w:val="fr-FR"/>
        </w:rPr>
        <w:t>’</w:t>
      </w:r>
      <w:r w:rsidR="009A3C25" w:rsidRPr="00202EB9">
        <w:rPr>
          <w:szCs w:val="22"/>
          <w:lang w:val="fr-FR"/>
        </w:rPr>
        <w:t>une meilleure sensibilisation aux avantages du Plan d</w:t>
      </w:r>
      <w:r w:rsidR="00426067" w:rsidRPr="00202EB9">
        <w:rPr>
          <w:szCs w:val="22"/>
          <w:lang w:val="fr-FR"/>
        </w:rPr>
        <w:t>’</w:t>
      </w:r>
      <w:r w:rsidR="009A3C25" w:rsidRPr="00202EB9">
        <w:rPr>
          <w:szCs w:val="22"/>
          <w:lang w:val="fr-FR"/>
        </w:rPr>
        <w:t>action pour le développeme</w:t>
      </w:r>
      <w:r w:rsidR="001E787E" w:rsidRPr="00202EB9">
        <w:rPr>
          <w:szCs w:val="22"/>
          <w:lang w:val="fr-FR"/>
        </w:rPr>
        <w:t>nt.  La</w:t>
      </w:r>
      <w:r w:rsidR="00326EC4" w:rsidRPr="00202EB9">
        <w:rPr>
          <w:szCs w:val="22"/>
          <w:lang w:val="fr-FR"/>
        </w:rPr>
        <w:t xml:space="preserve"> participation d</w:t>
      </w:r>
      <w:r w:rsidR="00426067" w:rsidRPr="00202EB9">
        <w:rPr>
          <w:szCs w:val="22"/>
          <w:lang w:val="fr-FR"/>
        </w:rPr>
        <w:t>’</w:t>
      </w:r>
      <w:r w:rsidR="00326EC4" w:rsidRPr="00202EB9">
        <w:rPr>
          <w:szCs w:val="22"/>
          <w:lang w:val="fr-FR"/>
        </w:rPr>
        <w:t>experts nationaux aux travaux du comité devrait être accr</w:t>
      </w:r>
      <w:r w:rsidR="001E787E" w:rsidRPr="00202EB9">
        <w:rPr>
          <w:szCs w:val="22"/>
          <w:lang w:val="fr-FR"/>
        </w:rPr>
        <w:t>ue.  Le</w:t>
      </w:r>
      <w:r w:rsidR="00426067" w:rsidRPr="00202EB9">
        <w:rPr>
          <w:szCs w:val="22"/>
          <w:lang w:val="fr-FR"/>
        </w:rPr>
        <w:t> </w:t>
      </w:r>
      <w:proofErr w:type="spellStart"/>
      <w:r w:rsidR="00426067" w:rsidRPr="00202EB9">
        <w:rPr>
          <w:szCs w:val="22"/>
          <w:lang w:val="fr-FR"/>
        </w:rPr>
        <w:t>CDI</w:t>
      </w:r>
      <w:r w:rsidR="00DD0950" w:rsidRPr="00202EB9">
        <w:rPr>
          <w:szCs w:val="22"/>
          <w:lang w:val="fr-FR"/>
        </w:rPr>
        <w:t>P</w:t>
      </w:r>
      <w:proofErr w:type="spellEnd"/>
      <w:r w:rsidR="00DD0950" w:rsidRPr="00202EB9">
        <w:rPr>
          <w:szCs w:val="22"/>
          <w:lang w:val="fr-FR"/>
        </w:rPr>
        <w:t xml:space="preserve"> </w:t>
      </w:r>
      <w:r w:rsidR="004479A4" w:rsidRPr="00202EB9">
        <w:rPr>
          <w:szCs w:val="22"/>
          <w:lang w:val="fr-FR"/>
        </w:rPr>
        <w:t>devrait examiner les modalités de l</w:t>
      </w:r>
      <w:r w:rsidR="00426067" w:rsidRPr="00202EB9">
        <w:rPr>
          <w:szCs w:val="22"/>
          <w:lang w:val="fr-FR"/>
        </w:rPr>
        <w:t>’</w:t>
      </w:r>
      <w:r w:rsidR="004479A4" w:rsidRPr="00202EB9">
        <w:rPr>
          <w:szCs w:val="22"/>
          <w:lang w:val="fr-FR"/>
        </w:rPr>
        <w:t>établissement de rapports sur les travaux effectués au niveau national en ce qui concerne la mise en œuvre des recommandations du Plan d</w:t>
      </w:r>
      <w:r w:rsidR="00426067" w:rsidRPr="00202EB9">
        <w:rPr>
          <w:szCs w:val="22"/>
          <w:lang w:val="fr-FR"/>
        </w:rPr>
        <w:t>’</w:t>
      </w:r>
      <w:r w:rsidR="004479A4" w:rsidRPr="00202EB9">
        <w:rPr>
          <w:szCs w:val="22"/>
          <w:lang w:val="fr-FR"/>
        </w:rPr>
        <w:t>action pour le développement.</w:t>
      </w:r>
    </w:p>
    <w:p w:rsidR="00781C9E" w:rsidRPr="00202EB9" w:rsidRDefault="0013576C" w:rsidP="00255C01">
      <w:pPr>
        <w:pStyle w:val="ONUMFS"/>
        <w:numPr>
          <w:ilvl w:val="0"/>
          <w:numId w:val="0"/>
        </w:numPr>
        <w:rPr>
          <w:szCs w:val="22"/>
          <w:lang w:val="fr-FR"/>
        </w:rPr>
      </w:pPr>
      <w:r w:rsidRPr="00202EB9">
        <w:rPr>
          <w:b/>
          <w:szCs w:val="22"/>
          <w:lang w:val="fr-FR"/>
        </w:rPr>
        <w:t>Recommandation</w:t>
      </w:r>
      <w:r w:rsidR="00E15713" w:rsidRPr="00202EB9">
        <w:rPr>
          <w:b/>
          <w:szCs w:val="22"/>
          <w:lang w:val="fr-FR"/>
        </w:rPr>
        <w:t> </w:t>
      </w:r>
      <w:r w:rsidR="00781C9E" w:rsidRPr="00202EB9">
        <w:rPr>
          <w:b/>
          <w:szCs w:val="22"/>
          <w:lang w:val="fr-FR"/>
        </w:rPr>
        <w:t>7</w:t>
      </w:r>
      <w:r w:rsidR="00E15713" w:rsidRPr="00202EB9">
        <w:rPr>
          <w:b/>
          <w:szCs w:val="22"/>
          <w:lang w:val="fr-FR"/>
        </w:rPr>
        <w:t> </w:t>
      </w:r>
      <w:proofErr w:type="gramStart"/>
      <w:r w:rsidR="00781C9E" w:rsidRPr="00202EB9">
        <w:rPr>
          <w:b/>
          <w:lang w:val="fr-FR"/>
        </w:rPr>
        <w:t>:</w:t>
      </w:r>
      <w:r w:rsidR="00781C9E" w:rsidRPr="00202EB9">
        <w:rPr>
          <w:szCs w:val="22"/>
          <w:lang w:val="fr-FR"/>
        </w:rPr>
        <w:t xml:space="preserve"> </w:t>
      </w:r>
      <w:r w:rsidR="004479A4" w:rsidRPr="00202EB9">
        <w:rPr>
          <w:szCs w:val="22"/>
          <w:lang w:val="fr-FR"/>
        </w:rPr>
        <w:t>Les</w:t>
      </w:r>
      <w:proofErr w:type="gramEnd"/>
      <w:r w:rsidR="004479A4" w:rsidRPr="00202EB9">
        <w:rPr>
          <w:szCs w:val="22"/>
          <w:lang w:val="fr-FR"/>
        </w:rPr>
        <w:t xml:space="preserve"> États membres sont encouragés à</w:t>
      </w:r>
      <w:r w:rsidR="00690282" w:rsidRPr="00202EB9">
        <w:rPr>
          <w:szCs w:val="22"/>
          <w:lang w:val="fr-FR"/>
        </w:rPr>
        <w:t xml:space="preserve"> soumettre de nouvelles propositions de projets à l</w:t>
      </w:r>
      <w:r w:rsidR="00426067" w:rsidRPr="00202EB9">
        <w:rPr>
          <w:szCs w:val="22"/>
          <w:lang w:val="fr-FR"/>
        </w:rPr>
        <w:t>’</w:t>
      </w:r>
      <w:r w:rsidR="00690282" w:rsidRPr="00202EB9">
        <w:rPr>
          <w:szCs w:val="22"/>
          <w:lang w:val="fr-FR"/>
        </w:rPr>
        <w:t>examen</w:t>
      </w:r>
      <w:r w:rsidR="00426067" w:rsidRPr="00202EB9">
        <w:rPr>
          <w:szCs w:val="22"/>
          <w:lang w:val="fr-FR"/>
        </w:rPr>
        <w:t xml:space="preserve"> du </w:t>
      </w:r>
      <w:proofErr w:type="spellStart"/>
      <w:r w:rsidR="00426067" w:rsidRPr="00202EB9">
        <w:rPr>
          <w:szCs w:val="22"/>
          <w:lang w:val="fr-FR"/>
        </w:rPr>
        <w:t>C</w:t>
      </w:r>
      <w:r w:rsidR="001E787E" w:rsidRPr="00202EB9">
        <w:rPr>
          <w:szCs w:val="22"/>
          <w:lang w:val="fr-FR"/>
        </w:rPr>
        <w:t>DIP</w:t>
      </w:r>
      <w:proofErr w:type="spellEnd"/>
      <w:r w:rsidR="001E787E" w:rsidRPr="00202EB9">
        <w:rPr>
          <w:szCs w:val="22"/>
          <w:lang w:val="fr-FR"/>
        </w:rPr>
        <w:t>.  Il</w:t>
      </w:r>
      <w:r w:rsidR="00911B99" w:rsidRPr="00202EB9">
        <w:rPr>
          <w:szCs w:val="22"/>
          <w:lang w:val="fr-FR"/>
        </w:rPr>
        <w:t>s devraient envisager la mise en place d</w:t>
      </w:r>
      <w:r w:rsidR="00426067" w:rsidRPr="00202EB9">
        <w:rPr>
          <w:szCs w:val="22"/>
          <w:lang w:val="fr-FR"/>
        </w:rPr>
        <w:t>’</w:t>
      </w:r>
      <w:r w:rsidR="00911B99" w:rsidRPr="00202EB9">
        <w:rPr>
          <w:szCs w:val="22"/>
          <w:lang w:val="fr-FR"/>
        </w:rPr>
        <w:t>un mécanisme d</w:t>
      </w:r>
      <w:r w:rsidR="00426067" w:rsidRPr="00202EB9">
        <w:rPr>
          <w:szCs w:val="22"/>
          <w:lang w:val="fr-FR"/>
        </w:rPr>
        <w:t>’</w:t>
      </w:r>
      <w:r w:rsidR="00911B99" w:rsidRPr="00202EB9">
        <w:rPr>
          <w:szCs w:val="22"/>
          <w:lang w:val="fr-FR"/>
        </w:rPr>
        <w:t>établissement de rapports sur les pratiques recommandées et les enseignements tirés</w:t>
      </w:r>
      <w:r w:rsidR="00974856" w:rsidRPr="00202EB9">
        <w:rPr>
          <w:szCs w:val="22"/>
          <w:lang w:val="fr-FR"/>
        </w:rPr>
        <w:t xml:space="preserve"> de projets et activités mis en œuvre avec succès dans le cadre du Plan d</w:t>
      </w:r>
      <w:r w:rsidR="00426067" w:rsidRPr="00202EB9">
        <w:rPr>
          <w:szCs w:val="22"/>
          <w:lang w:val="fr-FR"/>
        </w:rPr>
        <w:t>’</w:t>
      </w:r>
      <w:r w:rsidR="00974856" w:rsidRPr="00202EB9">
        <w:rPr>
          <w:szCs w:val="22"/>
          <w:lang w:val="fr-FR"/>
        </w:rPr>
        <w:t>action pour le développeme</w:t>
      </w:r>
      <w:r w:rsidR="001E787E" w:rsidRPr="00202EB9">
        <w:rPr>
          <w:szCs w:val="22"/>
          <w:lang w:val="fr-FR"/>
        </w:rPr>
        <w:t>nt.  Ce</w:t>
      </w:r>
      <w:r w:rsidR="007722A6" w:rsidRPr="00202EB9">
        <w:rPr>
          <w:szCs w:val="22"/>
          <w:lang w:val="fr-FR"/>
        </w:rPr>
        <w:t xml:space="preserve"> mécanisme devrait prévoir une vérification périodique</w:t>
      </w:r>
      <w:r w:rsidR="00CE40A4" w:rsidRPr="00202EB9">
        <w:rPr>
          <w:szCs w:val="22"/>
          <w:lang w:val="fr-FR"/>
        </w:rPr>
        <w:t xml:space="preserve"> de la durabilité des </w:t>
      </w:r>
      <w:r w:rsidR="00920E09" w:rsidRPr="00202EB9">
        <w:rPr>
          <w:szCs w:val="22"/>
          <w:lang w:val="fr-FR"/>
        </w:rPr>
        <w:t>projets achevés</w:t>
      </w:r>
      <w:r w:rsidR="00CE40A4" w:rsidRPr="00202EB9">
        <w:rPr>
          <w:szCs w:val="22"/>
          <w:lang w:val="fr-FR"/>
        </w:rPr>
        <w:t xml:space="preserve"> ou intégrés, ainsi que de leurs incidences sur les bénéficiaires.  </w:t>
      </w:r>
      <w:r w:rsidR="001A6CF2" w:rsidRPr="00202EB9">
        <w:rPr>
          <w:szCs w:val="22"/>
          <w:lang w:val="fr-FR"/>
        </w:rPr>
        <w:t>L</w:t>
      </w:r>
      <w:r w:rsidR="00426067" w:rsidRPr="00202EB9">
        <w:rPr>
          <w:szCs w:val="22"/>
          <w:lang w:val="fr-FR"/>
        </w:rPr>
        <w:t>’</w:t>
      </w:r>
      <w:r w:rsidR="001A6CF2" w:rsidRPr="00202EB9">
        <w:rPr>
          <w:szCs w:val="22"/>
          <w:lang w:val="fr-FR"/>
        </w:rPr>
        <w:t>OMPI devrait créer une base de données réunissant</w:t>
      </w:r>
      <w:r w:rsidR="0073370F" w:rsidRPr="00202EB9">
        <w:rPr>
          <w:szCs w:val="22"/>
          <w:lang w:val="fr-FR"/>
        </w:rPr>
        <w:t xml:space="preserve"> les bonnes pratiques et les leçons apprises au cours de la mise en œuvre de projets du Plan d</w:t>
      </w:r>
      <w:r w:rsidR="00426067" w:rsidRPr="00202EB9">
        <w:rPr>
          <w:szCs w:val="22"/>
          <w:lang w:val="fr-FR"/>
        </w:rPr>
        <w:t>’</w:t>
      </w:r>
      <w:r w:rsidR="0073370F" w:rsidRPr="00202EB9">
        <w:rPr>
          <w:szCs w:val="22"/>
          <w:lang w:val="fr-FR"/>
        </w:rPr>
        <w:t>action pour le développement.</w:t>
      </w:r>
    </w:p>
    <w:p w:rsidR="00781C9E" w:rsidRPr="00202EB9" w:rsidRDefault="0013576C" w:rsidP="00255C01">
      <w:pPr>
        <w:pStyle w:val="ONUMFS"/>
        <w:numPr>
          <w:ilvl w:val="0"/>
          <w:numId w:val="0"/>
        </w:numPr>
        <w:rPr>
          <w:szCs w:val="22"/>
          <w:lang w:val="fr-FR"/>
        </w:rPr>
      </w:pPr>
      <w:r w:rsidRPr="00202EB9">
        <w:rPr>
          <w:b/>
          <w:szCs w:val="22"/>
          <w:lang w:val="fr-FR"/>
        </w:rPr>
        <w:t>Recommandation</w:t>
      </w:r>
      <w:r w:rsidR="00E15713" w:rsidRPr="00202EB9">
        <w:rPr>
          <w:b/>
          <w:szCs w:val="22"/>
          <w:lang w:val="fr-FR"/>
        </w:rPr>
        <w:t> </w:t>
      </w:r>
      <w:r w:rsidR="00781C9E" w:rsidRPr="00202EB9">
        <w:rPr>
          <w:b/>
          <w:szCs w:val="22"/>
          <w:lang w:val="fr-FR"/>
        </w:rPr>
        <w:t>8</w:t>
      </w:r>
      <w:r w:rsidR="00E15713" w:rsidRPr="00202EB9">
        <w:rPr>
          <w:b/>
          <w:szCs w:val="22"/>
          <w:lang w:val="fr-FR"/>
        </w:rPr>
        <w:t> </w:t>
      </w:r>
      <w:proofErr w:type="gramStart"/>
      <w:r w:rsidR="00781C9E" w:rsidRPr="00202EB9">
        <w:rPr>
          <w:b/>
          <w:lang w:val="fr-FR"/>
        </w:rPr>
        <w:t>:</w:t>
      </w:r>
      <w:r w:rsidR="00781C9E" w:rsidRPr="00202EB9">
        <w:rPr>
          <w:szCs w:val="22"/>
          <w:lang w:val="fr-FR"/>
        </w:rPr>
        <w:t xml:space="preserve"> </w:t>
      </w:r>
      <w:r w:rsidR="003B4D53" w:rsidRPr="00202EB9">
        <w:rPr>
          <w:szCs w:val="22"/>
          <w:lang w:val="fr-FR"/>
        </w:rPr>
        <w:t>Les</w:t>
      </w:r>
      <w:proofErr w:type="gramEnd"/>
      <w:r w:rsidR="003B4D53" w:rsidRPr="00202EB9">
        <w:rPr>
          <w:szCs w:val="22"/>
          <w:lang w:val="fr-FR"/>
        </w:rPr>
        <w:t xml:space="preserve"> travaux </w:t>
      </w:r>
      <w:r w:rsidR="002919D2" w:rsidRPr="00202EB9">
        <w:rPr>
          <w:szCs w:val="22"/>
          <w:lang w:val="fr-FR"/>
        </w:rPr>
        <w:t xml:space="preserve">futurs </w:t>
      </w:r>
      <w:r w:rsidR="003B4D53" w:rsidRPr="00202EB9">
        <w:rPr>
          <w:szCs w:val="22"/>
          <w:lang w:val="fr-FR"/>
        </w:rPr>
        <w:t>relatifs à l</w:t>
      </w:r>
      <w:r w:rsidR="00426067" w:rsidRPr="00202EB9">
        <w:rPr>
          <w:szCs w:val="22"/>
          <w:lang w:val="fr-FR"/>
        </w:rPr>
        <w:t>’</w:t>
      </w:r>
      <w:r w:rsidR="003B4D53" w:rsidRPr="00202EB9">
        <w:rPr>
          <w:szCs w:val="22"/>
          <w:lang w:val="fr-FR"/>
        </w:rPr>
        <w:t>élaboration de nouveaux projets devraient être modulaires</w:t>
      </w:r>
      <w:r w:rsidR="00896CFE" w:rsidRPr="00202EB9">
        <w:rPr>
          <w:szCs w:val="22"/>
          <w:lang w:val="fr-FR"/>
        </w:rPr>
        <w:t xml:space="preserve"> et </w:t>
      </w:r>
      <w:r w:rsidR="001C03CB" w:rsidRPr="00202EB9">
        <w:rPr>
          <w:szCs w:val="22"/>
          <w:lang w:val="fr-FR"/>
        </w:rPr>
        <w:t>adapt</w:t>
      </w:r>
      <w:r w:rsidR="00896CFE" w:rsidRPr="00202EB9">
        <w:rPr>
          <w:szCs w:val="22"/>
          <w:lang w:val="fr-FR"/>
        </w:rPr>
        <w:t xml:space="preserve">ables, et devraient </w:t>
      </w:r>
      <w:r w:rsidR="005568A3" w:rsidRPr="00202EB9">
        <w:rPr>
          <w:szCs w:val="22"/>
          <w:lang w:val="fr-FR"/>
        </w:rPr>
        <w:t>prendre en compte la capacité d</w:t>
      </w:r>
      <w:r w:rsidR="00426067" w:rsidRPr="00202EB9">
        <w:rPr>
          <w:szCs w:val="22"/>
          <w:lang w:val="fr-FR"/>
        </w:rPr>
        <w:t>’</w:t>
      </w:r>
      <w:r w:rsidR="005568A3" w:rsidRPr="00202EB9">
        <w:rPr>
          <w:szCs w:val="22"/>
          <w:lang w:val="fr-FR"/>
        </w:rPr>
        <w:t xml:space="preserve">absorption et </w:t>
      </w:r>
      <w:r w:rsidR="00B16CE3" w:rsidRPr="00202EB9">
        <w:rPr>
          <w:szCs w:val="22"/>
          <w:lang w:val="fr-FR"/>
        </w:rPr>
        <w:t xml:space="preserve">le </w:t>
      </w:r>
      <w:r w:rsidR="00A734E7" w:rsidRPr="00202EB9">
        <w:rPr>
          <w:szCs w:val="22"/>
          <w:lang w:val="fr-FR"/>
        </w:rPr>
        <w:t>niveau de compétence</w:t>
      </w:r>
      <w:r w:rsidR="00834528" w:rsidRPr="00202EB9">
        <w:rPr>
          <w:szCs w:val="22"/>
          <w:lang w:val="fr-FR"/>
        </w:rPr>
        <w:t xml:space="preserve"> des bénéficiair</w:t>
      </w:r>
      <w:r w:rsidR="001E787E" w:rsidRPr="00202EB9">
        <w:rPr>
          <w:szCs w:val="22"/>
          <w:lang w:val="fr-FR"/>
        </w:rPr>
        <w:t>es.  En</w:t>
      </w:r>
      <w:r w:rsidR="003A1152" w:rsidRPr="00202EB9">
        <w:rPr>
          <w:szCs w:val="22"/>
          <w:lang w:val="fr-FR"/>
        </w:rPr>
        <w:t xml:space="preserve"> ce qui concerne la mise en œuvre de projets au niveau national, l</w:t>
      </w:r>
      <w:r w:rsidR="00426067" w:rsidRPr="00202EB9">
        <w:rPr>
          <w:szCs w:val="22"/>
          <w:lang w:val="fr-FR"/>
        </w:rPr>
        <w:t>’</w:t>
      </w:r>
      <w:r w:rsidR="00D676CE" w:rsidRPr="00202EB9">
        <w:rPr>
          <w:szCs w:val="22"/>
          <w:lang w:val="fr-FR"/>
        </w:rPr>
        <w:t xml:space="preserve">OMPI devrait étudier la possibilité de </w:t>
      </w:r>
      <w:r w:rsidR="003A1152" w:rsidRPr="00202EB9">
        <w:rPr>
          <w:szCs w:val="22"/>
          <w:lang w:val="fr-FR"/>
        </w:rPr>
        <w:t>nouer des partenariats étroits avec d</w:t>
      </w:r>
      <w:r w:rsidR="00D676CE" w:rsidRPr="00202EB9">
        <w:rPr>
          <w:szCs w:val="22"/>
          <w:lang w:val="fr-FR"/>
        </w:rPr>
        <w:t xml:space="preserve">es institutions des </w:t>
      </w:r>
      <w:r w:rsidR="00426067" w:rsidRPr="00202EB9">
        <w:rPr>
          <w:szCs w:val="22"/>
          <w:lang w:val="fr-FR"/>
        </w:rPr>
        <w:t>Nations Unies</w:t>
      </w:r>
      <w:r w:rsidR="00D676CE" w:rsidRPr="00202EB9">
        <w:rPr>
          <w:szCs w:val="22"/>
          <w:lang w:val="fr-FR"/>
        </w:rPr>
        <w:t xml:space="preserve"> </w:t>
      </w:r>
      <w:r w:rsidR="00A734E7" w:rsidRPr="00202EB9">
        <w:rPr>
          <w:szCs w:val="22"/>
          <w:lang w:val="fr-FR"/>
        </w:rPr>
        <w:t>ainsi que</w:t>
      </w:r>
      <w:r w:rsidR="00D676CE" w:rsidRPr="00202EB9">
        <w:rPr>
          <w:szCs w:val="22"/>
          <w:lang w:val="fr-FR"/>
        </w:rPr>
        <w:t xml:space="preserve"> d</w:t>
      </w:r>
      <w:r w:rsidR="00426067" w:rsidRPr="00202EB9">
        <w:rPr>
          <w:szCs w:val="22"/>
          <w:lang w:val="fr-FR"/>
        </w:rPr>
        <w:t>’</w:t>
      </w:r>
      <w:r w:rsidR="00D676CE" w:rsidRPr="00202EB9">
        <w:rPr>
          <w:szCs w:val="22"/>
          <w:lang w:val="fr-FR"/>
        </w:rPr>
        <w:t>autres organisations</w:t>
      </w:r>
      <w:r w:rsidR="003A1152" w:rsidRPr="00202EB9">
        <w:rPr>
          <w:szCs w:val="22"/>
          <w:lang w:val="fr-FR"/>
        </w:rPr>
        <w:t>, afin d</w:t>
      </w:r>
      <w:r w:rsidR="00426067" w:rsidRPr="00202EB9">
        <w:rPr>
          <w:szCs w:val="22"/>
          <w:lang w:val="fr-FR"/>
        </w:rPr>
        <w:t>’</w:t>
      </w:r>
      <w:r w:rsidR="003A1152" w:rsidRPr="00202EB9">
        <w:rPr>
          <w:szCs w:val="22"/>
          <w:lang w:val="fr-FR"/>
        </w:rPr>
        <w:t>en améliorer l</w:t>
      </w:r>
      <w:r w:rsidR="00426067" w:rsidRPr="00202EB9">
        <w:rPr>
          <w:szCs w:val="22"/>
          <w:lang w:val="fr-FR"/>
        </w:rPr>
        <w:t>’</w:t>
      </w:r>
      <w:r w:rsidR="003A1152" w:rsidRPr="00202EB9">
        <w:rPr>
          <w:szCs w:val="22"/>
          <w:lang w:val="fr-FR"/>
        </w:rPr>
        <w:t>efficacité, l</w:t>
      </w:r>
      <w:r w:rsidR="00426067" w:rsidRPr="00202EB9">
        <w:rPr>
          <w:szCs w:val="22"/>
          <w:lang w:val="fr-FR"/>
        </w:rPr>
        <w:t>’</w:t>
      </w:r>
      <w:r w:rsidR="003A1152" w:rsidRPr="00202EB9">
        <w:rPr>
          <w:szCs w:val="22"/>
          <w:lang w:val="fr-FR"/>
        </w:rPr>
        <w:t>exhaustivité et la durabilité.</w:t>
      </w:r>
    </w:p>
    <w:p w:rsidR="00781C9E" w:rsidRPr="00202EB9" w:rsidRDefault="0013576C" w:rsidP="00255C01">
      <w:pPr>
        <w:pStyle w:val="ONUMFS"/>
        <w:numPr>
          <w:ilvl w:val="0"/>
          <w:numId w:val="0"/>
        </w:numPr>
        <w:rPr>
          <w:szCs w:val="22"/>
          <w:lang w:val="fr-FR"/>
        </w:rPr>
      </w:pPr>
      <w:r w:rsidRPr="00202EB9">
        <w:rPr>
          <w:b/>
          <w:szCs w:val="22"/>
          <w:lang w:val="fr-FR"/>
        </w:rPr>
        <w:t>Recommandation</w:t>
      </w:r>
      <w:r w:rsidR="00E15713" w:rsidRPr="00202EB9">
        <w:rPr>
          <w:b/>
          <w:szCs w:val="22"/>
          <w:lang w:val="fr-FR"/>
        </w:rPr>
        <w:t> </w:t>
      </w:r>
      <w:r w:rsidR="00781C9E" w:rsidRPr="00202EB9">
        <w:rPr>
          <w:b/>
          <w:szCs w:val="22"/>
          <w:lang w:val="fr-FR"/>
        </w:rPr>
        <w:t>9</w:t>
      </w:r>
      <w:r w:rsidR="00E15713" w:rsidRPr="00202EB9">
        <w:rPr>
          <w:b/>
          <w:szCs w:val="22"/>
          <w:lang w:val="fr-FR"/>
        </w:rPr>
        <w:t> </w:t>
      </w:r>
      <w:proofErr w:type="gramStart"/>
      <w:r w:rsidR="00781C9E" w:rsidRPr="00202EB9">
        <w:rPr>
          <w:b/>
          <w:lang w:val="fr-FR"/>
        </w:rPr>
        <w:t>:</w:t>
      </w:r>
      <w:r w:rsidR="00781C9E" w:rsidRPr="00202EB9">
        <w:rPr>
          <w:szCs w:val="22"/>
          <w:lang w:val="fr-FR"/>
        </w:rPr>
        <w:t xml:space="preserve"> </w:t>
      </w:r>
      <w:r w:rsidR="008273EC" w:rsidRPr="00202EB9">
        <w:rPr>
          <w:szCs w:val="22"/>
          <w:lang w:val="fr-FR"/>
        </w:rPr>
        <w:t>L</w:t>
      </w:r>
      <w:r w:rsidR="00426067" w:rsidRPr="00202EB9">
        <w:rPr>
          <w:szCs w:val="22"/>
          <w:lang w:val="fr-FR"/>
        </w:rPr>
        <w:t>’</w:t>
      </w:r>
      <w:r w:rsidR="008273EC" w:rsidRPr="00202EB9">
        <w:rPr>
          <w:szCs w:val="22"/>
          <w:lang w:val="fr-FR"/>
        </w:rPr>
        <w:t>OMPI</w:t>
      </w:r>
      <w:proofErr w:type="gramEnd"/>
      <w:r w:rsidR="008273EC" w:rsidRPr="00202EB9">
        <w:rPr>
          <w:szCs w:val="22"/>
          <w:lang w:val="fr-FR"/>
        </w:rPr>
        <w:t xml:space="preserve"> devrait </w:t>
      </w:r>
      <w:r w:rsidR="009D4A22" w:rsidRPr="00202EB9">
        <w:rPr>
          <w:szCs w:val="22"/>
          <w:lang w:val="fr-FR"/>
        </w:rPr>
        <w:t>accorder une plus grande importance</w:t>
      </w:r>
      <w:r w:rsidR="00C045C1" w:rsidRPr="00202EB9">
        <w:rPr>
          <w:szCs w:val="22"/>
          <w:lang w:val="fr-FR"/>
        </w:rPr>
        <w:t xml:space="preserve"> au recrutement d</w:t>
      </w:r>
      <w:r w:rsidR="00426067" w:rsidRPr="00202EB9">
        <w:rPr>
          <w:szCs w:val="22"/>
          <w:lang w:val="fr-FR"/>
        </w:rPr>
        <w:t>’</w:t>
      </w:r>
      <w:r w:rsidR="00C045C1" w:rsidRPr="00202EB9">
        <w:rPr>
          <w:szCs w:val="22"/>
          <w:lang w:val="fr-FR"/>
        </w:rPr>
        <w:t>experts</w:t>
      </w:r>
      <w:r w:rsidR="00D80A1D" w:rsidRPr="00202EB9">
        <w:rPr>
          <w:szCs w:val="22"/>
          <w:lang w:val="fr-FR"/>
        </w:rPr>
        <w:t xml:space="preserve"> </w:t>
      </w:r>
      <w:r w:rsidR="008A3631" w:rsidRPr="00202EB9">
        <w:rPr>
          <w:szCs w:val="22"/>
          <w:lang w:val="fr-FR"/>
        </w:rPr>
        <w:t xml:space="preserve">ayant une connaissance approfondie des conditions </w:t>
      </w:r>
      <w:proofErr w:type="spellStart"/>
      <w:r w:rsidR="007E4401" w:rsidRPr="00202EB9">
        <w:rPr>
          <w:szCs w:val="22"/>
          <w:lang w:val="fr-FR"/>
        </w:rPr>
        <w:t>socioéconomique</w:t>
      </w:r>
      <w:r w:rsidR="008A3631" w:rsidRPr="00202EB9">
        <w:rPr>
          <w:szCs w:val="22"/>
          <w:lang w:val="fr-FR"/>
        </w:rPr>
        <w:t>s</w:t>
      </w:r>
      <w:proofErr w:type="spellEnd"/>
      <w:r w:rsidR="008A3631" w:rsidRPr="00202EB9">
        <w:rPr>
          <w:szCs w:val="22"/>
          <w:lang w:val="fr-FR"/>
        </w:rPr>
        <w:t xml:space="preserve"> des pays récepteu</w:t>
      </w:r>
      <w:r w:rsidR="001E787E" w:rsidRPr="00202EB9">
        <w:rPr>
          <w:szCs w:val="22"/>
          <w:lang w:val="fr-FR"/>
        </w:rPr>
        <w:t>rs.  Le</w:t>
      </w:r>
      <w:r w:rsidR="00BE423C" w:rsidRPr="00202EB9">
        <w:rPr>
          <w:szCs w:val="22"/>
          <w:lang w:val="fr-FR"/>
        </w:rPr>
        <w:t>s pays bénéficiaires devraient veiller à ce qu</w:t>
      </w:r>
      <w:r w:rsidR="00426067" w:rsidRPr="00202EB9">
        <w:rPr>
          <w:szCs w:val="22"/>
          <w:lang w:val="fr-FR"/>
        </w:rPr>
        <w:t>’</w:t>
      </w:r>
      <w:r w:rsidR="00BE423C" w:rsidRPr="00202EB9">
        <w:rPr>
          <w:szCs w:val="22"/>
          <w:lang w:val="fr-FR"/>
        </w:rPr>
        <w:t>il existe</w:t>
      </w:r>
      <w:r w:rsidR="00B60012" w:rsidRPr="00202EB9">
        <w:rPr>
          <w:szCs w:val="22"/>
          <w:lang w:val="fr-FR"/>
        </w:rPr>
        <w:t xml:space="preserve"> une forte coordination interne entre leurs divers organes, afin de faciliter la mise en œuvre et la viabilité à long terme des projets.</w:t>
      </w:r>
    </w:p>
    <w:p w:rsidR="00781C9E" w:rsidRPr="00202EB9" w:rsidRDefault="0013576C" w:rsidP="00255C01">
      <w:pPr>
        <w:pStyle w:val="ONUMFS"/>
        <w:numPr>
          <w:ilvl w:val="0"/>
          <w:numId w:val="0"/>
        </w:numPr>
        <w:rPr>
          <w:szCs w:val="22"/>
          <w:lang w:val="fr-FR"/>
        </w:rPr>
      </w:pPr>
      <w:r w:rsidRPr="00202EB9">
        <w:rPr>
          <w:b/>
          <w:szCs w:val="22"/>
          <w:lang w:val="fr-FR"/>
        </w:rPr>
        <w:t>Recommandation</w:t>
      </w:r>
      <w:r w:rsidR="00E15713" w:rsidRPr="00202EB9">
        <w:rPr>
          <w:b/>
          <w:szCs w:val="22"/>
          <w:lang w:val="fr-FR"/>
        </w:rPr>
        <w:t> </w:t>
      </w:r>
      <w:r w:rsidR="00010BFC" w:rsidRPr="00202EB9">
        <w:rPr>
          <w:b/>
          <w:szCs w:val="22"/>
          <w:lang w:val="fr-FR"/>
        </w:rPr>
        <w:t>10</w:t>
      </w:r>
      <w:r w:rsidR="00E15713" w:rsidRPr="00202EB9">
        <w:rPr>
          <w:b/>
          <w:szCs w:val="22"/>
          <w:lang w:val="fr-FR"/>
        </w:rPr>
        <w:t> </w:t>
      </w:r>
      <w:proofErr w:type="gramStart"/>
      <w:r w:rsidR="00781C9E" w:rsidRPr="00202EB9">
        <w:rPr>
          <w:b/>
          <w:lang w:val="fr-FR"/>
        </w:rPr>
        <w:t>:</w:t>
      </w:r>
      <w:r w:rsidR="00781C9E" w:rsidRPr="00202EB9">
        <w:rPr>
          <w:szCs w:val="22"/>
          <w:lang w:val="fr-FR"/>
        </w:rPr>
        <w:t xml:space="preserve"> </w:t>
      </w:r>
      <w:r w:rsidR="00E64B3E" w:rsidRPr="00202EB9">
        <w:rPr>
          <w:szCs w:val="22"/>
          <w:lang w:val="fr-FR"/>
        </w:rPr>
        <w:t>Les</w:t>
      </w:r>
      <w:proofErr w:type="gramEnd"/>
      <w:r w:rsidR="00E64B3E" w:rsidRPr="00202EB9">
        <w:rPr>
          <w:szCs w:val="22"/>
          <w:lang w:val="fr-FR"/>
        </w:rPr>
        <w:t xml:space="preserve"> rapports sur l</w:t>
      </w:r>
      <w:r w:rsidR="00426067" w:rsidRPr="00202EB9">
        <w:rPr>
          <w:szCs w:val="22"/>
          <w:lang w:val="fr-FR"/>
        </w:rPr>
        <w:t>’</w:t>
      </w:r>
      <w:r w:rsidR="00E64B3E" w:rsidRPr="00202EB9">
        <w:rPr>
          <w:szCs w:val="22"/>
          <w:lang w:val="fr-FR"/>
        </w:rPr>
        <w:t>état d</w:t>
      </w:r>
      <w:r w:rsidR="00426067" w:rsidRPr="00202EB9">
        <w:rPr>
          <w:szCs w:val="22"/>
          <w:lang w:val="fr-FR"/>
        </w:rPr>
        <w:t>’</w:t>
      </w:r>
      <w:r w:rsidR="00E64B3E" w:rsidRPr="00202EB9">
        <w:rPr>
          <w:szCs w:val="22"/>
          <w:lang w:val="fr-FR"/>
        </w:rPr>
        <w:t xml:space="preserve">avancement des projets </w:t>
      </w:r>
      <w:r w:rsidR="00145F30" w:rsidRPr="00202EB9">
        <w:rPr>
          <w:szCs w:val="22"/>
          <w:lang w:val="fr-FR"/>
        </w:rPr>
        <w:t>du Plan d</w:t>
      </w:r>
      <w:r w:rsidR="00426067" w:rsidRPr="00202EB9">
        <w:rPr>
          <w:szCs w:val="22"/>
          <w:lang w:val="fr-FR"/>
        </w:rPr>
        <w:t>’</w:t>
      </w:r>
      <w:r w:rsidR="00145F30" w:rsidRPr="00202EB9">
        <w:rPr>
          <w:szCs w:val="22"/>
          <w:lang w:val="fr-FR"/>
        </w:rPr>
        <w:t xml:space="preserve">action pour le développement </w:t>
      </w:r>
      <w:r w:rsidR="00E64B3E" w:rsidRPr="00202EB9">
        <w:rPr>
          <w:szCs w:val="22"/>
          <w:lang w:val="fr-FR"/>
        </w:rPr>
        <w:t>établis</w:t>
      </w:r>
      <w:r w:rsidR="00145F30" w:rsidRPr="00202EB9">
        <w:rPr>
          <w:szCs w:val="22"/>
          <w:lang w:val="fr-FR"/>
        </w:rPr>
        <w:t xml:space="preserve"> à l</w:t>
      </w:r>
      <w:r w:rsidR="00426067" w:rsidRPr="00202EB9">
        <w:rPr>
          <w:szCs w:val="22"/>
          <w:lang w:val="fr-FR"/>
        </w:rPr>
        <w:t>’</w:t>
      </w:r>
      <w:r w:rsidR="00145F30" w:rsidRPr="00202EB9">
        <w:rPr>
          <w:szCs w:val="22"/>
          <w:lang w:val="fr-FR"/>
        </w:rPr>
        <w:t>intention</w:t>
      </w:r>
      <w:r w:rsidR="00426067" w:rsidRPr="00202EB9">
        <w:rPr>
          <w:szCs w:val="22"/>
          <w:lang w:val="fr-FR"/>
        </w:rPr>
        <w:t xml:space="preserve"> du </w:t>
      </w:r>
      <w:proofErr w:type="spellStart"/>
      <w:r w:rsidR="00426067" w:rsidRPr="00202EB9">
        <w:rPr>
          <w:szCs w:val="22"/>
          <w:lang w:val="fr-FR"/>
        </w:rPr>
        <w:t>CDI</w:t>
      </w:r>
      <w:r w:rsidR="00145F30" w:rsidRPr="00202EB9">
        <w:rPr>
          <w:szCs w:val="22"/>
          <w:lang w:val="fr-FR"/>
        </w:rPr>
        <w:t>P</w:t>
      </w:r>
      <w:proofErr w:type="spellEnd"/>
      <w:r w:rsidR="00E64B3E" w:rsidRPr="00202EB9">
        <w:rPr>
          <w:szCs w:val="22"/>
          <w:lang w:val="fr-FR"/>
        </w:rPr>
        <w:t xml:space="preserve"> par le Secrétariat</w:t>
      </w:r>
      <w:r w:rsidR="00145F30" w:rsidRPr="00202EB9">
        <w:rPr>
          <w:szCs w:val="22"/>
          <w:lang w:val="fr-FR"/>
        </w:rPr>
        <w:t xml:space="preserve"> devraient contenir des informations détaillées concernant les ressources financières et humaines utilisées dans le cadre de ces proje</w:t>
      </w:r>
      <w:r w:rsidR="001E787E" w:rsidRPr="00202EB9">
        <w:rPr>
          <w:szCs w:val="22"/>
          <w:lang w:val="fr-FR"/>
        </w:rPr>
        <w:t>ts.  Un</w:t>
      </w:r>
      <w:r w:rsidR="002B37A4" w:rsidRPr="00202EB9">
        <w:rPr>
          <w:szCs w:val="22"/>
          <w:lang w:val="fr-FR"/>
        </w:rPr>
        <w:t xml:space="preserve"> même chef de projet ne devrait pas être responsable de plusieurs projets à la fois.</w:t>
      </w:r>
    </w:p>
    <w:p w:rsidR="00781C9E" w:rsidRPr="00202EB9" w:rsidRDefault="0013576C" w:rsidP="00255C01">
      <w:pPr>
        <w:pStyle w:val="ONUMFS"/>
        <w:numPr>
          <w:ilvl w:val="0"/>
          <w:numId w:val="0"/>
        </w:numPr>
        <w:rPr>
          <w:szCs w:val="22"/>
          <w:lang w:val="fr-FR"/>
        </w:rPr>
      </w:pPr>
      <w:r w:rsidRPr="00202EB9">
        <w:rPr>
          <w:b/>
          <w:szCs w:val="22"/>
          <w:lang w:val="fr-FR"/>
        </w:rPr>
        <w:t>Recommandation</w:t>
      </w:r>
      <w:r w:rsidR="00E15713" w:rsidRPr="00202EB9">
        <w:rPr>
          <w:b/>
          <w:szCs w:val="22"/>
          <w:lang w:val="fr-FR"/>
        </w:rPr>
        <w:t> </w:t>
      </w:r>
      <w:r w:rsidR="00010BFC" w:rsidRPr="00202EB9">
        <w:rPr>
          <w:b/>
          <w:szCs w:val="22"/>
          <w:lang w:val="fr-FR"/>
        </w:rPr>
        <w:t>11</w:t>
      </w:r>
      <w:r w:rsidR="00E15713" w:rsidRPr="00202EB9">
        <w:rPr>
          <w:b/>
          <w:szCs w:val="22"/>
          <w:lang w:val="fr-FR"/>
        </w:rPr>
        <w:t> </w:t>
      </w:r>
      <w:proofErr w:type="gramStart"/>
      <w:r w:rsidR="00781C9E" w:rsidRPr="00202EB9">
        <w:rPr>
          <w:b/>
          <w:lang w:val="fr-FR"/>
        </w:rPr>
        <w:t>:</w:t>
      </w:r>
      <w:r w:rsidR="00781C9E" w:rsidRPr="00202EB9">
        <w:rPr>
          <w:szCs w:val="22"/>
          <w:lang w:val="fr-FR"/>
        </w:rPr>
        <w:t xml:space="preserve"> </w:t>
      </w:r>
      <w:r w:rsidR="00EE672F" w:rsidRPr="00202EB9">
        <w:rPr>
          <w:szCs w:val="22"/>
          <w:lang w:val="fr-FR"/>
        </w:rPr>
        <w:t>Un</w:t>
      </w:r>
      <w:proofErr w:type="gramEnd"/>
      <w:r w:rsidR="00EE672F" w:rsidRPr="00202EB9">
        <w:rPr>
          <w:szCs w:val="22"/>
          <w:lang w:val="fr-FR"/>
        </w:rPr>
        <w:t xml:space="preserve"> mécanisme</w:t>
      </w:r>
      <w:r w:rsidR="00AF055C" w:rsidRPr="00202EB9">
        <w:rPr>
          <w:szCs w:val="22"/>
          <w:lang w:val="fr-FR"/>
        </w:rPr>
        <w:t xml:space="preserve"> </w:t>
      </w:r>
      <w:r w:rsidR="00B8010D" w:rsidRPr="00202EB9">
        <w:rPr>
          <w:szCs w:val="22"/>
          <w:lang w:val="fr-FR"/>
        </w:rPr>
        <w:t>d</w:t>
      </w:r>
      <w:r w:rsidR="00426067" w:rsidRPr="00202EB9">
        <w:rPr>
          <w:szCs w:val="22"/>
          <w:lang w:val="fr-FR"/>
        </w:rPr>
        <w:t>’</w:t>
      </w:r>
      <w:r w:rsidR="00AF055C" w:rsidRPr="00202EB9">
        <w:rPr>
          <w:szCs w:val="22"/>
          <w:lang w:val="fr-FR"/>
        </w:rPr>
        <w:t>établissement de rapports</w:t>
      </w:r>
      <w:r w:rsidR="00B8010D" w:rsidRPr="00202EB9">
        <w:rPr>
          <w:szCs w:val="22"/>
          <w:lang w:val="fr-FR"/>
        </w:rPr>
        <w:t xml:space="preserve"> devrait être mis en place en ce qui concerne les</w:t>
      </w:r>
      <w:r w:rsidR="00AF055C" w:rsidRPr="00202EB9">
        <w:rPr>
          <w:szCs w:val="22"/>
          <w:lang w:val="fr-FR"/>
        </w:rPr>
        <w:t xml:space="preserve"> recommandations approuvées</w:t>
      </w:r>
      <w:r w:rsidR="00233FBB" w:rsidRPr="00202EB9">
        <w:rPr>
          <w:szCs w:val="22"/>
          <w:lang w:val="fr-FR"/>
        </w:rPr>
        <w:t xml:space="preserve"> contenues dans les rapports d</w:t>
      </w:r>
      <w:r w:rsidR="00426067" w:rsidRPr="00202EB9">
        <w:rPr>
          <w:szCs w:val="22"/>
          <w:lang w:val="fr-FR"/>
        </w:rPr>
        <w:t>’</w:t>
      </w:r>
      <w:r w:rsidR="00233FBB" w:rsidRPr="00202EB9">
        <w:rPr>
          <w:szCs w:val="22"/>
          <w:lang w:val="fr-FR"/>
        </w:rPr>
        <w:t>évaluation</w:t>
      </w:r>
      <w:r w:rsidR="00B8010D" w:rsidRPr="00202EB9">
        <w:rPr>
          <w:szCs w:val="22"/>
          <w:lang w:val="fr-FR"/>
        </w:rPr>
        <w:t xml:space="preserve"> et les</w:t>
      </w:r>
      <w:r w:rsidR="00257EA8" w:rsidRPr="00202EB9">
        <w:rPr>
          <w:szCs w:val="22"/>
          <w:lang w:val="fr-FR"/>
        </w:rPr>
        <w:t xml:space="preserve"> résultats des projets du Plan d</w:t>
      </w:r>
      <w:r w:rsidR="00426067" w:rsidRPr="00202EB9">
        <w:rPr>
          <w:szCs w:val="22"/>
          <w:lang w:val="fr-FR"/>
        </w:rPr>
        <w:t>’</w:t>
      </w:r>
      <w:r w:rsidR="00257EA8" w:rsidRPr="00202EB9">
        <w:rPr>
          <w:szCs w:val="22"/>
          <w:lang w:val="fr-FR"/>
        </w:rPr>
        <w:t>action pour le développement intégrés aux activités de l</w:t>
      </w:r>
      <w:r w:rsidR="00426067" w:rsidRPr="00202EB9">
        <w:rPr>
          <w:szCs w:val="22"/>
          <w:lang w:val="fr-FR"/>
        </w:rPr>
        <w:t>’</w:t>
      </w:r>
      <w:r w:rsidR="00257EA8" w:rsidRPr="00202EB9">
        <w:rPr>
          <w:szCs w:val="22"/>
          <w:lang w:val="fr-FR"/>
        </w:rPr>
        <w:t>Organisati</w:t>
      </w:r>
      <w:r w:rsidR="001E787E" w:rsidRPr="00202EB9">
        <w:rPr>
          <w:szCs w:val="22"/>
          <w:lang w:val="fr-FR"/>
        </w:rPr>
        <w:t>on.  Le</w:t>
      </w:r>
      <w:r w:rsidR="00257EA8" w:rsidRPr="00202EB9">
        <w:rPr>
          <w:szCs w:val="22"/>
          <w:lang w:val="fr-FR"/>
        </w:rPr>
        <w:t xml:space="preserve"> processus d</w:t>
      </w:r>
      <w:r w:rsidR="00426067" w:rsidRPr="00202EB9">
        <w:rPr>
          <w:szCs w:val="22"/>
          <w:lang w:val="fr-FR"/>
        </w:rPr>
        <w:t>’</w:t>
      </w:r>
      <w:r w:rsidR="00257EA8" w:rsidRPr="00202EB9">
        <w:rPr>
          <w:szCs w:val="22"/>
          <w:lang w:val="fr-FR"/>
        </w:rPr>
        <w:t>intégration devrait être aligné sur les résultats escomptés approuvés.</w:t>
      </w:r>
    </w:p>
    <w:p w:rsidR="00781C9E" w:rsidRPr="00202EB9" w:rsidRDefault="0013576C" w:rsidP="00255C01">
      <w:pPr>
        <w:pStyle w:val="ONUMFS"/>
        <w:numPr>
          <w:ilvl w:val="0"/>
          <w:numId w:val="0"/>
        </w:numPr>
        <w:rPr>
          <w:szCs w:val="22"/>
          <w:lang w:val="fr-FR"/>
        </w:rPr>
      </w:pPr>
      <w:r w:rsidRPr="00202EB9">
        <w:rPr>
          <w:b/>
          <w:szCs w:val="22"/>
          <w:lang w:val="fr-FR"/>
        </w:rPr>
        <w:t>Recommandation</w:t>
      </w:r>
      <w:r w:rsidR="00E15713" w:rsidRPr="00202EB9">
        <w:rPr>
          <w:b/>
          <w:szCs w:val="22"/>
          <w:lang w:val="fr-FR"/>
        </w:rPr>
        <w:t> </w:t>
      </w:r>
      <w:r w:rsidR="00781C9E" w:rsidRPr="00202EB9">
        <w:rPr>
          <w:b/>
          <w:szCs w:val="22"/>
          <w:lang w:val="fr-FR"/>
        </w:rPr>
        <w:t>12</w:t>
      </w:r>
      <w:r w:rsidR="00E15713" w:rsidRPr="00202EB9">
        <w:rPr>
          <w:b/>
          <w:szCs w:val="22"/>
          <w:lang w:val="fr-FR"/>
        </w:rPr>
        <w:t> </w:t>
      </w:r>
      <w:proofErr w:type="gramStart"/>
      <w:r w:rsidR="00781C9E" w:rsidRPr="00202EB9">
        <w:rPr>
          <w:b/>
          <w:lang w:val="fr-FR"/>
        </w:rPr>
        <w:t>:</w:t>
      </w:r>
      <w:r w:rsidR="00781C9E" w:rsidRPr="00202EB9">
        <w:rPr>
          <w:szCs w:val="22"/>
          <w:lang w:val="fr-FR"/>
        </w:rPr>
        <w:t xml:space="preserve"> </w:t>
      </w:r>
      <w:r w:rsidR="00C87DEA" w:rsidRPr="00202EB9">
        <w:rPr>
          <w:szCs w:val="22"/>
          <w:lang w:val="fr-FR"/>
        </w:rPr>
        <w:t>Les</w:t>
      </w:r>
      <w:proofErr w:type="gramEnd"/>
      <w:r w:rsidR="00C87DEA" w:rsidRPr="00202EB9">
        <w:rPr>
          <w:szCs w:val="22"/>
          <w:lang w:val="fr-FR"/>
        </w:rPr>
        <w:t xml:space="preserve"> États membres et le Secrétariat devraient examiner des moyens d</w:t>
      </w:r>
      <w:r w:rsidR="00426067" w:rsidRPr="00202EB9">
        <w:rPr>
          <w:szCs w:val="22"/>
          <w:lang w:val="fr-FR"/>
        </w:rPr>
        <w:t>’</w:t>
      </w:r>
      <w:r w:rsidR="00C87DEA" w:rsidRPr="00202EB9">
        <w:rPr>
          <w:szCs w:val="22"/>
          <w:lang w:val="fr-FR"/>
        </w:rPr>
        <w:t>améliorer la diffusion des informations relatives au Plan d</w:t>
      </w:r>
      <w:r w:rsidR="00426067" w:rsidRPr="00202EB9">
        <w:rPr>
          <w:szCs w:val="22"/>
          <w:lang w:val="fr-FR"/>
        </w:rPr>
        <w:t>’</w:t>
      </w:r>
      <w:r w:rsidR="00C87DEA" w:rsidRPr="00202EB9">
        <w:rPr>
          <w:szCs w:val="22"/>
          <w:lang w:val="fr-FR"/>
        </w:rPr>
        <w:t>action pour le développement et à sa mise en œuvre.</w:t>
      </w:r>
    </w:p>
    <w:p w:rsidR="008D1193" w:rsidRDefault="008D1193">
      <w:pPr>
        <w:rPr>
          <w:rFonts w:eastAsia="SimSun" w:cs="Arial"/>
          <w:b/>
          <w:bCs/>
          <w:kern w:val="32"/>
          <w:lang w:val="fr-FR" w:eastAsia="zh-CN" w:bidi="ar-SA"/>
        </w:rPr>
      </w:pPr>
      <w:r>
        <w:rPr>
          <w:lang w:val="fr-FR"/>
        </w:rPr>
        <w:br w:type="page"/>
      </w:r>
    </w:p>
    <w:p w:rsidR="0009736C" w:rsidRPr="00202EB9" w:rsidRDefault="0009736C" w:rsidP="00255C01">
      <w:pPr>
        <w:pStyle w:val="Heading1"/>
        <w:rPr>
          <w:rFonts w:ascii="Arial" w:hAnsi="Arial"/>
          <w:szCs w:val="22"/>
          <w:lang w:val="fr-FR"/>
        </w:rPr>
      </w:pPr>
      <w:bookmarkStart w:id="5" w:name="_Toc460492847"/>
      <w:r w:rsidRPr="00202EB9">
        <w:rPr>
          <w:rFonts w:ascii="Arial" w:hAnsi="Arial"/>
          <w:szCs w:val="22"/>
          <w:lang w:val="fr-FR"/>
        </w:rPr>
        <w:t>B</w:t>
      </w:r>
      <w:r w:rsidR="008B2EEF" w:rsidRPr="00202EB9">
        <w:rPr>
          <w:rFonts w:ascii="Arial" w:hAnsi="Arial"/>
          <w:szCs w:val="22"/>
          <w:lang w:val="fr-FR"/>
        </w:rPr>
        <w:t>.</w:t>
      </w:r>
      <w:r w:rsidR="00255C01" w:rsidRPr="00202EB9">
        <w:rPr>
          <w:rFonts w:ascii="Arial" w:hAnsi="Arial"/>
          <w:szCs w:val="22"/>
          <w:lang w:val="fr-FR"/>
        </w:rPr>
        <w:tab/>
      </w:r>
      <w:r w:rsidR="00985067" w:rsidRPr="00202EB9">
        <w:rPr>
          <w:rFonts w:ascii="Arial" w:hAnsi="Arial"/>
          <w:szCs w:val="22"/>
          <w:lang w:val="fr-FR"/>
        </w:rPr>
        <w:t>Étude indépendante</w:t>
      </w:r>
      <w:bookmarkEnd w:id="5"/>
    </w:p>
    <w:p w:rsidR="0009736C" w:rsidRPr="00202EB9" w:rsidRDefault="00255C01" w:rsidP="00255C01">
      <w:pPr>
        <w:pStyle w:val="Heading2"/>
        <w:rPr>
          <w:szCs w:val="22"/>
          <w:lang w:val="fr-FR"/>
        </w:rPr>
      </w:pPr>
      <w:bookmarkStart w:id="6" w:name="_Toc460492848"/>
      <w:r w:rsidRPr="00202EB9">
        <w:rPr>
          <w:szCs w:val="22"/>
          <w:lang w:val="fr-FR"/>
        </w:rPr>
        <w:t>1.</w:t>
      </w:r>
      <w:r w:rsidRPr="00202EB9">
        <w:rPr>
          <w:szCs w:val="22"/>
          <w:lang w:val="fr-FR"/>
        </w:rPr>
        <w:tab/>
      </w:r>
      <w:r w:rsidR="0009736C" w:rsidRPr="00202EB9">
        <w:rPr>
          <w:szCs w:val="22"/>
          <w:lang w:val="fr-FR"/>
        </w:rPr>
        <w:t xml:space="preserve">Introduction </w:t>
      </w:r>
      <w:r w:rsidR="00985067" w:rsidRPr="00202EB9">
        <w:rPr>
          <w:szCs w:val="22"/>
          <w:lang w:val="fr-FR"/>
        </w:rPr>
        <w:t>et rappel</w:t>
      </w:r>
      <w:bookmarkEnd w:id="6"/>
    </w:p>
    <w:p w:rsidR="00255C01" w:rsidRPr="00202EB9" w:rsidRDefault="00255C01" w:rsidP="00255C01">
      <w:pPr>
        <w:rPr>
          <w:rFonts w:cs="Arial"/>
          <w:lang w:val="fr-FR" w:eastAsia="zh-CN" w:bidi="ar-SA"/>
        </w:rPr>
      </w:pPr>
    </w:p>
    <w:p w:rsidR="0009736C" w:rsidRPr="00202EB9" w:rsidRDefault="00747015" w:rsidP="00255C01">
      <w:pPr>
        <w:pStyle w:val="ONUMFS"/>
        <w:rPr>
          <w:szCs w:val="22"/>
          <w:lang w:val="fr-FR"/>
        </w:rPr>
      </w:pPr>
      <w:r w:rsidRPr="00202EB9">
        <w:rPr>
          <w:szCs w:val="22"/>
          <w:lang w:val="fr-FR"/>
        </w:rPr>
        <w:t>L</w:t>
      </w:r>
      <w:r w:rsidR="00F83646" w:rsidRPr="00202EB9">
        <w:rPr>
          <w:szCs w:val="22"/>
          <w:lang w:val="fr-FR"/>
        </w:rPr>
        <w:t>e</w:t>
      </w:r>
      <w:r w:rsidRPr="00202EB9">
        <w:rPr>
          <w:szCs w:val="22"/>
          <w:lang w:val="fr-FR"/>
        </w:rPr>
        <w:t xml:space="preserve"> Plan d</w:t>
      </w:r>
      <w:r w:rsidR="00426067" w:rsidRPr="00202EB9">
        <w:rPr>
          <w:szCs w:val="22"/>
          <w:lang w:val="fr-FR"/>
        </w:rPr>
        <w:t>’</w:t>
      </w:r>
      <w:r w:rsidRPr="00202EB9">
        <w:rPr>
          <w:szCs w:val="22"/>
          <w:lang w:val="fr-FR"/>
        </w:rPr>
        <w:t xml:space="preserve">action pour le développement </w:t>
      </w:r>
      <w:r w:rsidR="00F83646" w:rsidRPr="00202EB9">
        <w:rPr>
          <w:szCs w:val="22"/>
          <w:lang w:val="fr-FR"/>
        </w:rPr>
        <w:t>vise à</w:t>
      </w:r>
      <w:r w:rsidRPr="00202EB9">
        <w:rPr>
          <w:szCs w:val="22"/>
          <w:lang w:val="fr-FR"/>
        </w:rPr>
        <w:t xml:space="preserve"> faire en sorte que les questions relatives au développement fassent partie intégrante des </w:t>
      </w:r>
      <w:r w:rsidR="00BD3CCE" w:rsidRPr="00202EB9">
        <w:rPr>
          <w:szCs w:val="22"/>
          <w:lang w:val="fr-FR"/>
        </w:rPr>
        <w:t>travaux de l</w:t>
      </w:r>
      <w:r w:rsidR="00426067" w:rsidRPr="00202EB9">
        <w:rPr>
          <w:szCs w:val="22"/>
          <w:lang w:val="fr-FR"/>
        </w:rPr>
        <w:t>’</w:t>
      </w:r>
      <w:r w:rsidR="00BD3CCE" w:rsidRPr="00202EB9">
        <w:rPr>
          <w:szCs w:val="22"/>
          <w:lang w:val="fr-FR"/>
        </w:rPr>
        <w:t>O</w:t>
      </w:r>
      <w:r w:rsidR="001E787E" w:rsidRPr="00202EB9">
        <w:rPr>
          <w:szCs w:val="22"/>
          <w:lang w:val="fr-FR"/>
        </w:rPr>
        <w:t>MPI.  So</w:t>
      </w:r>
      <w:r w:rsidR="002D2AAE" w:rsidRPr="00202EB9">
        <w:rPr>
          <w:szCs w:val="22"/>
          <w:lang w:val="fr-FR"/>
        </w:rPr>
        <w:t>n adoption, en</w:t>
      </w:r>
      <w:r w:rsidR="00E15713" w:rsidRPr="00202EB9">
        <w:rPr>
          <w:szCs w:val="22"/>
          <w:lang w:val="fr-FR"/>
        </w:rPr>
        <w:t> </w:t>
      </w:r>
      <w:r w:rsidR="002D2AAE" w:rsidRPr="00202EB9">
        <w:rPr>
          <w:szCs w:val="22"/>
          <w:lang w:val="fr-FR"/>
        </w:rPr>
        <w:t>2007, après plusieurs années de délibérations et de négociations entre les États membres, a représenté une étape importante pour l</w:t>
      </w:r>
      <w:r w:rsidR="00426067" w:rsidRPr="00202EB9">
        <w:rPr>
          <w:szCs w:val="22"/>
          <w:lang w:val="fr-FR"/>
        </w:rPr>
        <w:t>’</w:t>
      </w:r>
      <w:r w:rsidR="002D2AAE" w:rsidRPr="00202EB9">
        <w:rPr>
          <w:szCs w:val="22"/>
          <w:lang w:val="fr-FR"/>
        </w:rPr>
        <w:t>OMPI</w:t>
      </w:r>
      <w:r w:rsidR="00C4119F" w:rsidRPr="00202EB9">
        <w:rPr>
          <w:rStyle w:val="FootnoteReference"/>
          <w:szCs w:val="22"/>
          <w:lang w:val="fr-FR"/>
        </w:rPr>
        <w:footnoteReference w:id="3"/>
      </w:r>
      <w:r w:rsidR="002D2AAE" w:rsidRPr="00202EB9">
        <w:rPr>
          <w:szCs w:val="22"/>
          <w:lang w:val="fr-FR"/>
        </w:rPr>
        <w:t>.</w:t>
      </w:r>
    </w:p>
    <w:p w:rsidR="0009736C" w:rsidRPr="00202EB9" w:rsidRDefault="001C12D7" w:rsidP="00255C01">
      <w:pPr>
        <w:pStyle w:val="ONUMFS"/>
        <w:rPr>
          <w:szCs w:val="22"/>
          <w:lang w:val="fr-FR"/>
        </w:rPr>
      </w:pPr>
      <w:r w:rsidRPr="00202EB9">
        <w:rPr>
          <w:szCs w:val="22"/>
          <w:lang w:val="fr-FR"/>
        </w:rPr>
        <w:t>L</w:t>
      </w:r>
      <w:r w:rsidR="00426067" w:rsidRPr="00202EB9">
        <w:rPr>
          <w:szCs w:val="22"/>
          <w:lang w:val="fr-FR"/>
        </w:rPr>
        <w:t>’</w:t>
      </w:r>
      <w:r w:rsidR="00334935" w:rsidRPr="00202EB9">
        <w:rPr>
          <w:szCs w:val="22"/>
          <w:lang w:val="fr-FR"/>
        </w:rPr>
        <w:t>Assemblée générale de l</w:t>
      </w:r>
      <w:r w:rsidR="00426067" w:rsidRPr="00202EB9">
        <w:rPr>
          <w:szCs w:val="22"/>
          <w:lang w:val="fr-FR"/>
        </w:rPr>
        <w:t>’</w:t>
      </w:r>
      <w:r w:rsidR="00334935" w:rsidRPr="00202EB9">
        <w:rPr>
          <w:szCs w:val="22"/>
          <w:lang w:val="fr-FR"/>
        </w:rPr>
        <w:t xml:space="preserve">OMPI </w:t>
      </w:r>
      <w:r w:rsidR="003B4FB2" w:rsidRPr="00202EB9">
        <w:rPr>
          <w:szCs w:val="22"/>
          <w:lang w:val="fr-FR"/>
        </w:rPr>
        <w:t>a adopté</w:t>
      </w:r>
      <w:r w:rsidRPr="00202EB9">
        <w:rPr>
          <w:szCs w:val="22"/>
          <w:lang w:val="fr-FR"/>
        </w:rPr>
        <w:t xml:space="preserve"> en</w:t>
      </w:r>
      <w:r w:rsidR="00E15713" w:rsidRPr="00202EB9">
        <w:rPr>
          <w:szCs w:val="22"/>
          <w:lang w:val="fr-FR"/>
        </w:rPr>
        <w:t> </w:t>
      </w:r>
      <w:r w:rsidRPr="00202EB9">
        <w:rPr>
          <w:szCs w:val="22"/>
          <w:lang w:val="fr-FR"/>
        </w:rPr>
        <w:t>2007</w:t>
      </w:r>
      <w:r w:rsidR="003B4FB2" w:rsidRPr="00202EB9">
        <w:rPr>
          <w:szCs w:val="22"/>
          <w:lang w:val="fr-FR"/>
        </w:rPr>
        <w:t xml:space="preserve"> un</w:t>
      </w:r>
      <w:r w:rsidRPr="00202EB9">
        <w:rPr>
          <w:szCs w:val="22"/>
          <w:lang w:val="fr-FR"/>
        </w:rPr>
        <w:t>e série</w:t>
      </w:r>
      <w:r w:rsidR="003B4FB2" w:rsidRPr="00202EB9">
        <w:rPr>
          <w:szCs w:val="22"/>
          <w:lang w:val="fr-FR"/>
        </w:rPr>
        <w:t xml:space="preserve"> de 45</w:t>
      </w:r>
      <w:r w:rsidR="00C4740B" w:rsidRPr="00202EB9">
        <w:rPr>
          <w:szCs w:val="22"/>
          <w:lang w:val="fr-FR"/>
        </w:rPr>
        <w:t> </w:t>
      </w:r>
      <w:r w:rsidR="003B4FB2" w:rsidRPr="00202EB9">
        <w:rPr>
          <w:szCs w:val="22"/>
          <w:lang w:val="fr-FR"/>
        </w:rPr>
        <w:t>recommandations du Plan d</w:t>
      </w:r>
      <w:r w:rsidR="00426067" w:rsidRPr="00202EB9">
        <w:rPr>
          <w:szCs w:val="22"/>
          <w:lang w:val="fr-FR"/>
        </w:rPr>
        <w:t>’</w:t>
      </w:r>
      <w:r w:rsidR="003B4FB2" w:rsidRPr="00202EB9">
        <w:rPr>
          <w:szCs w:val="22"/>
          <w:lang w:val="fr-FR"/>
        </w:rPr>
        <w:t>action pour le développeme</w:t>
      </w:r>
      <w:r w:rsidR="001E787E" w:rsidRPr="00202EB9">
        <w:rPr>
          <w:szCs w:val="22"/>
          <w:lang w:val="fr-FR"/>
        </w:rPr>
        <w:t>nt.  Ce</w:t>
      </w:r>
      <w:r w:rsidR="003B4FB2" w:rsidRPr="00202EB9">
        <w:rPr>
          <w:szCs w:val="22"/>
          <w:lang w:val="fr-FR"/>
        </w:rPr>
        <w:t xml:space="preserve">s recommandations sont </w:t>
      </w:r>
      <w:r w:rsidR="00AB2CFE" w:rsidRPr="00202EB9">
        <w:rPr>
          <w:szCs w:val="22"/>
          <w:lang w:val="fr-FR"/>
        </w:rPr>
        <w:t>réparti</w:t>
      </w:r>
      <w:r w:rsidR="003B4FB2" w:rsidRPr="00202EB9">
        <w:rPr>
          <w:szCs w:val="22"/>
          <w:lang w:val="fr-FR"/>
        </w:rPr>
        <w:t>es en six</w:t>
      </w:r>
      <w:r w:rsidR="00E15713" w:rsidRPr="00202EB9">
        <w:rPr>
          <w:szCs w:val="22"/>
          <w:lang w:val="fr-FR"/>
        </w:rPr>
        <w:t> </w:t>
      </w:r>
      <w:r w:rsidR="003B4FB2" w:rsidRPr="00202EB9">
        <w:rPr>
          <w:szCs w:val="22"/>
          <w:lang w:val="fr-FR"/>
        </w:rPr>
        <w:t>groupes</w:t>
      </w:r>
      <w:r w:rsidR="00AB2CFE" w:rsidRPr="00202EB9">
        <w:rPr>
          <w:szCs w:val="22"/>
          <w:lang w:val="fr-FR"/>
        </w:rPr>
        <w:t xml:space="preserve"> correspondant aux domaines suivants</w:t>
      </w:r>
      <w:r w:rsidR="00E15713" w:rsidRPr="00202EB9">
        <w:rPr>
          <w:szCs w:val="22"/>
          <w:lang w:val="fr-FR"/>
        </w:rPr>
        <w:t> </w:t>
      </w:r>
      <w:r w:rsidR="00AB2CFE" w:rsidRPr="00202EB9">
        <w:rPr>
          <w:szCs w:val="22"/>
          <w:lang w:val="fr-FR"/>
        </w:rPr>
        <w:t>: assistance technique et renforcement des capacités, établissement de normes, flexibilités, politique des pouvoirs publics et domaine public, transfert de technologie, techniques de l</w:t>
      </w:r>
      <w:r w:rsidR="00426067" w:rsidRPr="00202EB9">
        <w:rPr>
          <w:szCs w:val="22"/>
          <w:lang w:val="fr-FR"/>
        </w:rPr>
        <w:t>’</w:t>
      </w:r>
      <w:r w:rsidR="00AB2CFE" w:rsidRPr="00202EB9">
        <w:rPr>
          <w:szCs w:val="22"/>
          <w:lang w:val="fr-FR"/>
        </w:rPr>
        <w:t xml:space="preserve">information et de la communication (TIC) et accès aux savoirs, </w:t>
      </w:r>
      <w:r w:rsidR="00A63668" w:rsidRPr="00202EB9">
        <w:rPr>
          <w:szCs w:val="22"/>
          <w:lang w:val="fr-FR"/>
        </w:rPr>
        <w:t>évaluations et études des incidences, questions institutionnelles, mandat et gouvernance, divers.</w:t>
      </w:r>
    </w:p>
    <w:p w:rsidR="00426067" w:rsidRPr="00202EB9" w:rsidRDefault="00C4776B"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Assemblée générale a également créé l</w:t>
      </w:r>
      <w:r w:rsidR="005F3E9D" w:rsidRPr="00202EB9">
        <w:rPr>
          <w:szCs w:val="22"/>
          <w:lang w:val="fr-FR"/>
        </w:rPr>
        <w:t>e Comité du développement et de la propriété intellectuelle (</w:t>
      </w:r>
      <w:proofErr w:type="spellStart"/>
      <w:r w:rsidR="005F3E9D" w:rsidRPr="00202EB9">
        <w:rPr>
          <w:szCs w:val="22"/>
          <w:lang w:val="fr-FR"/>
        </w:rPr>
        <w:t>CDIP</w:t>
      </w:r>
      <w:proofErr w:type="spellEnd"/>
      <w:r w:rsidR="005F3E9D" w:rsidRPr="00202EB9">
        <w:rPr>
          <w:szCs w:val="22"/>
          <w:lang w:val="fr-FR"/>
        </w:rPr>
        <w:t>)</w:t>
      </w:r>
      <w:r w:rsidRPr="00202EB9">
        <w:rPr>
          <w:szCs w:val="22"/>
          <w:lang w:val="fr-FR"/>
        </w:rPr>
        <w:t>, avec un mandat en trois</w:t>
      </w:r>
      <w:r w:rsidR="00E15713" w:rsidRPr="00202EB9">
        <w:rPr>
          <w:szCs w:val="22"/>
          <w:lang w:val="fr-FR"/>
        </w:rPr>
        <w:t> </w:t>
      </w:r>
      <w:r w:rsidRPr="00202EB9">
        <w:rPr>
          <w:szCs w:val="22"/>
          <w:lang w:val="fr-FR"/>
        </w:rPr>
        <w:t>points :</w:t>
      </w:r>
    </w:p>
    <w:p w:rsidR="0009736C" w:rsidRPr="00202EB9" w:rsidRDefault="00255C01" w:rsidP="00255C01">
      <w:pPr>
        <w:pStyle w:val="ONUMFS"/>
        <w:numPr>
          <w:ilvl w:val="0"/>
          <w:numId w:val="0"/>
        </w:numPr>
        <w:ind w:left="567"/>
        <w:rPr>
          <w:i/>
          <w:szCs w:val="22"/>
          <w:lang w:val="fr-FR"/>
        </w:rPr>
      </w:pPr>
      <w:r w:rsidRPr="00202EB9">
        <w:rPr>
          <w:i/>
          <w:szCs w:val="22"/>
          <w:lang w:val="fr-FR"/>
        </w:rPr>
        <w:t>“</w:t>
      </w:r>
      <w:proofErr w:type="gramStart"/>
      <w:r w:rsidRPr="00202EB9">
        <w:rPr>
          <w:i/>
          <w:szCs w:val="22"/>
          <w:lang w:val="fr-FR"/>
        </w:rPr>
        <w:t>a</w:t>
      </w:r>
      <w:proofErr w:type="gramEnd"/>
      <w:r w:rsidRPr="00202EB9">
        <w:rPr>
          <w:i/>
          <w:szCs w:val="22"/>
          <w:lang w:val="fr-FR"/>
        </w:rPr>
        <w:t>)</w:t>
      </w:r>
      <w:r w:rsidRPr="00202EB9">
        <w:rPr>
          <w:i/>
          <w:szCs w:val="22"/>
          <w:lang w:val="fr-FR"/>
        </w:rPr>
        <w:tab/>
      </w:r>
      <w:r w:rsidR="00C102B5" w:rsidRPr="00202EB9">
        <w:rPr>
          <w:i/>
          <w:szCs w:val="22"/>
          <w:lang w:val="fr-FR"/>
        </w:rPr>
        <w:t>d</w:t>
      </w:r>
      <w:r w:rsidR="00426067" w:rsidRPr="00202EB9">
        <w:rPr>
          <w:i/>
          <w:szCs w:val="22"/>
          <w:lang w:val="fr-FR"/>
        </w:rPr>
        <w:t>’</w:t>
      </w:r>
      <w:r w:rsidR="00FB4461" w:rsidRPr="00202EB9">
        <w:rPr>
          <w:i/>
          <w:szCs w:val="22"/>
          <w:lang w:val="fr-FR"/>
        </w:rPr>
        <w:t>élaborer un programme de travail pour la mise en œuvre des recommandations adoptées</w:t>
      </w:r>
      <w:r w:rsidR="0009736C" w:rsidRPr="00202EB9">
        <w:rPr>
          <w:i/>
          <w:szCs w:val="22"/>
          <w:lang w:val="fr-FR"/>
        </w:rPr>
        <w:t>;</w:t>
      </w:r>
    </w:p>
    <w:p w:rsidR="0009736C" w:rsidRPr="00202EB9" w:rsidRDefault="00255C01" w:rsidP="00255C01">
      <w:pPr>
        <w:pStyle w:val="ONUMFS"/>
        <w:numPr>
          <w:ilvl w:val="0"/>
          <w:numId w:val="0"/>
        </w:numPr>
        <w:ind w:left="567"/>
        <w:rPr>
          <w:i/>
          <w:szCs w:val="22"/>
          <w:lang w:val="fr-FR"/>
        </w:rPr>
      </w:pPr>
      <w:r w:rsidRPr="00202EB9">
        <w:rPr>
          <w:i/>
          <w:szCs w:val="22"/>
          <w:lang w:val="fr-FR"/>
        </w:rPr>
        <w:t>“b)</w:t>
      </w:r>
      <w:r w:rsidRPr="00202EB9">
        <w:rPr>
          <w:i/>
          <w:szCs w:val="22"/>
          <w:lang w:val="fr-FR"/>
        </w:rPr>
        <w:tab/>
      </w:r>
      <w:r w:rsidR="00C102B5" w:rsidRPr="00202EB9">
        <w:rPr>
          <w:i/>
          <w:szCs w:val="22"/>
          <w:lang w:val="fr-FR"/>
        </w:rPr>
        <w:t>de suivre, évaluer et examiner la mise en œuvre de toutes les recommandations adoptées et de faire rapport sur cette mise en œuvre et, à cet effet, d</w:t>
      </w:r>
      <w:r w:rsidR="00426067" w:rsidRPr="00202EB9">
        <w:rPr>
          <w:i/>
          <w:szCs w:val="22"/>
          <w:lang w:val="fr-FR"/>
        </w:rPr>
        <w:t>’</w:t>
      </w:r>
      <w:r w:rsidR="00C102B5" w:rsidRPr="00202EB9">
        <w:rPr>
          <w:i/>
          <w:szCs w:val="22"/>
          <w:lang w:val="fr-FR"/>
        </w:rPr>
        <w:t>assurer une coordination avec les organes compétents de l</w:t>
      </w:r>
      <w:r w:rsidR="00426067" w:rsidRPr="00202EB9">
        <w:rPr>
          <w:i/>
          <w:szCs w:val="22"/>
          <w:lang w:val="fr-FR"/>
        </w:rPr>
        <w:t>’</w:t>
      </w:r>
      <w:r w:rsidR="00C102B5" w:rsidRPr="00202EB9">
        <w:rPr>
          <w:i/>
          <w:szCs w:val="22"/>
          <w:lang w:val="fr-FR"/>
        </w:rPr>
        <w:t xml:space="preserve">OMPI; </w:t>
      </w:r>
      <w:r w:rsidR="00E15713" w:rsidRPr="00202EB9">
        <w:rPr>
          <w:i/>
          <w:szCs w:val="22"/>
          <w:lang w:val="fr-FR"/>
        </w:rPr>
        <w:t xml:space="preserve"> </w:t>
      </w:r>
      <w:r w:rsidR="00C102B5" w:rsidRPr="00202EB9">
        <w:rPr>
          <w:i/>
          <w:szCs w:val="22"/>
          <w:lang w:val="fr-FR"/>
        </w:rPr>
        <w:t>et</w:t>
      </w:r>
    </w:p>
    <w:p w:rsidR="0009736C" w:rsidRPr="00202EB9" w:rsidRDefault="00255C01" w:rsidP="00255C01">
      <w:pPr>
        <w:pStyle w:val="ONUMFS"/>
        <w:numPr>
          <w:ilvl w:val="0"/>
          <w:numId w:val="0"/>
        </w:numPr>
        <w:ind w:left="567"/>
        <w:rPr>
          <w:i/>
          <w:szCs w:val="22"/>
          <w:lang w:val="fr-FR"/>
        </w:rPr>
      </w:pPr>
      <w:r w:rsidRPr="00202EB9">
        <w:rPr>
          <w:i/>
          <w:szCs w:val="22"/>
          <w:lang w:val="fr-FR"/>
        </w:rPr>
        <w:t>“c)</w:t>
      </w:r>
      <w:r w:rsidRPr="00202EB9">
        <w:rPr>
          <w:i/>
          <w:szCs w:val="22"/>
          <w:lang w:val="fr-FR"/>
        </w:rPr>
        <w:tab/>
      </w:r>
      <w:r w:rsidR="00C102B5" w:rsidRPr="00202EB9">
        <w:rPr>
          <w:i/>
          <w:szCs w:val="22"/>
          <w:lang w:val="fr-FR"/>
        </w:rPr>
        <w:t>de débattre des questions relatives à la propriété intellectuelle et au développement convenues par le comité et de celles décidées par l</w:t>
      </w:r>
      <w:r w:rsidR="00426067" w:rsidRPr="00202EB9">
        <w:rPr>
          <w:i/>
          <w:szCs w:val="22"/>
          <w:lang w:val="fr-FR"/>
        </w:rPr>
        <w:t>’</w:t>
      </w:r>
      <w:r w:rsidR="00C102B5" w:rsidRPr="00202EB9">
        <w:rPr>
          <w:i/>
          <w:szCs w:val="22"/>
          <w:lang w:val="fr-FR"/>
        </w:rPr>
        <w:t>Assemblée générale.</w:t>
      </w:r>
      <w:r w:rsidR="0009736C" w:rsidRPr="00202EB9">
        <w:rPr>
          <w:i/>
          <w:szCs w:val="22"/>
          <w:lang w:val="fr-FR"/>
        </w:rPr>
        <w:t>”</w:t>
      </w:r>
    </w:p>
    <w:p w:rsidR="0009736C" w:rsidRPr="00202EB9" w:rsidRDefault="00732BB9" w:rsidP="00255C01">
      <w:pPr>
        <w:pStyle w:val="ONUMFS"/>
        <w:rPr>
          <w:szCs w:val="22"/>
          <w:lang w:val="fr-FR"/>
        </w:rPr>
      </w:pPr>
      <w:r w:rsidRPr="00202EB9">
        <w:rPr>
          <w:szCs w:val="22"/>
          <w:lang w:val="fr-FR"/>
        </w:rPr>
        <w:t>Conformément à la décision de l</w:t>
      </w:r>
      <w:r w:rsidR="00426067" w:rsidRPr="00202EB9">
        <w:rPr>
          <w:szCs w:val="22"/>
          <w:lang w:val="fr-FR"/>
        </w:rPr>
        <w:t>’</w:t>
      </w:r>
      <w:r w:rsidRPr="00202EB9">
        <w:rPr>
          <w:szCs w:val="22"/>
          <w:lang w:val="fr-FR"/>
        </w:rPr>
        <w:t>Assemblée générale, le comité a tenu sa première session au cours du premier semestre de</w:t>
      </w:r>
      <w:r w:rsidR="00E15713" w:rsidRPr="00202EB9">
        <w:rPr>
          <w:szCs w:val="22"/>
          <w:lang w:val="fr-FR"/>
        </w:rPr>
        <w:t> </w:t>
      </w:r>
      <w:r w:rsidRPr="00202EB9">
        <w:rPr>
          <w:szCs w:val="22"/>
          <w:lang w:val="fr-FR"/>
        </w:rPr>
        <w:t xml:space="preserve">2008 et a continué </w:t>
      </w:r>
      <w:r w:rsidR="00A319C4" w:rsidRPr="00202EB9">
        <w:rPr>
          <w:szCs w:val="22"/>
          <w:lang w:val="fr-FR"/>
        </w:rPr>
        <w:t>à</w:t>
      </w:r>
      <w:r w:rsidR="00AF0B41" w:rsidRPr="00202EB9">
        <w:rPr>
          <w:szCs w:val="22"/>
          <w:lang w:val="fr-FR"/>
        </w:rPr>
        <w:t xml:space="preserve"> se réunir régulièrement, à raison de deux</w:t>
      </w:r>
      <w:r w:rsidR="00E15713" w:rsidRPr="00202EB9">
        <w:rPr>
          <w:szCs w:val="22"/>
          <w:lang w:val="fr-FR"/>
        </w:rPr>
        <w:t> </w:t>
      </w:r>
      <w:r w:rsidR="00AF0B41" w:rsidRPr="00202EB9">
        <w:rPr>
          <w:szCs w:val="22"/>
          <w:lang w:val="fr-FR"/>
        </w:rPr>
        <w:t>sessions de cinq</w:t>
      </w:r>
      <w:r w:rsidR="00E15713" w:rsidRPr="00202EB9">
        <w:rPr>
          <w:szCs w:val="22"/>
          <w:lang w:val="fr-FR"/>
        </w:rPr>
        <w:t> </w:t>
      </w:r>
      <w:r w:rsidR="00AF0B41" w:rsidRPr="00202EB9">
        <w:rPr>
          <w:szCs w:val="22"/>
          <w:lang w:val="fr-FR"/>
        </w:rPr>
        <w:t>jours chaque année</w:t>
      </w:r>
      <w:r w:rsidR="00C4119F" w:rsidRPr="00202EB9">
        <w:rPr>
          <w:rStyle w:val="FootnoteReference"/>
          <w:szCs w:val="22"/>
          <w:lang w:val="fr-FR"/>
        </w:rPr>
        <w:footnoteReference w:id="4"/>
      </w:r>
      <w:r w:rsidR="00AF0B41" w:rsidRPr="00202EB9">
        <w:rPr>
          <w:szCs w:val="22"/>
          <w:lang w:val="fr-FR"/>
        </w:rPr>
        <w:t xml:space="preserve">.  À sa première session, le comité a adopté </w:t>
      </w:r>
      <w:r w:rsidR="003E6D7D" w:rsidRPr="00202EB9">
        <w:rPr>
          <w:szCs w:val="22"/>
          <w:lang w:val="fr-FR"/>
        </w:rPr>
        <w:t>son règlement intérieur</w:t>
      </w:r>
      <w:r w:rsidR="003E2AD4" w:rsidRPr="00202EB9">
        <w:rPr>
          <w:rStyle w:val="FootnoteReference"/>
          <w:szCs w:val="22"/>
          <w:lang w:val="fr-FR"/>
        </w:rPr>
        <w:footnoteReference w:id="5"/>
      </w:r>
      <w:r w:rsidR="0009736C" w:rsidRPr="00202EB9">
        <w:rPr>
          <w:szCs w:val="22"/>
          <w:lang w:val="fr-FR"/>
        </w:rPr>
        <w:t xml:space="preserve"> </w:t>
      </w:r>
      <w:r w:rsidR="003E6D7D" w:rsidRPr="00202EB9">
        <w:rPr>
          <w:szCs w:val="22"/>
          <w:lang w:val="fr-FR"/>
        </w:rPr>
        <w:t>et examiné le premier document de travail établi par le président</w:t>
      </w:r>
      <w:r w:rsidR="005B687C" w:rsidRPr="00202EB9">
        <w:rPr>
          <w:rStyle w:val="FootnoteReference"/>
          <w:szCs w:val="22"/>
          <w:lang w:val="fr-FR"/>
        </w:rPr>
        <w:footnoteReference w:id="6"/>
      </w:r>
      <w:r w:rsidR="003E6D7D" w:rsidRPr="00202EB9">
        <w:rPr>
          <w:szCs w:val="22"/>
          <w:lang w:val="fr-FR"/>
        </w:rPr>
        <w:t>.</w:t>
      </w:r>
    </w:p>
    <w:p w:rsidR="0009736C" w:rsidRPr="00202EB9" w:rsidRDefault="009B69DD" w:rsidP="00255C01">
      <w:pPr>
        <w:pStyle w:val="ONUMFS"/>
        <w:rPr>
          <w:szCs w:val="22"/>
          <w:lang w:val="fr-FR"/>
        </w:rPr>
      </w:pPr>
      <w:r w:rsidRPr="00202EB9">
        <w:rPr>
          <w:szCs w:val="22"/>
          <w:lang w:val="fr-FR"/>
        </w:rPr>
        <w:t>L</w:t>
      </w:r>
      <w:r w:rsidR="00BC2681" w:rsidRPr="00202EB9">
        <w:rPr>
          <w:szCs w:val="22"/>
          <w:lang w:val="fr-FR"/>
        </w:rPr>
        <w:t>e</w:t>
      </w:r>
      <w:r w:rsidR="00DA0C41" w:rsidRPr="00202EB9">
        <w:rPr>
          <w:szCs w:val="22"/>
          <w:lang w:val="fr-FR"/>
        </w:rPr>
        <w:t xml:space="preserve"> programme et budget de l</w:t>
      </w:r>
      <w:r w:rsidR="00426067" w:rsidRPr="00202EB9">
        <w:rPr>
          <w:szCs w:val="22"/>
          <w:lang w:val="fr-FR"/>
        </w:rPr>
        <w:t>’</w:t>
      </w:r>
      <w:r w:rsidR="00DA0C41" w:rsidRPr="00202EB9">
        <w:rPr>
          <w:szCs w:val="22"/>
          <w:lang w:val="fr-FR"/>
        </w:rPr>
        <w:t xml:space="preserve">OMPI </w:t>
      </w:r>
      <w:r w:rsidR="00BC2681" w:rsidRPr="00202EB9">
        <w:rPr>
          <w:szCs w:val="22"/>
          <w:lang w:val="fr-FR"/>
        </w:rPr>
        <w:t xml:space="preserve">adopté </w:t>
      </w:r>
      <w:r w:rsidR="00DA0C41" w:rsidRPr="00202EB9">
        <w:rPr>
          <w:szCs w:val="22"/>
          <w:lang w:val="fr-FR"/>
        </w:rPr>
        <w:t>pour l</w:t>
      </w:r>
      <w:r w:rsidR="00426067" w:rsidRPr="00202EB9">
        <w:rPr>
          <w:szCs w:val="22"/>
          <w:lang w:val="fr-FR"/>
        </w:rPr>
        <w:t>’</w:t>
      </w:r>
      <w:r w:rsidR="00DA0C41" w:rsidRPr="00202EB9">
        <w:rPr>
          <w:szCs w:val="22"/>
          <w:lang w:val="fr-FR"/>
        </w:rPr>
        <w:t>exercice biennal</w:t>
      </w:r>
      <w:r w:rsidR="00E15713" w:rsidRPr="00202EB9">
        <w:rPr>
          <w:szCs w:val="22"/>
          <w:lang w:val="fr-FR"/>
        </w:rPr>
        <w:t> </w:t>
      </w:r>
      <w:r w:rsidR="00DA0C41" w:rsidRPr="00202EB9">
        <w:rPr>
          <w:szCs w:val="22"/>
          <w:lang w:val="fr-FR"/>
        </w:rPr>
        <w:t>2008</w:t>
      </w:r>
      <w:r w:rsidR="001E787E" w:rsidRPr="00202EB9">
        <w:rPr>
          <w:szCs w:val="22"/>
          <w:lang w:val="fr-FR"/>
        </w:rPr>
        <w:noBreakHyphen/>
      </w:r>
      <w:r w:rsidR="00DA0C41" w:rsidRPr="00202EB9">
        <w:rPr>
          <w:szCs w:val="22"/>
          <w:lang w:val="fr-FR"/>
        </w:rPr>
        <w:t xml:space="preserve">2009 </w:t>
      </w:r>
      <w:r w:rsidR="00BA25BD" w:rsidRPr="00202EB9">
        <w:rPr>
          <w:szCs w:val="22"/>
          <w:lang w:val="fr-FR"/>
        </w:rPr>
        <w:t>inclu</w:t>
      </w:r>
      <w:r w:rsidR="00DA0C41" w:rsidRPr="00202EB9">
        <w:rPr>
          <w:szCs w:val="22"/>
          <w:lang w:val="fr-FR"/>
        </w:rPr>
        <w:t>ait un nouveau programme intitulé</w:t>
      </w:r>
      <w:r w:rsidR="00A024F0" w:rsidRPr="00202EB9">
        <w:rPr>
          <w:szCs w:val="22"/>
          <w:lang w:val="fr-FR"/>
        </w:rPr>
        <w:t xml:space="preserve"> </w:t>
      </w:r>
      <w:r w:rsidR="0009736C" w:rsidRPr="00202EB9">
        <w:rPr>
          <w:szCs w:val="22"/>
          <w:lang w:val="fr-FR"/>
        </w:rPr>
        <w:t>“</w:t>
      </w:r>
      <w:r w:rsidR="00DA0C41" w:rsidRPr="00202EB9">
        <w:rPr>
          <w:szCs w:val="22"/>
          <w:lang w:val="fr-FR"/>
        </w:rPr>
        <w:t>Division de la coordination du Plan d</w:t>
      </w:r>
      <w:r w:rsidR="00426067" w:rsidRPr="00202EB9">
        <w:rPr>
          <w:szCs w:val="22"/>
          <w:lang w:val="fr-FR"/>
        </w:rPr>
        <w:t>’</w:t>
      </w:r>
      <w:r w:rsidR="00DA0C41" w:rsidRPr="00202EB9">
        <w:rPr>
          <w:szCs w:val="22"/>
          <w:lang w:val="fr-FR"/>
        </w:rPr>
        <w:t>action pour le développement</w:t>
      </w:r>
      <w:r w:rsidR="00CA1503" w:rsidRPr="00202EB9">
        <w:rPr>
          <w:szCs w:val="22"/>
          <w:lang w:val="fr-FR"/>
        </w:rPr>
        <w:t xml:space="preserve">”, </w:t>
      </w:r>
      <w:r w:rsidR="005049DD" w:rsidRPr="00202EB9">
        <w:rPr>
          <w:szCs w:val="22"/>
          <w:lang w:val="fr-FR"/>
        </w:rPr>
        <w:t>dont le mandat était</w:t>
      </w:r>
      <w:r w:rsidR="00CA1503" w:rsidRPr="00202EB9">
        <w:rPr>
          <w:szCs w:val="22"/>
          <w:lang w:val="fr-FR"/>
        </w:rPr>
        <w:t xml:space="preserve"> de coord</w:t>
      </w:r>
      <w:r w:rsidR="006904F2" w:rsidRPr="00202EB9">
        <w:rPr>
          <w:szCs w:val="22"/>
          <w:lang w:val="fr-FR"/>
        </w:rPr>
        <w:t>onner</w:t>
      </w:r>
      <w:r w:rsidR="00CA1503" w:rsidRPr="00202EB9">
        <w:rPr>
          <w:szCs w:val="22"/>
          <w:lang w:val="fr-FR"/>
        </w:rPr>
        <w:t xml:space="preserve"> à l</w:t>
      </w:r>
      <w:r w:rsidR="00426067" w:rsidRPr="00202EB9">
        <w:rPr>
          <w:szCs w:val="22"/>
          <w:lang w:val="fr-FR"/>
        </w:rPr>
        <w:t>’</w:t>
      </w:r>
      <w:r w:rsidR="00CA1503" w:rsidRPr="00202EB9">
        <w:rPr>
          <w:szCs w:val="22"/>
          <w:lang w:val="fr-FR"/>
        </w:rPr>
        <w:t>échelle de l</w:t>
      </w:r>
      <w:r w:rsidR="00426067" w:rsidRPr="00202EB9">
        <w:rPr>
          <w:szCs w:val="22"/>
          <w:lang w:val="fr-FR"/>
        </w:rPr>
        <w:t>’</w:t>
      </w:r>
      <w:r w:rsidR="00CA1503" w:rsidRPr="00202EB9">
        <w:rPr>
          <w:szCs w:val="22"/>
          <w:lang w:val="fr-FR"/>
        </w:rPr>
        <w:t xml:space="preserve">Organisation </w:t>
      </w:r>
      <w:r w:rsidR="006904F2" w:rsidRPr="00202EB9">
        <w:rPr>
          <w:szCs w:val="22"/>
          <w:lang w:val="fr-FR"/>
        </w:rPr>
        <w:t>le</w:t>
      </w:r>
      <w:r w:rsidR="00CA1503" w:rsidRPr="00202EB9">
        <w:rPr>
          <w:szCs w:val="22"/>
          <w:lang w:val="fr-FR"/>
        </w:rPr>
        <w:t xml:space="preserve"> processus de mise en œuvre du Plan d</w:t>
      </w:r>
      <w:r w:rsidR="00426067" w:rsidRPr="00202EB9">
        <w:rPr>
          <w:szCs w:val="22"/>
          <w:lang w:val="fr-FR"/>
        </w:rPr>
        <w:t>’</w:t>
      </w:r>
      <w:r w:rsidR="00CA1503" w:rsidRPr="00202EB9">
        <w:rPr>
          <w:szCs w:val="22"/>
          <w:lang w:val="fr-FR"/>
        </w:rPr>
        <w:t>action pour le développement</w:t>
      </w:r>
      <w:r w:rsidR="006904F2" w:rsidRPr="00202EB9">
        <w:rPr>
          <w:szCs w:val="22"/>
          <w:lang w:val="fr-FR"/>
        </w:rPr>
        <w:t>.</w:t>
      </w:r>
    </w:p>
    <w:p w:rsidR="0009736C" w:rsidRPr="00202EB9" w:rsidRDefault="00BC2681" w:rsidP="00255C01">
      <w:pPr>
        <w:pStyle w:val="ONUMFS"/>
        <w:rPr>
          <w:szCs w:val="22"/>
          <w:lang w:val="fr-FR"/>
        </w:rPr>
      </w:pPr>
      <w:r w:rsidRPr="00202EB9">
        <w:rPr>
          <w:szCs w:val="22"/>
          <w:lang w:val="fr-FR"/>
        </w:rPr>
        <w:t>À la troisième</w:t>
      </w:r>
      <w:r w:rsidR="00E15713" w:rsidRPr="00202EB9">
        <w:rPr>
          <w:szCs w:val="22"/>
          <w:lang w:val="fr-FR"/>
        </w:rPr>
        <w:t> </w:t>
      </w:r>
      <w:r w:rsidRPr="00202EB9">
        <w:rPr>
          <w:szCs w:val="22"/>
          <w:lang w:val="fr-FR"/>
        </w:rPr>
        <w:t>session du comité,</w:t>
      </w:r>
      <w:r w:rsidR="00D9376B" w:rsidRPr="00202EB9">
        <w:rPr>
          <w:szCs w:val="22"/>
          <w:lang w:val="fr-FR"/>
        </w:rPr>
        <w:t xml:space="preserve"> </w:t>
      </w:r>
      <w:r w:rsidR="007604BA" w:rsidRPr="00202EB9">
        <w:rPr>
          <w:szCs w:val="22"/>
          <w:lang w:val="fr-FR"/>
        </w:rPr>
        <w:t>en réponse</w:t>
      </w:r>
      <w:r w:rsidR="00D9376B" w:rsidRPr="00202EB9">
        <w:rPr>
          <w:szCs w:val="22"/>
          <w:lang w:val="fr-FR"/>
        </w:rPr>
        <w:t xml:space="preserve"> à des demandes de délégations appelant </w:t>
      </w:r>
      <w:r w:rsidR="007604BA" w:rsidRPr="00202EB9">
        <w:rPr>
          <w:szCs w:val="22"/>
          <w:lang w:val="fr-FR"/>
        </w:rPr>
        <w:t xml:space="preserve">à </w:t>
      </w:r>
      <w:r w:rsidR="0009736C" w:rsidRPr="008D1193">
        <w:rPr>
          <w:szCs w:val="22"/>
          <w:lang w:val="fr-FR"/>
        </w:rPr>
        <w:t>“</w:t>
      </w:r>
      <w:r w:rsidR="007604BA" w:rsidRPr="008D1193">
        <w:rPr>
          <w:szCs w:val="22"/>
          <w:lang w:val="fr-FR"/>
        </w:rPr>
        <w:t>éviter le chevauchement d</w:t>
      </w:r>
      <w:r w:rsidR="00426067" w:rsidRPr="008D1193">
        <w:rPr>
          <w:szCs w:val="22"/>
          <w:lang w:val="fr-FR"/>
        </w:rPr>
        <w:t>’</w:t>
      </w:r>
      <w:r w:rsidR="007604BA" w:rsidRPr="008D1193">
        <w:rPr>
          <w:szCs w:val="22"/>
          <w:lang w:val="fr-FR"/>
        </w:rPr>
        <w:t>activités prévues pour la mise en œuvre des différentes recommandations du Plan d</w:t>
      </w:r>
      <w:r w:rsidR="00426067" w:rsidRPr="008D1193">
        <w:rPr>
          <w:szCs w:val="22"/>
          <w:lang w:val="fr-FR"/>
        </w:rPr>
        <w:t>’</w:t>
      </w:r>
      <w:r w:rsidR="007604BA" w:rsidRPr="008D1193">
        <w:rPr>
          <w:szCs w:val="22"/>
          <w:lang w:val="fr-FR"/>
        </w:rPr>
        <w:t>action pour le développement</w:t>
      </w:r>
      <w:r w:rsidR="0009736C" w:rsidRPr="008D1193">
        <w:rPr>
          <w:szCs w:val="22"/>
          <w:lang w:val="fr-FR"/>
        </w:rPr>
        <w:t>”</w:t>
      </w:r>
      <w:r w:rsidR="00CA668A" w:rsidRPr="008D1193">
        <w:rPr>
          <w:szCs w:val="22"/>
          <w:lang w:val="fr-FR"/>
        </w:rPr>
        <w:t xml:space="preserve"> </w:t>
      </w:r>
      <w:r w:rsidR="007604BA" w:rsidRPr="00202EB9">
        <w:rPr>
          <w:szCs w:val="22"/>
          <w:lang w:val="fr-FR"/>
        </w:rPr>
        <w:t xml:space="preserve">et compte </w:t>
      </w:r>
      <w:r w:rsidR="00F21EE3" w:rsidRPr="00202EB9">
        <w:rPr>
          <w:szCs w:val="22"/>
          <w:lang w:val="fr-FR"/>
        </w:rPr>
        <w:t xml:space="preserve">tenu </w:t>
      </w:r>
      <w:r w:rsidR="007604BA" w:rsidRPr="00202EB9">
        <w:rPr>
          <w:szCs w:val="22"/>
          <w:lang w:val="fr-FR"/>
        </w:rPr>
        <w:t>de préoccupations exprimées</w:t>
      </w:r>
      <w:r w:rsidR="007604BA" w:rsidRPr="008D1193">
        <w:rPr>
          <w:szCs w:val="22"/>
          <w:lang w:val="fr-FR"/>
        </w:rPr>
        <w:t xml:space="preserve"> </w:t>
      </w:r>
      <w:r w:rsidR="0009736C" w:rsidRPr="008D1193">
        <w:rPr>
          <w:szCs w:val="22"/>
          <w:lang w:val="fr-FR"/>
        </w:rPr>
        <w:t>“</w:t>
      </w:r>
      <w:r w:rsidR="00F21EE3" w:rsidRPr="008D1193">
        <w:rPr>
          <w:szCs w:val="22"/>
          <w:lang w:val="fr-FR"/>
        </w:rPr>
        <w:t>concernant l</w:t>
      </w:r>
      <w:r w:rsidR="00426067" w:rsidRPr="008D1193">
        <w:rPr>
          <w:szCs w:val="22"/>
          <w:lang w:val="fr-FR"/>
        </w:rPr>
        <w:t>’</w:t>
      </w:r>
      <w:r w:rsidR="00F21EE3" w:rsidRPr="008D1193">
        <w:rPr>
          <w:szCs w:val="22"/>
          <w:lang w:val="fr-FR"/>
        </w:rPr>
        <w:t>absence d</w:t>
      </w:r>
      <w:r w:rsidR="00426067" w:rsidRPr="008D1193">
        <w:rPr>
          <w:szCs w:val="22"/>
          <w:lang w:val="fr-FR"/>
        </w:rPr>
        <w:t>’</w:t>
      </w:r>
      <w:r w:rsidR="00F21EE3" w:rsidRPr="008D1193">
        <w:rPr>
          <w:szCs w:val="22"/>
          <w:lang w:val="fr-FR"/>
        </w:rPr>
        <w:t>informations sur les objectifs, les délais et les mécanismes de suivi et d</w:t>
      </w:r>
      <w:r w:rsidR="00426067" w:rsidRPr="008D1193">
        <w:rPr>
          <w:szCs w:val="22"/>
          <w:lang w:val="fr-FR"/>
        </w:rPr>
        <w:t>’</w:t>
      </w:r>
      <w:r w:rsidR="00F21EE3" w:rsidRPr="008D1193">
        <w:rPr>
          <w:szCs w:val="22"/>
          <w:lang w:val="fr-FR"/>
        </w:rPr>
        <w:t>évaluation précis pour les activités proposées</w:t>
      </w:r>
      <w:r w:rsidR="008D1193">
        <w:rPr>
          <w:szCs w:val="22"/>
          <w:lang w:val="fr-FR"/>
        </w:rPr>
        <w:t>”</w:t>
      </w:r>
      <w:r w:rsidR="0009736C" w:rsidRPr="008D1193">
        <w:rPr>
          <w:szCs w:val="22"/>
          <w:lang w:val="fr-FR"/>
        </w:rPr>
        <w:t>,</w:t>
      </w:r>
      <w:r w:rsidR="0009736C" w:rsidRPr="00202EB9">
        <w:rPr>
          <w:i/>
          <w:szCs w:val="22"/>
          <w:lang w:val="fr-FR"/>
        </w:rPr>
        <w:t xml:space="preserve"> </w:t>
      </w:r>
      <w:r w:rsidR="00F21EE3" w:rsidRPr="00202EB9">
        <w:rPr>
          <w:szCs w:val="22"/>
          <w:lang w:val="fr-FR"/>
        </w:rPr>
        <w:t>l</w:t>
      </w:r>
      <w:r w:rsidR="0009736C" w:rsidRPr="00202EB9">
        <w:rPr>
          <w:szCs w:val="22"/>
          <w:lang w:val="fr-FR"/>
        </w:rPr>
        <w:t>e Secr</w:t>
      </w:r>
      <w:r w:rsidR="00F21EE3" w:rsidRPr="00202EB9">
        <w:rPr>
          <w:szCs w:val="22"/>
          <w:lang w:val="fr-FR"/>
        </w:rPr>
        <w:t>é</w:t>
      </w:r>
      <w:r w:rsidR="0009736C" w:rsidRPr="00202EB9">
        <w:rPr>
          <w:szCs w:val="22"/>
          <w:lang w:val="fr-FR"/>
        </w:rPr>
        <w:t>tariat</w:t>
      </w:r>
      <w:r w:rsidR="00F21EE3" w:rsidRPr="00202EB9">
        <w:rPr>
          <w:szCs w:val="22"/>
          <w:lang w:val="fr-FR"/>
        </w:rPr>
        <w:t xml:space="preserve"> </w:t>
      </w:r>
      <w:r w:rsidR="00F0297D" w:rsidRPr="00202EB9">
        <w:rPr>
          <w:szCs w:val="22"/>
          <w:lang w:val="fr-FR"/>
        </w:rPr>
        <w:t>a proposé une approche thématique fondée sur des projets aux États membres</w:t>
      </w:r>
      <w:r w:rsidR="001378F6" w:rsidRPr="00202EB9">
        <w:rPr>
          <w:szCs w:val="22"/>
          <w:lang w:val="fr-FR"/>
        </w:rPr>
        <w:t>, qui sont convenus de l</w:t>
      </w:r>
      <w:r w:rsidR="00426067" w:rsidRPr="00202EB9">
        <w:rPr>
          <w:szCs w:val="22"/>
          <w:lang w:val="fr-FR"/>
        </w:rPr>
        <w:t>’</w:t>
      </w:r>
      <w:r w:rsidR="001378F6" w:rsidRPr="00202EB9">
        <w:rPr>
          <w:szCs w:val="22"/>
          <w:lang w:val="fr-FR"/>
        </w:rPr>
        <w:t>accepter sur la base des principes suivants</w:t>
      </w:r>
      <w:r w:rsidR="00E15713" w:rsidRPr="00202EB9">
        <w:rPr>
          <w:szCs w:val="22"/>
          <w:lang w:val="fr-FR"/>
        </w:rPr>
        <w:t> </w:t>
      </w:r>
      <w:r w:rsidR="001378F6" w:rsidRPr="00202EB9">
        <w:rPr>
          <w:szCs w:val="22"/>
          <w:lang w:val="fr-FR"/>
        </w:rPr>
        <w:t xml:space="preserve">: </w:t>
      </w:r>
      <w:r w:rsidR="0009736C" w:rsidRPr="00202EB9">
        <w:rPr>
          <w:szCs w:val="22"/>
          <w:lang w:val="fr-FR"/>
        </w:rPr>
        <w:t>i)</w:t>
      </w:r>
      <w:r w:rsidR="00E15713" w:rsidRPr="00202EB9">
        <w:rPr>
          <w:szCs w:val="22"/>
          <w:lang w:val="fr-FR"/>
        </w:rPr>
        <w:t> </w:t>
      </w:r>
      <w:r w:rsidR="001378F6" w:rsidRPr="00202EB9">
        <w:rPr>
          <w:szCs w:val="22"/>
          <w:lang w:val="fr-FR"/>
        </w:rPr>
        <w:t>chaque recommandation serait examinée tout d</w:t>
      </w:r>
      <w:r w:rsidR="00426067" w:rsidRPr="00202EB9">
        <w:rPr>
          <w:szCs w:val="22"/>
          <w:lang w:val="fr-FR"/>
        </w:rPr>
        <w:t>’</w:t>
      </w:r>
      <w:r w:rsidR="001378F6" w:rsidRPr="00202EB9">
        <w:rPr>
          <w:szCs w:val="22"/>
          <w:lang w:val="fr-FR"/>
        </w:rPr>
        <w:t>abord en vue de convenir des activités à mettre en œuvre,</w:t>
      </w:r>
      <w:r w:rsidRPr="00202EB9">
        <w:rPr>
          <w:szCs w:val="22"/>
          <w:lang w:val="fr-FR"/>
        </w:rPr>
        <w:t xml:space="preserve"> </w:t>
      </w:r>
      <w:r w:rsidR="0009736C" w:rsidRPr="00202EB9">
        <w:rPr>
          <w:szCs w:val="22"/>
          <w:lang w:val="fr-FR"/>
        </w:rPr>
        <w:t>ii)</w:t>
      </w:r>
      <w:r w:rsidR="00E15713" w:rsidRPr="00202EB9">
        <w:rPr>
          <w:szCs w:val="22"/>
          <w:lang w:val="fr-FR"/>
        </w:rPr>
        <w:t> </w:t>
      </w:r>
      <w:r w:rsidR="001378F6" w:rsidRPr="00202EB9">
        <w:rPr>
          <w:szCs w:val="22"/>
          <w:lang w:val="fr-FR"/>
        </w:rPr>
        <w:t>les recommandations portant sur des activités similaires ou identiques seraient regroupées sous un thème, lorsque cela serait possible, et</w:t>
      </w:r>
      <w:r w:rsidR="001E787E" w:rsidRPr="00202EB9">
        <w:rPr>
          <w:szCs w:val="22"/>
          <w:lang w:val="fr-FR"/>
        </w:rPr>
        <w:t> </w:t>
      </w:r>
      <w:r w:rsidR="0009736C" w:rsidRPr="00202EB9">
        <w:rPr>
          <w:szCs w:val="22"/>
          <w:lang w:val="fr-FR"/>
        </w:rPr>
        <w:t>iii)</w:t>
      </w:r>
      <w:r w:rsidR="00E15713" w:rsidRPr="00202EB9">
        <w:rPr>
          <w:szCs w:val="22"/>
          <w:lang w:val="fr-FR"/>
        </w:rPr>
        <w:t> </w:t>
      </w:r>
      <w:r w:rsidR="001378F6" w:rsidRPr="00202EB9">
        <w:rPr>
          <w:szCs w:val="22"/>
          <w:lang w:val="fr-FR"/>
        </w:rPr>
        <w:t>la mise en œuvre serait structurée sous forme de projets et d</w:t>
      </w:r>
      <w:r w:rsidR="00426067" w:rsidRPr="00202EB9">
        <w:rPr>
          <w:szCs w:val="22"/>
          <w:lang w:val="fr-FR"/>
        </w:rPr>
        <w:t>’</w:t>
      </w:r>
      <w:r w:rsidR="001378F6" w:rsidRPr="00202EB9">
        <w:rPr>
          <w:szCs w:val="22"/>
          <w:lang w:val="fr-FR"/>
        </w:rPr>
        <w:t>autres activités, de la façon qui conviendrait, étant entendu que des activités additionnelles pourraient être proposées</w:t>
      </w:r>
      <w:r w:rsidR="0009736C" w:rsidRPr="00202EB9">
        <w:rPr>
          <w:szCs w:val="22"/>
          <w:lang w:val="fr-FR"/>
        </w:rPr>
        <w:t>.</w:t>
      </w:r>
    </w:p>
    <w:p w:rsidR="0009736C" w:rsidRPr="00202EB9" w:rsidRDefault="00813334" w:rsidP="00255C01">
      <w:pPr>
        <w:pStyle w:val="ONUMFS"/>
        <w:rPr>
          <w:szCs w:val="22"/>
          <w:lang w:val="fr-FR"/>
        </w:rPr>
      </w:pPr>
      <w:r w:rsidRPr="00202EB9">
        <w:rPr>
          <w:szCs w:val="22"/>
          <w:lang w:val="fr-FR"/>
        </w:rPr>
        <w:t>À s</w:t>
      </w:r>
      <w:r w:rsidR="00FA7FE2" w:rsidRPr="00202EB9">
        <w:rPr>
          <w:szCs w:val="22"/>
          <w:lang w:val="fr-FR"/>
        </w:rPr>
        <w:t>a cinquième</w:t>
      </w:r>
      <w:r w:rsidR="00E15713" w:rsidRPr="00202EB9">
        <w:rPr>
          <w:szCs w:val="22"/>
          <w:lang w:val="fr-FR"/>
        </w:rPr>
        <w:t> </w:t>
      </w:r>
      <w:r w:rsidR="00FA7FE2" w:rsidRPr="00202EB9">
        <w:rPr>
          <w:szCs w:val="22"/>
          <w:lang w:val="fr-FR"/>
        </w:rPr>
        <w:t xml:space="preserve">session </w:t>
      </w:r>
      <w:r w:rsidR="0009736C" w:rsidRPr="00202EB9">
        <w:rPr>
          <w:szCs w:val="22"/>
          <w:lang w:val="fr-FR"/>
        </w:rPr>
        <w:t>(2010),</w:t>
      </w:r>
      <w:r w:rsidR="00426067" w:rsidRPr="00202EB9">
        <w:rPr>
          <w:szCs w:val="22"/>
          <w:lang w:val="fr-FR"/>
        </w:rPr>
        <w:t xml:space="preserve"> le </w:t>
      </w:r>
      <w:proofErr w:type="spellStart"/>
      <w:r w:rsidR="00426067" w:rsidRPr="00202EB9">
        <w:rPr>
          <w:szCs w:val="22"/>
          <w:lang w:val="fr-FR"/>
        </w:rPr>
        <w:t>CDI</w:t>
      </w:r>
      <w:r w:rsidRPr="00202EB9">
        <w:rPr>
          <w:szCs w:val="22"/>
          <w:lang w:val="fr-FR"/>
        </w:rPr>
        <w:t>P</w:t>
      </w:r>
      <w:proofErr w:type="spellEnd"/>
      <w:r w:rsidR="00FA7FE2" w:rsidRPr="00202EB9">
        <w:rPr>
          <w:szCs w:val="22"/>
          <w:lang w:val="fr-FR"/>
        </w:rPr>
        <w:t xml:space="preserve"> a adopté</w:t>
      </w:r>
      <w:r w:rsidRPr="00202EB9">
        <w:rPr>
          <w:szCs w:val="22"/>
          <w:lang w:val="fr-FR"/>
        </w:rPr>
        <w:t xml:space="preserve"> un mécanisme de coordination et des modalités de suivi, d</w:t>
      </w:r>
      <w:r w:rsidR="00426067" w:rsidRPr="00202EB9">
        <w:rPr>
          <w:szCs w:val="22"/>
          <w:lang w:val="fr-FR"/>
        </w:rPr>
        <w:t>’</w:t>
      </w:r>
      <w:r w:rsidRPr="00202EB9">
        <w:rPr>
          <w:szCs w:val="22"/>
          <w:lang w:val="fr-FR"/>
        </w:rPr>
        <w:t>évaluation et d</w:t>
      </w:r>
      <w:r w:rsidR="00426067" w:rsidRPr="00202EB9">
        <w:rPr>
          <w:szCs w:val="22"/>
          <w:lang w:val="fr-FR"/>
        </w:rPr>
        <w:t>’</w:t>
      </w:r>
      <w:r w:rsidRPr="00202EB9">
        <w:rPr>
          <w:szCs w:val="22"/>
          <w:lang w:val="fr-FR"/>
        </w:rPr>
        <w:t>établissement de rapports, qui ont ensuite été approuvés par</w:t>
      </w:r>
      <w:r w:rsidR="00735E0F" w:rsidRPr="00202EB9">
        <w:rPr>
          <w:szCs w:val="22"/>
          <w:lang w:val="fr-FR"/>
        </w:rPr>
        <w:t xml:space="preserve"> l</w:t>
      </w:r>
      <w:r w:rsidR="00426067" w:rsidRPr="00202EB9">
        <w:rPr>
          <w:szCs w:val="22"/>
          <w:lang w:val="fr-FR"/>
        </w:rPr>
        <w:t>’</w:t>
      </w:r>
      <w:r w:rsidR="00735E0F" w:rsidRPr="00202EB9">
        <w:rPr>
          <w:szCs w:val="22"/>
          <w:lang w:val="fr-FR"/>
        </w:rPr>
        <w:t>Assemblée générale</w:t>
      </w:r>
      <w:r w:rsidR="0009736C" w:rsidRPr="00202EB9">
        <w:rPr>
          <w:rStyle w:val="FootnoteReference"/>
          <w:szCs w:val="22"/>
          <w:lang w:val="fr-FR"/>
        </w:rPr>
        <w:footnoteReference w:id="7"/>
      </w:r>
      <w:r w:rsidR="00735E0F" w:rsidRPr="00202EB9">
        <w:rPr>
          <w:szCs w:val="22"/>
          <w:lang w:val="fr-FR"/>
        </w:rPr>
        <w:t>.</w:t>
      </w:r>
      <w:r w:rsidR="00EC4742" w:rsidRPr="00202EB9">
        <w:rPr>
          <w:szCs w:val="22"/>
          <w:lang w:val="fr-FR"/>
        </w:rPr>
        <w:t xml:space="preserve">  </w:t>
      </w:r>
      <w:r w:rsidR="002A00E1" w:rsidRPr="00202EB9">
        <w:rPr>
          <w:szCs w:val="22"/>
          <w:lang w:val="fr-FR"/>
        </w:rPr>
        <w:t>I</w:t>
      </w:r>
      <w:r w:rsidR="00847513" w:rsidRPr="00202EB9">
        <w:rPr>
          <w:szCs w:val="22"/>
          <w:lang w:val="fr-FR"/>
        </w:rPr>
        <w:t>l était demandé entre autres à l</w:t>
      </w:r>
      <w:r w:rsidR="00426067" w:rsidRPr="00202EB9">
        <w:rPr>
          <w:szCs w:val="22"/>
          <w:lang w:val="fr-FR"/>
        </w:rPr>
        <w:t>’</w:t>
      </w:r>
      <w:r w:rsidR="00847513" w:rsidRPr="00202EB9">
        <w:rPr>
          <w:szCs w:val="22"/>
          <w:lang w:val="fr-FR"/>
        </w:rPr>
        <w:t>Organisation</w:t>
      </w:r>
      <w:r w:rsidR="002A00E1" w:rsidRPr="00202EB9">
        <w:rPr>
          <w:szCs w:val="22"/>
          <w:lang w:val="fr-FR"/>
        </w:rPr>
        <w:t>, dans ce contexte,</w:t>
      </w:r>
      <w:r w:rsidR="00847513" w:rsidRPr="00202EB9">
        <w:rPr>
          <w:szCs w:val="22"/>
          <w:lang w:val="fr-FR"/>
        </w:rPr>
        <w:t xml:space="preserve"> </w:t>
      </w:r>
      <w:r w:rsidR="00237326" w:rsidRPr="00202EB9">
        <w:rPr>
          <w:szCs w:val="22"/>
          <w:lang w:val="fr-FR"/>
        </w:rPr>
        <w:t>d</w:t>
      </w:r>
      <w:r w:rsidR="00426067" w:rsidRPr="00202EB9">
        <w:rPr>
          <w:szCs w:val="22"/>
          <w:lang w:val="fr-FR"/>
        </w:rPr>
        <w:t>’</w:t>
      </w:r>
      <w:r w:rsidR="00237326" w:rsidRPr="00202EB9">
        <w:rPr>
          <w:szCs w:val="22"/>
          <w:lang w:val="fr-FR"/>
        </w:rPr>
        <w:t>effectuer une étude indépendante sur la mise en œuvre des recommandations du Plan d</w:t>
      </w:r>
      <w:r w:rsidR="00426067" w:rsidRPr="00202EB9">
        <w:rPr>
          <w:szCs w:val="22"/>
          <w:lang w:val="fr-FR"/>
        </w:rPr>
        <w:t>’</w:t>
      </w:r>
      <w:r w:rsidR="00237326" w:rsidRPr="00202EB9">
        <w:rPr>
          <w:szCs w:val="22"/>
          <w:lang w:val="fr-FR"/>
        </w:rPr>
        <w:t>action pour le développeme</w:t>
      </w:r>
      <w:r w:rsidR="001E787E" w:rsidRPr="00202EB9">
        <w:rPr>
          <w:szCs w:val="22"/>
          <w:lang w:val="fr-FR"/>
        </w:rPr>
        <w:t>nt.  Le</w:t>
      </w:r>
      <w:r w:rsidR="002A00E1" w:rsidRPr="00202EB9">
        <w:rPr>
          <w:szCs w:val="22"/>
          <w:lang w:val="fr-FR"/>
        </w:rPr>
        <w:t xml:space="preserve"> cahier des charges de cette étude indépendante a été approuvé par</w:t>
      </w:r>
      <w:r w:rsidR="00426067" w:rsidRPr="00202EB9">
        <w:rPr>
          <w:szCs w:val="22"/>
          <w:lang w:val="fr-FR"/>
        </w:rPr>
        <w:t xml:space="preserve"> le </w:t>
      </w:r>
      <w:proofErr w:type="spellStart"/>
      <w:r w:rsidR="00426067" w:rsidRPr="00202EB9">
        <w:rPr>
          <w:szCs w:val="22"/>
          <w:lang w:val="fr-FR"/>
        </w:rPr>
        <w:t>CDI</w:t>
      </w:r>
      <w:r w:rsidR="002A00E1" w:rsidRPr="00202EB9">
        <w:rPr>
          <w:szCs w:val="22"/>
          <w:lang w:val="fr-FR"/>
        </w:rPr>
        <w:t>P</w:t>
      </w:r>
      <w:proofErr w:type="spellEnd"/>
      <w:r w:rsidR="002A00E1" w:rsidRPr="00202EB9">
        <w:rPr>
          <w:szCs w:val="22"/>
          <w:lang w:val="fr-FR"/>
        </w:rPr>
        <w:t xml:space="preserve"> en</w:t>
      </w:r>
      <w:r w:rsidR="00E15713" w:rsidRPr="00202EB9">
        <w:rPr>
          <w:szCs w:val="22"/>
          <w:lang w:val="fr-FR"/>
        </w:rPr>
        <w:t> </w:t>
      </w:r>
      <w:r w:rsidR="002A00E1" w:rsidRPr="00202EB9">
        <w:rPr>
          <w:szCs w:val="22"/>
          <w:lang w:val="fr-FR"/>
        </w:rPr>
        <w:t>2014</w:t>
      </w:r>
      <w:r w:rsidR="0009736C" w:rsidRPr="00202EB9">
        <w:rPr>
          <w:szCs w:val="22"/>
          <w:vertAlign w:val="superscript"/>
          <w:lang w:val="fr-FR"/>
        </w:rPr>
        <w:footnoteReference w:id="8"/>
      </w:r>
      <w:r w:rsidR="00FE3BA2" w:rsidRPr="00202EB9">
        <w:rPr>
          <w:szCs w:val="22"/>
          <w:lang w:val="fr-FR"/>
        </w:rPr>
        <w:t>.</w:t>
      </w:r>
    </w:p>
    <w:p w:rsidR="0009736C" w:rsidRPr="00202EB9" w:rsidRDefault="00D55158"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OMPI a sélectionné les membres de l</w:t>
      </w:r>
      <w:r w:rsidR="00426067" w:rsidRPr="00202EB9">
        <w:rPr>
          <w:szCs w:val="22"/>
          <w:lang w:val="fr-FR"/>
        </w:rPr>
        <w:t>’</w:t>
      </w:r>
      <w:r w:rsidRPr="00202EB9">
        <w:rPr>
          <w:szCs w:val="22"/>
          <w:lang w:val="fr-FR"/>
        </w:rPr>
        <w:t>équipe chargée de la réalisation de l</w:t>
      </w:r>
      <w:r w:rsidR="00426067" w:rsidRPr="00202EB9">
        <w:rPr>
          <w:szCs w:val="22"/>
          <w:lang w:val="fr-FR"/>
        </w:rPr>
        <w:t>’</w:t>
      </w:r>
      <w:r w:rsidRPr="00202EB9">
        <w:rPr>
          <w:szCs w:val="22"/>
          <w:lang w:val="fr-FR"/>
        </w:rPr>
        <w:t xml:space="preserve">étude indépendante en </w:t>
      </w:r>
      <w:r w:rsidR="00426067" w:rsidRPr="00202EB9">
        <w:rPr>
          <w:szCs w:val="22"/>
          <w:lang w:val="fr-FR"/>
        </w:rPr>
        <w:t>mai 20</w:t>
      </w:r>
      <w:r w:rsidRPr="00202EB9">
        <w:rPr>
          <w:szCs w:val="22"/>
          <w:lang w:val="fr-FR"/>
        </w:rPr>
        <w:t>15, à la suite d</w:t>
      </w:r>
      <w:r w:rsidR="00426067" w:rsidRPr="00202EB9">
        <w:rPr>
          <w:szCs w:val="22"/>
          <w:lang w:val="fr-FR"/>
        </w:rPr>
        <w:t>’</w:t>
      </w:r>
      <w:r w:rsidRPr="00202EB9">
        <w:rPr>
          <w:szCs w:val="22"/>
          <w:lang w:val="fr-FR"/>
        </w:rPr>
        <w:t>un appel à manifestation d</w:t>
      </w:r>
      <w:r w:rsidR="00426067" w:rsidRPr="00202EB9">
        <w:rPr>
          <w:szCs w:val="22"/>
          <w:lang w:val="fr-FR"/>
        </w:rPr>
        <w:t>’</w:t>
      </w:r>
      <w:r w:rsidRPr="00202EB9">
        <w:rPr>
          <w:szCs w:val="22"/>
          <w:lang w:val="fr-FR"/>
        </w:rPr>
        <w:t>intérêt.</w:t>
      </w:r>
      <w:r w:rsidR="009860E6" w:rsidRPr="00202EB9">
        <w:rPr>
          <w:szCs w:val="22"/>
          <w:lang w:val="fr-FR"/>
        </w:rPr>
        <w:t xml:space="preserve">  L</w:t>
      </w:r>
      <w:r w:rsidR="00426067" w:rsidRPr="00202EB9">
        <w:rPr>
          <w:szCs w:val="22"/>
          <w:lang w:val="fr-FR"/>
        </w:rPr>
        <w:t>’</w:t>
      </w:r>
      <w:r w:rsidR="009860E6" w:rsidRPr="00202EB9">
        <w:rPr>
          <w:szCs w:val="22"/>
          <w:lang w:val="fr-FR"/>
        </w:rPr>
        <w:t>Organisation a également constitué un comité d</w:t>
      </w:r>
      <w:r w:rsidR="00426067" w:rsidRPr="00202EB9">
        <w:rPr>
          <w:szCs w:val="22"/>
          <w:lang w:val="fr-FR"/>
        </w:rPr>
        <w:t>’</w:t>
      </w:r>
      <w:r w:rsidR="009860E6" w:rsidRPr="00202EB9">
        <w:rPr>
          <w:szCs w:val="22"/>
          <w:lang w:val="fr-FR"/>
        </w:rPr>
        <w:t xml:space="preserve">examen </w:t>
      </w:r>
      <w:r w:rsidR="0065067A" w:rsidRPr="00202EB9">
        <w:rPr>
          <w:szCs w:val="22"/>
          <w:lang w:val="fr-FR"/>
        </w:rPr>
        <w:t>chargé de</w:t>
      </w:r>
      <w:r w:rsidR="009860E6" w:rsidRPr="00202EB9">
        <w:rPr>
          <w:szCs w:val="22"/>
          <w:lang w:val="fr-FR"/>
        </w:rPr>
        <w:t xml:space="preserve"> coordonner les travaux à l</w:t>
      </w:r>
      <w:r w:rsidR="00426067" w:rsidRPr="00202EB9">
        <w:rPr>
          <w:szCs w:val="22"/>
          <w:lang w:val="fr-FR"/>
        </w:rPr>
        <w:t>’</w:t>
      </w:r>
      <w:r w:rsidR="009860E6" w:rsidRPr="00202EB9">
        <w:rPr>
          <w:szCs w:val="22"/>
          <w:lang w:val="fr-FR"/>
        </w:rPr>
        <w:t>inter</w:t>
      </w:r>
      <w:r w:rsidR="001E787E" w:rsidRPr="00202EB9">
        <w:rPr>
          <w:szCs w:val="22"/>
          <w:lang w:val="fr-FR"/>
        </w:rPr>
        <w:t>ne.  L’é</w:t>
      </w:r>
      <w:r w:rsidR="009860E6" w:rsidRPr="00202EB9">
        <w:rPr>
          <w:szCs w:val="22"/>
          <w:lang w:val="fr-FR"/>
        </w:rPr>
        <w:t xml:space="preserve">tude indépendante a été </w:t>
      </w:r>
      <w:r w:rsidR="00D901E2" w:rsidRPr="00202EB9">
        <w:rPr>
          <w:szCs w:val="22"/>
          <w:lang w:val="fr-FR"/>
        </w:rPr>
        <w:t>conduite par trois</w:t>
      </w:r>
      <w:r w:rsidR="00E15713" w:rsidRPr="00202EB9">
        <w:rPr>
          <w:szCs w:val="22"/>
          <w:lang w:val="fr-FR"/>
        </w:rPr>
        <w:t> </w:t>
      </w:r>
      <w:r w:rsidR="00D901E2" w:rsidRPr="00202EB9">
        <w:rPr>
          <w:szCs w:val="22"/>
          <w:lang w:val="fr-FR"/>
        </w:rPr>
        <w:t>évaluateurs externes</w:t>
      </w:r>
      <w:r w:rsidR="00D901E2" w:rsidRPr="00202EB9">
        <w:rPr>
          <w:rStyle w:val="FootnoteReference"/>
          <w:szCs w:val="22"/>
          <w:lang w:val="fr-FR"/>
        </w:rPr>
        <w:footnoteReference w:id="9"/>
      </w:r>
      <w:r w:rsidR="00D901E2" w:rsidRPr="00202EB9">
        <w:rPr>
          <w:szCs w:val="22"/>
          <w:lang w:val="fr-FR"/>
        </w:rPr>
        <w:t>,</w:t>
      </w:r>
      <w:r w:rsidR="009860E6" w:rsidRPr="00202EB9">
        <w:rPr>
          <w:szCs w:val="22"/>
          <w:lang w:val="fr-FR"/>
        </w:rPr>
        <w:t xml:space="preserve"> en étroite collaboration avec </w:t>
      </w:r>
      <w:r w:rsidR="00B00A4F" w:rsidRPr="00202EB9">
        <w:rPr>
          <w:szCs w:val="22"/>
          <w:lang w:val="fr-FR"/>
        </w:rPr>
        <w:t>l</w:t>
      </w:r>
      <w:r w:rsidR="009860E6" w:rsidRPr="00202EB9">
        <w:rPr>
          <w:szCs w:val="22"/>
          <w:lang w:val="fr-FR"/>
        </w:rPr>
        <w:t>e comité d</w:t>
      </w:r>
      <w:r w:rsidR="00426067" w:rsidRPr="00202EB9">
        <w:rPr>
          <w:szCs w:val="22"/>
          <w:lang w:val="fr-FR"/>
        </w:rPr>
        <w:t>’</w:t>
      </w:r>
      <w:r w:rsidR="009860E6" w:rsidRPr="00202EB9">
        <w:rPr>
          <w:szCs w:val="22"/>
          <w:lang w:val="fr-FR"/>
        </w:rPr>
        <w:t>examen</w:t>
      </w:r>
      <w:r w:rsidR="00D901E2" w:rsidRPr="00202EB9">
        <w:rPr>
          <w:szCs w:val="22"/>
          <w:lang w:val="fr-FR"/>
        </w:rPr>
        <w:t xml:space="preserve"> et avec l</w:t>
      </w:r>
      <w:r w:rsidR="00426067" w:rsidRPr="00202EB9">
        <w:rPr>
          <w:szCs w:val="22"/>
          <w:lang w:val="fr-FR"/>
        </w:rPr>
        <w:t>’</w:t>
      </w:r>
      <w:r w:rsidR="00D901E2" w:rsidRPr="00202EB9">
        <w:rPr>
          <w:szCs w:val="22"/>
          <w:lang w:val="fr-FR"/>
        </w:rPr>
        <w:t>assistance de la Division de la coordination du Plan d</w:t>
      </w:r>
      <w:r w:rsidR="00426067" w:rsidRPr="00202EB9">
        <w:rPr>
          <w:szCs w:val="22"/>
          <w:lang w:val="fr-FR"/>
        </w:rPr>
        <w:t>’</w:t>
      </w:r>
      <w:r w:rsidR="00D901E2" w:rsidRPr="00202EB9">
        <w:rPr>
          <w:szCs w:val="22"/>
          <w:lang w:val="fr-FR"/>
        </w:rPr>
        <w:t>action pour le développeme</w:t>
      </w:r>
      <w:r w:rsidR="001E787E" w:rsidRPr="00202EB9">
        <w:rPr>
          <w:szCs w:val="22"/>
          <w:lang w:val="fr-FR"/>
        </w:rPr>
        <w:t>nt.  La</w:t>
      </w:r>
      <w:r w:rsidR="00906313" w:rsidRPr="00202EB9">
        <w:rPr>
          <w:szCs w:val="22"/>
          <w:lang w:val="fr-FR"/>
        </w:rPr>
        <w:t xml:space="preserve"> première tâche de l</w:t>
      </w:r>
      <w:r w:rsidR="00426067" w:rsidRPr="00202EB9">
        <w:rPr>
          <w:szCs w:val="22"/>
          <w:lang w:val="fr-FR"/>
        </w:rPr>
        <w:t>’</w:t>
      </w:r>
      <w:r w:rsidR="00906313" w:rsidRPr="00202EB9">
        <w:rPr>
          <w:szCs w:val="22"/>
          <w:lang w:val="fr-FR"/>
        </w:rPr>
        <w:t>équipe chargée de l</w:t>
      </w:r>
      <w:r w:rsidR="00426067" w:rsidRPr="00202EB9">
        <w:rPr>
          <w:szCs w:val="22"/>
          <w:lang w:val="fr-FR"/>
        </w:rPr>
        <w:t>’</w:t>
      </w:r>
      <w:r w:rsidR="00906313" w:rsidRPr="00202EB9">
        <w:rPr>
          <w:szCs w:val="22"/>
          <w:lang w:val="fr-FR"/>
        </w:rPr>
        <w:t>étude a été d</w:t>
      </w:r>
      <w:r w:rsidR="00426067" w:rsidRPr="00202EB9">
        <w:rPr>
          <w:szCs w:val="22"/>
          <w:lang w:val="fr-FR"/>
        </w:rPr>
        <w:t>’</w:t>
      </w:r>
      <w:r w:rsidR="00906313" w:rsidRPr="00202EB9">
        <w:rPr>
          <w:szCs w:val="22"/>
          <w:lang w:val="fr-FR"/>
        </w:rPr>
        <w:t xml:space="preserve">établir un rapport initial, dont la présentation officielle aux États membres a eu lieu en </w:t>
      </w:r>
      <w:r w:rsidR="00426067" w:rsidRPr="00202EB9">
        <w:rPr>
          <w:szCs w:val="22"/>
          <w:lang w:val="fr-FR"/>
        </w:rPr>
        <w:t>septembre 20</w:t>
      </w:r>
      <w:r w:rsidR="0009736C" w:rsidRPr="00202EB9">
        <w:rPr>
          <w:szCs w:val="22"/>
          <w:lang w:val="fr-FR"/>
        </w:rPr>
        <w:t>15</w:t>
      </w:r>
      <w:r w:rsidR="00545971" w:rsidRPr="00202EB9">
        <w:rPr>
          <w:szCs w:val="22"/>
          <w:vertAlign w:val="superscript"/>
          <w:lang w:val="fr-FR"/>
        </w:rPr>
        <w:footnoteReference w:id="10"/>
      </w:r>
      <w:r w:rsidR="00414AF5" w:rsidRPr="00202EB9">
        <w:rPr>
          <w:szCs w:val="22"/>
          <w:lang w:val="fr-FR"/>
        </w:rPr>
        <w:t xml:space="preserve">.  </w:t>
      </w:r>
      <w:r w:rsidR="006923D2" w:rsidRPr="00202EB9">
        <w:rPr>
          <w:szCs w:val="22"/>
          <w:lang w:val="fr-FR"/>
        </w:rPr>
        <w:t>Conformément au cahier des charges, ce rapport initial décrit le contenu du rapport sur l</w:t>
      </w:r>
      <w:r w:rsidR="00426067" w:rsidRPr="00202EB9">
        <w:rPr>
          <w:szCs w:val="22"/>
          <w:lang w:val="fr-FR"/>
        </w:rPr>
        <w:t>’</w:t>
      </w:r>
      <w:r w:rsidR="006923D2" w:rsidRPr="00202EB9">
        <w:rPr>
          <w:szCs w:val="22"/>
          <w:lang w:val="fr-FR"/>
        </w:rPr>
        <w:t>étude indépendante (ci</w:t>
      </w:r>
      <w:r w:rsidR="001E787E" w:rsidRPr="00202EB9">
        <w:rPr>
          <w:szCs w:val="22"/>
          <w:lang w:val="fr-FR"/>
        </w:rPr>
        <w:noBreakHyphen/>
      </w:r>
      <w:r w:rsidR="006923D2" w:rsidRPr="00202EB9">
        <w:rPr>
          <w:szCs w:val="22"/>
          <w:lang w:val="fr-FR"/>
        </w:rPr>
        <w:t>après dénommé “rapport”</w:t>
      </w:r>
      <w:r w:rsidR="0009736C" w:rsidRPr="00202EB9">
        <w:rPr>
          <w:szCs w:val="22"/>
          <w:lang w:val="fr-FR"/>
        </w:rPr>
        <w:t>).</w:t>
      </w:r>
    </w:p>
    <w:p w:rsidR="0009736C" w:rsidRPr="00202EB9" w:rsidRDefault="00883AF9" w:rsidP="00255C01">
      <w:pPr>
        <w:pStyle w:val="ONUMFS"/>
        <w:rPr>
          <w:szCs w:val="22"/>
          <w:lang w:val="fr-FR"/>
        </w:rPr>
      </w:pPr>
      <w:r w:rsidRPr="00202EB9">
        <w:rPr>
          <w:szCs w:val="22"/>
          <w:lang w:val="fr-FR"/>
        </w:rPr>
        <w:t>Ainsi qu</w:t>
      </w:r>
      <w:r w:rsidR="00426067" w:rsidRPr="00202EB9">
        <w:rPr>
          <w:szCs w:val="22"/>
          <w:lang w:val="fr-FR"/>
        </w:rPr>
        <w:t>’</w:t>
      </w:r>
      <w:r w:rsidRPr="00202EB9">
        <w:rPr>
          <w:szCs w:val="22"/>
          <w:lang w:val="fr-FR"/>
        </w:rPr>
        <w:t>il est mentionné au paragraphe</w:t>
      </w:r>
      <w:r w:rsidR="00E15713" w:rsidRPr="00202EB9">
        <w:rPr>
          <w:szCs w:val="22"/>
          <w:lang w:val="fr-FR"/>
        </w:rPr>
        <w:t> </w:t>
      </w:r>
      <w:r w:rsidRPr="00202EB9">
        <w:rPr>
          <w:szCs w:val="22"/>
          <w:lang w:val="fr-FR"/>
        </w:rPr>
        <w:t>5 du rapport initial, la période sur laquelle porte l</w:t>
      </w:r>
      <w:r w:rsidR="00426067" w:rsidRPr="00202EB9">
        <w:rPr>
          <w:szCs w:val="22"/>
          <w:lang w:val="fr-FR"/>
        </w:rPr>
        <w:t>’</w:t>
      </w:r>
      <w:r w:rsidRPr="00202EB9">
        <w:rPr>
          <w:szCs w:val="22"/>
          <w:lang w:val="fr-FR"/>
        </w:rPr>
        <w:t>étude indépendante s</w:t>
      </w:r>
      <w:r w:rsidR="00426067" w:rsidRPr="00202EB9">
        <w:rPr>
          <w:szCs w:val="22"/>
          <w:lang w:val="fr-FR"/>
        </w:rPr>
        <w:t>’</w:t>
      </w:r>
      <w:r w:rsidRPr="00202EB9">
        <w:rPr>
          <w:szCs w:val="22"/>
          <w:lang w:val="fr-FR"/>
        </w:rPr>
        <w:t>étend de</w:t>
      </w:r>
      <w:r w:rsidR="00E15713" w:rsidRPr="00202EB9">
        <w:rPr>
          <w:szCs w:val="22"/>
          <w:lang w:val="fr-FR"/>
        </w:rPr>
        <w:t> </w:t>
      </w:r>
      <w:r w:rsidRPr="00202EB9">
        <w:rPr>
          <w:szCs w:val="22"/>
          <w:lang w:val="fr-FR"/>
        </w:rPr>
        <w:t xml:space="preserve">2008 à </w:t>
      </w:r>
      <w:r w:rsidR="00426067" w:rsidRPr="00202EB9">
        <w:rPr>
          <w:szCs w:val="22"/>
          <w:lang w:val="fr-FR"/>
        </w:rPr>
        <w:t>avril 20</w:t>
      </w:r>
      <w:r w:rsidR="0009736C" w:rsidRPr="00202EB9">
        <w:rPr>
          <w:szCs w:val="22"/>
          <w:lang w:val="fr-FR"/>
        </w:rPr>
        <w:t>15.</w:t>
      </w:r>
    </w:p>
    <w:p w:rsidR="0009736C" w:rsidRPr="00202EB9" w:rsidRDefault="002A662D" w:rsidP="00255C01">
      <w:pPr>
        <w:pStyle w:val="ONUMFS"/>
        <w:rPr>
          <w:szCs w:val="22"/>
          <w:lang w:val="fr-FR"/>
        </w:rPr>
      </w:pPr>
      <w:r w:rsidRPr="00202EB9">
        <w:rPr>
          <w:szCs w:val="22"/>
          <w:lang w:val="fr-FR"/>
        </w:rPr>
        <w:t xml:space="preserve">Le présent rapport </w:t>
      </w:r>
      <w:r w:rsidR="00DB5375" w:rsidRPr="00202EB9">
        <w:rPr>
          <w:szCs w:val="22"/>
          <w:lang w:val="fr-FR"/>
        </w:rPr>
        <w:t>est une synthèse de l</w:t>
      </w:r>
      <w:r w:rsidR="00426067" w:rsidRPr="00202EB9">
        <w:rPr>
          <w:szCs w:val="22"/>
          <w:lang w:val="fr-FR"/>
        </w:rPr>
        <w:t>’</w:t>
      </w:r>
      <w:r w:rsidR="00DB5375" w:rsidRPr="00202EB9">
        <w:rPr>
          <w:szCs w:val="22"/>
          <w:lang w:val="fr-FR"/>
        </w:rPr>
        <w:t>étude réalisée par l</w:t>
      </w:r>
      <w:r w:rsidR="00426067" w:rsidRPr="00202EB9">
        <w:rPr>
          <w:szCs w:val="22"/>
          <w:lang w:val="fr-FR"/>
        </w:rPr>
        <w:t>’</w:t>
      </w:r>
      <w:r w:rsidR="00DB5375" w:rsidRPr="00202EB9">
        <w:rPr>
          <w:szCs w:val="22"/>
          <w:lang w:val="fr-FR"/>
        </w:rPr>
        <w:t>équi</w:t>
      </w:r>
      <w:r w:rsidR="001E787E" w:rsidRPr="00202EB9">
        <w:rPr>
          <w:szCs w:val="22"/>
          <w:lang w:val="fr-FR"/>
        </w:rPr>
        <w:t>pe.  Le</w:t>
      </w:r>
      <w:r w:rsidR="00DB5375" w:rsidRPr="00202EB9">
        <w:rPr>
          <w:szCs w:val="22"/>
          <w:lang w:val="fr-FR"/>
        </w:rPr>
        <w:t>s travaux effectués comprennent</w:t>
      </w:r>
      <w:r w:rsidR="00B25888" w:rsidRPr="00202EB9">
        <w:rPr>
          <w:szCs w:val="22"/>
          <w:lang w:val="fr-FR"/>
        </w:rPr>
        <w:t xml:space="preserve"> l</w:t>
      </w:r>
      <w:r w:rsidR="00426067" w:rsidRPr="00202EB9">
        <w:rPr>
          <w:szCs w:val="22"/>
          <w:lang w:val="fr-FR"/>
        </w:rPr>
        <w:t>’</w:t>
      </w:r>
      <w:r w:rsidR="00B25888" w:rsidRPr="00202EB9">
        <w:rPr>
          <w:szCs w:val="22"/>
          <w:lang w:val="fr-FR"/>
        </w:rPr>
        <w:t>examen de documents relatifs à la mise en œuvre des recommandations du Plan d</w:t>
      </w:r>
      <w:r w:rsidR="00426067" w:rsidRPr="00202EB9">
        <w:rPr>
          <w:szCs w:val="22"/>
          <w:lang w:val="fr-FR"/>
        </w:rPr>
        <w:t>’</w:t>
      </w:r>
      <w:r w:rsidR="00B25888" w:rsidRPr="00202EB9">
        <w:rPr>
          <w:szCs w:val="22"/>
          <w:lang w:val="fr-FR"/>
        </w:rPr>
        <w:t>action pour le développement, ainsi que des entretiens avec différentes parties prenantes des États membres, des fonctionnaires de l</w:t>
      </w:r>
      <w:r w:rsidR="00426067" w:rsidRPr="00202EB9">
        <w:rPr>
          <w:szCs w:val="22"/>
          <w:lang w:val="fr-FR"/>
        </w:rPr>
        <w:t>’</w:t>
      </w:r>
      <w:r w:rsidR="00B25888" w:rsidRPr="00202EB9">
        <w:rPr>
          <w:szCs w:val="22"/>
          <w:lang w:val="fr-FR"/>
        </w:rPr>
        <w:t>OMPI et des bénéficiaires de la mise en œuvre des recommandations du Plan d</w:t>
      </w:r>
      <w:r w:rsidR="00426067" w:rsidRPr="00202EB9">
        <w:rPr>
          <w:szCs w:val="22"/>
          <w:lang w:val="fr-FR"/>
        </w:rPr>
        <w:t>’</w:t>
      </w:r>
      <w:r w:rsidR="00B25888" w:rsidRPr="00202EB9">
        <w:rPr>
          <w:szCs w:val="22"/>
          <w:lang w:val="fr-FR"/>
        </w:rPr>
        <w:t>action pour le développeme</w:t>
      </w:r>
      <w:r w:rsidR="001E787E" w:rsidRPr="00202EB9">
        <w:rPr>
          <w:szCs w:val="22"/>
          <w:lang w:val="fr-FR"/>
        </w:rPr>
        <w:t>nt.  De</w:t>
      </w:r>
      <w:r w:rsidR="00950207" w:rsidRPr="00202EB9">
        <w:rPr>
          <w:szCs w:val="22"/>
          <w:lang w:val="fr-FR"/>
        </w:rPr>
        <w:t>s questionnaires ont été adressés, avec l</w:t>
      </w:r>
      <w:r w:rsidR="00426067" w:rsidRPr="00202EB9">
        <w:rPr>
          <w:szCs w:val="22"/>
          <w:lang w:val="fr-FR"/>
        </w:rPr>
        <w:t>’</w:t>
      </w:r>
      <w:r w:rsidR="009552F5" w:rsidRPr="00202EB9">
        <w:rPr>
          <w:szCs w:val="22"/>
          <w:lang w:val="fr-FR"/>
        </w:rPr>
        <w:t>appui</w:t>
      </w:r>
      <w:r w:rsidR="00950207" w:rsidRPr="00202EB9">
        <w:rPr>
          <w:szCs w:val="22"/>
          <w:lang w:val="fr-FR"/>
        </w:rPr>
        <w:t xml:space="preserve"> du Secrétariat, à un total de</w:t>
      </w:r>
      <w:r w:rsidR="00E15713" w:rsidRPr="00202EB9">
        <w:rPr>
          <w:szCs w:val="22"/>
          <w:lang w:val="fr-FR"/>
        </w:rPr>
        <w:t> </w:t>
      </w:r>
      <w:r w:rsidR="00950207" w:rsidRPr="00202EB9">
        <w:rPr>
          <w:szCs w:val="22"/>
          <w:lang w:val="fr-FR"/>
        </w:rPr>
        <w:t xml:space="preserve">1651 </w:t>
      </w:r>
      <w:r w:rsidR="00000779" w:rsidRPr="00202EB9">
        <w:rPr>
          <w:szCs w:val="22"/>
          <w:lang w:val="fr-FR"/>
        </w:rPr>
        <w:t>personnes c</w:t>
      </w:r>
      <w:r w:rsidR="00950207" w:rsidRPr="00202EB9">
        <w:rPr>
          <w:szCs w:val="22"/>
          <w:lang w:val="fr-FR"/>
        </w:rPr>
        <w:t>ibles</w:t>
      </w:r>
      <w:r w:rsidR="00000D95" w:rsidRPr="00202EB9">
        <w:rPr>
          <w:szCs w:val="22"/>
          <w:lang w:val="fr-FR"/>
        </w:rPr>
        <w:t xml:space="preserve"> dans les </w:t>
      </w:r>
      <w:r w:rsidR="00950207" w:rsidRPr="00202EB9">
        <w:rPr>
          <w:szCs w:val="22"/>
          <w:lang w:val="fr-FR"/>
        </w:rPr>
        <w:t>offices de propriété intellectuelle,</w:t>
      </w:r>
      <w:r w:rsidR="00AA24AE" w:rsidRPr="00202EB9">
        <w:rPr>
          <w:szCs w:val="22"/>
          <w:lang w:val="fr-FR"/>
        </w:rPr>
        <w:t xml:space="preserve"> </w:t>
      </w:r>
      <w:r w:rsidR="00000D95" w:rsidRPr="00202EB9">
        <w:rPr>
          <w:szCs w:val="22"/>
          <w:lang w:val="fr-FR"/>
        </w:rPr>
        <w:t>parmi l</w:t>
      </w:r>
      <w:r w:rsidR="00AA24AE" w:rsidRPr="00202EB9">
        <w:rPr>
          <w:szCs w:val="22"/>
          <w:lang w:val="fr-FR"/>
        </w:rPr>
        <w:t>es représentants d</w:t>
      </w:r>
      <w:r w:rsidR="00426067" w:rsidRPr="00202EB9">
        <w:rPr>
          <w:szCs w:val="22"/>
          <w:lang w:val="fr-FR"/>
        </w:rPr>
        <w:t>’</w:t>
      </w:r>
      <w:r w:rsidR="00000D95" w:rsidRPr="00202EB9">
        <w:rPr>
          <w:szCs w:val="22"/>
          <w:lang w:val="fr-FR"/>
        </w:rPr>
        <w:t>États membres en poste à Genève et</w:t>
      </w:r>
      <w:r w:rsidR="00AA24AE" w:rsidRPr="00202EB9">
        <w:rPr>
          <w:szCs w:val="22"/>
          <w:lang w:val="fr-FR"/>
        </w:rPr>
        <w:t xml:space="preserve"> </w:t>
      </w:r>
      <w:r w:rsidR="00000D95" w:rsidRPr="00202EB9">
        <w:rPr>
          <w:szCs w:val="22"/>
          <w:lang w:val="fr-FR"/>
        </w:rPr>
        <w:t>dans l</w:t>
      </w:r>
      <w:r w:rsidR="00AA24AE" w:rsidRPr="00202EB9">
        <w:rPr>
          <w:szCs w:val="22"/>
          <w:lang w:val="fr-FR"/>
        </w:rPr>
        <w:t xml:space="preserve">es organisations </w:t>
      </w:r>
      <w:proofErr w:type="spellStart"/>
      <w:r w:rsidR="00AA24AE" w:rsidRPr="00202EB9">
        <w:rPr>
          <w:szCs w:val="22"/>
          <w:lang w:val="fr-FR"/>
        </w:rPr>
        <w:t>intergouvernementales</w:t>
      </w:r>
      <w:proofErr w:type="spellEnd"/>
      <w:r w:rsidR="00AA24AE" w:rsidRPr="00202EB9">
        <w:rPr>
          <w:szCs w:val="22"/>
          <w:lang w:val="fr-FR"/>
        </w:rPr>
        <w:t xml:space="preserve"> et non gouvernementales représentées</w:t>
      </w:r>
      <w:r w:rsidR="00426067" w:rsidRPr="00202EB9">
        <w:rPr>
          <w:szCs w:val="22"/>
          <w:lang w:val="fr-FR"/>
        </w:rPr>
        <w:t xml:space="preserve"> au </w:t>
      </w:r>
      <w:proofErr w:type="spellStart"/>
      <w:r w:rsidR="00426067" w:rsidRPr="00202EB9">
        <w:rPr>
          <w:szCs w:val="22"/>
          <w:lang w:val="fr-FR"/>
        </w:rPr>
        <w:t>CDI</w:t>
      </w:r>
      <w:r w:rsidR="00AA24AE" w:rsidRPr="00202EB9">
        <w:rPr>
          <w:szCs w:val="22"/>
          <w:lang w:val="fr-FR"/>
        </w:rPr>
        <w:t>P</w:t>
      </w:r>
      <w:proofErr w:type="spellEnd"/>
      <w:r w:rsidR="00AA24AE" w:rsidRPr="00202EB9">
        <w:rPr>
          <w:szCs w:val="22"/>
          <w:lang w:val="fr-FR"/>
        </w:rPr>
        <w:t>, ainsi que</w:t>
      </w:r>
      <w:r w:rsidR="00F85C48" w:rsidRPr="00202EB9">
        <w:rPr>
          <w:szCs w:val="22"/>
          <w:lang w:val="fr-FR"/>
        </w:rPr>
        <w:t xml:space="preserve"> </w:t>
      </w:r>
      <w:r w:rsidR="00000D95" w:rsidRPr="00202EB9">
        <w:rPr>
          <w:szCs w:val="22"/>
          <w:lang w:val="fr-FR"/>
        </w:rPr>
        <w:t>parmi l</w:t>
      </w:r>
      <w:r w:rsidR="00F85C48" w:rsidRPr="00202EB9">
        <w:rPr>
          <w:szCs w:val="22"/>
          <w:lang w:val="fr-FR"/>
        </w:rPr>
        <w:t>es membres du grand publ</w:t>
      </w:r>
      <w:r w:rsidR="001E787E" w:rsidRPr="00202EB9">
        <w:rPr>
          <w:szCs w:val="22"/>
          <w:lang w:val="fr-FR"/>
        </w:rPr>
        <w:t>ic.  Le</w:t>
      </w:r>
      <w:r w:rsidR="009A269C" w:rsidRPr="00202EB9">
        <w:rPr>
          <w:szCs w:val="22"/>
          <w:lang w:val="fr-FR"/>
        </w:rPr>
        <w:t xml:space="preserve"> rapport bénéficie également d</w:t>
      </w:r>
      <w:r w:rsidR="00426067" w:rsidRPr="00202EB9">
        <w:rPr>
          <w:szCs w:val="22"/>
          <w:lang w:val="fr-FR"/>
        </w:rPr>
        <w:t>’</w:t>
      </w:r>
      <w:r w:rsidR="009A269C" w:rsidRPr="00202EB9">
        <w:rPr>
          <w:szCs w:val="22"/>
          <w:lang w:val="fr-FR"/>
        </w:rPr>
        <w:t xml:space="preserve">éléments recueillis </w:t>
      </w:r>
      <w:r w:rsidR="00A87DC3" w:rsidRPr="00202EB9">
        <w:rPr>
          <w:szCs w:val="22"/>
          <w:lang w:val="fr-FR"/>
        </w:rPr>
        <w:t xml:space="preserve">lors de missions dans des pays sélectionnés, </w:t>
      </w:r>
      <w:r w:rsidR="00426067" w:rsidRPr="00202EB9">
        <w:rPr>
          <w:szCs w:val="22"/>
          <w:lang w:val="fr-FR"/>
        </w:rPr>
        <w:t>à savoir</w:t>
      </w:r>
      <w:r w:rsidR="00A87DC3" w:rsidRPr="00202EB9">
        <w:rPr>
          <w:szCs w:val="22"/>
          <w:lang w:val="fr-FR"/>
        </w:rPr>
        <w:t xml:space="preserve"> la Thaïlande, l</w:t>
      </w:r>
      <w:r w:rsidR="00426067" w:rsidRPr="00202EB9">
        <w:rPr>
          <w:szCs w:val="22"/>
          <w:lang w:val="fr-FR"/>
        </w:rPr>
        <w:t>’</w:t>
      </w:r>
      <w:r w:rsidR="00A87DC3" w:rsidRPr="00202EB9">
        <w:rPr>
          <w:szCs w:val="22"/>
          <w:lang w:val="fr-FR"/>
        </w:rPr>
        <w:t>Égypte, la République de Moldova, l</w:t>
      </w:r>
      <w:r w:rsidR="00426067" w:rsidRPr="00202EB9">
        <w:rPr>
          <w:szCs w:val="22"/>
          <w:lang w:val="fr-FR"/>
        </w:rPr>
        <w:t>’</w:t>
      </w:r>
      <w:r w:rsidR="00A87DC3" w:rsidRPr="00202EB9">
        <w:rPr>
          <w:szCs w:val="22"/>
          <w:lang w:val="fr-FR"/>
        </w:rPr>
        <w:t>Éthiopie et l</w:t>
      </w:r>
      <w:r w:rsidR="00426067" w:rsidRPr="00202EB9">
        <w:rPr>
          <w:szCs w:val="22"/>
          <w:lang w:val="fr-FR"/>
        </w:rPr>
        <w:t>’</w:t>
      </w:r>
      <w:r w:rsidR="00A87DC3" w:rsidRPr="00202EB9">
        <w:rPr>
          <w:szCs w:val="22"/>
          <w:lang w:val="fr-FR"/>
        </w:rPr>
        <w:t>Argentine.</w:t>
      </w:r>
    </w:p>
    <w:p w:rsidR="0009736C" w:rsidRPr="00202EB9" w:rsidRDefault="00255C01" w:rsidP="00255C01">
      <w:pPr>
        <w:pStyle w:val="Heading2"/>
        <w:rPr>
          <w:szCs w:val="22"/>
          <w:lang w:val="fr-FR"/>
        </w:rPr>
      </w:pPr>
      <w:bookmarkStart w:id="7" w:name="_Toc460492849"/>
      <w:r w:rsidRPr="00202EB9">
        <w:rPr>
          <w:szCs w:val="22"/>
          <w:lang w:val="fr-FR"/>
        </w:rPr>
        <w:t>2.</w:t>
      </w:r>
      <w:r w:rsidRPr="00202EB9">
        <w:rPr>
          <w:szCs w:val="22"/>
          <w:lang w:val="fr-FR"/>
        </w:rPr>
        <w:tab/>
      </w:r>
      <w:r w:rsidR="002B75BC" w:rsidRPr="00202EB9">
        <w:rPr>
          <w:szCs w:val="22"/>
          <w:lang w:val="fr-FR"/>
        </w:rPr>
        <w:t xml:space="preserve">Finalité, objectifs et </w:t>
      </w:r>
      <w:r w:rsidR="00DA1C6C" w:rsidRPr="00202EB9">
        <w:rPr>
          <w:szCs w:val="22"/>
          <w:lang w:val="fr-FR"/>
        </w:rPr>
        <w:t>porté</w:t>
      </w:r>
      <w:r w:rsidR="002B75BC" w:rsidRPr="00202EB9">
        <w:rPr>
          <w:szCs w:val="22"/>
          <w:lang w:val="fr-FR"/>
        </w:rPr>
        <w:t>e de l</w:t>
      </w:r>
      <w:r w:rsidR="00426067" w:rsidRPr="00202EB9">
        <w:rPr>
          <w:szCs w:val="22"/>
          <w:lang w:val="fr-FR"/>
        </w:rPr>
        <w:t>’</w:t>
      </w:r>
      <w:r w:rsidR="002B75BC" w:rsidRPr="00202EB9">
        <w:rPr>
          <w:szCs w:val="22"/>
          <w:lang w:val="fr-FR"/>
        </w:rPr>
        <w:t>étude</w:t>
      </w:r>
      <w:bookmarkEnd w:id="7"/>
    </w:p>
    <w:p w:rsidR="0009736C" w:rsidRPr="00202EB9" w:rsidRDefault="00255C01" w:rsidP="00255C01">
      <w:pPr>
        <w:pStyle w:val="Heading3"/>
        <w:rPr>
          <w:szCs w:val="22"/>
          <w:lang w:val="fr-FR"/>
        </w:rPr>
      </w:pPr>
      <w:bookmarkStart w:id="8" w:name="_Toc460492850"/>
      <w:r w:rsidRPr="008D1193">
        <w:rPr>
          <w:szCs w:val="22"/>
          <w:u w:val="none"/>
          <w:lang w:val="fr-FR"/>
        </w:rPr>
        <w:t>a.</w:t>
      </w:r>
      <w:r w:rsidRPr="008D1193">
        <w:rPr>
          <w:szCs w:val="22"/>
          <w:u w:val="none"/>
          <w:lang w:val="fr-FR"/>
        </w:rPr>
        <w:tab/>
      </w:r>
      <w:r w:rsidR="00DA1C6C" w:rsidRPr="00202EB9">
        <w:rPr>
          <w:szCs w:val="22"/>
          <w:lang w:val="fr-FR"/>
        </w:rPr>
        <w:t>Finalité et objectifs</w:t>
      </w:r>
      <w:bookmarkEnd w:id="8"/>
    </w:p>
    <w:p w:rsidR="00255C01" w:rsidRPr="00202EB9" w:rsidRDefault="00255C01" w:rsidP="00255C01">
      <w:pPr>
        <w:rPr>
          <w:rFonts w:cs="Arial"/>
          <w:lang w:val="fr-FR" w:eastAsia="zh-CN" w:bidi="ar-SA"/>
        </w:rPr>
      </w:pPr>
    </w:p>
    <w:p w:rsidR="0009736C" w:rsidRPr="00202EB9" w:rsidRDefault="008C277A"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 xml:space="preserve">étude indépendante a été réalisée </w:t>
      </w:r>
      <w:r w:rsidR="00017779" w:rsidRPr="00202EB9">
        <w:rPr>
          <w:szCs w:val="22"/>
          <w:lang w:val="fr-FR"/>
        </w:rPr>
        <w:t>dans le but d</w:t>
      </w:r>
      <w:r w:rsidR="00426067" w:rsidRPr="00202EB9">
        <w:rPr>
          <w:szCs w:val="22"/>
          <w:lang w:val="fr-FR"/>
        </w:rPr>
        <w:t>’</w:t>
      </w:r>
      <w:r w:rsidR="00017779" w:rsidRPr="00202EB9">
        <w:rPr>
          <w:szCs w:val="22"/>
          <w:lang w:val="fr-FR"/>
        </w:rPr>
        <w:t xml:space="preserve">obtenir une évaluation exhaustive de la pertinence, </w:t>
      </w:r>
      <w:r w:rsidR="00A45600" w:rsidRPr="00202EB9">
        <w:rPr>
          <w:szCs w:val="22"/>
          <w:lang w:val="fr-FR"/>
        </w:rPr>
        <w:t xml:space="preserve">de </w:t>
      </w:r>
      <w:r w:rsidR="00017779" w:rsidRPr="00202EB9">
        <w:rPr>
          <w:szCs w:val="22"/>
          <w:lang w:val="fr-FR"/>
        </w:rPr>
        <w:t>l</w:t>
      </w:r>
      <w:r w:rsidR="00426067" w:rsidRPr="00202EB9">
        <w:rPr>
          <w:szCs w:val="22"/>
          <w:lang w:val="fr-FR"/>
        </w:rPr>
        <w:t>’</w:t>
      </w:r>
      <w:r w:rsidR="00017779" w:rsidRPr="00202EB9">
        <w:rPr>
          <w:szCs w:val="22"/>
          <w:lang w:val="fr-FR"/>
        </w:rPr>
        <w:t>efficacité,</w:t>
      </w:r>
      <w:r w:rsidR="00A45600" w:rsidRPr="00202EB9">
        <w:rPr>
          <w:szCs w:val="22"/>
          <w:lang w:val="fr-FR"/>
        </w:rPr>
        <w:t xml:space="preserve"> de</w:t>
      </w:r>
      <w:r w:rsidR="00661BB0" w:rsidRPr="00202EB9">
        <w:rPr>
          <w:szCs w:val="22"/>
          <w:lang w:val="fr-FR"/>
        </w:rPr>
        <w:t xml:space="preserve"> l</w:t>
      </w:r>
      <w:r w:rsidR="00426067" w:rsidRPr="00202EB9">
        <w:rPr>
          <w:szCs w:val="22"/>
          <w:lang w:val="fr-FR"/>
        </w:rPr>
        <w:t>’</w:t>
      </w:r>
      <w:r w:rsidR="00661BB0" w:rsidRPr="00202EB9">
        <w:rPr>
          <w:szCs w:val="22"/>
          <w:lang w:val="fr-FR"/>
        </w:rPr>
        <w:t>impact</w:t>
      </w:r>
      <w:r w:rsidR="00A45600" w:rsidRPr="00202EB9">
        <w:rPr>
          <w:szCs w:val="22"/>
          <w:lang w:val="fr-FR"/>
        </w:rPr>
        <w:t>, de l</w:t>
      </w:r>
      <w:r w:rsidR="00426067" w:rsidRPr="00202EB9">
        <w:rPr>
          <w:szCs w:val="22"/>
          <w:lang w:val="fr-FR"/>
        </w:rPr>
        <w:t>’</w:t>
      </w:r>
      <w:r w:rsidR="00A45600" w:rsidRPr="00202EB9">
        <w:rPr>
          <w:szCs w:val="22"/>
          <w:lang w:val="fr-FR"/>
        </w:rPr>
        <w:t xml:space="preserve">efficience et de la durabilité des </w:t>
      </w:r>
      <w:r w:rsidR="0009736C" w:rsidRPr="00202EB9">
        <w:rPr>
          <w:szCs w:val="22"/>
          <w:lang w:val="fr-FR"/>
        </w:rPr>
        <w:t>“</w:t>
      </w:r>
      <w:r w:rsidR="00BD3CCE" w:rsidRPr="00202EB9">
        <w:rPr>
          <w:szCs w:val="22"/>
          <w:lang w:val="fr-FR"/>
        </w:rPr>
        <w:t>travaux de l</w:t>
      </w:r>
      <w:r w:rsidR="00426067" w:rsidRPr="00202EB9">
        <w:rPr>
          <w:szCs w:val="22"/>
          <w:lang w:val="fr-FR"/>
        </w:rPr>
        <w:t>’</w:t>
      </w:r>
      <w:r w:rsidR="00BD3CCE" w:rsidRPr="00202EB9">
        <w:rPr>
          <w:szCs w:val="22"/>
          <w:lang w:val="fr-FR"/>
        </w:rPr>
        <w:t>OMPI</w:t>
      </w:r>
      <w:r w:rsidR="0009736C" w:rsidRPr="00202EB9">
        <w:rPr>
          <w:szCs w:val="22"/>
          <w:lang w:val="fr-FR"/>
        </w:rPr>
        <w:t xml:space="preserve">” </w:t>
      </w:r>
      <w:r w:rsidR="00AA2D09" w:rsidRPr="00202EB9">
        <w:rPr>
          <w:szCs w:val="22"/>
          <w:lang w:val="fr-FR"/>
        </w:rPr>
        <w:t>relati</w:t>
      </w:r>
      <w:r w:rsidR="00EE3764" w:rsidRPr="00202EB9">
        <w:rPr>
          <w:szCs w:val="22"/>
          <w:lang w:val="fr-FR"/>
        </w:rPr>
        <w:t>fs</w:t>
      </w:r>
      <w:r w:rsidR="00AA2D09" w:rsidRPr="00202EB9">
        <w:rPr>
          <w:szCs w:val="22"/>
          <w:lang w:val="fr-FR"/>
        </w:rPr>
        <w:t xml:space="preserve"> à la mise en œuvre des recommandations du Plan d</w:t>
      </w:r>
      <w:r w:rsidR="00426067" w:rsidRPr="00202EB9">
        <w:rPr>
          <w:szCs w:val="22"/>
          <w:lang w:val="fr-FR"/>
        </w:rPr>
        <w:t>’</w:t>
      </w:r>
      <w:r w:rsidR="00AA2D09" w:rsidRPr="00202EB9">
        <w:rPr>
          <w:szCs w:val="22"/>
          <w:lang w:val="fr-FR"/>
        </w:rPr>
        <w:t xml:space="preserve">action pour le développement entre 2008 et </w:t>
      </w:r>
      <w:r w:rsidR="00426067" w:rsidRPr="00202EB9">
        <w:rPr>
          <w:szCs w:val="22"/>
          <w:lang w:val="fr-FR"/>
        </w:rPr>
        <w:t>avril 20</w:t>
      </w:r>
      <w:r w:rsidR="00AA2D09" w:rsidRPr="00202EB9">
        <w:rPr>
          <w:szCs w:val="22"/>
          <w:lang w:val="fr-FR"/>
        </w:rPr>
        <w:t>15</w:t>
      </w:r>
      <w:r w:rsidR="0009736C" w:rsidRPr="00202EB9">
        <w:rPr>
          <w:szCs w:val="22"/>
          <w:vertAlign w:val="superscript"/>
          <w:lang w:val="fr-FR"/>
        </w:rPr>
        <w:footnoteReference w:id="11"/>
      </w:r>
      <w:r w:rsidR="00AA2D09" w:rsidRPr="00202EB9">
        <w:rPr>
          <w:szCs w:val="22"/>
          <w:lang w:val="fr-FR"/>
        </w:rPr>
        <w:t xml:space="preserve">. </w:t>
      </w:r>
      <w:r w:rsidR="004A629B" w:rsidRPr="00202EB9">
        <w:rPr>
          <w:szCs w:val="22"/>
          <w:lang w:val="fr-FR"/>
        </w:rPr>
        <w:t xml:space="preserve"> </w:t>
      </w:r>
      <w:r w:rsidR="00A55638" w:rsidRPr="00202EB9">
        <w:rPr>
          <w:szCs w:val="22"/>
          <w:lang w:val="fr-FR"/>
        </w:rPr>
        <w:t>L</w:t>
      </w:r>
      <w:r w:rsidR="00426067" w:rsidRPr="00202EB9">
        <w:rPr>
          <w:szCs w:val="22"/>
          <w:lang w:val="fr-FR"/>
        </w:rPr>
        <w:t>’</w:t>
      </w:r>
      <w:r w:rsidR="00A55638" w:rsidRPr="00202EB9">
        <w:rPr>
          <w:szCs w:val="22"/>
          <w:lang w:val="fr-FR"/>
        </w:rPr>
        <w:t>équipe chargée de l</w:t>
      </w:r>
      <w:r w:rsidR="00426067" w:rsidRPr="00202EB9">
        <w:rPr>
          <w:szCs w:val="22"/>
          <w:lang w:val="fr-FR"/>
        </w:rPr>
        <w:t>’</w:t>
      </w:r>
      <w:r w:rsidR="00A55638" w:rsidRPr="00202EB9">
        <w:rPr>
          <w:szCs w:val="22"/>
          <w:lang w:val="fr-FR"/>
        </w:rPr>
        <w:t>étude a procédé à un examen complet des résultats des activités entreprises par l</w:t>
      </w:r>
      <w:r w:rsidR="00426067" w:rsidRPr="00202EB9">
        <w:rPr>
          <w:szCs w:val="22"/>
          <w:lang w:val="fr-FR"/>
        </w:rPr>
        <w:t>’</w:t>
      </w:r>
      <w:r w:rsidR="00A55638" w:rsidRPr="00202EB9">
        <w:rPr>
          <w:szCs w:val="22"/>
          <w:lang w:val="fr-FR"/>
        </w:rPr>
        <w:t xml:space="preserve">OMPI aux fins de </w:t>
      </w:r>
      <w:r w:rsidR="00EE3764" w:rsidRPr="00202EB9">
        <w:rPr>
          <w:szCs w:val="22"/>
          <w:lang w:val="fr-FR"/>
        </w:rPr>
        <w:t>cette</w:t>
      </w:r>
      <w:r w:rsidR="00A55638" w:rsidRPr="00202EB9">
        <w:rPr>
          <w:szCs w:val="22"/>
          <w:lang w:val="fr-FR"/>
        </w:rPr>
        <w:t xml:space="preserve"> mise en œuvre, </w:t>
      </w:r>
      <w:r w:rsidR="002D5E77" w:rsidRPr="00202EB9">
        <w:rPr>
          <w:szCs w:val="22"/>
          <w:lang w:val="fr-FR"/>
        </w:rPr>
        <w:t xml:space="preserve">en </w:t>
      </w:r>
      <w:r w:rsidR="00BC2181" w:rsidRPr="00202EB9">
        <w:rPr>
          <w:szCs w:val="22"/>
          <w:lang w:val="fr-FR"/>
        </w:rPr>
        <w:t>port</w:t>
      </w:r>
      <w:r w:rsidR="002D5E77" w:rsidRPr="00202EB9">
        <w:rPr>
          <w:szCs w:val="22"/>
          <w:lang w:val="fr-FR"/>
        </w:rPr>
        <w:t>ant une attention particulière à la mesure dans laquelle</w:t>
      </w:r>
      <w:r w:rsidR="00C01185" w:rsidRPr="00202EB9">
        <w:rPr>
          <w:szCs w:val="22"/>
          <w:lang w:val="fr-FR"/>
        </w:rPr>
        <w:t xml:space="preserve"> ces activités ont répondu aux besoins des États membres, des parties prenantes et des autres bénéficiaires visés.</w:t>
      </w:r>
    </w:p>
    <w:p w:rsidR="0009736C" w:rsidRPr="00202EB9" w:rsidRDefault="009C50E2"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adoption des recommandations du Plan d</w:t>
      </w:r>
      <w:r w:rsidR="00426067" w:rsidRPr="00202EB9">
        <w:rPr>
          <w:szCs w:val="22"/>
          <w:lang w:val="fr-FR"/>
        </w:rPr>
        <w:t>’</w:t>
      </w:r>
      <w:r w:rsidRPr="00202EB9">
        <w:rPr>
          <w:szCs w:val="22"/>
          <w:lang w:val="fr-FR"/>
        </w:rPr>
        <w:t xml:space="preserve">action pour le développement remonte à un peu moins de </w:t>
      </w:r>
      <w:r w:rsidR="00E15713" w:rsidRPr="00202EB9">
        <w:rPr>
          <w:szCs w:val="22"/>
          <w:lang w:val="fr-FR"/>
        </w:rPr>
        <w:t>10 </w:t>
      </w:r>
      <w:r w:rsidRPr="00202EB9">
        <w:rPr>
          <w:szCs w:val="22"/>
          <w:lang w:val="fr-FR"/>
        </w:rPr>
        <w:t xml:space="preserve">ans à peine, et leur mise en œuvre </w:t>
      </w:r>
      <w:r w:rsidR="001D60A8" w:rsidRPr="00202EB9">
        <w:rPr>
          <w:szCs w:val="22"/>
          <w:lang w:val="fr-FR"/>
        </w:rPr>
        <w:t xml:space="preserve">a débuté </w:t>
      </w:r>
      <w:r w:rsidR="00D54060" w:rsidRPr="00202EB9">
        <w:rPr>
          <w:szCs w:val="22"/>
          <w:lang w:val="fr-FR"/>
        </w:rPr>
        <w:t>voici huit</w:t>
      </w:r>
      <w:r w:rsidR="00E15713" w:rsidRPr="00202EB9">
        <w:rPr>
          <w:szCs w:val="22"/>
          <w:lang w:val="fr-FR"/>
        </w:rPr>
        <w:t> </w:t>
      </w:r>
      <w:r w:rsidR="00D54060" w:rsidRPr="00202EB9">
        <w:rPr>
          <w:szCs w:val="22"/>
          <w:lang w:val="fr-FR"/>
        </w:rPr>
        <w:t>a</w:t>
      </w:r>
      <w:r w:rsidR="001E787E" w:rsidRPr="00202EB9">
        <w:rPr>
          <w:szCs w:val="22"/>
          <w:lang w:val="fr-FR"/>
        </w:rPr>
        <w:t>ns.  De</w:t>
      </w:r>
      <w:r w:rsidR="00D54060" w:rsidRPr="00202EB9">
        <w:rPr>
          <w:szCs w:val="22"/>
          <w:lang w:val="fr-FR"/>
        </w:rPr>
        <w:t xml:space="preserve"> toute évidence, une étude de cette nature ne peut pas prendre toute la mesure des incidences d</w:t>
      </w:r>
      <w:r w:rsidR="00426067" w:rsidRPr="00202EB9">
        <w:rPr>
          <w:szCs w:val="22"/>
          <w:lang w:val="fr-FR"/>
        </w:rPr>
        <w:t>’</w:t>
      </w:r>
      <w:r w:rsidR="00D54060" w:rsidRPr="00202EB9">
        <w:rPr>
          <w:szCs w:val="22"/>
          <w:lang w:val="fr-FR"/>
        </w:rPr>
        <w:t>une mise en œuvre qui, dans de nombreux cas,</w:t>
      </w:r>
      <w:r w:rsidR="006F205C" w:rsidRPr="00202EB9">
        <w:rPr>
          <w:szCs w:val="22"/>
          <w:lang w:val="fr-FR"/>
        </w:rPr>
        <w:t xml:space="preserve"> et en particulier au niveau national, est encore </w:t>
      </w:r>
      <w:r w:rsidR="00870DDD" w:rsidRPr="00202EB9">
        <w:rPr>
          <w:szCs w:val="22"/>
          <w:lang w:val="fr-FR"/>
        </w:rPr>
        <w:t>en cou</w:t>
      </w:r>
      <w:r w:rsidR="001E787E" w:rsidRPr="00202EB9">
        <w:rPr>
          <w:szCs w:val="22"/>
          <w:lang w:val="fr-FR"/>
        </w:rPr>
        <w:t>rs.  S’a</w:t>
      </w:r>
      <w:r w:rsidR="00870DDD" w:rsidRPr="00202EB9">
        <w:rPr>
          <w:szCs w:val="22"/>
          <w:lang w:val="fr-FR"/>
        </w:rPr>
        <w:t xml:space="preserve">gissant de projets tels que le renforcement des capacités, la formulation de politiques ou les activités de recherche </w:t>
      </w:r>
      <w:r w:rsidR="001C19D6" w:rsidRPr="00202EB9">
        <w:rPr>
          <w:szCs w:val="22"/>
          <w:lang w:val="fr-FR"/>
        </w:rPr>
        <w:t>et leurs dérivés, les résultats sont souvent longs à se concrétiser et rarement prévisibl</w:t>
      </w:r>
      <w:r w:rsidR="001E787E" w:rsidRPr="00202EB9">
        <w:rPr>
          <w:szCs w:val="22"/>
          <w:lang w:val="fr-FR"/>
        </w:rPr>
        <w:t>es.  Il</w:t>
      </w:r>
      <w:r w:rsidR="00A86496" w:rsidRPr="00202EB9">
        <w:rPr>
          <w:szCs w:val="22"/>
          <w:lang w:val="fr-FR"/>
        </w:rPr>
        <w:t xml:space="preserve"> s</w:t>
      </w:r>
      <w:r w:rsidR="00426067" w:rsidRPr="00202EB9">
        <w:rPr>
          <w:szCs w:val="22"/>
          <w:lang w:val="fr-FR"/>
        </w:rPr>
        <w:t>’</w:t>
      </w:r>
      <w:r w:rsidR="00A86496" w:rsidRPr="00202EB9">
        <w:rPr>
          <w:szCs w:val="22"/>
          <w:lang w:val="fr-FR"/>
        </w:rPr>
        <w:t>ensuit qu</w:t>
      </w:r>
      <w:r w:rsidR="00426067" w:rsidRPr="00202EB9">
        <w:rPr>
          <w:szCs w:val="22"/>
          <w:lang w:val="fr-FR"/>
        </w:rPr>
        <w:t>’</w:t>
      </w:r>
      <w:r w:rsidR="00A86496" w:rsidRPr="00202EB9">
        <w:rPr>
          <w:szCs w:val="22"/>
          <w:lang w:val="fr-FR"/>
        </w:rPr>
        <w:t>il faut plus de temps pour que se manifestent, le cas échéant, des résultats susceptibles de stimuler</w:t>
      </w:r>
      <w:r w:rsidR="001C19D6" w:rsidRPr="00202EB9">
        <w:rPr>
          <w:szCs w:val="22"/>
          <w:lang w:val="fr-FR"/>
        </w:rPr>
        <w:t xml:space="preserve"> </w:t>
      </w:r>
      <w:r w:rsidR="00A86496" w:rsidRPr="00202EB9">
        <w:rPr>
          <w:szCs w:val="22"/>
          <w:lang w:val="fr-FR"/>
        </w:rPr>
        <w:t>des changements dans les attitudes</w:t>
      </w:r>
      <w:r w:rsidR="00D357AA" w:rsidRPr="00202EB9">
        <w:rPr>
          <w:szCs w:val="22"/>
          <w:lang w:val="fr-FR"/>
        </w:rPr>
        <w:t xml:space="preserve"> envers la propriété intellectuelle et le développement</w:t>
      </w:r>
      <w:r w:rsidR="00820667" w:rsidRPr="00202EB9">
        <w:rPr>
          <w:szCs w:val="22"/>
          <w:lang w:val="fr-FR"/>
        </w:rPr>
        <w:t>, ainsi que</w:t>
      </w:r>
      <w:r w:rsidR="00D357AA" w:rsidRPr="00202EB9">
        <w:rPr>
          <w:szCs w:val="22"/>
          <w:lang w:val="fr-FR"/>
        </w:rPr>
        <w:t xml:space="preserve"> dans la manière de les abord</w:t>
      </w:r>
      <w:r w:rsidR="001E787E" w:rsidRPr="00202EB9">
        <w:rPr>
          <w:szCs w:val="22"/>
          <w:lang w:val="fr-FR"/>
        </w:rPr>
        <w:t>er.  L’i</w:t>
      </w:r>
      <w:r w:rsidR="00202959" w:rsidRPr="00202EB9">
        <w:rPr>
          <w:szCs w:val="22"/>
          <w:lang w:val="fr-FR"/>
        </w:rPr>
        <w:t>ntégration des considérations de développement dans les travaux de l</w:t>
      </w:r>
      <w:r w:rsidR="00426067" w:rsidRPr="00202EB9">
        <w:rPr>
          <w:szCs w:val="22"/>
          <w:lang w:val="fr-FR"/>
        </w:rPr>
        <w:t>’</w:t>
      </w:r>
      <w:r w:rsidR="00202959" w:rsidRPr="00202EB9">
        <w:rPr>
          <w:szCs w:val="22"/>
          <w:lang w:val="fr-FR"/>
        </w:rPr>
        <w:t xml:space="preserve">Organisation </w:t>
      </w:r>
      <w:r w:rsidR="00820667" w:rsidRPr="00202EB9">
        <w:rPr>
          <w:szCs w:val="22"/>
          <w:lang w:val="fr-FR"/>
        </w:rPr>
        <w:t xml:space="preserve">a </w:t>
      </w:r>
      <w:r w:rsidR="00202959" w:rsidRPr="00202EB9">
        <w:rPr>
          <w:szCs w:val="22"/>
          <w:lang w:val="fr-FR"/>
        </w:rPr>
        <w:t>constitu</w:t>
      </w:r>
      <w:r w:rsidR="00820667" w:rsidRPr="00202EB9">
        <w:rPr>
          <w:szCs w:val="22"/>
          <w:lang w:val="fr-FR"/>
        </w:rPr>
        <w:t>é</w:t>
      </w:r>
      <w:r w:rsidR="00202959" w:rsidRPr="00202EB9">
        <w:rPr>
          <w:szCs w:val="22"/>
          <w:lang w:val="fr-FR"/>
        </w:rPr>
        <w:t xml:space="preserve"> une priorité, conformément aux principes du Plan d</w:t>
      </w:r>
      <w:r w:rsidR="00426067" w:rsidRPr="00202EB9">
        <w:rPr>
          <w:szCs w:val="22"/>
          <w:lang w:val="fr-FR"/>
        </w:rPr>
        <w:t>’</w:t>
      </w:r>
      <w:r w:rsidR="00202959" w:rsidRPr="00202EB9">
        <w:rPr>
          <w:szCs w:val="22"/>
          <w:lang w:val="fr-FR"/>
        </w:rPr>
        <w:t>action pour le développeme</w:t>
      </w:r>
      <w:r w:rsidR="001E787E" w:rsidRPr="00202EB9">
        <w:rPr>
          <w:szCs w:val="22"/>
          <w:lang w:val="fr-FR"/>
        </w:rPr>
        <w:t xml:space="preserve">nt.  À </w:t>
      </w:r>
      <w:r w:rsidR="00202959" w:rsidRPr="00202EB9">
        <w:rPr>
          <w:szCs w:val="22"/>
          <w:lang w:val="fr-FR"/>
        </w:rPr>
        <w:t>cet égard, le développement est un processus de longue haleine</w:t>
      </w:r>
      <w:r w:rsidR="005D0457" w:rsidRPr="00202EB9">
        <w:rPr>
          <w:szCs w:val="22"/>
          <w:lang w:val="fr-FR"/>
        </w:rPr>
        <w:t>, jalonné de succès et d</w:t>
      </w:r>
      <w:r w:rsidR="00426067" w:rsidRPr="00202EB9">
        <w:rPr>
          <w:szCs w:val="22"/>
          <w:lang w:val="fr-FR"/>
        </w:rPr>
        <w:t>’</w:t>
      </w:r>
      <w:r w:rsidR="005D0457" w:rsidRPr="00202EB9">
        <w:rPr>
          <w:szCs w:val="22"/>
          <w:lang w:val="fr-FR"/>
        </w:rPr>
        <w:t>échecs, dans lequel la propriété intellectuelle n</w:t>
      </w:r>
      <w:r w:rsidR="00426067" w:rsidRPr="00202EB9">
        <w:rPr>
          <w:szCs w:val="22"/>
          <w:lang w:val="fr-FR"/>
        </w:rPr>
        <w:t>’</w:t>
      </w:r>
      <w:r w:rsidR="005D0457" w:rsidRPr="00202EB9">
        <w:rPr>
          <w:szCs w:val="22"/>
          <w:lang w:val="fr-FR"/>
        </w:rPr>
        <w:t>est qu</w:t>
      </w:r>
      <w:r w:rsidR="00426067" w:rsidRPr="00202EB9">
        <w:rPr>
          <w:szCs w:val="22"/>
          <w:lang w:val="fr-FR"/>
        </w:rPr>
        <w:t>’</w:t>
      </w:r>
      <w:r w:rsidR="005D0457" w:rsidRPr="00202EB9">
        <w:rPr>
          <w:szCs w:val="22"/>
          <w:lang w:val="fr-FR"/>
        </w:rPr>
        <w:t>un facteur d</w:t>
      </w:r>
      <w:r w:rsidR="00426067" w:rsidRPr="00202EB9">
        <w:rPr>
          <w:szCs w:val="22"/>
          <w:lang w:val="fr-FR"/>
        </w:rPr>
        <w:t>’</w:t>
      </w:r>
      <w:r w:rsidR="005D0457" w:rsidRPr="00202EB9">
        <w:rPr>
          <w:szCs w:val="22"/>
          <w:lang w:val="fr-FR"/>
        </w:rPr>
        <w:t>influence parmi un grand nombre d</w:t>
      </w:r>
      <w:r w:rsidR="00426067" w:rsidRPr="00202EB9">
        <w:rPr>
          <w:szCs w:val="22"/>
          <w:lang w:val="fr-FR"/>
        </w:rPr>
        <w:t>’</w:t>
      </w:r>
      <w:r w:rsidR="005D0457" w:rsidRPr="00202EB9">
        <w:rPr>
          <w:szCs w:val="22"/>
          <w:lang w:val="fr-FR"/>
        </w:rPr>
        <w:t>autr</w:t>
      </w:r>
      <w:r w:rsidR="001E787E" w:rsidRPr="00202EB9">
        <w:rPr>
          <w:szCs w:val="22"/>
          <w:lang w:val="fr-FR"/>
        </w:rPr>
        <w:t>es.  On</w:t>
      </w:r>
      <w:r w:rsidR="00A02E89" w:rsidRPr="00202EB9">
        <w:rPr>
          <w:szCs w:val="22"/>
          <w:lang w:val="fr-FR"/>
        </w:rPr>
        <w:t xml:space="preserve"> comprend, par conséquent, que cet objectif ne pourra pas être réalisé du jour au lendemain.</w:t>
      </w:r>
    </w:p>
    <w:p w:rsidR="00426067" w:rsidRPr="00202EB9" w:rsidRDefault="00EC76E6" w:rsidP="002A397D">
      <w:pPr>
        <w:pStyle w:val="ONUMFS"/>
        <w:rPr>
          <w:szCs w:val="22"/>
          <w:lang w:val="fr-FR"/>
        </w:rPr>
      </w:pPr>
      <w:r w:rsidRPr="00202EB9">
        <w:rPr>
          <w:szCs w:val="22"/>
          <w:lang w:val="fr-FR"/>
        </w:rPr>
        <w:t>Un travail considérable a été accompli aux fins de la mise en œuvre des recommandations du Plan d</w:t>
      </w:r>
      <w:r w:rsidR="00426067" w:rsidRPr="00202EB9">
        <w:rPr>
          <w:szCs w:val="22"/>
          <w:lang w:val="fr-FR"/>
        </w:rPr>
        <w:t>’</w:t>
      </w:r>
      <w:r w:rsidRPr="00202EB9">
        <w:rPr>
          <w:szCs w:val="22"/>
          <w:lang w:val="fr-FR"/>
        </w:rPr>
        <w:t>action pour le développement,</w:t>
      </w:r>
      <w:r w:rsidR="003600EE" w:rsidRPr="00202EB9">
        <w:rPr>
          <w:szCs w:val="22"/>
          <w:lang w:val="fr-FR"/>
        </w:rPr>
        <w:t xml:space="preserve"> et des ressources suffisantes ont été déployées à cet eff</w:t>
      </w:r>
      <w:r w:rsidR="001E787E" w:rsidRPr="00202EB9">
        <w:rPr>
          <w:szCs w:val="22"/>
          <w:lang w:val="fr-FR"/>
        </w:rPr>
        <w:t>et.  Da</w:t>
      </w:r>
      <w:r w:rsidR="0072499F" w:rsidRPr="00202EB9">
        <w:rPr>
          <w:szCs w:val="22"/>
          <w:lang w:val="fr-FR"/>
        </w:rPr>
        <w:t>ns le peu de temps qui s</w:t>
      </w:r>
      <w:r w:rsidR="00426067" w:rsidRPr="00202EB9">
        <w:rPr>
          <w:szCs w:val="22"/>
          <w:lang w:val="fr-FR"/>
        </w:rPr>
        <w:t>’</w:t>
      </w:r>
      <w:r w:rsidR="0072499F" w:rsidRPr="00202EB9">
        <w:rPr>
          <w:szCs w:val="22"/>
          <w:lang w:val="fr-FR"/>
        </w:rPr>
        <w:t>est écoulé,</w:t>
      </w:r>
      <w:r w:rsidR="00F41FA5" w:rsidRPr="00202EB9">
        <w:rPr>
          <w:szCs w:val="22"/>
          <w:lang w:val="fr-FR"/>
        </w:rPr>
        <w:t xml:space="preserve"> </w:t>
      </w:r>
      <w:r w:rsidR="009C1C3A" w:rsidRPr="00202EB9">
        <w:rPr>
          <w:szCs w:val="22"/>
          <w:lang w:val="fr-FR"/>
        </w:rPr>
        <w:t>i</w:t>
      </w:r>
      <w:r w:rsidR="005D3A23" w:rsidRPr="00202EB9">
        <w:rPr>
          <w:szCs w:val="22"/>
          <w:lang w:val="fr-FR"/>
        </w:rPr>
        <w:t>l y a manifestement déjà des enseignements à tirer de ce process</w:t>
      </w:r>
      <w:r w:rsidR="001E787E" w:rsidRPr="00202EB9">
        <w:rPr>
          <w:szCs w:val="22"/>
          <w:lang w:val="fr-FR"/>
        </w:rPr>
        <w:t>us.  Il</w:t>
      </w:r>
      <w:r w:rsidR="00F41FA5" w:rsidRPr="00202EB9">
        <w:rPr>
          <w:szCs w:val="22"/>
          <w:lang w:val="fr-FR"/>
        </w:rPr>
        <w:t xml:space="preserve"> est probable aussi que des lacunes pourront être mises en éviden</w:t>
      </w:r>
      <w:r w:rsidR="001E787E" w:rsidRPr="00202EB9">
        <w:rPr>
          <w:szCs w:val="22"/>
          <w:lang w:val="fr-FR"/>
        </w:rPr>
        <w:t>ce.  La</w:t>
      </w:r>
      <w:r w:rsidR="00952AC0" w:rsidRPr="00202EB9">
        <w:rPr>
          <w:szCs w:val="22"/>
          <w:lang w:val="fr-FR"/>
        </w:rPr>
        <w:t xml:space="preserve"> présente étude a donc pour fonction</w:t>
      </w:r>
      <w:r w:rsidR="00F41FA5" w:rsidRPr="00202EB9">
        <w:rPr>
          <w:szCs w:val="22"/>
          <w:lang w:val="fr-FR"/>
        </w:rPr>
        <w:t xml:space="preserve"> </w:t>
      </w:r>
      <w:r w:rsidR="00952AC0" w:rsidRPr="00202EB9">
        <w:rPr>
          <w:szCs w:val="22"/>
          <w:lang w:val="fr-FR"/>
        </w:rPr>
        <w:t>de dresser l</w:t>
      </w:r>
      <w:r w:rsidR="00426067" w:rsidRPr="00202EB9">
        <w:rPr>
          <w:szCs w:val="22"/>
          <w:lang w:val="fr-FR"/>
        </w:rPr>
        <w:t>’</w:t>
      </w:r>
      <w:r w:rsidR="00952AC0" w:rsidRPr="00202EB9">
        <w:rPr>
          <w:szCs w:val="22"/>
          <w:lang w:val="fr-FR"/>
        </w:rPr>
        <w:t>inventaire des succès et des échecs rencontrés, et de proposer des solutions</w:t>
      </w:r>
      <w:r w:rsidR="005511C9" w:rsidRPr="00202EB9">
        <w:rPr>
          <w:szCs w:val="22"/>
          <w:lang w:val="fr-FR"/>
        </w:rPr>
        <w:t xml:space="preserve"> éventuelles pour améliorer</w:t>
      </w:r>
      <w:r w:rsidR="002A397D" w:rsidRPr="00202EB9">
        <w:rPr>
          <w:szCs w:val="22"/>
          <w:lang w:val="fr-FR"/>
        </w:rPr>
        <w:t xml:space="preserve"> l</w:t>
      </w:r>
      <w:r w:rsidR="00426067" w:rsidRPr="00202EB9">
        <w:rPr>
          <w:szCs w:val="22"/>
          <w:lang w:val="fr-FR"/>
        </w:rPr>
        <w:t>’</w:t>
      </w:r>
      <w:r w:rsidR="002A397D" w:rsidRPr="00202EB9">
        <w:rPr>
          <w:szCs w:val="22"/>
          <w:lang w:val="fr-FR"/>
        </w:rPr>
        <w:t>efficacité de l</w:t>
      </w:r>
      <w:r w:rsidR="00426067" w:rsidRPr="00202EB9">
        <w:rPr>
          <w:szCs w:val="22"/>
          <w:lang w:val="fr-FR"/>
        </w:rPr>
        <w:t>’</w:t>
      </w:r>
      <w:r w:rsidR="002A397D" w:rsidRPr="00202EB9">
        <w:rPr>
          <w:szCs w:val="22"/>
          <w:lang w:val="fr-FR"/>
        </w:rPr>
        <w:t>OMPI d</w:t>
      </w:r>
      <w:r w:rsidR="00C958E0" w:rsidRPr="00202EB9">
        <w:rPr>
          <w:szCs w:val="22"/>
          <w:lang w:val="fr-FR"/>
        </w:rPr>
        <w:t>ans</w:t>
      </w:r>
      <w:r w:rsidR="002A397D" w:rsidRPr="00202EB9">
        <w:rPr>
          <w:szCs w:val="22"/>
          <w:lang w:val="fr-FR"/>
        </w:rPr>
        <w:t xml:space="preserve"> </w:t>
      </w:r>
      <w:r w:rsidR="00C958E0" w:rsidRPr="00202EB9">
        <w:rPr>
          <w:szCs w:val="22"/>
          <w:lang w:val="fr-FR"/>
        </w:rPr>
        <w:t>s</w:t>
      </w:r>
      <w:r w:rsidR="002A397D" w:rsidRPr="00202EB9">
        <w:rPr>
          <w:szCs w:val="22"/>
          <w:lang w:val="fr-FR"/>
        </w:rPr>
        <w:t>es travaux futurs de mise en œuvre des recommandations du Plan d</w:t>
      </w:r>
      <w:r w:rsidR="00426067" w:rsidRPr="00202EB9">
        <w:rPr>
          <w:szCs w:val="22"/>
          <w:lang w:val="fr-FR"/>
        </w:rPr>
        <w:t>’</w:t>
      </w:r>
      <w:r w:rsidR="002A397D" w:rsidRPr="00202EB9">
        <w:rPr>
          <w:szCs w:val="22"/>
          <w:lang w:val="fr-FR"/>
        </w:rPr>
        <w:t>action pour le développement.</w:t>
      </w:r>
    </w:p>
    <w:p w:rsidR="0009736C" w:rsidRPr="00202EB9" w:rsidRDefault="00BD56D5" w:rsidP="002A397D">
      <w:pPr>
        <w:pStyle w:val="ONUMFS"/>
        <w:rPr>
          <w:szCs w:val="22"/>
          <w:lang w:val="fr-FR"/>
        </w:rPr>
      </w:pPr>
      <w:r w:rsidRPr="00202EB9">
        <w:rPr>
          <w:szCs w:val="22"/>
          <w:lang w:val="fr-FR"/>
        </w:rPr>
        <w:t>L</w:t>
      </w:r>
      <w:r w:rsidR="00426067" w:rsidRPr="00202EB9">
        <w:rPr>
          <w:szCs w:val="22"/>
          <w:lang w:val="fr-FR"/>
        </w:rPr>
        <w:t>’</w:t>
      </w:r>
      <w:r w:rsidRPr="00202EB9">
        <w:rPr>
          <w:szCs w:val="22"/>
          <w:lang w:val="fr-FR"/>
        </w:rPr>
        <w:t xml:space="preserve">étude </w:t>
      </w:r>
      <w:r w:rsidR="00C849CB" w:rsidRPr="00202EB9">
        <w:rPr>
          <w:szCs w:val="22"/>
          <w:lang w:val="fr-FR"/>
        </w:rPr>
        <w:t xml:space="preserve">a connu ses propres </w:t>
      </w:r>
      <w:r w:rsidR="00C1227C" w:rsidRPr="00202EB9">
        <w:rPr>
          <w:szCs w:val="22"/>
          <w:lang w:val="fr-FR"/>
        </w:rPr>
        <w:t>difficultés, en raison d</w:t>
      </w:r>
      <w:r w:rsidR="00426067" w:rsidRPr="00202EB9">
        <w:rPr>
          <w:szCs w:val="22"/>
          <w:lang w:val="fr-FR"/>
        </w:rPr>
        <w:t>’</w:t>
      </w:r>
      <w:r w:rsidR="00C1227C" w:rsidRPr="00202EB9">
        <w:rPr>
          <w:szCs w:val="22"/>
          <w:lang w:val="fr-FR"/>
        </w:rPr>
        <w:t>une divergence de vues concernant le mode de mise en œuvre des recommandations du Plan d</w:t>
      </w:r>
      <w:r w:rsidR="00426067" w:rsidRPr="00202EB9">
        <w:rPr>
          <w:szCs w:val="22"/>
          <w:lang w:val="fr-FR"/>
        </w:rPr>
        <w:t>’</w:t>
      </w:r>
      <w:r w:rsidR="00C1227C" w:rsidRPr="00202EB9">
        <w:rPr>
          <w:szCs w:val="22"/>
          <w:lang w:val="fr-FR"/>
        </w:rPr>
        <w:t>action pour le développeme</w:t>
      </w:r>
      <w:r w:rsidR="001E787E" w:rsidRPr="00202EB9">
        <w:rPr>
          <w:szCs w:val="22"/>
          <w:lang w:val="fr-FR"/>
        </w:rPr>
        <w:t>nt.  Le</w:t>
      </w:r>
      <w:r w:rsidR="00C1227C" w:rsidRPr="00202EB9">
        <w:rPr>
          <w:szCs w:val="22"/>
          <w:lang w:val="fr-FR"/>
        </w:rPr>
        <w:t>s principaux aspects en cause sont</w:t>
      </w:r>
      <w:r w:rsidR="00992168" w:rsidRPr="00202EB9">
        <w:rPr>
          <w:szCs w:val="22"/>
          <w:lang w:val="fr-FR"/>
        </w:rPr>
        <w:t xml:space="preserve"> l</w:t>
      </w:r>
      <w:r w:rsidR="00426067" w:rsidRPr="00202EB9">
        <w:rPr>
          <w:szCs w:val="22"/>
          <w:lang w:val="fr-FR"/>
        </w:rPr>
        <w:t>’</w:t>
      </w:r>
      <w:r w:rsidR="00992168" w:rsidRPr="00202EB9">
        <w:rPr>
          <w:szCs w:val="22"/>
          <w:lang w:val="fr-FR"/>
        </w:rPr>
        <w:t>adéquation de l</w:t>
      </w:r>
      <w:r w:rsidR="00426067" w:rsidRPr="00202EB9">
        <w:rPr>
          <w:szCs w:val="22"/>
          <w:lang w:val="fr-FR"/>
        </w:rPr>
        <w:t>’</w:t>
      </w:r>
      <w:r w:rsidR="00992168" w:rsidRPr="00202EB9">
        <w:rPr>
          <w:szCs w:val="22"/>
          <w:lang w:val="fr-FR"/>
        </w:rPr>
        <w:t>approche thématique fondée sur des projets et</w:t>
      </w:r>
      <w:r w:rsidR="00735860" w:rsidRPr="00202EB9">
        <w:rPr>
          <w:szCs w:val="22"/>
          <w:lang w:val="fr-FR"/>
        </w:rPr>
        <w:t xml:space="preserve"> le degré d</w:t>
      </w:r>
      <w:r w:rsidR="00426067" w:rsidRPr="00202EB9">
        <w:rPr>
          <w:szCs w:val="22"/>
          <w:lang w:val="fr-FR"/>
        </w:rPr>
        <w:t>’</w:t>
      </w:r>
      <w:r w:rsidR="00735860" w:rsidRPr="00202EB9">
        <w:rPr>
          <w:szCs w:val="22"/>
          <w:lang w:val="fr-FR"/>
        </w:rPr>
        <w:t>intégrati</w:t>
      </w:r>
      <w:r w:rsidR="001E787E" w:rsidRPr="00202EB9">
        <w:rPr>
          <w:szCs w:val="22"/>
          <w:lang w:val="fr-FR"/>
        </w:rPr>
        <w:t>on.  Le</w:t>
      </w:r>
      <w:r w:rsidR="00171154" w:rsidRPr="00202EB9">
        <w:rPr>
          <w:szCs w:val="22"/>
          <w:lang w:val="fr-FR"/>
        </w:rPr>
        <w:t>s avis sont partagés en ce qui concerne ce dernier,</w:t>
      </w:r>
      <w:r w:rsidR="00992168" w:rsidRPr="00202EB9">
        <w:rPr>
          <w:szCs w:val="22"/>
          <w:lang w:val="fr-FR"/>
        </w:rPr>
        <w:t xml:space="preserve"> </w:t>
      </w:r>
      <w:r w:rsidR="00171154" w:rsidRPr="00202EB9">
        <w:rPr>
          <w:szCs w:val="22"/>
          <w:lang w:val="fr-FR"/>
        </w:rPr>
        <w:t xml:space="preserve">certains souhaitant que la propriété intellectuelle soit liée au développement, </w:t>
      </w:r>
      <w:r w:rsidR="00CC03C6" w:rsidRPr="00202EB9">
        <w:rPr>
          <w:szCs w:val="22"/>
          <w:lang w:val="fr-FR"/>
        </w:rPr>
        <w:t>tandis que d</w:t>
      </w:r>
      <w:r w:rsidR="00426067" w:rsidRPr="00202EB9">
        <w:rPr>
          <w:szCs w:val="22"/>
          <w:lang w:val="fr-FR"/>
        </w:rPr>
        <w:t>’</w:t>
      </w:r>
      <w:r w:rsidR="00CC03C6" w:rsidRPr="00202EB9">
        <w:rPr>
          <w:szCs w:val="22"/>
          <w:lang w:val="fr-FR"/>
        </w:rPr>
        <w:t>autres privilégient le lien entre propriété intellectuelle et protecti</w:t>
      </w:r>
      <w:r w:rsidR="001E787E" w:rsidRPr="00202EB9">
        <w:rPr>
          <w:szCs w:val="22"/>
          <w:lang w:val="fr-FR"/>
        </w:rPr>
        <w:t>on.  To</w:t>
      </w:r>
      <w:r w:rsidR="002601FC" w:rsidRPr="00202EB9">
        <w:rPr>
          <w:szCs w:val="22"/>
          <w:lang w:val="fr-FR"/>
        </w:rPr>
        <w:t xml:space="preserve">ut le monde se rejoint </w:t>
      </w:r>
      <w:r w:rsidR="00B8433F" w:rsidRPr="00202EB9">
        <w:rPr>
          <w:szCs w:val="22"/>
          <w:lang w:val="fr-FR"/>
        </w:rPr>
        <w:t>toutefois</w:t>
      </w:r>
      <w:r w:rsidR="002601FC" w:rsidRPr="00202EB9">
        <w:rPr>
          <w:szCs w:val="22"/>
          <w:lang w:val="fr-FR"/>
        </w:rPr>
        <w:t xml:space="preserve"> sur le fait que le Plan d</w:t>
      </w:r>
      <w:r w:rsidR="00426067" w:rsidRPr="00202EB9">
        <w:rPr>
          <w:szCs w:val="22"/>
          <w:lang w:val="fr-FR"/>
        </w:rPr>
        <w:t>’</w:t>
      </w:r>
      <w:r w:rsidR="002601FC" w:rsidRPr="00202EB9">
        <w:rPr>
          <w:szCs w:val="22"/>
          <w:lang w:val="fr-FR"/>
        </w:rPr>
        <w:t>action pour le développement est un compromis, dans la mesure où</w:t>
      </w:r>
      <w:r w:rsidR="00CE4E0C" w:rsidRPr="00202EB9">
        <w:rPr>
          <w:szCs w:val="22"/>
          <w:lang w:val="fr-FR"/>
        </w:rPr>
        <w:t xml:space="preserve"> il </w:t>
      </w:r>
      <w:r w:rsidR="00761F45" w:rsidRPr="00202EB9">
        <w:rPr>
          <w:szCs w:val="22"/>
          <w:lang w:val="fr-FR"/>
        </w:rPr>
        <w:t>est issu</w:t>
      </w:r>
      <w:r w:rsidR="00CE4E0C" w:rsidRPr="00202EB9">
        <w:rPr>
          <w:szCs w:val="22"/>
          <w:lang w:val="fr-FR"/>
        </w:rPr>
        <w:t xml:space="preserve"> de négociatio</w:t>
      </w:r>
      <w:r w:rsidR="001E787E" w:rsidRPr="00202EB9">
        <w:rPr>
          <w:szCs w:val="22"/>
          <w:lang w:val="fr-FR"/>
        </w:rPr>
        <w:t>ns.  Il</w:t>
      </w:r>
      <w:r w:rsidR="003C794E" w:rsidRPr="00202EB9">
        <w:rPr>
          <w:szCs w:val="22"/>
          <w:lang w:val="fr-FR"/>
        </w:rPr>
        <w:t xml:space="preserve"> a cependant évolué pour devenir un moyen de concilier des perceptions différentes,</w:t>
      </w:r>
      <w:r w:rsidR="0048795C" w:rsidRPr="00202EB9">
        <w:rPr>
          <w:szCs w:val="22"/>
          <w:lang w:val="fr-FR"/>
        </w:rPr>
        <w:t xml:space="preserve"> toutes axées </w:t>
      </w:r>
      <w:r w:rsidR="005309D7" w:rsidRPr="00202EB9">
        <w:rPr>
          <w:szCs w:val="22"/>
          <w:lang w:val="fr-FR"/>
        </w:rPr>
        <w:t>sur la promotion du développement et de la protection des droits de propriété intellectuelle en tant que facteurs importants de la croissance des pays.</w:t>
      </w:r>
    </w:p>
    <w:p w:rsidR="0009736C" w:rsidRPr="00202EB9" w:rsidRDefault="004C60B3" w:rsidP="00255C01">
      <w:pPr>
        <w:pStyle w:val="ONUMFS"/>
        <w:rPr>
          <w:szCs w:val="22"/>
          <w:lang w:val="fr-FR"/>
        </w:rPr>
      </w:pPr>
      <w:r w:rsidRPr="00202EB9">
        <w:rPr>
          <w:szCs w:val="22"/>
          <w:lang w:val="fr-FR"/>
        </w:rPr>
        <w:t>La nature et le ressenti politique des enjeux étant régis par des positions divergentes,</w:t>
      </w:r>
      <w:r w:rsidR="00B1245F" w:rsidRPr="00202EB9">
        <w:rPr>
          <w:szCs w:val="22"/>
          <w:lang w:val="fr-FR"/>
        </w:rPr>
        <w:t xml:space="preserve"> l</w:t>
      </w:r>
      <w:r w:rsidR="00426067" w:rsidRPr="00202EB9">
        <w:rPr>
          <w:szCs w:val="22"/>
          <w:lang w:val="fr-FR"/>
        </w:rPr>
        <w:t>’</w:t>
      </w:r>
      <w:r w:rsidR="00B1245F" w:rsidRPr="00202EB9">
        <w:rPr>
          <w:szCs w:val="22"/>
          <w:lang w:val="fr-FR"/>
        </w:rPr>
        <w:t>équipe a concentré ses efforts sur l</w:t>
      </w:r>
      <w:r w:rsidR="00426067" w:rsidRPr="00202EB9">
        <w:rPr>
          <w:szCs w:val="22"/>
          <w:lang w:val="fr-FR"/>
        </w:rPr>
        <w:t>’</w:t>
      </w:r>
      <w:r w:rsidR="00B1245F" w:rsidRPr="00202EB9">
        <w:rPr>
          <w:szCs w:val="22"/>
          <w:lang w:val="fr-FR"/>
        </w:rPr>
        <w:t>étude du travail effectué par l</w:t>
      </w:r>
      <w:r w:rsidR="00426067" w:rsidRPr="00202EB9">
        <w:rPr>
          <w:szCs w:val="22"/>
          <w:lang w:val="fr-FR"/>
        </w:rPr>
        <w:t>’</w:t>
      </w:r>
      <w:r w:rsidR="00B1245F" w:rsidRPr="00202EB9">
        <w:rPr>
          <w:szCs w:val="22"/>
          <w:lang w:val="fr-FR"/>
        </w:rPr>
        <w:t>OMPI, tout en prenant acte du débat ambiant.</w:t>
      </w:r>
    </w:p>
    <w:p w:rsidR="0009736C" w:rsidRPr="00202EB9" w:rsidRDefault="00807ABF"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équipe chargée de l</w:t>
      </w:r>
      <w:r w:rsidR="00426067" w:rsidRPr="00202EB9">
        <w:rPr>
          <w:szCs w:val="22"/>
          <w:lang w:val="fr-FR"/>
        </w:rPr>
        <w:t>’</w:t>
      </w:r>
      <w:r w:rsidRPr="00202EB9">
        <w:rPr>
          <w:szCs w:val="22"/>
          <w:lang w:val="fr-FR"/>
        </w:rPr>
        <w:t>étude est également consciente du fait que des changements importants sont intervenus dans le monde de la propriété intellectuelle au cours des huit</w:t>
      </w:r>
      <w:r w:rsidR="00E15713" w:rsidRPr="00202EB9">
        <w:rPr>
          <w:szCs w:val="22"/>
          <w:lang w:val="fr-FR"/>
        </w:rPr>
        <w:t> </w:t>
      </w:r>
      <w:r w:rsidRPr="00202EB9">
        <w:rPr>
          <w:szCs w:val="22"/>
          <w:lang w:val="fr-FR"/>
        </w:rPr>
        <w:t xml:space="preserve">années écoulées depuis le </w:t>
      </w:r>
      <w:r w:rsidR="00333F63" w:rsidRPr="00202EB9">
        <w:rPr>
          <w:szCs w:val="22"/>
          <w:lang w:val="fr-FR"/>
        </w:rPr>
        <w:t>commencement</w:t>
      </w:r>
      <w:r w:rsidRPr="00202EB9">
        <w:rPr>
          <w:szCs w:val="22"/>
          <w:lang w:val="fr-FR"/>
        </w:rPr>
        <w:t xml:space="preserve"> de la mise en œuvre des recommandations du Plan d</w:t>
      </w:r>
      <w:r w:rsidR="00426067" w:rsidRPr="00202EB9">
        <w:rPr>
          <w:szCs w:val="22"/>
          <w:lang w:val="fr-FR"/>
        </w:rPr>
        <w:t>’</w:t>
      </w:r>
      <w:r w:rsidRPr="00202EB9">
        <w:rPr>
          <w:szCs w:val="22"/>
          <w:lang w:val="fr-FR"/>
        </w:rPr>
        <w:t>action pour le développeme</w:t>
      </w:r>
      <w:r w:rsidR="001E787E" w:rsidRPr="00202EB9">
        <w:rPr>
          <w:szCs w:val="22"/>
          <w:lang w:val="fr-FR"/>
        </w:rPr>
        <w:t>nt.  Ce</w:t>
      </w:r>
      <w:r w:rsidR="00A70CA4" w:rsidRPr="00202EB9">
        <w:rPr>
          <w:szCs w:val="22"/>
          <w:lang w:val="fr-FR"/>
        </w:rPr>
        <w:t>la comprend notamment les technologies émergentes, les progrès réalisés dans le domaine des techniques de l</w:t>
      </w:r>
      <w:r w:rsidR="00426067" w:rsidRPr="00202EB9">
        <w:rPr>
          <w:szCs w:val="22"/>
          <w:lang w:val="fr-FR"/>
        </w:rPr>
        <w:t>’</w:t>
      </w:r>
      <w:r w:rsidR="00A70CA4" w:rsidRPr="00202EB9">
        <w:rPr>
          <w:szCs w:val="22"/>
          <w:lang w:val="fr-FR"/>
        </w:rPr>
        <w:t>information et de la communication (TIC) et d</w:t>
      </w:r>
      <w:r w:rsidR="00426067" w:rsidRPr="00202EB9">
        <w:rPr>
          <w:szCs w:val="22"/>
          <w:lang w:val="fr-FR"/>
        </w:rPr>
        <w:t>’</w:t>
      </w:r>
      <w:r w:rsidR="00A70CA4" w:rsidRPr="00202EB9">
        <w:rPr>
          <w:szCs w:val="22"/>
          <w:lang w:val="fr-FR"/>
        </w:rPr>
        <w:t>autres changements</w:t>
      </w:r>
      <w:r w:rsidRPr="00202EB9">
        <w:rPr>
          <w:szCs w:val="22"/>
          <w:lang w:val="fr-FR"/>
        </w:rPr>
        <w:t xml:space="preserve"> </w:t>
      </w:r>
      <w:r w:rsidR="00EE5480" w:rsidRPr="00202EB9">
        <w:rPr>
          <w:szCs w:val="22"/>
          <w:lang w:val="fr-FR"/>
        </w:rPr>
        <w:t>ne relevant pas du système multilatéral,</w:t>
      </w:r>
      <w:r w:rsidR="00832163" w:rsidRPr="00202EB9">
        <w:rPr>
          <w:szCs w:val="22"/>
          <w:lang w:val="fr-FR"/>
        </w:rPr>
        <w:t xml:space="preserve"> </w:t>
      </w:r>
      <w:r w:rsidR="00EE5480" w:rsidRPr="00202EB9">
        <w:rPr>
          <w:szCs w:val="22"/>
          <w:lang w:val="fr-FR"/>
        </w:rPr>
        <w:t>en ce qui concerne l</w:t>
      </w:r>
      <w:r w:rsidR="00426067" w:rsidRPr="00202EB9">
        <w:rPr>
          <w:szCs w:val="22"/>
          <w:lang w:val="fr-FR"/>
        </w:rPr>
        <w:t>’</w:t>
      </w:r>
      <w:r w:rsidR="00EE5480" w:rsidRPr="00202EB9">
        <w:rPr>
          <w:szCs w:val="22"/>
          <w:lang w:val="fr-FR"/>
        </w:rPr>
        <w:t>élaboration de nouvelles normes de protection et d</w:t>
      </w:r>
      <w:r w:rsidR="00426067" w:rsidRPr="00202EB9">
        <w:rPr>
          <w:szCs w:val="22"/>
          <w:lang w:val="fr-FR"/>
        </w:rPr>
        <w:t>’</w:t>
      </w:r>
      <w:r w:rsidR="00EE5480" w:rsidRPr="00202EB9">
        <w:rPr>
          <w:szCs w:val="22"/>
          <w:lang w:val="fr-FR"/>
        </w:rPr>
        <w:t>application des droits de propriété intellectuelle</w:t>
      </w:r>
      <w:r w:rsidR="00C03418" w:rsidRPr="00202EB9">
        <w:rPr>
          <w:szCs w:val="22"/>
          <w:lang w:val="fr-FR"/>
        </w:rPr>
        <w:t>.</w:t>
      </w:r>
    </w:p>
    <w:p w:rsidR="00426067" w:rsidRPr="00202EB9" w:rsidRDefault="00C4537A" w:rsidP="00327572">
      <w:pPr>
        <w:pStyle w:val="ONUMFS"/>
        <w:keepNext/>
        <w:keepLines/>
        <w:rPr>
          <w:szCs w:val="22"/>
          <w:lang w:val="fr-FR"/>
        </w:rPr>
      </w:pPr>
      <w:r w:rsidRPr="00202EB9">
        <w:rPr>
          <w:szCs w:val="22"/>
          <w:lang w:val="fr-FR"/>
        </w:rPr>
        <w:t>Dans son examen des travaux menés par l</w:t>
      </w:r>
      <w:r w:rsidR="00426067" w:rsidRPr="00202EB9">
        <w:rPr>
          <w:szCs w:val="22"/>
          <w:lang w:val="fr-FR"/>
        </w:rPr>
        <w:t>’</w:t>
      </w:r>
      <w:r w:rsidRPr="00202EB9">
        <w:rPr>
          <w:szCs w:val="22"/>
          <w:lang w:val="fr-FR"/>
        </w:rPr>
        <w:t>OMPI, l</w:t>
      </w:r>
      <w:r w:rsidR="00426067" w:rsidRPr="00202EB9">
        <w:rPr>
          <w:szCs w:val="22"/>
          <w:lang w:val="fr-FR"/>
        </w:rPr>
        <w:t>’</w:t>
      </w:r>
      <w:r w:rsidRPr="00202EB9">
        <w:rPr>
          <w:szCs w:val="22"/>
          <w:lang w:val="fr-FR"/>
        </w:rPr>
        <w:t>équipe chargée de l</w:t>
      </w:r>
      <w:r w:rsidR="00426067" w:rsidRPr="00202EB9">
        <w:rPr>
          <w:szCs w:val="22"/>
          <w:lang w:val="fr-FR"/>
        </w:rPr>
        <w:t>’</w:t>
      </w:r>
      <w:r w:rsidRPr="00202EB9">
        <w:rPr>
          <w:szCs w:val="22"/>
          <w:lang w:val="fr-FR"/>
        </w:rPr>
        <w:t>étude s</w:t>
      </w:r>
      <w:r w:rsidR="00426067" w:rsidRPr="00202EB9">
        <w:rPr>
          <w:szCs w:val="22"/>
          <w:lang w:val="fr-FR"/>
        </w:rPr>
        <w:t>’</w:t>
      </w:r>
      <w:r w:rsidRPr="00202EB9">
        <w:rPr>
          <w:szCs w:val="22"/>
          <w:lang w:val="fr-FR"/>
        </w:rPr>
        <w:t>est notamment intéressée aux aspects suivants</w:t>
      </w:r>
      <w:r w:rsidR="00E15713" w:rsidRPr="00202EB9">
        <w:rPr>
          <w:szCs w:val="22"/>
          <w:lang w:val="fr-FR"/>
        </w:rPr>
        <w:t> </w:t>
      </w:r>
      <w:r w:rsidRPr="00202EB9">
        <w:rPr>
          <w:szCs w:val="22"/>
          <w:lang w:val="fr-FR"/>
        </w:rPr>
        <w:t>:</w:t>
      </w:r>
    </w:p>
    <w:p w:rsidR="0009736C" w:rsidRPr="00202EB9" w:rsidRDefault="00CE5376" w:rsidP="00327572">
      <w:pPr>
        <w:pStyle w:val="ListParagraph"/>
        <w:keepNext/>
        <w:keepLines/>
        <w:numPr>
          <w:ilvl w:val="0"/>
          <w:numId w:val="9"/>
        </w:numPr>
        <w:rPr>
          <w:rFonts w:cs="Arial"/>
          <w:lang w:val="fr-FR"/>
        </w:rPr>
      </w:pPr>
      <w:r w:rsidRPr="00202EB9">
        <w:rPr>
          <w:rFonts w:cs="Arial"/>
          <w:lang w:val="fr-FR"/>
        </w:rPr>
        <w:t>le mode et le degré d</w:t>
      </w:r>
      <w:r w:rsidR="00426067" w:rsidRPr="00202EB9">
        <w:rPr>
          <w:rFonts w:cs="Arial"/>
          <w:lang w:val="fr-FR"/>
        </w:rPr>
        <w:t>’</w:t>
      </w:r>
      <w:r w:rsidRPr="00202EB9">
        <w:rPr>
          <w:rFonts w:cs="Arial"/>
          <w:lang w:val="fr-FR"/>
        </w:rPr>
        <w:t xml:space="preserve">intégration des </w:t>
      </w:r>
      <w:r w:rsidR="00D546B8" w:rsidRPr="00202EB9">
        <w:rPr>
          <w:rFonts w:cs="Arial"/>
          <w:lang w:val="fr-FR"/>
        </w:rPr>
        <w:t>recommandations du Plan d</w:t>
      </w:r>
      <w:r w:rsidR="00426067" w:rsidRPr="00202EB9">
        <w:rPr>
          <w:rFonts w:cs="Arial"/>
          <w:lang w:val="fr-FR"/>
        </w:rPr>
        <w:t>’</w:t>
      </w:r>
      <w:r w:rsidR="00D546B8" w:rsidRPr="00202EB9">
        <w:rPr>
          <w:rFonts w:cs="Arial"/>
          <w:lang w:val="fr-FR"/>
        </w:rPr>
        <w:t>action pour le développement</w:t>
      </w:r>
      <w:r w:rsidRPr="00202EB9">
        <w:rPr>
          <w:rFonts w:cs="Arial"/>
          <w:lang w:val="fr-FR"/>
        </w:rPr>
        <w:t>, qui</w:t>
      </w:r>
      <w:r w:rsidR="00D546B8" w:rsidRPr="00202EB9">
        <w:rPr>
          <w:rFonts w:cs="Arial"/>
          <w:lang w:val="fr-FR"/>
        </w:rPr>
        <w:t xml:space="preserve"> ont dépassé le cadre des activités</w:t>
      </w:r>
      <w:r w:rsidR="00426067" w:rsidRPr="00202EB9">
        <w:rPr>
          <w:rFonts w:cs="Arial"/>
          <w:lang w:val="fr-FR"/>
        </w:rPr>
        <w:t xml:space="preserve"> du </w:t>
      </w:r>
      <w:proofErr w:type="spellStart"/>
      <w:r w:rsidR="00426067" w:rsidRPr="00202EB9">
        <w:rPr>
          <w:rFonts w:cs="Arial"/>
          <w:lang w:val="fr-FR"/>
        </w:rPr>
        <w:t>CDI</w:t>
      </w:r>
      <w:r w:rsidR="00D546B8" w:rsidRPr="00202EB9">
        <w:rPr>
          <w:rFonts w:cs="Arial"/>
          <w:lang w:val="fr-FR"/>
        </w:rPr>
        <w:t>P</w:t>
      </w:r>
      <w:proofErr w:type="spellEnd"/>
      <w:r w:rsidR="00D546B8" w:rsidRPr="00202EB9">
        <w:rPr>
          <w:rFonts w:cs="Arial"/>
          <w:lang w:val="fr-FR"/>
        </w:rPr>
        <w:t xml:space="preserve"> pour faire aujourd</w:t>
      </w:r>
      <w:r w:rsidR="00426067" w:rsidRPr="00202EB9">
        <w:rPr>
          <w:rFonts w:cs="Arial"/>
          <w:lang w:val="fr-FR"/>
        </w:rPr>
        <w:t>’</w:t>
      </w:r>
      <w:r w:rsidR="00D546B8" w:rsidRPr="00202EB9">
        <w:rPr>
          <w:rFonts w:cs="Arial"/>
          <w:lang w:val="fr-FR"/>
        </w:rPr>
        <w:t>hui partie des programmes d</w:t>
      </w:r>
      <w:r w:rsidR="00426067" w:rsidRPr="00202EB9">
        <w:rPr>
          <w:rFonts w:cs="Arial"/>
          <w:lang w:val="fr-FR"/>
        </w:rPr>
        <w:t>’</w:t>
      </w:r>
      <w:r w:rsidR="00D546B8" w:rsidRPr="00202EB9">
        <w:rPr>
          <w:rFonts w:cs="Arial"/>
          <w:lang w:val="fr-FR"/>
        </w:rPr>
        <w:t>activités ordinaires de l</w:t>
      </w:r>
      <w:r w:rsidR="00426067" w:rsidRPr="00202EB9">
        <w:rPr>
          <w:rFonts w:cs="Arial"/>
          <w:lang w:val="fr-FR"/>
        </w:rPr>
        <w:t>’</w:t>
      </w:r>
      <w:r w:rsidR="00D546B8" w:rsidRPr="00202EB9">
        <w:rPr>
          <w:rFonts w:cs="Arial"/>
          <w:lang w:val="fr-FR"/>
        </w:rPr>
        <w:t>OMPI</w:t>
      </w:r>
      <w:r w:rsidRPr="00202EB9">
        <w:rPr>
          <w:rFonts w:cs="Arial"/>
          <w:lang w:val="fr-FR"/>
        </w:rPr>
        <w:t>;</w:t>
      </w:r>
    </w:p>
    <w:p w:rsidR="0009736C" w:rsidRPr="00202EB9" w:rsidRDefault="00BD6091" w:rsidP="00F3224E">
      <w:pPr>
        <w:pStyle w:val="ListParagraph"/>
        <w:numPr>
          <w:ilvl w:val="0"/>
          <w:numId w:val="9"/>
        </w:numPr>
        <w:rPr>
          <w:rFonts w:cs="Arial"/>
          <w:lang w:val="fr-FR"/>
        </w:rPr>
      </w:pPr>
      <w:r w:rsidRPr="00202EB9">
        <w:rPr>
          <w:rFonts w:cs="Arial"/>
          <w:lang w:val="fr-FR"/>
        </w:rPr>
        <w:t>le travail accompli par les différents organes compétents de l</w:t>
      </w:r>
      <w:r w:rsidR="00426067" w:rsidRPr="00202EB9">
        <w:rPr>
          <w:rFonts w:cs="Arial"/>
          <w:lang w:val="fr-FR"/>
        </w:rPr>
        <w:t>’</w:t>
      </w:r>
      <w:r w:rsidRPr="00202EB9">
        <w:rPr>
          <w:rFonts w:cs="Arial"/>
          <w:lang w:val="fr-FR"/>
        </w:rPr>
        <w:t>OMPI;</w:t>
      </w:r>
    </w:p>
    <w:p w:rsidR="0009736C" w:rsidRPr="00202EB9" w:rsidRDefault="00BD6091" w:rsidP="00F3224E">
      <w:pPr>
        <w:pStyle w:val="ListParagraph"/>
        <w:numPr>
          <w:ilvl w:val="0"/>
          <w:numId w:val="9"/>
        </w:numPr>
        <w:rPr>
          <w:rFonts w:cs="Arial"/>
          <w:lang w:val="fr-FR"/>
        </w:rPr>
      </w:pPr>
      <w:r w:rsidRPr="00202EB9">
        <w:rPr>
          <w:rFonts w:cs="Arial"/>
          <w:lang w:val="fr-FR"/>
        </w:rPr>
        <w:t>l</w:t>
      </w:r>
      <w:r w:rsidR="00426067" w:rsidRPr="00202EB9">
        <w:rPr>
          <w:rFonts w:cs="Arial"/>
          <w:lang w:val="fr-FR"/>
        </w:rPr>
        <w:t>’</w:t>
      </w:r>
      <w:r w:rsidRPr="00202EB9">
        <w:rPr>
          <w:rFonts w:cs="Arial"/>
          <w:lang w:val="fr-FR"/>
        </w:rPr>
        <w:t>utilisation de ressources humaines et financières dans la mise en œuvre des recommandations du Plan d</w:t>
      </w:r>
      <w:r w:rsidR="00426067" w:rsidRPr="00202EB9">
        <w:rPr>
          <w:rFonts w:cs="Arial"/>
          <w:lang w:val="fr-FR"/>
        </w:rPr>
        <w:t>’</w:t>
      </w:r>
      <w:r w:rsidRPr="00202EB9">
        <w:rPr>
          <w:rFonts w:cs="Arial"/>
          <w:lang w:val="fr-FR"/>
        </w:rPr>
        <w:t>action pour le développement</w:t>
      </w:r>
      <w:r w:rsidR="00426067" w:rsidRPr="00202EB9">
        <w:rPr>
          <w:rFonts w:cs="Arial"/>
          <w:lang w:val="fr-FR"/>
        </w:rPr>
        <w:t>;</w:t>
      </w:r>
    </w:p>
    <w:p w:rsidR="0009736C" w:rsidRPr="00202EB9" w:rsidRDefault="0064021B" w:rsidP="00F3224E">
      <w:pPr>
        <w:pStyle w:val="ListParagraph"/>
        <w:numPr>
          <w:ilvl w:val="0"/>
          <w:numId w:val="9"/>
        </w:numPr>
        <w:rPr>
          <w:rFonts w:cs="Arial"/>
          <w:lang w:val="fr-FR"/>
        </w:rPr>
      </w:pPr>
      <w:r w:rsidRPr="00202EB9">
        <w:rPr>
          <w:rFonts w:cs="Arial"/>
          <w:lang w:val="fr-FR"/>
        </w:rPr>
        <w:t>la durabilité des différents projets et activités adoptés par</w:t>
      </w:r>
      <w:r w:rsidR="00426067" w:rsidRPr="00202EB9">
        <w:rPr>
          <w:rFonts w:cs="Arial"/>
          <w:lang w:val="fr-FR"/>
        </w:rPr>
        <w:t xml:space="preserve"> le </w:t>
      </w:r>
      <w:proofErr w:type="spellStart"/>
      <w:r w:rsidR="00426067" w:rsidRPr="00202EB9">
        <w:rPr>
          <w:rFonts w:cs="Arial"/>
          <w:lang w:val="fr-FR"/>
        </w:rPr>
        <w:t>CDI</w:t>
      </w:r>
      <w:r w:rsidR="0009736C" w:rsidRPr="00202EB9">
        <w:rPr>
          <w:rFonts w:cs="Arial"/>
          <w:lang w:val="fr-FR"/>
        </w:rPr>
        <w:t>P</w:t>
      </w:r>
      <w:proofErr w:type="spellEnd"/>
      <w:r w:rsidR="0009736C" w:rsidRPr="00202EB9">
        <w:rPr>
          <w:rFonts w:cs="Arial"/>
          <w:lang w:val="fr-FR"/>
        </w:rPr>
        <w:t>.</w:t>
      </w:r>
    </w:p>
    <w:p w:rsidR="00255C01" w:rsidRPr="00202EB9" w:rsidRDefault="00255C01" w:rsidP="00255C01">
      <w:pPr>
        <w:rPr>
          <w:rFonts w:cs="Arial"/>
          <w:lang w:val="fr-FR"/>
        </w:rPr>
      </w:pPr>
    </w:p>
    <w:p w:rsidR="0009736C" w:rsidRPr="00202EB9" w:rsidRDefault="00DD1CF0" w:rsidP="00255C01">
      <w:pPr>
        <w:pStyle w:val="ONUMFS"/>
        <w:rPr>
          <w:szCs w:val="22"/>
          <w:lang w:val="fr-FR"/>
        </w:rPr>
      </w:pPr>
      <w:r w:rsidRPr="00202EB9">
        <w:rPr>
          <w:szCs w:val="22"/>
          <w:lang w:val="fr-FR"/>
        </w:rPr>
        <w:t>Ainsi que le prévoit le cahier des charges, le rapport final de l</w:t>
      </w:r>
      <w:r w:rsidR="00426067" w:rsidRPr="00202EB9">
        <w:rPr>
          <w:szCs w:val="22"/>
          <w:lang w:val="fr-FR"/>
        </w:rPr>
        <w:t>’</w:t>
      </w:r>
      <w:r w:rsidRPr="00202EB9">
        <w:rPr>
          <w:szCs w:val="22"/>
          <w:lang w:val="fr-FR"/>
        </w:rPr>
        <w:t>étude doit contenir des propositions</w:t>
      </w:r>
      <w:r w:rsidR="003231F5" w:rsidRPr="00202EB9">
        <w:rPr>
          <w:szCs w:val="22"/>
          <w:lang w:val="fr-FR"/>
        </w:rPr>
        <w:t xml:space="preserve"> d</w:t>
      </w:r>
      <w:r w:rsidR="00426067" w:rsidRPr="00202EB9">
        <w:rPr>
          <w:szCs w:val="22"/>
          <w:lang w:val="fr-FR"/>
        </w:rPr>
        <w:t>’</w:t>
      </w:r>
      <w:r w:rsidR="003231F5" w:rsidRPr="00202EB9">
        <w:rPr>
          <w:szCs w:val="22"/>
          <w:lang w:val="fr-FR"/>
        </w:rPr>
        <w:t>améliorations pouvant être apportées</w:t>
      </w:r>
      <w:r w:rsidR="00130A94" w:rsidRPr="00202EB9">
        <w:rPr>
          <w:szCs w:val="22"/>
          <w:lang w:val="fr-FR"/>
        </w:rPr>
        <w:t xml:space="preserve"> dans les travaux de l</w:t>
      </w:r>
      <w:r w:rsidR="00426067" w:rsidRPr="00202EB9">
        <w:rPr>
          <w:szCs w:val="22"/>
          <w:lang w:val="fr-FR"/>
        </w:rPr>
        <w:t>’</w:t>
      </w:r>
      <w:r w:rsidR="00130A94" w:rsidRPr="00202EB9">
        <w:rPr>
          <w:szCs w:val="22"/>
          <w:lang w:val="fr-FR"/>
        </w:rPr>
        <w:t xml:space="preserve">OMPI, notamment en ce qui concerne </w:t>
      </w:r>
      <w:r w:rsidR="0071152D" w:rsidRPr="00202EB9">
        <w:rPr>
          <w:szCs w:val="22"/>
          <w:lang w:val="fr-FR"/>
        </w:rPr>
        <w:t xml:space="preserve">les pratiques recommandées et </w:t>
      </w:r>
      <w:r w:rsidR="00333F63" w:rsidRPr="00202EB9">
        <w:rPr>
          <w:szCs w:val="22"/>
          <w:lang w:val="fr-FR"/>
        </w:rPr>
        <w:t>l</w:t>
      </w:r>
      <w:r w:rsidR="0071152D" w:rsidRPr="00202EB9">
        <w:rPr>
          <w:szCs w:val="22"/>
          <w:lang w:val="fr-FR"/>
        </w:rPr>
        <w:t xml:space="preserve">es enseignements tirés de la mise en œuvre </w:t>
      </w:r>
      <w:r w:rsidR="00333F63" w:rsidRPr="00202EB9">
        <w:rPr>
          <w:szCs w:val="22"/>
          <w:lang w:val="fr-FR"/>
        </w:rPr>
        <w:t>d</w:t>
      </w:r>
      <w:r w:rsidR="0071152D" w:rsidRPr="00202EB9">
        <w:rPr>
          <w:szCs w:val="22"/>
          <w:lang w:val="fr-FR"/>
        </w:rPr>
        <w:t>es recommandations du Plan d</w:t>
      </w:r>
      <w:r w:rsidR="00426067" w:rsidRPr="00202EB9">
        <w:rPr>
          <w:szCs w:val="22"/>
          <w:lang w:val="fr-FR"/>
        </w:rPr>
        <w:t>’</w:t>
      </w:r>
      <w:r w:rsidR="0071152D" w:rsidRPr="00202EB9">
        <w:rPr>
          <w:szCs w:val="22"/>
          <w:lang w:val="fr-FR"/>
        </w:rPr>
        <w:t>action pour le développement.</w:t>
      </w:r>
    </w:p>
    <w:p w:rsidR="0009736C" w:rsidRPr="00202EB9" w:rsidRDefault="0009736C" w:rsidP="00255C01">
      <w:pPr>
        <w:pStyle w:val="Heading3"/>
        <w:rPr>
          <w:szCs w:val="22"/>
          <w:lang w:val="fr-FR"/>
        </w:rPr>
      </w:pPr>
      <w:bookmarkStart w:id="9" w:name="_Toc460492851"/>
      <w:r w:rsidRPr="008D1193">
        <w:rPr>
          <w:szCs w:val="22"/>
          <w:u w:val="none"/>
          <w:lang w:val="fr-FR"/>
        </w:rPr>
        <w:t>b.</w:t>
      </w:r>
      <w:r w:rsidR="00255C01" w:rsidRPr="008D1193">
        <w:rPr>
          <w:szCs w:val="22"/>
          <w:u w:val="none"/>
          <w:lang w:val="fr-FR"/>
        </w:rPr>
        <w:tab/>
      </w:r>
      <w:r w:rsidR="00C82C4E" w:rsidRPr="00202EB9">
        <w:rPr>
          <w:szCs w:val="22"/>
          <w:lang w:val="fr-FR"/>
        </w:rPr>
        <w:t>Portée de l</w:t>
      </w:r>
      <w:r w:rsidR="00426067" w:rsidRPr="00202EB9">
        <w:rPr>
          <w:szCs w:val="22"/>
          <w:lang w:val="fr-FR"/>
        </w:rPr>
        <w:t>’</w:t>
      </w:r>
      <w:r w:rsidR="00C82C4E" w:rsidRPr="00202EB9">
        <w:rPr>
          <w:szCs w:val="22"/>
          <w:lang w:val="fr-FR"/>
        </w:rPr>
        <w:t>étude</w:t>
      </w:r>
      <w:bookmarkEnd w:id="9"/>
    </w:p>
    <w:p w:rsidR="00255C01" w:rsidRPr="00202EB9" w:rsidRDefault="00255C01" w:rsidP="00255C01">
      <w:pPr>
        <w:rPr>
          <w:rFonts w:cs="Arial"/>
          <w:lang w:val="fr-FR" w:eastAsia="zh-CN" w:bidi="ar-SA"/>
        </w:rPr>
      </w:pPr>
    </w:p>
    <w:p w:rsidR="0009736C" w:rsidRPr="00202EB9" w:rsidRDefault="00505C90"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équipe chargée de l</w:t>
      </w:r>
      <w:r w:rsidR="00426067" w:rsidRPr="00202EB9">
        <w:rPr>
          <w:szCs w:val="22"/>
          <w:lang w:val="fr-FR"/>
        </w:rPr>
        <w:t>’</w:t>
      </w:r>
      <w:r w:rsidRPr="00202EB9">
        <w:rPr>
          <w:szCs w:val="22"/>
          <w:lang w:val="fr-FR"/>
        </w:rPr>
        <w:t>étude est consciente de</w:t>
      </w:r>
      <w:r w:rsidR="003E0F47" w:rsidRPr="00202EB9">
        <w:rPr>
          <w:szCs w:val="22"/>
          <w:lang w:val="fr-FR"/>
        </w:rPr>
        <w:t xml:space="preserve"> l</w:t>
      </w:r>
      <w:r w:rsidR="00426067" w:rsidRPr="00202EB9">
        <w:rPr>
          <w:szCs w:val="22"/>
          <w:lang w:val="fr-FR"/>
        </w:rPr>
        <w:t>’</w:t>
      </w:r>
      <w:r w:rsidR="003E0F47" w:rsidRPr="00202EB9">
        <w:rPr>
          <w:szCs w:val="22"/>
          <w:lang w:val="fr-FR"/>
        </w:rPr>
        <w:t xml:space="preserve">existence </w:t>
      </w:r>
      <w:r w:rsidR="007E586A" w:rsidRPr="00202EB9">
        <w:rPr>
          <w:szCs w:val="22"/>
          <w:lang w:val="fr-FR"/>
        </w:rPr>
        <w:t xml:space="preserve">de divergences </w:t>
      </w:r>
      <w:r w:rsidR="003E0F47" w:rsidRPr="00202EB9">
        <w:rPr>
          <w:szCs w:val="22"/>
          <w:lang w:val="fr-FR"/>
        </w:rPr>
        <w:t>d</w:t>
      </w:r>
      <w:r w:rsidR="00426067" w:rsidRPr="00202EB9">
        <w:rPr>
          <w:szCs w:val="22"/>
          <w:lang w:val="fr-FR"/>
        </w:rPr>
        <w:t>’</w:t>
      </w:r>
      <w:r w:rsidR="003E0F47" w:rsidRPr="00202EB9">
        <w:rPr>
          <w:szCs w:val="22"/>
          <w:lang w:val="fr-FR"/>
        </w:rPr>
        <w:t>opinions et d</w:t>
      </w:r>
      <w:r w:rsidR="00426067" w:rsidRPr="00202EB9">
        <w:rPr>
          <w:szCs w:val="22"/>
          <w:lang w:val="fr-FR"/>
        </w:rPr>
        <w:t>’</w:t>
      </w:r>
      <w:r w:rsidR="003E0F47" w:rsidRPr="00202EB9">
        <w:rPr>
          <w:szCs w:val="22"/>
          <w:lang w:val="fr-FR"/>
        </w:rPr>
        <w:t xml:space="preserve">interprétations </w:t>
      </w:r>
      <w:r w:rsidRPr="00202EB9">
        <w:rPr>
          <w:szCs w:val="22"/>
          <w:lang w:val="fr-FR"/>
        </w:rPr>
        <w:t>parmi les États membres en ce qui concerne</w:t>
      </w:r>
      <w:r w:rsidR="006F2728" w:rsidRPr="00202EB9">
        <w:rPr>
          <w:szCs w:val="22"/>
          <w:lang w:val="fr-FR"/>
        </w:rPr>
        <w:t xml:space="preserve"> la portée des mots </w:t>
      </w:r>
      <w:r w:rsidR="0009736C" w:rsidRPr="00202EB9">
        <w:rPr>
          <w:szCs w:val="22"/>
          <w:lang w:val="fr-FR"/>
        </w:rPr>
        <w:t>“</w:t>
      </w:r>
      <w:r w:rsidR="006F2728" w:rsidRPr="00202EB9">
        <w:rPr>
          <w:szCs w:val="22"/>
          <w:lang w:val="fr-FR"/>
        </w:rPr>
        <w:t>travaux de l</w:t>
      </w:r>
      <w:r w:rsidR="00426067" w:rsidRPr="00202EB9">
        <w:rPr>
          <w:szCs w:val="22"/>
          <w:lang w:val="fr-FR"/>
        </w:rPr>
        <w:t>’</w:t>
      </w:r>
      <w:r w:rsidR="006F2728" w:rsidRPr="00202EB9">
        <w:rPr>
          <w:szCs w:val="22"/>
          <w:lang w:val="fr-FR"/>
        </w:rPr>
        <w:t>OMPI</w:t>
      </w:r>
      <w:r w:rsidR="0009736C" w:rsidRPr="00202EB9">
        <w:rPr>
          <w:szCs w:val="22"/>
          <w:lang w:val="fr-FR"/>
        </w:rPr>
        <w:t xml:space="preserve">”. </w:t>
      </w:r>
      <w:r w:rsidR="00FD294F" w:rsidRPr="00202EB9">
        <w:rPr>
          <w:szCs w:val="22"/>
          <w:lang w:val="fr-FR"/>
        </w:rPr>
        <w:t xml:space="preserve"> </w:t>
      </w:r>
      <w:r w:rsidR="004E2DE8" w:rsidRPr="00202EB9">
        <w:rPr>
          <w:szCs w:val="22"/>
          <w:lang w:val="fr-FR"/>
        </w:rPr>
        <w:t>Ce débat occupe toujours une p</w:t>
      </w:r>
      <w:r w:rsidR="00F84BA1" w:rsidRPr="00202EB9">
        <w:rPr>
          <w:szCs w:val="22"/>
          <w:lang w:val="fr-FR"/>
        </w:rPr>
        <w:t>lace</w:t>
      </w:r>
      <w:r w:rsidR="004E2DE8" w:rsidRPr="00202EB9">
        <w:rPr>
          <w:szCs w:val="22"/>
          <w:lang w:val="fr-FR"/>
        </w:rPr>
        <w:t xml:space="preserve"> centrale dans les réunions</w:t>
      </w:r>
      <w:r w:rsidR="00426067" w:rsidRPr="00202EB9">
        <w:rPr>
          <w:szCs w:val="22"/>
          <w:lang w:val="fr-FR"/>
        </w:rPr>
        <w:t xml:space="preserve"> du </w:t>
      </w:r>
      <w:proofErr w:type="spellStart"/>
      <w:r w:rsidR="00426067" w:rsidRPr="00202EB9">
        <w:rPr>
          <w:szCs w:val="22"/>
          <w:lang w:val="fr-FR"/>
        </w:rPr>
        <w:t>CDI</w:t>
      </w:r>
      <w:r w:rsidR="0009736C" w:rsidRPr="00202EB9">
        <w:rPr>
          <w:szCs w:val="22"/>
          <w:lang w:val="fr-FR"/>
        </w:rPr>
        <w:t>P</w:t>
      </w:r>
      <w:proofErr w:type="spellEnd"/>
      <w:r w:rsidR="0009736C" w:rsidRPr="00202EB9">
        <w:rPr>
          <w:szCs w:val="22"/>
          <w:vertAlign w:val="superscript"/>
          <w:lang w:val="fr-FR"/>
        </w:rPr>
        <w:footnoteReference w:id="12"/>
      </w:r>
      <w:r w:rsidR="007E586A" w:rsidRPr="00202EB9">
        <w:rPr>
          <w:szCs w:val="22"/>
          <w:lang w:val="fr-FR"/>
        </w:rPr>
        <w:t>.</w:t>
      </w:r>
      <w:r w:rsidR="0009736C" w:rsidRPr="00202EB9">
        <w:rPr>
          <w:szCs w:val="22"/>
          <w:lang w:val="fr-FR"/>
        </w:rPr>
        <w:t xml:space="preserve"> </w:t>
      </w:r>
      <w:r w:rsidR="004E2DE8" w:rsidRPr="00202EB9">
        <w:rPr>
          <w:szCs w:val="22"/>
          <w:lang w:val="fr-FR"/>
        </w:rPr>
        <w:t xml:space="preserve"> </w:t>
      </w:r>
      <w:r w:rsidR="009C0262" w:rsidRPr="00202EB9">
        <w:rPr>
          <w:szCs w:val="22"/>
          <w:lang w:val="fr-FR"/>
        </w:rPr>
        <w:t>L</w:t>
      </w:r>
      <w:r w:rsidR="00426067" w:rsidRPr="00202EB9">
        <w:rPr>
          <w:szCs w:val="22"/>
          <w:lang w:val="fr-FR"/>
        </w:rPr>
        <w:t>’</w:t>
      </w:r>
      <w:r w:rsidR="00CE4484" w:rsidRPr="00202EB9">
        <w:rPr>
          <w:szCs w:val="22"/>
          <w:lang w:val="fr-FR"/>
        </w:rPr>
        <w:t>équipe s</w:t>
      </w:r>
      <w:r w:rsidR="00426067" w:rsidRPr="00202EB9">
        <w:rPr>
          <w:szCs w:val="22"/>
          <w:lang w:val="fr-FR"/>
        </w:rPr>
        <w:t>’</w:t>
      </w:r>
      <w:r w:rsidR="00CE4484" w:rsidRPr="00202EB9">
        <w:rPr>
          <w:szCs w:val="22"/>
          <w:lang w:val="fr-FR"/>
        </w:rPr>
        <w:t>est concentrée</w:t>
      </w:r>
      <w:r w:rsidR="009C0262" w:rsidRPr="00202EB9">
        <w:rPr>
          <w:szCs w:val="22"/>
          <w:lang w:val="fr-FR"/>
        </w:rPr>
        <w:t xml:space="preserve"> de façon plus pragmatique</w:t>
      </w:r>
      <w:r w:rsidR="00CE4484" w:rsidRPr="00202EB9">
        <w:rPr>
          <w:szCs w:val="22"/>
          <w:lang w:val="fr-FR"/>
        </w:rPr>
        <w:t xml:space="preserve"> sur les activités entreprises dans le cadre de la mise en œuvre </w:t>
      </w:r>
      <w:r w:rsidR="006B624D" w:rsidRPr="00202EB9">
        <w:rPr>
          <w:szCs w:val="22"/>
          <w:lang w:val="fr-FR"/>
        </w:rPr>
        <w:t>du Plan d</w:t>
      </w:r>
      <w:r w:rsidR="00426067" w:rsidRPr="00202EB9">
        <w:rPr>
          <w:szCs w:val="22"/>
          <w:lang w:val="fr-FR"/>
        </w:rPr>
        <w:t>’</w:t>
      </w:r>
      <w:r w:rsidR="006B624D" w:rsidRPr="00202EB9">
        <w:rPr>
          <w:szCs w:val="22"/>
          <w:lang w:val="fr-FR"/>
        </w:rPr>
        <w:t>action pour le développement, ainsi que sur les synergies qui se sont révélées entre États membres, bénéficiaires et parties prenantes en génér</w:t>
      </w:r>
      <w:r w:rsidR="001E787E" w:rsidRPr="00202EB9">
        <w:rPr>
          <w:szCs w:val="22"/>
          <w:lang w:val="fr-FR"/>
        </w:rPr>
        <w:t>al.  Ce</w:t>
      </w:r>
      <w:r w:rsidR="00C05896" w:rsidRPr="00202EB9">
        <w:rPr>
          <w:szCs w:val="22"/>
          <w:lang w:val="fr-FR"/>
        </w:rPr>
        <w:t>tte position est exposée de manière plus détaillée dans les paragraphes qui suivent.</w:t>
      </w:r>
    </w:p>
    <w:p w:rsidR="0009736C" w:rsidRPr="00202EB9" w:rsidRDefault="00255C01" w:rsidP="00255C01">
      <w:pPr>
        <w:pStyle w:val="Heading3"/>
        <w:rPr>
          <w:szCs w:val="22"/>
          <w:lang w:val="fr-FR"/>
        </w:rPr>
      </w:pPr>
      <w:bookmarkStart w:id="10" w:name="_Toc460492852"/>
      <w:r w:rsidRPr="008D1193">
        <w:rPr>
          <w:szCs w:val="22"/>
          <w:u w:val="none"/>
          <w:lang w:val="fr-FR"/>
        </w:rPr>
        <w:t>c.</w:t>
      </w:r>
      <w:r w:rsidRPr="008D1193">
        <w:rPr>
          <w:szCs w:val="22"/>
          <w:u w:val="none"/>
          <w:lang w:val="fr-FR"/>
        </w:rPr>
        <w:tab/>
      </w:r>
      <w:r w:rsidR="00C05896" w:rsidRPr="00202EB9">
        <w:rPr>
          <w:szCs w:val="22"/>
          <w:lang w:val="fr-FR"/>
        </w:rPr>
        <w:t>L</w:t>
      </w:r>
      <w:r w:rsidR="0009736C" w:rsidRPr="00202EB9">
        <w:rPr>
          <w:szCs w:val="22"/>
          <w:lang w:val="fr-FR"/>
        </w:rPr>
        <w:t xml:space="preserve">e </w:t>
      </w:r>
      <w:proofErr w:type="spellStart"/>
      <w:r w:rsidR="0009736C" w:rsidRPr="00202EB9">
        <w:rPr>
          <w:szCs w:val="22"/>
          <w:lang w:val="fr-FR"/>
        </w:rPr>
        <w:t>CDIP</w:t>
      </w:r>
      <w:bookmarkEnd w:id="10"/>
      <w:proofErr w:type="spellEnd"/>
    </w:p>
    <w:p w:rsidR="00255C01" w:rsidRPr="00202EB9" w:rsidRDefault="00255C01" w:rsidP="00255C01">
      <w:pPr>
        <w:rPr>
          <w:rFonts w:cs="Arial"/>
          <w:lang w:val="fr-FR" w:eastAsia="zh-CN" w:bidi="ar-SA"/>
        </w:rPr>
      </w:pPr>
    </w:p>
    <w:p w:rsidR="0009736C" w:rsidRPr="00202EB9" w:rsidRDefault="00055B0A" w:rsidP="00255C01">
      <w:pPr>
        <w:pStyle w:val="ONUMFS"/>
        <w:rPr>
          <w:szCs w:val="22"/>
          <w:lang w:val="fr-FR"/>
        </w:rPr>
      </w:pPr>
      <w:r w:rsidRPr="00202EB9">
        <w:rPr>
          <w:szCs w:val="22"/>
          <w:lang w:val="fr-FR"/>
        </w:rPr>
        <w:t>Depuis sa création,</w:t>
      </w:r>
      <w:r w:rsidR="00426067" w:rsidRPr="00202EB9">
        <w:rPr>
          <w:szCs w:val="22"/>
          <w:lang w:val="fr-FR"/>
        </w:rPr>
        <w:t xml:space="preserve"> le </w:t>
      </w:r>
      <w:proofErr w:type="spellStart"/>
      <w:r w:rsidR="00426067" w:rsidRPr="00202EB9">
        <w:rPr>
          <w:szCs w:val="22"/>
          <w:lang w:val="fr-FR"/>
        </w:rPr>
        <w:t>CDI</w:t>
      </w:r>
      <w:r w:rsidR="0009736C" w:rsidRPr="00202EB9">
        <w:rPr>
          <w:szCs w:val="22"/>
          <w:lang w:val="fr-FR"/>
        </w:rPr>
        <w:t>P</w:t>
      </w:r>
      <w:proofErr w:type="spellEnd"/>
      <w:r w:rsidRPr="00202EB9">
        <w:rPr>
          <w:szCs w:val="22"/>
          <w:lang w:val="fr-FR"/>
        </w:rPr>
        <w:t xml:space="preserve"> est</w:t>
      </w:r>
      <w:r w:rsidR="00F84BA1" w:rsidRPr="00202EB9">
        <w:rPr>
          <w:szCs w:val="22"/>
          <w:lang w:val="fr-FR"/>
        </w:rPr>
        <w:t>,</w:t>
      </w:r>
      <w:r w:rsidRPr="00202EB9">
        <w:rPr>
          <w:szCs w:val="22"/>
          <w:lang w:val="fr-FR"/>
        </w:rPr>
        <w:t xml:space="preserve"> au sein de l</w:t>
      </w:r>
      <w:r w:rsidR="00426067" w:rsidRPr="00202EB9">
        <w:rPr>
          <w:szCs w:val="22"/>
          <w:lang w:val="fr-FR"/>
        </w:rPr>
        <w:t>’</w:t>
      </w:r>
      <w:r w:rsidRPr="00202EB9">
        <w:rPr>
          <w:szCs w:val="22"/>
          <w:lang w:val="fr-FR"/>
        </w:rPr>
        <w:t>OMPI</w:t>
      </w:r>
      <w:r w:rsidR="00F84BA1" w:rsidRPr="00202EB9">
        <w:rPr>
          <w:szCs w:val="22"/>
          <w:lang w:val="fr-FR"/>
        </w:rPr>
        <w:t>,</w:t>
      </w:r>
      <w:r w:rsidRPr="00202EB9">
        <w:rPr>
          <w:szCs w:val="22"/>
          <w:lang w:val="fr-FR"/>
        </w:rPr>
        <w:t xml:space="preserve"> l</w:t>
      </w:r>
      <w:r w:rsidR="00426067" w:rsidRPr="00202EB9">
        <w:rPr>
          <w:szCs w:val="22"/>
          <w:lang w:val="fr-FR"/>
        </w:rPr>
        <w:t>’</w:t>
      </w:r>
      <w:r w:rsidRPr="00202EB9">
        <w:rPr>
          <w:szCs w:val="22"/>
          <w:lang w:val="fr-FR"/>
        </w:rPr>
        <w:t>organe central chargé du suivi et de la coordination de la mise en œuvre des 45</w:t>
      </w:r>
      <w:r w:rsidR="00E45A98" w:rsidRPr="00202EB9">
        <w:rPr>
          <w:szCs w:val="22"/>
          <w:lang w:val="fr-FR"/>
        </w:rPr>
        <w:t> </w:t>
      </w:r>
      <w:r w:rsidRPr="00202EB9">
        <w:rPr>
          <w:szCs w:val="22"/>
          <w:lang w:val="fr-FR"/>
        </w:rPr>
        <w:t>recommandations du Plan d</w:t>
      </w:r>
      <w:r w:rsidR="00426067" w:rsidRPr="00202EB9">
        <w:rPr>
          <w:szCs w:val="22"/>
          <w:lang w:val="fr-FR"/>
        </w:rPr>
        <w:t>’</w:t>
      </w:r>
      <w:r w:rsidRPr="00202EB9">
        <w:rPr>
          <w:szCs w:val="22"/>
          <w:lang w:val="fr-FR"/>
        </w:rPr>
        <w:t>action pour le développeme</w:t>
      </w:r>
      <w:r w:rsidR="001E787E" w:rsidRPr="00202EB9">
        <w:rPr>
          <w:szCs w:val="22"/>
          <w:lang w:val="fr-FR"/>
        </w:rPr>
        <w:t>nt.  Da</w:t>
      </w:r>
      <w:r w:rsidR="00E62F5B" w:rsidRPr="00202EB9">
        <w:rPr>
          <w:szCs w:val="22"/>
          <w:lang w:val="fr-FR"/>
        </w:rPr>
        <w:t>ns un premier temps, le Secrétariat a joué un rôle essentiel</w:t>
      </w:r>
      <w:r w:rsidR="000646BB" w:rsidRPr="00202EB9">
        <w:rPr>
          <w:szCs w:val="22"/>
          <w:lang w:val="fr-FR"/>
        </w:rPr>
        <w:t xml:space="preserve"> en ce qui concerne la désignation des premières recommandations à mettre en œuvre immédiatement, puis ultérieurement, d</w:t>
      </w:r>
      <w:r w:rsidR="00426067" w:rsidRPr="00202EB9">
        <w:rPr>
          <w:szCs w:val="22"/>
          <w:lang w:val="fr-FR"/>
        </w:rPr>
        <w:t>’</w:t>
      </w:r>
      <w:r w:rsidR="000646BB" w:rsidRPr="00202EB9">
        <w:rPr>
          <w:szCs w:val="22"/>
          <w:lang w:val="fr-FR"/>
        </w:rPr>
        <w:t>une liste d</w:t>
      </w:r>
      <w:r w:rsidR="00426067" w:rsidRPr="00202EB9">
        <w:rPr>
          <w:szCs w:val="22"/>
          <w:lang w:val="fr-FR"/>
        </w:rPr>
        <w:t>’</w:t>
      </w:r>
      <w:r w:rsidR="000646BB" w:rsidRPr="00202EB9">
        <w:rPr>
          <w:szCs w:val="22"/>
          <w:lang w:val="fr-FR"/>
        </w:rPr>
        <w:t xml:space="preserve">activités </w:t>
      </w:r>
      <w:r w:rsidR="001B7D2F" w:rsidRPr="00202EB9">
        <w:rPr>
          <w:szCs w:val="22"/>
          <w:lang w:val="fr-FR"/>
        </w:rPr>
        <w:t>pour lesquelles un suivi était proposé, dont notamment l</w:t>
      </w:r>
      <w:r w:rsidR="00426067" w:rsidRPr="00202EB9">
        <w:rPr>
          <w:szCs w:val="22"/>
          <w:lang w:val="fr-FR"/>
        </w:rPr>
        <w:t>’</w:t>
      </w:r>
      <w:r w:rsidR="001B7D2F" w:rsidRPr="00202EB9">
        <w:rPr>
          <w:szCs w:val="22"/>
          <w:lang w:val="fr-FR"/>
        </w:rPr>
        <w:t>adoption d</w:t>
      </w:r>
      <w:r w:rsidR="00426067" w:rsidRPr="00202EB9">
        <w:rPr>
          <w:szCs w:val="22"/>
          <w:lang w:val="fr-FR"/>
        </w:rPr>
        <w:t>’</w:t>
      </w:r>
      <w:r w:rsidR="001B7D2F" w:rsidRPr="00202EB9">
        <w:rPr>
          <w:szCs w:val="22"/>
          <w:lang w:val="fr-FR"/>
        </w:rPr>
        <w:t>une approche thématique fondée sur des projets.</w:t>
      </w:r>
    </w:p>
    <w:p w:rsidR="0009736C" w:rsidRPr="00202EB9" w:rsidRDefault="001B7D2F" w:rsidP="00255C01">
      <w:pPr>
        <w:pStyle w:val="Heading4"/>
        <w:rPr>
          <w:szCs w:val="22"/>
          <w:lang w:val="fr-FR"/>
        </w:rPr>
      </w:pPr>
      <w:r w:rsidRPr="00202EB9">
        <w:rPr>
          <w:szCs w:val="22"/>
          <w:lang w:val="fr-FR"/>
        </w:rPr>
        <w:t>Approche thématique fondée sur des projets</w:t>
      </w:r>
    </w:p>
    <w:p w:rsidR="00255C01" w:rsidRPr="00202EB9" w:rsidRDefault="00255C01" w:rsidP="00255C01">
      <w:pPr>
        <w:rPr>
          <w:rFonts w:cs="Arial"/>
          <w:lang w:val="fr-FR" w:eastAsia="zh-CN" w:bidi="ar-SA"/>
        </w:rPr>
      </w:pPr>
    </w:p>
    <w:p w:rsidR="0009736C" w:rsidRPr="00202EB9" w:rsidRDefault="001C6216"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élaboration d</w:t>
      </w:r>
      <w:r w:rsidR="00426067" w:rsidRPr="00202EB9">
        <w:rPr>
          <w:szCs w:val="22"/>
          <w:lang w:val="fr-FR"/>
        </w:rPr>
        <w:t>’</w:t>
      </w:r>
      <w:r w:rsidRPr="00202EB9">
        <w:rPr>
          <w:szCs w:val="22"/>
          <w:lang w:val="fr-FR"/>
        </w:rPr>
        <w:t xml:space="preserve">une approche thématique fondée sur des projets a </w:t>
      </w:r>
      <w:r w:rsidR="007A06A8" w:rsidRPr="00202EB9">
        <w:rPr>
          <w:szCs w:val="22"/>
          <w:lang w:val="fr-FR"/>
        </w:rPr>
        <w:t>occupé une place</w:t>
      </w:r>
      <w:r w:rsidRPr="00202EB9">
        <w:rPr>
          <w:szCs w:val="22"/>
          <w:lang w:val="fr-FR"/>
        </w:rPr>
        <w:t xml:space="preserve"> important</w:t>
      </w:r>
      <w:r w:rsidR="007A06A8" w:rsidRPr="00202EB9">
        <w:rPr>
          <w:szCs w:val="22"/>
          <w:lang w:val="fr-FR"/>
        </w:rPr>
        <w:t>e</w:t>
      </w:r>
      <w:r w:rsidRPr="00202EB9">
        <w:rPr>
          <w:szCs w:val="22"/>
          <w:lang w:val="fr-FR"/>
        </w:rPr>
        <w:t xml:space="preserve"> </w:t>
      </w:r>
      <w:r w:rsidR="007A06A8" w:rsidRPr="00202EB9">
        <w:rPr>
          <w:szCs w:val="22"/>
          <w:lang w:val="fr-FR"/>
        </w:rPr>
        <w:t>dans les activités</w:t>
      </w:r>
      <w:r w:rsidR="00426067" w:rsidRPr="00202EB9">
        <w:rPr>
          <w:szCs w:val="22"/>
          <w:lang w:val="fr-FR"/>
        </w:rPr>
        <w:t xml:space="preserve"> du </w:t>
      </w:r>
      <w:proofErr w:type="spellStart"/>
      <w:r w:rsidR="00426067" w:rsidRPr="00202EB9">
        <w:rPr>
          <w:szCs w:val="22"/>
          <w:lang w:val="fr-FR"/>
        </w:rPr>
        <w:t>CDI</w:t>
      </w:r>
      <w:r w:rsidRPr="00202EB9">
        <w:rPr>
          <w:szCs w:val="22"/>
          <w:lang w:val="fr-FR"/>
        </w:rPr>
        <w:t>P</w:t>
      </w:r>
      <w:proofErr w:type="spellEnd"/>
      <w:r w:rsidRPr="00202EB9">
        <w:rPr>
          <w:szCs w:val="22"/>
          <w:lang w:val="fr-FR"/>
        </w:rPr>
        <w:t xml:space="preserve"> </w:t>
      </w:r>
      <w:r w:rsidR="007A06A8" w:rsidRPr="00202EB9">
        <w:rPr>
          <w:szCs w:val="22"/>
          <w:lang w:val="fr-FR"/>
        </w:rPr>
        <w:t>au cours d</w:t>
      </w:r>
      <w:r w:rsidRPr="00202EB9">
        <w:rPr>
          <w:szCs w:val="22"/>
          <w:lang w:val="fr-FR"/>
        </w:rPr>
        <w:t xml:space="preserve">es premières années de </w:t>
      </w:r>
      <w:r w:rsidR="00F84BA1" w:rsidRPr="00202EB9">
        <w:rPr>
          <w:szCs w:val="22"/>
          <w:lang w:val="fr-FR"/>
        </w:rPr>
        <w:t xml:space="preserve">la </w:t>
      </w:r>
      <w:r w:rsidRPr="00202EB9">
        <w:rPr>
          <w:szCs w:val="22"/>
          <w:lang w:val="fr-FR"/>
        </w:rPr>
        <w:t>mise en œuvre</w:t>
      </w:r>
      <w:r w:rsidR="003C5E10" w:rsidRPr="00202EB9">
        <w:rPr>
          <w:szCs w:val="22"/>
          <w:lang w:val="fr-FR"/>
        </w:rPr>
        <w:t xml:space="preserve"> des recommandations du Plan d</w:t>
      </w:r>
      <w:r w:rsidR="00426067" w:rsidRPr="00202EB9">
        <w:rPr>
          <w:szCs w:val="22"/>
          <w:lang w:val="fr-FR"/>
        </w:rPr>
        <w:t>’</w:t>
      </w:r>
      <w:r w:rsidR="003C5E10" w:rsidRPr="00202EB9">
        <w:rPr>
          <w:szCs w:val="22"/>
          <w:lang w:val="fr-FR"/>
        </w:rPr>
        <w:t>action pour le développeme</w:t>
      </w:r>
      <w:r w:rsidR="001E787E" w:rsidRPr="00202EB9">
        <w:rPr>
          <w:szCs w:val="22"/>
          <w:lang w:val="fr-FR"/>
        </w:rPr>
        <w:t>nt.  Un</w:t>
      </w:r>
      <w:r w:rsidR="00C113E4" w:rsidRPr="00202EB9">
        <w:rPr>
          <w:szCs w:val="22"/>
          <w:lang w:val="fr-FR"/>
        </w:rPr>
        <w:t xml:space="preserve"> large éventail de </w:t>
      </w:r>
      <w:r w:rsidR="00994083" w:rsidRPr="00202EB9">
        <w:rPr>
          <w:szCs w:val="22"/>
          <w:lang w:val="fr-FR"/>
        </w:rPr>
        <w:t>proj</w:t>
      </w:r>
      <w:r w:rsidR="00817BA9" w:rsidRPr="00202EB9">
        <w:rPr>
          <w:szCs w:val="22"/>
          <w:lang w:val="fr-FR"/>
        </w:rPr>
        <w:t>ets</w:t>
      </w:r>
      <w:r w:rsidR="00B95CAC" w:rsidRPr="00202EB9">
        <w:rPr>
          <w:szCs w:val="22"/>
          <w:lang w:val="fr-FR"/>
        </w:rPr>
        <w:t xml:space="preserve"> </w:t>
      </w:r>
      <w:r w:rsidR="00177E8A" w:rsidRPr="00202EB9">
        <w:rPr>
          <w:szCs w:val="22"/>
          <w:lang w:val="fr-FR"/>
        </w:rPr>
        <w:t>ont été proposés, approuvés et mis en œuvre</w:t>
      </w:r>
      <w:r w:rsidR="00C113E4" w:rsidRPr="00202EB9">
        <w:rPr>
          <w:szCs w:val="22"/>
          <w:lang w:val="fr-FR"/>
        </w:rPr>
        <w:t>, notamment</w:t>
      </w:r>
      <w:r w:rsidR="00994083" w:rsidRPr="00202EB9">
        <w:rPr>
          <w:szCs w:val="22"/>
          <w:lang w:val="fr-FR"/>
        </w:rPr>
        <w:t xml:space="preserve"> sur des sujets tels que</w:t>
      </w:r>
      <w:r w:rsidR="00C113E4" w:rsidRPr="00202EB9">
        <w:rPr>
          <w:szCs w:val="22"/>
          <w:lang w:val="fr-FR"/>
        </w:rPr>
        <w:t xml:space="preserve"> le domaine public,</w:t>
      </w:r>
      <w:r w:rsidR="0052022D" w:rsidRPr="00202EB9">
        <w:rPr>
          <w:szCs w:val="22"/>
          <w:lang w:val="fr-FR"/>
        </w:rPr>
        <w:t xml:space="preserve"> </w:t>
      </w:r>
      <w:r w:rsidR="00C113E4" w:rsidRPr="00202EB9">
        <w:rPr>
          <w:szCs w:val="22"/>
          <w:lang w:val="fr-FR"/>
        </w:rPr>
        <w:t>la politique en matière de concurrence, les technologies de l</w:t>
      </w:r>
      <w:r w:rsidR="00426067" w:rsidRPr="00202EB9">
        <w:rPr>
          <w:szCs w:val="22"/>
          <w:lang w:val="fr-FR"/>
        </w:rPr>
        <w:t>’</w:t>
      </w:r>
      <w:r w:rsidR="00C113E4" w:rsidRPr="00202EB9">
        <w:rPr>
          <w:szCs w:val="22"/>
          <w:lang w:val="fr-FR"/>
        </w:rPr>
        <w:t>information et de la communication, les instruments permettant d</w:t>
      </w:r>
      <w:r w:rsidR="00426067" w:rsidRPr="00202EB9">
        <w:rPr>
          <w:szCs w:val="22"/>
          <w:lang w:val="fr-FR"/>
        </w:rPr>
        <w:t>’</w:t>
      </w:r>
      <w:r w:rsidR="00C113E4" w:rsidRPr="00202EB9">
        <w:rPr>
          <w:szCs w:val="22"/>
          <w:lang w:val="fr-FR"/>
        </w:rPr>
        <w:t>accéder à l</w:t>
      </w:r>
      <w:r w:rsidR="00426067" w:rsidRPr="00202EB9">
        <w:rPr>
          <w:szCs w:val="22"/>
          <w:lang w:val="fr-FR"/>
        </w:rPr>
        <w:t>’</w:t>
      </w:r>
      <w:r w:rsidR="00C113E4" w:rsidRPr="00202EB9">
        <w:rPr>
          <w:szCs w:val="22"/>
          <w:lang w:val="fr-FR"/>
        </w:rPr>
        <w:t xml:space="preserve">information en matière de brevets, </w:t>
      </w:r>
      <w:r w:rsidR="00781D38" w:rsidRPr="00202EB9">
        <w:rPr>
          <w:szCs w:val="22"/>
          <w:lang w:val="fr-FR"/>
        </w:rPr>
        <w:t>la gestion axée sur les résultats, la création de marques de produits,</w:t>
      </w:r>
      <w:r w:rsidR="00CC4FBE" w:rsidRPr="00202EB9">
        <w:rPr>
          <w:szCs w:val="22"/>
          <w:lang w:val="fr-FR"/>
        </w:rPr>
        <w:t xml:space="preserve"> les technologies appropriées, le développement </w:t>
      </w:r>
      <w:proofErr w:type="spellStart"/>
      <w:r w:rsidR="007E4401" w:rsidRPr="00202EB9">
        <w:rPr>
          <w:szCs w:val="22"/>
          <w:lang w:val="fr-FR"/>
        </w:rPr>
        <w:t>socioéconomique</w:t>
      </w:r>
      <w:proofErr w:type="spellEnd"/>
      <w:r w:rsidR="00CC4FBE" w:rsidRPr="00202EB9">
        <w:rPr>
          <w:szCs w:val="22"/>
          <w:lang w:val="fr-FR"/>
        </w:rPr>
        <w:t xml:space="preserve"> (fuite des cerveaux, économie informelle, tourisme et culture, etc.), </w:t>
      </w:r>
      <w:r w:rsidR="00B95CAC" w:rsidRPr="00202EB9">
        <w:rPr>
          <w:szCs w:val="22"/>
          <w:lang w:val="fr-FR"/>
        </w:rPr>
        <w:t xml:space="preserve">le </w:t>
      </w:r>
      <w:r w:rsidR="00CC4FBE" w:rsidRPr="00202EB9">
        <w:rPr>
          <w:szCs w:val="22"/>
          <w:lang w:val="fr-FR"/>
        </w:rPr>
        <w:t xml:space="preserve">transfert de technologie, </w:t>
      </w:r>
      <w:r w:rsidR="00B95CAC" w:rsidRPr="00202EB9">
        <w:rPr>
          <w:szCs w:val="22"/>
          <w:lang w:val="fr-FR"/>
        </w:rPr>
        <w:t xml:space="preserve">les </w:t>
      </w:r>
      <w:r w:rsidR="00CC4FBE" w:rsidRPr="00202EB9">
        <w:rPr>
          <w:szCs w:val="22"/>
          <w:lang w:val="fr-FR"/>
        </w:rPr>
        <w:t xml:space="preserve">partenariats ouverts, </w:t>
      </w:r>
      <w:r w:rsidR="00B95CAC" w:rsidRPr="00202EB9">
        <w:rPr>
          <w:szCs w:val="22"/>
          <w:lang w:val="fr-FR"/>
        </w:rPr>
        <w:t>la coopération Sud</w:t>
      </w:r>
      <w:r w:rsidR="001E787E" w:rsidRPr="00202EB9">
        <w:rPr>
          <w:szCs w:val="22"/>
          <w:lang w:val="fr-FR"/>
        </w:rPr>
        <w:noBreakHyphen/>
      </w:r>
      <w:r w:rsidR="00B95CAC" w:rsidRPr="00202EB9">
        <w:rPr>
          <w:szCs w:val="22"/>
          <w:lang w:val="fr-FR"/>
        </w:rPr>
        <w:t>Sud, le secteur de l</w:t>
      </w:r>
      <w:r w:rsidR="00426067" w:rsidRPr="00202EB9">
        <w:rPr>
          <w:szCs w:val="22"/>
          <w:lang w:val="fr-FR"/>
        </w:rPr>
        <w:t>’</w:t>
      </w:r>
      <w:proofErr w:type="spellStart"/>
      <w:r w:rsidR="00B95CAC" w:rsidRPr="00202EB9">
        <w:rPr>
          <w:szCs w:val="22"/>
          <w:lang w:val="fr-FR"/>
        </w:rPr>
        <w:t>audiovisuel</w:t>
      </w:r>
      <w:proofErr w:type="spellEnd"/>
      <w:r w:rsidR="00B95CAC" w:rsidRPr="00202EB9">
        <w:rPr>
          <w:szCs w:val="22"/>
          <w:lang w:val="fr-FR"/>
        </w:rPr>
        <w:t>, l</w:t>
      </w:r>
      <w:r w:rsidR="00426067" w:rsidRPr="00202EB9">
        <w:rPr>
          <w:szCs w:val="22"/>
          <w:lang w:val="fr-FR"/>
        </w:rPr>
        <w:t>’</w:t>
      </w:r>
      <w:r w:rsidR="00B95CAC" w:rsidRPr="00202EB9">
        <w:rPr>
          <w:szCs w:val="22"/>
          <w:lang w:val="fr-FR"/>
        </w:rPr>
        <w:t>accès aux bases de données spécialisées,</w:t>
      </w:r>
      <w:r w:rsidR="00781D38" w:rsidRPr="00202EB9">
        <w:rPr>
          <w:szCs w:val="22"/>
          <w:lang w:val="fr-FR"/>
        </w:rPr>
        <w:t xml:space="preserve"> </w:t>
      </w:r>
      <w:r w:rsidR="00B95CAC" w:rsidRPr="00202EB9">
        <w:rPr>
          <w:szCs w:val="22"/>
          <w:lang w:val="fr-FR"/>
        </w:rPr>
        <w:t xml:space="preserve">la création de nouvelles académies nationales, </w:t>
      </w:r>
      <w:r w:rsidR="00C4749C" w:rsidRPr="00202EB9">
        <w:rPr>
          <w:szCs w:val="22"/>
          <w:lang w:val="fr-FR"/>
        </w:rPr>
        <w:t>la gestion des dessins et modèles pour le développement des entreprises</w:t>
      </w:r>
      <w:r w:rsidR="00260140" w:rsidRPr="00202EB9">
        <w:rPr>
          <w:szCs w:val="22"/>
          <w:lang w:val="fr-FR"/>
        </w:rPr>
        <w:t>, et d</w:t>
      </w:r>
      <w:r w:rsidR="00426067" w:rsidRPr="00202EB9">
        <w:rPr>
          <w:szCs w:val="22"/>
          <w:lang w:val="fr-FR"/>
        </w:rPr>
        <w:t>’</w:t>
      </w:r>
      <w:r w:rsidR="00260140" w:rsidRPr="00202EB9">
        <w:rPr>
          <w:szCs w:val="22"/>
          <w:lang w:val="fr-FR"/>
        </w:rPr>
        <w:t>autres encore</w:t>
      </w:r>
      <w:r w:rsidR="0009736C" w:rsidRPr="00202EB9">
        <w:rPr>
          <w:szCs w:val="22"/>
          <w:vertAlign w:val="superscript"/>
          <w:lang w:val="fr-FR"/>
        </w:rPr>
        <w:footnoteReference w:id="13"/>
      </w:r>
      <w:r w:rsidR="00260140" w:rsidRPr="00202EB9">
        <w:rPr>
          <w:szCs w:val="22"/>
          <w:lang w:val="fr-FR"/>
        </w:rPr>
        <w:t>.</w:t>
      </w:r>
    </w:p>
    <w:p w:rsidR="004372EF" w:rsidRPr="00202EB9" w:rsidRDefault="00D73C89" w:rsidP="00255C01">
      <w:pPr>
        <w:pStyle w:val="ONUMFS"/>
        <w:rPr>
          <w:szCs w:val="22"/>
          <w:lang w:val="fr-FR"/>
        </w:rPr>
      </w:pPr>
      <w:r w:rsidRPr="00202EB9">
        <w:rPr>
          <w:szCs w:val="22"/>
          <w:lang w:val="fr-FR"/>
        </w:rPr>
        <w:t>Au cours de la période considérée</w:t>
      </w:r>
      <w:r w:rsidR="00FA1014" w:rsidRPr="00202EB9">
        <w:rPr>
          <w:szCs w:val="22"/>
          <w:lang w:val="fr-FR"/>
        </w:rPr>
        <w:t xml:space="preserve"> par l</w:t>
      </w:r>
      <w:r w:rsidR="00426067" w:rsidRPr="00202EB9">
        <w:rPr>
          <w:szCs w:val="22"/>
          <w:lang w:val="fr-FR"/>
        </w:rPr>
        <w:t>’</w:t>
      </w:r>
      <w:r w:rsidR="00FA1014" w:rsidRPr="00202EB9">
        <w:rPr>
          <w:szCs w:val="22"/>
          <w:lang w:val="fr-FR"/>
        </w:rPr>
        <w:t>étude</w:t>
      </w:r>
      <w:r w:rsidRPr="00202EB9">
        <w:rPr>
          <w:szCs w:val="22"/>
          <w:lang w:val="fr-FR"/>
        </w:rPr>
        <w:t>,</w:t>
      </w:r>
      <w:r w:rsidR="00426067" w:rsidRPr="00202EB9">
        <w:rPr>
          <w:szCs w:val="22"/>
          <w:lang w:val="fr-FR"/>
        </w:rPr>
        <w:t xml:space="preserve"> le </w:t>
      </w:r>
      <w:proofErr w:type="spellStart"/>
      <w:r w:rsidR="00426067" w:rsidRPr="00202EB9">
        <w:rPr>
          <w:szCs w:val="22"/>
          <w:lang w:val="fr-FR"/>
        </w:rPr>
        <w:t>CDI</w:t>
      </w:r>
      <w:r w:rsidRPr="00202EB9">
        <w:rPr>
          <w:szCs w:val="22"/>
          <w:lang w:val="fr-FR"/>
        </w:rPr>
        <w:t>P</w:t>
      </w:r>
      <w:proofErr w:type="spellEnd"/>
      <w:r w:rsidRPr="00202EB9">
        <w:rPr>
          <w:szCs w:val="22"/>
          <w:lang w:val="fr-FR"/>
        </w:rPr>
        <w:t xml:space="preserve"> a approuvé</w:t>
      </w:r>
      <w:r w:rsidR="004F0AB6" w:rsidRPr="00202EB9">
        <w:rPr>
          <w:szCs w:val="22"/>
          <w:lang w:val="fr-FR"/>
        </w:rPr>
        <w:t xml:space="preserve"> 31</w:t>
      </w:r>
      <w:r w:rsidR="00E45A98" w:rsidRPr="00202EB9">
        <w:rPr>
          <w:szCs w:val="22"/>
          <w:lang w:val="fr-FR"/>
        </w:rPr>
        <w:t> </w:t>
      </w:r>
      <w:r w:rsidR="004F0AB6" w:rsidRPr="00202EB9">
        <w:rPr>
          <w:szCs w:val="22"/>
          <w:lang w:val="fr-FR"/>
        </w:rPr>
        <w:t>projets</w:t>
      </w:r>
      <w:r w:rsidR="006B5268" w:rsidRPr="00202EB9">
        <w:rPr>
          <w:szCs w:val="22"/>
          <w:lang w:val="fr-FR"/>
        </w:rPr>
        <w:t>,</w:t>
      </w:r>
      <w:r w:rsidR="00FA1014" w:rsidRPr="00202EB9">
        <w:rPr>
          <w:szCs w:val="22"/>
          <w:lang w:val="fr-FR"/>
        </w:rPr>
        <w:t xml:space="preserve"> </w:t>
      </w:r>
      <w:r w:rsidR="00CE3C5B" w:rsidRPr="00202EB9">
        <w:rPr>
          <w:szCs w:val="22"/>
          <w:lang w:val="fr-FR"/>
        </w:rPr>
        <w:t>dotés d</w:t>
      </w:r>
      <w:r w:rsidR="00426067" w:rsidRPr="00202EB9">
        <w:rPr>
          <w:szCs w:val="22"/>
          <w:lang w:val="fr-FR"/>
        </w:rPr>
        <w:t>’</w:t>
      </w:r>
      <w:r w:rsidR="00FA1014" w:rsidRPr="00202EB9">
        <w:rPr>
          <w:szCs w:val="22"/>
          <w:lang w:val="fr-FR"/>
        </w:rPr>
        <w:t>un budget de 28</w:t>
      </w:r>
      <w:r w:rsidR="00E15713" w:rsidRPr="00202EB9">
        <w:rPr>
          <w:szCs w:val="22"/>
          <w:lang w:val="fr-FR"/>
        </w:rPr>
        <w:t> </w:t>
      </w:r>
      <w:r w:rsidR="00FA1014" w:rsidRPr="00202EB9">
        <w:rPr>
          <w:szCs w:val="22"/>
          <w:lang w:val="fr-FR"/>
        </w:rPr>
        <w:t>millions de francs suisses</w:t>
      </w:r>
      <w:r w:rsidR="006B5268" w:rsidRPr="00202EB9">
        <w:rPr>
          <w:szCs w:val="22"/>
          <w:lang w:val="fr-FR"/>
        </w:rPr>
        <w:t xml:space="preserve">, dont </w:t>
      </w:r>
      <w:r w:rsidR="00CE3C5B" w:rsidRPr="00202EB9">
        <w:rPr>
          <w:szCs w:val="22"/>
          <w:lang w:val="fr-FR"/>
        </w:rPr>
        <w:t xml:space="preserve">25 </w:t>
      </w:r>
      <w:r w:rsidR="00FA1014" w:rsidRPr="00202EB9">
        <w:rPr>
          <w:szCs w:val="22"/>
          <w:lang w:val="fr-FR"/>
        </w:rPr>
        <w:t>étaient achevés et avaient été évalu</w:t>
      </w:r>
      <w:r w:rsidR="001E787E" w:rsidRPr="00202EB9">
        <w:rPr>
          <w:szCs w:val="22"/>
          <w:lang w:val="fr-FR"/>
        </w:rPr>
        <w:t>és.  Qu</w:t>
      </w:r>
      <w:r w:rsidR="00CE3C5B" w:rsidRPr="00202EB9">
        <w:rPr>
          <w:szCs w:val="22"/>
          <w:lang w:val="fr-FR"/>
        </w:rPr>
        <w:t>atorze</w:t>
      </w:r>
      <w:r w:rsidR="00E45A98" w:rsidRPr="00202EB9">
        <w:rPr>
          <w:szCs w:val="22"/>
          <w:lang w:val="fr-FR"/>
        </w:rPr>
        <w:t> </w:t>
      </w:r>
      <w:r w:rsidR="00CE3C5B" w:rsidRPr="00202EB9">
        <w:rPr>
          <w:szCs w:val="22"/>
          <w:lang w:val="fr-FR"/>
        </w:rPr>
        <w:t>projets avaient été intégrés dans le programme et budget ordinaire de l</w:t>
      </w:r>
      <w:r w:rsidR="00426067" w:rsidRPr="00202EB9">
        <w:rPr>
          <w:szCs w:val="22"/>
          <w:lang w:val="fr-FR"/>
        </w:rPr>
        <w:t>’</w:t>
      </w:r>
      <w:r w:rsidR="00CE3C5B" w:rsidRPr="00202EB9">
        <w:rPr>
          <w:szCs w:val="22"/>
          <w:lang w:val="fr-FR"/>
        </w:rPr>
        <w:t>OMPI, et six</w:t>
      </w:r>
      <w:r w:rsidR="00E15713" w:rsidRPr="00202EB9">
        <w:rPr>
          <w:szCs w:val="22"/>
          <w:lang w:val="fr-FR"/>
        </w:rPr>
        <w:t> </w:t>
      </w:r>
      <w:r w:rsidR="00CE3C5B" w:rsidRPr="00202EB9">
        <w:rPr>
          <w:szCs w:val="22"/>
          <w:lang w:val="fr-FR"/>
        </w:rPr>
        <w:t xml:space="preserve">projets </w:t>
      </w:r>
      <w:r w:rsidR="003B7974" w:rsidRPr="00202EB9">
        <w:rPr>
          <w:szCs w:val="22"/>
          <w:lang w:val="fr-FR"/>
        </w:rPr>
        <w:t>étaient à différents stades de mise en œuvre.</w:t>
      </w:r>
    </w:p>
    <w:p w:rsidR="004372EF" w:rsidRPr="00202EB9" w:rsidRDefault="009827DE" w:rsidP="00255C01">
      <w:pPr>
        <w:pStyle w:val="ONUMFS"/>
        <w:rPr>
          <w:szCs w:val="22"/>
          <w:lang w:val="fr-FR"/>
        </w:rPr>
      </w:pPr>
      <w:r w:rsidRPr="00202EB9">
        <w:rPr>
          <w:szCs w:val="22"/>
          <w:lang w:val="fr-FR"/>
        </w:rPr>
        <w:t>Chacun des projets ci</w:t>
      </w:r>
      <w:r w:rsidR="001E787E" w:rsidRPr="00202EB9">
        <w:rPr>
          <w:szCs w:val="22"/>
          <w:lang w:val="fr-FR"/>
        </w:rPr>
        <w:noBreakHyphen/>
      </w:r>
      <w:r w:rsidRPr="00202EB9">
        <w:rPr>
          <w:szCs w:val="22"/>
          <w:lang w:val="fr-FR"/>
        </w:rPr>
        <w:t>dessus avait fait l</w:t>
      </w:r>
      <w:r w:rsidR="00426067" w:rsidRPr="00202EB9">
        <w:rPr>
          <w:szCs w:val="22"/>
          <w:lang w:val="fr-FR"/>
        </w:rPr>
        <w:t>’</w:t>
      </w:r>
      <w:r w:rsidRPr="00202EB9">
        <w:rPr>
          <w:szCs w:val="22"/>
          <w:lang w:val="fr-FR"/>
        </w:rPr>
        <w:t>objet d</w:t>
      </w:r>
      <w:r w:rsidR="00426067" w:rsidRPr="00202EB9">
        <w:rPr>
          <w:szCs w:val="22"/>
          <w:lang w:val="fr-FR"/>
        </w:rPr>
        <w:t>’</w:t>
      </w:r>
      <w:r w:rsidRPr="00202EB9">
        <w:rPr>
          <w:szCs w:val="22"/>
          <w:lang w:val="fr-FR"/>
        </w:rPr>
        <w:t>un compte rendu</w:t>
      </w:r>
      <w:r w:rsidR="007C0E42" w:rsidRPr="00202EB9">
        <w:rPr>
          <w:szCs w:val="22"/>
          <w:lang w:val="fr-FR"/>
        </w:rPr>
        <w:t xml:space="preserve"> dans les réunions</w:t>
      </w:r>
      <w:r w:rsidR="00426067" w:rsidRPr="00202EB9">
        <w:rPr>
          <w:szCs w:val="22"/>
          <w:lang w:val="fr-FR"/>
        </w:rPr>
        <w:t xml:space="preserve"> du </w:t>
      </w:r>
      <w:proofErr w:type="spellStart"/>
      <w:r w:rsidR="00426067" w:rsidRPr="00202EB9">
        <w:rPr>
          <w:szCs w:val="22"/>
          <w:lang w:val="fr-FR"/>
        </w:rPr>
        <w:t>CDI</w:t>
      </w:r>
      <w:r w:rsidR="007C0E42" w:rsidRPr="00202EB9">
        <w:rPr>
          <w:szCs w:val="22"/>
          <w:lang w:val="fr-FR"/>
        </w:rPr>
        <w:t>P</w:t>
      </w:r>
      <w:proofErr w:type="spellEnd"/>
      <w:r w:rsidR="007C0E42" w:rsidRPr="00202EB9">
        <w:rPr>
          <w:szCs w:val="22"/>
          <w:lang w:val="fr-FR"/>
        </w:rPr>
        <w:t>, des rapports d</w:t>
      </w:r>
      <w:r w:rsidR="00426067" w:rsidRPr="00202EB9">
        <w:rPr>
          <w:szCs w:val="22"/>
          <w:lang w:val="fr-FR"/>
        </w:rPr>
        <w:t>’</w:t>
      </w:r>
      <w:r w:rsidR="007C0E42" w:rsidRPr="00202EB9">
        <w:rPr>
          <w:szCs w:val="22"/>
          <w:lang w:val="fr-FR"/>
        </w:rPr>
        <w:t>auto</w:t>
      </w:r>
      <w:r w:rsidR="001E787E" w:rsidRPr="00202EB9">
        <w:rPr>
          <w:szCs w:val="22"/>
          <w:lang w:val="fr-FR"/>
        </w:rPr>
        <w:noBreakHyphen/>
      </w:r>
      <w:r w:rsidR="007C0E42" w:rsidRPr="00202EB9">
        <w:rPr>
          <w:szCs w:val="22"/>
          <w:lang w:val="fr-FR"/>
        </w:rPr>
        <w:t>évaluation avaient été établis par les chefs de projet et des évaluations avaient été effectuées par</w:t>
      </w:r>
      <w:r w:rsidR="007F7AEB" w:rsidRPr="00202EB9">
        <w:rPr>
          <w:szCs w:val="22"/>
          <w:lang w:val="fr-FR"/>
        </w:rPr>
        <w:t xml:space="preserve"> des évaluateurs indépendan</w:t>
      </w:r>
      <w:r w:rsidR="001E787E" w:rsidRPr="00202EB9">
        <w:rPr>
          <w:szCs w:val="22"/>
          <w:lang w:val="fr-FR"/>
        </w:rPr>
        <w:t>ts.  Ce</w:t>
      </w:r>
      <w:r w:rsidR="007F7AEB" w:rsidRPr="00202EB9">
        <w:rPr>
          <w:szCs w:val="22"/>
          <w:lang w:val="fr-FR"/>
        </w:rPr>
        <w:t>s aspects faisaient également partie du champ de l</w:t>
      </w:r>
      <w:r w:rsidR="00426067" w:rsidRPr="00202EB9">
        <w:rPr>
          <w:szCs w:val="22"/>
          <w:lang w:val="fr-FR"/>
        </w:rPr>
        <w:t>’</w:t>
      </w:r>
      <w:r w:rsidR="007F7AEB" w:rsidRPr="00202EB9">
        <w:rPr>
          <w:szCs w:val="22"/>
          <w:lang w:val="fr-FR"/>
        </w:rPr>
        <w:t>étude.</w:t>
      </w:r>
    </w:p>
    <w:p w:rsidR="004372EF" w:rsidRPr="00202EB9" w:rsidRDefault="00ED69AA" w:rsidP="00255C01">
      <w:pPr>
        <w:pStyle w:val="Heading4"/>
        <w:rPr>
          <w:szCs w:val="22"/>
          <w:lang w:val="fr-FR"/>
        </w:rPr>
      </w:pPr>
      <w:r w:rsidRPr="00202EB9">
        <w:rPr>
          <w:szCs w:val="22"/>
          <w:lang w:val="fr-FR"/>
        </w:rPr>
        <w:t>Examen de la mise en œuvre des recommandations du Plan d</w:t>
      </w:r>
      <w:r w:rsidR="00426067" w:rsidRPr="00202EB9">
        <w:rPr>
          <w:szCs w:val="22"/>
          <w:lang w:val="fr-FR"/>
        </w:rPr>
        <w:t>’</w:t>
      </w:r>
      <w:r w:rsidRPr="00202EB9">
        <w:rPr>
          <w:szCs w:val="22"/>
          <w:lang w:val="fr-FR"/>
        </w:rPr>
        <w:t>action pour le développement</w:t>
      </w:r>
    </w:p>
    <w:p w:rsidR="00255C01" w:rsidRPr="00202EB9" w:rsidRDefault="00255C01" w:rsidP="00255C01">
      <w:pPr>
        <w:rPr>
          <w:rFonts w:cs="Arial"/>
          <w:lang w:val="fr-FR" w:eastAsia="zh-CN" w:bidi="ar-SA"/>
        </w:rPr>
      </w:pPr>
    </w:p>
    <w:p w:rsidR="004372EF" w:rsidRPr="00202EB9" w:rsidRDefault="00A52C67" w:rsidP="00255C01">
      <w:pPr>
        <w:pStyle w:val="ONUMFS"/>
        <w:rPr>
          <w:szCs w:val="22"/>
          <w:lang w:val="fr-FR"/>
        </w:rPr>
      </w:pPr>
      <w:r w:rsidRPr="00202EB9">
        <w:rPr>
          <w:szCs w:val="22"/>
          <w:lang w:val="fr-FR"/>
        </w:rPr>
        <w:t xml:space="preserve">Le </w:t>
      </w:r>
      <w:proofErr w:type="spellStart"/>
      <w:r w:rsidRPr="00202EB9">
        <w:rPr>
          <w:szCs w:val="22"/>
          <w:lang w:val="fr-FR"/>
        </w:rPr>
        <w:t>CDIP</w:t>
      </w:r>
      <w:proofErr w:type="spellEnd"/>
      <w:r w:rsidR="008A7869" w:rsidRPr="00202EB9">
        <w:rPr>
          <w:szCs w:val="22"/>
          <w:lang w:val="fr-FR"/>
        </w:rPr>
        <w:t xml:space="preserve"> </w:t>
      </w:r>
      <w:r w:rsidR="00EB710F" w:rsidRPr="00202EB9">
        <w:rPr>
          <w:szCs w:val="22"/>
          <w:lang w:val="fr-FR"/>
        </w:rPr>
        <w:t>procède aussi périodiquement à la</w:t>
      </w:r>
      <w:r w:rsidR="008A7869" w:rsidRPr="00202EB9">
        <w:rPr>
          <w:szCs w:val="22"/>
          <w:lang w:val="fr-FR"/>
        </w:rPr>
        <w:t xml:space="preserve"> vérification</w:t>
      </w:r>
      <w:r w:rsidR="00EB710F" w:rsidRPr="00202EB9">
        <w:rPr>
          <w:szCs w:val="22"/>
          <w:lang w:val="fr-FR"/>
        </w:rPr>
        <w:t xml:space="preserve"> </w:t>
      </w:r>
      <w:r w:rsidR="008A7869" w:rsidRPr="00202EB9">
        <w:rPr>
          <w:szCs w:val="22"/>
          <w:lang w:val="fr-FR"/>
        </w:rPr>
        <w:t>de la mise en œuvre de chacune des recommandations du Plan d</w:t>
      </w:r>
      <w:r w:rsidR="00426067" w:rsidRPr="00202EB9">
        <w:rPr>
          <w:szCs w:val="22"/>
          <w:lang w:val="fr-FR"/>
        </w:rPr>
        <w:t>’</w:t>
      </w:r>
      <w:r w:rsidR="008A7869" w:rsidRPr="00202EB9">
        <w:rPr>
          <w:szCs w:val="22"/>
          <w:lang w:val="fr-FR"/>
        </w:rPr>
        <w:t>action pour le développement, et cela</w:t>
      </w:r>
      <w:r w:rsidR="0084637A" w:rsidRPr="00202EB9">
        <w:rPr>
          <w:szCs w:val="22"/>
          <w:lang w:val="fr-FR"/>
        </w:rPr>
        <w:t xml:space="preserve"> au moyen de rapports d</w:t>
      </w:r>
      <w:r w:rsidR="00426067" w:rsidRPr="00202EB9">
        <w:rPr>
          <w:szCs w:val="22"/>
          <w:lang w:val="fr-FR"/>
        </w:rPr>
        <w:t>’</w:t>
      </w:r>
      <w:r w:rsidR="0084637A" w:rsidRPr="00202EB9">
        <w:rPr>
          <w:szCs w:val="22"/>
          <w:lang w:val="fr-FR"/>
        </w:rPr>
        <w:t>état d</w:t>
      </w:r>
      <w:r w:rsidR="00426067" w:rsidRPr="00202EB9">
        <w:rPr>
          <w:szCs w:val="22"/>
          <w:lang w:val="fr-FR"/>
        </w:rPr>
        <w:t>’</w:t>
      </w:r>
      <w:r w:rsidR="0084637A" w:rsidRPr="00202EB9">
        <w:rPr>
          <w:szCs w:val="22"/>
          <w:lang w:val="fr-FR"/>
        </w:rPr>
        <w:t xml:space="preserve">avancement </w:t>
      </w:r>
      <w:r w:rsidR="00EB710F" w:rsidRPr="00202EB9">
        <w:rPr>
          <w:szCs w:val="22"/>
          <w:lang w:val="fr-FR"/>
        </w:rPr>
        <w:t xml:space="preserve">comprenant un </w:t>
      </w:r>
      <w:r w:rsidR="0084637A" w:rsidRPr="00202EB9">
        <w:rPr>
          <w:szCs w:val="22"/>
          <w:lang w:val="fr-FR"/>
        </w:rPr>
        <w:t xml:space="preserve">compte </w:t>
      </w:r>
      <w:r w:rsidR="00EB710F" w:rsidRPr="00202EB9">
        <w:rPr>
          <w:szCs w:val="22"/>
          <w:lang w:val="fr-FR"/>
        </w:rPr>
        <w:t xml:space="preserve">rendu </w:t>
      </w:r>
      <w:r w:rsidR="0084637A" w:rsidRPr="00202EB9">
        <w:rPr>
          <w:szCs w:val="22"/>
          <w:lang w:val="fr-FR"/>
        </w:rPr>
        <w:t xml:space="preserve">des activités des secteurs et divisions concernés du Secrétariat, ainsi que </w:t>
      </w:r>
      <w:r w:rsidR="00EB710F" w:rsidRPr="00202EB9">
        <w:rPr>
          <w:szCs w:val="22"/>
          <w:lang w:val="fr-FR"/>
        </w:rPr>
        <w:t>l</w:t>
      </w:r>
      <w:r w:rsidR="0084637A" w:rsidRPr="00202EB9">
        <w:rPr>
          <w:szCs w:val="22"/>
          <w:lang w:val="fr-FR"/>
        </w:rPr>
        <w:t>es rapports du Directeur général sur</w:t>
      </w:r>
      <w:r w:rsidR="00426067" w:rsidRPr="00202EB9">
        <w:rPr>
          <w:szCs w:val="22"/>
          <w:lang w:val="fr-FR"/>
        </w:rPr>
        <w:t xml:space="preserve"> le </w:t>
      </w:r>
      <w:proofErr w:type="spellStart"/>
      <w:r w:rsidR="00426067" w:rsidRPr="00202EB9">
        <w:rPr>
          <w:szCs w:val="22"/>
          <w:lang w:val="fr-FR"/>
        </w:rPr>
        <w:t>C</w:t>
      </w:r>
      <w:r w:rsidR="001E787E" w:rsidRPr="00202EB9">
        <w:rPr>
          <w:szCs w:val="22"/>
          <w:lang w:val="fr-FR"/>
        </w:rPr>
        <w:t>DIP</w:t>
      </w:r>
      <w:proofErr w:type="spellEnd"/>
      <w:r w:rsidR="001E787E" w:rsidRPr="00202EB9">
        <w:rPr>
          <w:szCs w:val="22"/>
          <w:lang w:val="fr-FR"/>
        </w:rPr>
        <w:t>.  To</w:t>
      </w:r>
      <w:r w:rsidR="00552A47" w:rsidRPr="00202EB9">
        <w:rPr>
          <w:szCs w:val="22"/>
          <w:lang w:val="fr-FR"/>
        </w:rPr>
        <w:t>us ces éléments ont été pris en compte et examinés dans le cadre de l</w:t>
      </w:r>
      <w:r w:rsidR="00426067" w:rsidRPr="00202EB9">
        <w:rPr>
          <w:szCs w:val="22"/>
          <w:lang w:val="fr-FR"/>
        </w:rPr>
        <w:t>’</w:t>
      </w:r>
      <w:r w:rsidR="00552A47" w:rsidRPr="00202EB9">
        <w:rPr>
          <w:szCs w:val="22"/>
          <w:lang w:val="fr-FR"/>
        </w:rPr>
        <w:t>étude (</w:t>
      </w:r>
      <w:r w:rsidR="00BA2168" w:rsidRPr="00202EB9">
        <w:rPr>
          <w:szCs w:val="22"/>
          <w:lang w:val="fr-FR"/>
        </w:rPr>
        <w:t>pour plus de détails, voir “</w:t>
      </w:r>
      <w:r w:rsidR="0001052C" w:rsidRPr="00202EB9">
        <w:rPr>
          <w:szCs w:val="22"/>
          <w:lang w:val="fr-FR"/>
        </w:rPr>
        <w:t xml:space="preserve">Étude </w:t>
      </w:r>
      <w:r w:rsidR="00C43860" w:rsidRPr="00202EB9">
        <w:rPr>
          <w:szCs w:val="22"/>
          <w:lang w:val="fr-FR"/>
        </w:rPr>
        <w:t>préliminaire</w:t>
      </w:r>
      <w:r w:rsidR="00BA2168" w:rsidRPr="00202EB9">
        <w:rPr>
          <w:szCs w:val="22"/>
          <w:lang w:val="fr-FR"/>
        </w:rPr>
        <w:t xml:space="preserve"> de la documentation relative à la mise en œuvre”).</w:t>
      </w:r>
    </w:p>
    <w:p w:rsidR="004372EF" w:rsidRPr="00202EB9" w:rsidRDefault="004372EF" w:rsidP="00255C01">
      <w:pPr>
        <w:pStyle w:val="Heading3"/>
        <w:rPr>
          <w:szCs w:val="22"/>
          <w:lang w:val="fr-FR"/>
        </w:rPr>
      </w:pPr>
      <w:bookmarkStart w:id="11" w:name="_Toc460492853"/>
      <w:r w:rsidRPr="008D1193">
        <w:rPr>
          <w:szCs w:val="22"/>
          <w:u w:val="none"/>
          <w:lang w:val="fr-FR"/>
        </w:rPr>
        <w:t>d.</w:t>
      </w:r>
      <w:r w:rsidR="00255C01" w:rsidRPr="008D1193">
        <w:rPr>
          <w:szCs w:val="22"/>
          <w:u w:val="none"/>
          <w:lang w:val="fr-FR"/>
        </w:rPr>
        <w:tab/>
      </w:r>
      <w:r w:rsidR="00BA2168" w:rsidRPr="00202EB9">
        <w:rPr>
          <w:szCs w:val="22"/>
          <w:lang w:val="fr-FR"/>
        </w:rPr>
        <w:t>Autres organes de l</w:t>
      </w:r>
      <w:r w:rsidR="00426067" w:rsidRPr="00202EB9">
        <w:rPr>
          <w:szCs w:val="22"/>
          <w:lang w:val="fr-FR"/>
        </w:rPr>
        <w:t>’</w:t>
      </w:r>
      <w:r w:rsidR="00BA2168" w:rsidRPr="00202EB9">
        <w:rPr>
          <w:szCs w:val="22"/>
          <w:lang w:val="fr-FR"/>
        </w:rPr>
        <w:t xml:space="preserve">OMPI et organisations </w:t>
      </w:r>
      <w:proofErr w:type="spellStart"/>
      <w:r w:rsidR="00BA2168" w:rsidRPr="00202EB9">
        <w:rPr>
          <w:szCs w:val="22"/>
          <w:lang w:val="fr-FR"/>
        </w:rPr>
        <w:t>intergouvernementales</w:t>
      </w:r>
      <w:bookmarkEnd w:id="11"/>
      <w:proofErr w:type="spellEnd"/>
    </w:p>
    <w:p w:rsidR="00255C01" w:rsidRPr="00202EB9" w:rsidRDefault="00255C01" w:rsidP="00255C01">
      <w:pPr>
        <w:rPr>
          <w:rFonts w:cs="Arial"/>
          <w:lang w:val="fr-FR" w:eastAsia="zh-CN" w:bidi="ar-SA"/>
        </w:rPr>
      </w:pPr>
    </w:p>
    <w:p w:rsidR="004372EF" w:rsidRPr="00202EB9" w:rsidRDefault="00D50CF0"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étude indépendante a également pris en considération le fait qu</w:t>
      </w:r>
      <w:r w:rsidR="00426067" w:rsidRPr="00202EB9">
        <w:rPr>
          <w:szCs w:val="22"/>
          <w:lang w:val="fr-FR"/>
        </w:rPr>
        <w:t>’</w:t>
      </w:r>
      <w:r w:rsidRPr="00202EB9">
        <w:rPr>
          <w:szCs w:val="22"/>
          <w:lang w:val="fr-FR"/>
        </w:rPr>
        <w:t>en plus</w:t>
      </w:r>
      <w:r w:rsidR="00426067" w:rsidRPr="00202EB9">
        <w:rPr>
          <w:szCs w:val="22"/>
          <w:lang w:val="fr-FR"/>
        </w:rPr>
        <w:t xml:space="preserve"> du </w:t>
      </w:r>
      <w:proofErr w:type="spellStart"/>
      <w:r w:rsidR="00426067" w:rsidRPr="00202EB9">
        <w:rPr>
          <w:szCs w:val="22"/>
          <w:lang w:val="fr-FR"/>
        </w:rPr>
        <w:t>CDI</w:t>
      </w:r>
      <w:r w:rsidR="00410A63" w:rsidRPr="00202EB9">
        <w:rPr>
          <w:szCs w:val="22"/>
          <w:lang w:val="fr-FR"/>
        </w:rPr>
        <w:t>P</w:t>
      </w:r>
      <w:proofErr w:type="spellEnd"/>
      <w:r w:rsidR="00FB21FF" w:rsidRPr="00202EB9">
        <w:rPr>
          <w:szCs w:val="22"/>
          <w:lang w:val="fr-FR"/>
        </w:rPr>
        <w:t>,</w:t>
      </w:r>
      <w:r w:rsidR="00410A63" w:rsidRPr="00202EB9">
        <w:rPr>
          <w:szCs w:val="22"/>
          <w:lang w:val="fr-FR"/>
        </w:rPr>
        <w:t xml:space="preserve"> qui joue un</w:t>
      </w:r>
      <w:r w:rsidRPr="00202EB9">
        <w:rPr>
          <w:szCs w:val="22"/>
          <w:lang w:val="fr-FR"/>
        </w:rPr>
        <w:t xml:space="preserve"> rôle central, un certain nombre d</w:t>
      </w:r>
      <w:r w:rsidR="00426067" w:rsidRPr="00202EB9">
        <w:rPr>
          <w:szCs w:val="22"/>
          <w:lang w:val="fr-FR"/>
        </w:rPr>
        <w:t>’</w:t>
      </w:r>
      <w:r w:rsidRPr="00202EB9">
        <w:rPr>
          <w:szCs w:val="22"/>
          <w:lang w:val="fr-FR"/>
        </w:rPr>
        <w:t>autres organes de l</w:t>
      </w:r>
      <w:r w:rsidR="00426067" w:rsidRPr="00202EB9">
        <w:rPr>
          <w:szCs w:val="22"/>
          <w:lang w:val="fr-FR"/>
        </w:rPr>
        <w:t>’</w:t>
      </w:r>
      <w:r w:rsidRPr="00202EB9">
        <w:rPr>
          <w:szCs w:val="22"/>
          <w:lang w:val="fr-FR"/>
        </w:rPr>
        <w:t>OMPI</w:t>
      </w:r>
      <w:r w:rsidR="00410A63" w:rsidRPr="00202EB9">
        <w:rPr>
          <w:szCs w:val="22"/>
          <w:lang w:val="fr-FR"/>
        </w:rPr>
        <w:t xml:space="preserve"> rendent compte à l</w:t>
      </w:r>
      <w:r w:rsidR="00426067" w:rsidRPr="00202EB9">
        <w:rPr>
          <w:szCs w:val="22"/>
          <w:lang w:val="fr-FR"/>
        </w:rPr>
        <w:t>’</w:t>
      </w:r>
      <w:r w:rsidR="00410A63" w:rsidRPr="00202EB9">
        <w:rPr>
          <w:szCs w:val="22"/>
          <w:lang w:val="fr-FR"/>
        </w:rPr>
        <w:t>Assemblée générale de leurs activités en matière de mise en œuvre des recommandations du Plan d</w:t>
      </w:r>
      <w:r w:rsidR="00426067" w:rsidRPr="00202EB9">
        <w:rPr>
          <w:szCs w:val="22"/>
          <w:lang w:val="fr-FR"/>
        </w:rPr>
        <w:t>’</w:t>
      </w:r>
      <w:r w:rsidR="00410A63" w:rsidRPr="00202EB9">
        <w:rPr>
          <w:szCs w:val="22"/>
          <w:lang w:val="fr-FR"/>
        </w:rPr>
        <w:t>action pour le développement;  c</w:t>
      </w:r>
      <w:r w:rsidR="00426067" w:rsidRPr="00202EB9">
        <w:rPr>
          <w:szCs w:val="22"/>
          <w:lang w:val="fr-FR"/>
        </w:rPr>
        <w:t>’</w:t>
      </w:r>
      <w:r w:rsidR="00410A63" w:rsidRPr="00202EB9">
        <w:rPr>
          <w:szCs w:val="22"/>
          <w:lang w:val="fr-FR"/>
        </w:rPr>
        <w:t>est notamment le cas du Comité permanent du droit d</w:t>
      </w:r>
      <w:r w:rsidR="00426067" w:rsidRPr="00202EB9">
        <w:rPr>
          <w:szCs w:val="22"/>
          <w:lang w:val="fr-FR"/>
        </w:rPr>
        <w:t>’</w:t>
      </w:r>
      <w:r w:rsidR="00410A63" w:rsidRPr="00202EB9">
        <w:rPr>
          <w:szCs w:val="22"/>
          <w:lang w:val="fr-FR"/>
        </w:rPr>
        <w:t>auteur et des droits connexes (</w:t>
      </w:r>
      <w:proofErr w:type="spellStart"/>
      <w:r w:rsidR="00410A63" w:rsidRPr="00202EB9">
        <w:rPr>
          <w:szCs w:val="22"/>
          <w:lang w:val="fr-FR"/>
        </w:rPr>
        <w:t>SCCR</w:t>
      </w:r>
      <w:proofErr w:type="spellEnd"/>
      <w:r w:rsidR="00410A63" w:rsidRPr="00202EB9">
        <w:rPr>
          <w:szCs w:val="22"/>
          <w:lang w:val="fr-FR"/>
        </w:rPr>
        <w:t xml:space="preserve">), du Comité intergouvernemental de la propriété intellectuelle relative aux ressources génétiques, aux savoirs traditionnels et au folklore (IGC), </w:t>
      </w:r>
      <w:r w:rsidR="00C70DD5" w:rsidRPr="00202EB9">
        <w:rPr>
          <w:szCs w:val="22"/>
          <w:lang w:val="fr-FR"/>
        </w:rPr>
        <w:t>du Comité permanent du droit des brevets (</w:t>
      </w:r>
      <w:proofErr w:type="spellStart"/>
      <w:r w:rsidR="00C70DD5" w:rsidRPr="00202EB9">
        <w:rPr>
          <w:szCs w:val="22"/>
          <w:lang w:val="fr-FR"/>
        </w:rPr>
        <w:t>SCP</w:t>
      </w:r>
      <w:proofErr w:type="spellEnd"/>
      <w:r w:rsidR="00C70DD5" w:rsidRPr="00202EB9">
        <w:rPr>
          <w:szCs w:val="22"/>
          <w:lang w:val="fr-FR"/>
        </w:rPr>
        <w:t xml:space="preserve">), du Comité permanent du droit des marques </w:t>
      </w:r>
      <w:r w:rsidR="004372EF" w:rsidRPr="00202EB9">
        <w:rPr>
          <w:szCs w:val="22"/>
          <w:lang w:val="fr-FR"/>
        </w:rPr>
        <w:t>(</w:t>
      </w:r>
      <w:proofErr w:type="spellStart"/>
      <w:r w:rsidR="004372EF" w:rsidRPr="00202EB9">
        <w:rPr>
          <w:szCs w:val="22"/>
          <w:lang w:val="fr-FR"/>
        </w:rPr>
        <w:t>SCT</w:t>
      </w:r>
      <w:proofErr w:type="spellEnd"/>
      <w:r w:rsidR="004372EF" w:rsidRPr="00202EB9">
        <w:rPr>
          <w:szCs w:val="22"/>
          <w:lang w:val="fr-FR"/>
        </w:rPr>
        <w:t>),</w:t>
      </w:r>
      <w:r w:rsidR="00C70DD5" w:rsidRPr="00202EB9">
        <w:rPr>
          <w:szCs w:val="22"/>
          <w:lang w:val="fr-FR"/>
        </w:rPr>
        <w:t xml:space="preserve"> du Comité consultatif sur l</w:t>
      </w:r>
      <w:r w:rsidR="00426067" w:rsidRPr="00202EB9">
        <w:rPr>
          <w:szCs w:val="22"/>
          <w:lang w:val="fr-FR"/>
        </w:rPr>
        <w:t>’</w:t>
      </w:r>
      <w:r w:rsidR="00C70DD5" w:rsidRPr="00202EB9">
        <w:rPr>
          <w:szCs w:val="22"/>
          <w:lang w:val="fr-FR"/>
        </w:rPr>
        <w:t>application des droits (ACE) et du Groupe de travail</w:t>
      </w:r>
      <w:r w:rsidR="00426067" w:rsidRPr="00202EB9">
        <w:rPr>
          <w:szCs w:val="22"/>
          <w:lang w:val="fr-FR"/>
        </w:rPr>
        <w:t xml:space="preserve"> du </w:t>
      </w:r>
      <w:proofErr w:type="spellStart"/>
      <w:r w:rsidR="00426067" w:rsidRPr="00202EB9">
        <w:rPr>
          <w:szCs w:val="22"/>
          <w:lang w:val="fr-FR"/>
        </w:rPr>
        <w:t>PCT</w:t>
      </w:r>
      <w:proofErr w:type="spellEnd"/>
      <w:r w:rsidR="00C70DD5" w:rsidRPr="00202EB9">
        <w:rPr>
          <w:szCs w:val="22"/>
          <w:lang w:val="fr-FR"/>
        </w:rPr>
        <w:t>.</w:t>
      </w:r>
    </w:p>
    <w:p w:rsidR="004372EF" w:rsidRPr="00202EB9" w:rsidRDefault="00AD74A1"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étude a également examiné la coopération de l</w:t>
      </w:r>
      <w:r w:rsidR="00426067" w:rsidRPr="00202EB9">
        <w:rPr>
          <w:szCs w:val="22"/>
          <w:lang w:val="fr-FR"/>
        </w:rPr>
        <w:t>’</w:t>
      </w:r>
      <w:r w:rsidRPr="00202EB9">
        <w:rPr>
          <w:szCs w:val="22"/>
          <w:lang w:val="fr-FR"/>
        </w:rPr>
        <w:t xml:space="preserve">OMPI avec certaines organisations internationales et institutions des </w:t>
      </w:r>
      <w:r w:rsidR="00426067" w:rsidRPr="00202EB9">
        <w:rPr>
          <w:szCs w:val="22"/>
          <w:lang w:val="fr-FR"/>
        </w:rPr>
        <w:t>Nations Unies</w:t>
      </w:r>
      <w:r w:rsidRPr="00202EB9">
        <w:rPr>
          <w:szCs w:val="22"/>
          <w:lang w:val="fr-FR"/>
        </w:rPr>
        <w:t xml:space="preserve"> telles que l</w:t>
      </w:r>
      <w:r w:rsidR="00426067" w:rsidRPr="00202EB9">
        <w:rPr>
          <w:szCs w:val="22"/>
          <w:lang w:val="fr-FR"/>
        </w:rPr>
        <w:t>’</w:t>
      </w:r>
      <w:r w:rsidRPr="00202EB9">
        <w:rPr>
          <w:szCs w:val="22"/>
          <w:lang w:val="fr-FR"/>
        </w:rPr>
        <w:t xml:space="preserve">Organisation mondiale du commerce (OMC), </w:t>
      </w:r>
      <w:r w:rsidR="00E570B5" w:rsidRPr="00202EB9">
        <w:rPr>
          <w:szCs w:val="22"/>
          <w:lang w:val="fr-FR"/>
        </w:rPr>
        <w:t xml:space="preserve">le Conseil économique et social des </w:t>
      </w:r>
      <w:r w:rsidR="00426067" w:rsidRPr="00202EB9">
        <w:rPr>
          <w:szCs w:val="22"/>
          <w:lang w:val="fr-FR"/>
        </w:rPr>
        <w:t>Nations Unies</w:t>
      </w:r>
      <w:r w:rsidR="00E570B5" w:rsidRPr="00202EB9">
        <w:rPr>
          <w:szCs w:val="22"/>
          <w:lang w:val="fr-FR"/>
        </w:rPr>
        <w:t xml:space="preserve"> (</w:t>
      </w:r>
      <w:proofErr w:type="spellStart"/>
      <w:r w:rsidR="004372EF" w:rsidRPr="00202EB9">
        <w:rPr>
          <w:szCs w:val="22"/>
          <w:lang w:val="fr-FR"/>
        </w:rPr>
        <w:t>ECOSOC</w:t>
      </w:r>
      <w:proofErr w:type="spellEnd"/>
      <w:r w:rsidR="004372EF" w:rsidRPr="00202EB9">
        <w:rPr>
          <w:szCs w:val="22"/>
          <w:lang w:val="fr-FR"/>
        </w:rPr>
        <w:t xml:space="preserve">), </w:t>
      </w:r>
      <w:r w:rsidR="004A398A" w:rsidRPr="00202EB9">
        <w:rPr>
          <w:szCs w:val="22"/>
          <w:lang w:val="fr-FR"/>
        </w:rPr>
        <w:t>la Conférence des Nations unies sur le commerce et le développement (</w:t>
      </w:r>
      <w:proofErr w:type="spellStart"/>
      <w:r w:rsidR="004A398A" w:rsidRPr="00202EB9">
        <w:rPr>
          <w:szCs w:val="22"/>
          <w:lang w:val="fr-FR"/>
        </w:rPr>
        <w:t>CNUCED</w:t>
      </w:r>
      <w:proofErr w:type="spellEnd"/>
      <w:r w:rsidR="004A398A" w:rsidRPr="00202EB9">
        <w:rPr>
          <w:szCs w:val="22"/>
          <w:lang w:val="fr-FR"/>
        </w:rPr>
        <w:t>), l</w:t>
      </w:r>
      <w:r w:rsidR="00426067" w:rsidRPr="00202EB9">
        <w:rPr>
          <w:szCs w:val="22"/>
          <w:lang w:val="fr-FR"/>
        </w:rPr>
        <w:t>’</w:t>
      </w:r>
      <w:r w:rsidR="009C1C3A" w:rsidRPr="00202EB9">
        <w:rPr>
          <w:szCs w:val="22"/>
          <w:lang w:val="fr-FR"/>
        </w:rPr>
        <w:t>Organisation des Nations U</w:t>
      </w:r>
      <w:r w:rsidR="004A398A" w:rsidRPr="00202EB9">
        <w:rPr>
          <w:szCs w:val="22"/>
          <w:lang w:val="fr-FR"/>
        </w:rPr>
        <w:t>nies pour le développement industriel (ONUDI)</w:t>
      </w:r>
      <w:r w:rsidR="004372EF" w:rsidRPr="00202EB9">
        <w:rPr>
          <w:szCs w:val="22"/>
          <w:lang w:val="fr-FR"/>
        </w:rPr>
        <w:t xml:space="preserve">, </w:t>
      </w:r>
      <w:r w:rsidR="00750B29" w:rsidRPr="00202EB9">
        <w:rPr>
          <w:szCs w:val="22"/>
          <w:lang w:val="fr-FR"/>
        </w:rPr>
        <w:t>l</w:t>
      </w:r>
      <w:r w:rsidR="00426067" w:rsidRPr="00202EB9">
        <w:rPr>
          <w:szCs w:val="22"/>
          <w:lang w:val="fr-FR"/>
        </w:rPr>
        <w:t>’</w:t>
      </w:r>
      <w:r w:rsidR="00750B29" w:rsidRPr="00202EB9">
        <w:rPr>
          <w:szCs w:val="22"/>
          <w:lang w:val="fr-FR"/>
        </w:rPr>
        <w:t>Organisation mondiale de la Santé (OMS), l</w:t>
      </w:r>
      <w:r w:rsidR="00426067" w:rsidRPr="00202EB9">
        <w:rPr>
          <w:szCs w:val="22"/>
          <w:lang w:val="fr-FR"/>
        </w:rPr>
        <w:t>’</w:t>
      </w:r>
      <w:r w:rsidR="00750B29" w:rsidRPr="00202EB9">
        <w:rPr>
          <w:szCs w:val="22"/>
          <w:lang w:val="fr-FR"/>
        </w:rPr>
        <w:t xml:space="preserve">Organisation des </w:t>
      </w:r>
      <w:r w:rsidR="00426067" w:rsidRPr="00202EB9">
        <w:rPr>
          <w:szCs w:val="22"/>
          <w:lang w:val="fr-FR"/>
        </w:rPr>
        <w:t>Nations Unies</w:t>
      </w:r>
      <w:r w:rsidR="00750B29" w:rsidRPr="00202EB9">
        <w:rPr>
          <w:szCs w:val="22"/>
          <w:lang w:val="fr-FR"/>
        </w:rPr>
        <w:t xml:space="preserve"> pour l</w:t>
      </w:r>
      <w:r w:rsidR="00426067" w:rsidRPr="00202EB9">
        <w:rPr>
          <w:szCs w:val="22"/>
          <w:lang w:val="fr-FR"/>
        </w:rPr>
        <w:t>’</w:t>
      </w:r>
      <w:r w:rsidR="00750B29" w:rsidRPr="00202EB9">
        <w:rPr>
          <w:szCs w:val="22"/>
          <w:lang w:val="fr-FR"/>
        </w:rPr>
        <w:t>alimentation et l</w:t>
      </w:r>
      <w:r w:rsidR="00426067" w:rsidRPr="00202EB9">
        <w:rPr>
          <w:szCs w:val="22"/>
          <w:lang w:val="fr-FR"/>
        </w:rPr>
        <w:t>’</w:t>
      </w:r>
      <w:r w:rsidR="00750B29" w:rsidRPr="00202EB9">
        <w:rPr>
          <w:szCs w:val="22"/>
          <w:lang w:val="fr-FR"/>
        </w:rPr>
        <w:t>agriculture (FAO), la Convention</w:t>
      </w:r>
      <w:r w:rsidR="001E787E" w:rsidRPr="00202EB9">
        <w:rPr>
          <w:szCs w:val="22"/>
          <w:lang w:val="fr-FR"/>
        </w:rPr>
        <w:noBreakHyphen/>
      </w:r>
      <w:r w:rsidR="00750B29" w:rsidRPr="00202EB9">
        <w:rPr>
          <w:szCs w:val="22"/>
          <w:lang w:val="fr-FR"/>
        </w:rPr>
        <w:t xml:space="preserve">cadre des </w:t>
      </w:r>
      <w:r w:rsidR="00426067" w:rsidRPr="00202EB9">
        <w:rPr>
          <w:szCs w:val="22"/>
          <w:lang w:val="fr-FR"/>
        </w:rPr>
        <w:t>Nations Unies</w:t>
      </w:r>
      <w:r w:rsidR="00750B29" w:rsidRPr="00202EB9">
        <w:rPr>
          <w:szCs w:val="22"/>
          <w:lang w:val="fr-FR"/>
        </w:rPr>
        <w:t xml:space="preserve"> sur les changements climatiques </w:t>
      </w:r>
      <w:proofErr w:type="spellStart"/>
      <w:r w:rsidR="00750B29" w:rsidRPr="00202EB9">
        <w:rPr>
          <w:szCs w:val="22"/>
          <w:lang w:val="fr-FR"/>
        </w:rPr>
        <w:t>CCNU</w:t>
      </w:r>
      <w:r w:rsidR="004372EF" w:rsidRPr="00202EB9">
        <w:rPr>
          <w:szCs w:val="22"/>
          <w:lang w:val="fr-FR"/>
        </w:rPr>
        <w:t>CC</w:t>
      </w:r>
      <w:proofErr w:type="spellEnd"/>
      <w:r w:rsidR="004372EF" w:rsidRPr="00202EB9">
        <w:rPr>
          <w:szCs w:val="22"/>
          <w:lang w:val="fr-FR"/>
        </w:rPr>
        <w:t>)</w:t>
      </w:r>
      <w:r w:rsidR="00750B29" w:rsidRPr="00202EB9">
        <w:rPr>
          <w:szCs w:val="22"/>
          <w:lang w:val="fr-FR"/>
        </w:rPr>
        <w:t xml:space="preserve"> </w:t>
      </w:r>
      <w:r w:rsidR="00D07B32" w:rsidRPr="00202EB9">
        <w:rPr>
          <w:szCs w:val="22"/>
          <w:lang w:val="fr-FR"/>
        </w:rPr>
        <w:t>et le Sommet mondial sur la société de l</w:t>
      </w:r>
      <w:r w:rsidR="00426067" w:rsidRPr="00202EB9">
        <w:rPr>
          <w:szCs w:val="22"/>
          <w:lang w:val="fr-FR"/>
        </w:rPr>
        <w:t>’</w:t>
      </w:r>
      <w:r w:rsidR="00D07B32" w:rsidRPr="00202EB9">
        <w:rPr>
          <w:szCs w:val="22"/>
          <w:lang w:val="fr-FR"/>
        </w:rPr>
        <w:t>information (</w:t>
      </w:r>
      <w:proofErr w:type="spellStart"/>
      <w:r w:rsidR="00D07B32" w:rsidRPr="00202EB9">
        <w:rPr>
          <w:szCs w:val="22"/>
          <w:lang w:val="fr-FR"/>
        </w:rPr>
        <w:t>SMSI</w:t>
      </w:r>
      <w:proofErr w:type="spellEnd"/>
      <w:r w:rsidR="00D07B32" w:rsidRPr="00202EB9">
        <w:rPr>
          <w:szCs w:val="22"/>
          <w:lang w:val="fr-FR"/>
        </w:rPr>
        <w:t>).</w:t>
      </w:r>
    </w:p>
    <w:p w:rsidR="004372EF" w:rsidRPr="00202EB9" w:rsidRDefault="00255C01" w:rsidP="00255C01">
      <w:pPr>
        <w:pStyle w:val="Heading3"/>
        <w:rPr>
          <w:szCs w:val="22"/>
          <w:lang w:val="fr-FR"/>
        </w:rPr>
      </w:pPr>
      <w:bookmarkStart w:id="12" w:name="_Toc460492854"/>
      <w:r w:rsidRPr="008D1193">
        <w:rPr>
          <w:szCs w:val="22"/>
          <w:u w:val="none"/>
          <w:lang w:val="fr-FR"/>
        </w:rPr>
        <w:t>e.</w:t>
      </w:r>
      <w:r w:rsidRPr="008D1193">
        <w:rPr>
          <w:szCs w:val="22"/>
          <w:u w:val="none"/>
          <w:lang w:val="fr-FR"/>
        </w:rPr>
        <w:tab/>
      </w:r>
      <w:r w:rsidR="00BA3938" w:rsidRPr="00202EB9">
        <w:rPr>
          <w:szCs w:val="22"/>
          <w:lang w:val="fr-FR"/>
        </w:rPr>
        <w:t>S</w:t>
      </w:r>
      <w:r w:rsidR="004372EF" w:rsidRPr="00202EB9">
        <w:rPr>
          <w:szCs w:val="22"/>
          <w:lang w:val="fr-FR"/>
        </w:rPr>
        <w:t>ecr</w:t>
      </w:r>
      <w:r w:rsidR="00220E9F" w:rsidRPr="00202EB9">
        <w:rPr>
          <w:szCs w:val="22"/>
          <w:lang w:val="fr-FR"/>
        </w:rPr>
        <w:t>é</w:t>
      </w:r>
      <w:r w:rsidR="004372EF" w:rsidRPr="00202EB9">
        <w:rPr>
          <w:szCs w:val="22"/>
          <w:lang w:val="fr-FR"/>
        </w:rPr>
        <w:t xml:space="preserve">tariat </w:t>
      </w:r>
      <w:r w:rsidR="00220E9F" w:rsidRPr="00202EB9">
        <w:rPr>
          <w:szCs w:val="22"/>
          <w:lang w:val="fr-FR"/>
        </w:rPr>
        <w:t>et parties prenantes en général</w:t>
      </w:r>
      <w:bookmarkEnd w:id="12"/>
    </w:p>
    <w:p w:rsidR="00255C01" w:rsidRPr="00202EB9" w:rsidRDefault="00255C01" w:rsidP="00255C01">
      <w:pPr>
        <w:rPr>
          <w:rFonts w:cs="Arial"/>
          <w:lang w:val="fr-FR" w:eastAsia="zh-CN" w:bidi="ar-SA"/>
        </w:rPr>
      </w:pPr>
    </w:p>
    <w:p w:rsidR="004372EF" w:rsidRPr="00202EB9" w:rsidRDefault="00F12D99"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équipe chargée de l</w:t>
      </w:r>
      <w:r w:rsidR="00426067" w:rsidRPr="00202EB9">
        <w:rPr>
          <w:szCs w:val="22"/>
          <w:lang w:val="fr-FR"/>
        </w:rPr>
        <w:t>’</w:t>
      </w:r>
      <w:r w:rsidRPr="00202EB9">
        <w:rPr>
          <w:szCs w:val="22"/>
          <w:lang w:val="fr-FR"/>
        </w:rPr>
        <w:t xml:space="preserve">étude a </w:t>
      </w:r>
      <w:r w:rsidR="00FE39AF" w:rsidRPr="00202EB9">
        <w:rPr>
          <w:szCs w:val="22"/>
          <w:lang w:val="fr-FR"/>
        </w:rPr>
        <w:t>examiné en détail l</w:t>
      </w:r>
      <w:r w:rsidRPr="00202EB9">
        <w:rPr>
          <w:szCs w:val="22"/>
          <w:lang w:val="fr-FR"/>
        </w:rPr>
        <w:t>es travaux et activités du Secrétariat</w:t>
      </w:r>
      <w:r w:rsidR="00A5023C" w:rsidRPr="00202EB9">
        <w:rPr>
          <w:szCs w:val="22"/>
          <w:lang w:val="fr-FR"/>
        </w:rPr>
        <w:t xml:space="preserve"> se rapportant à la mise en œuvre des recommandations du Plan d</w:t>
      </w:r>
      <w:r w:rsidR="00426067" w:rsidRPr="00202EB9">
        <w:rPr>
          <w:szCs w:val="22"/>
          <w:lang w:val="fr-FR"/>
        </w:rPr>
        <w:t>’</w:t>
      </w:r>
      <w:r w:rsidR="00A5023C" w:rsidRPr="00202EB9">
        <w:rPr>
          <w:szCs w:val="22"/>
          <w:lang w:val="fr-FR"/>
        </w:rPr>
        <w:t>action pour le développement –</w:t>
      </w:r>
      <w:r w:rsidRPr="00202EB9">
        <w:rPr>
          <w:szCs w:val="22"/>
          <w:lang w:val="fr-FR"/>
        </w:rPr>
        <w:t xml:space="preserve"> et en particulier </w:t>
      </w:r>
      <w:r w:rsidR="00FE39AF" w:rsidRPr="00202EB9">
        <w:rPr>
          <w:szCs w:val="22"/>
          <w:lang w:val="fr-FR"/>
        </w:rPr>
        <w:t>le</w:t>
      </w:r>
      <w:r w:rsidRPr="00202EB9">
        <w:rPr>
          <w:szCs w:val="22"/>
          <w:lang w:val="fr-FR"/>
        </w:rPr>
        <w:t xml:space="preserve"> rôle de la Division de la coordination du Plan d</w:t>
      </w:r>
      <w:r w:rsidR="00426067" w:rsidRPr="00202EB9">
        <w:rPr>
          <w:szCs w:val="22"/>
          <w:lang w:val="fr-FR"/>
        </w:rPr>
        <w:t>’</w:t>
      </w:r>
      <w:r w:rsidRPr="00202EB9">
        <w:rPr>
          <w:szCs w:val="22"/>
          <w:lang w:val="fr-FR"/>
        </w:rPr>
        <w:t>action pour le développeme</w:t>
      </w:r>
      <w:r w:rsidR="001E787E" w:rsidRPr="00202EB9">
        <w:rPr>
          <w:szCs w:val="22"/>
          <w:lang w:val="fr-FR"/>
        </w:rPr>
        <w:t>nt.  El</w:t>
      </w:r>
      <w:r w:rsidR="00071B8F" w:rsidRPr="00202EB9">
        <w:rPr>
          <w:szCs w:val="22"/>
          <w:lang w:val="fr-FR"/>
        </w:rPr>
        <w:t xml:space="preserve">le a procédé pour ce faire par entretiens et rencontres informelles et </w:t>
      </w:r>
      <w:r w:rsidR="009B119C" w:rsidRPr="00202EB9">
        <w:rPr>
          <w:szCs w:val="22"/>
          <w:lang w:val="fr-FR"/>
        </w:rPr>
        <w:t xml:space="preserve">spécifiques </w:t>
      </w:r>
      <w:r w:rsidR="00B83F47" w:rsidRPr="00202EB9">
        <w:rPr>
          <w:szCs w:val="22"/>
          <w:lang w:val="fr-FR"/>
        </w:rPr>
        <w:t xml:space="preserve">avec </w:t>
      </w:r>
      <w:r w:rsidR="00F1448E" w:rsidRPr="00202EB9">
        <w:rPr>
          <w:szCs w:val="22"/>
          <w:lang w:val="fr-FR"/>
        </w:rPr>
        <w:t>un large éventail de fonctionnaires</w:t>
      </w:r>
      <w:r w:rsidR="00232458" w:rsidRPr="00202EB9">
        <w:rPr>
          <w:szCs w:val="22"/>
          <w:lang w:val="fr-FR"/>
        </w:rPr>
        <w:t xml:space="preserve"> comprenant des membres de la direction, des chefs de programme,</w:t>
      </w:r>
      <w:r w:rsidR="00A5023C" w:rsidRPr="00202EB9">
        <w:rPr>
          <w:szCs w:val="22"/>
          <w:lang w:val="fr-FR"/>
        </w:rPr>
        <w:t xml:space="preserve"> </w:t>
      </w:r>
      <w:r w:rsidR="00232458" w:rsidRPr="00202EB9">
        <w:rPr>
          <w:szCs w:val="22"/>
          <w:lang w:val="fr-FR"/>
        </w:rPr>
        <w:t>des membres de la Division de la supervision interne (</w:t>
      </w:r>
      <w:proofErr w:type="spellStart"/>
      <w:r w:rsidR="00232458" w:rsidRPr="00202EB9">
        <w:rPr>
          <w:szCs w:val="22"/>
          <w:lang w:val="fr-FR"/>
        </w:rPr>
        <w:t>DSI</w:t>
      </w:r>
      <w:proofErr w:type="spellEnd"/>
      <w:r w:rsidR="00232458" w:rsidRPr="00202EB9">
        <w:rPr>
          <w:szCs w:val="22"/>
          <w:lang w:val="fr-FR"/>
        </w:rPr>
        <w:t xml:space="preserve">), ainsi que des fonctionnaires </w:t>
      </w:r>
      <w:r w:rsidR="00702ACB" w:rsidRPr="00202EB9">
        <w:rPr>
          <w:szCs w:val="22"/>
          <w:lang w:val="fr-FR"/>
        </w:rPr>
        <w:t>participant à la mise en œuvre des recommandations du Plan d</w:t>
      </w:r>
      <w:r w:rsidR="00426067" w:rsidRPr="00202EB9">
        <w:rPr>
          <w:szCs w:val="22"/>
          <w:lang w:val="fr-FR"/>
        </w:rPr>
        <w:t>’</w:t>
      </w:r>
      <w:r w:rsidR="00702ACB" w:rsidRPr="00202EB9">
        <w:rPr>
          <w:szCs w:val="22"/>
          <w:lang w:val="fr-FR"/>
        </w:rPr>
        <w:t>action pour le développement</w:t>
      </w:r>
      <w:r w:rsidR="004372EF" w:rsidRPr="00202EB9">
        <w:rPr>
          <w:szCs w:val="22"/>
          <w:vertAlign w:val="superscript"/>
          <w:lang w:val="fr-FR"/>
        </w:rPr>
        <w:footnoteReference w:id="14"/>
      </w:r>
      <w:r w:rsidR="00702ACB" w:rsidRPr="00202EB9">
        <w:rPr>
          <w:szCs w:val="22"/>
          <w:lang w:val="fr-FR"/>
        </w:rPr>
        <w:t>.</w:t>
      </w:r>
    </w:p>
    <w:p w:rsidR="004372EF" w:rsidRPr="00202EB9" w:rsidRDefault="00C600DE" w:rsidP="00255C01">
      <w:pPr>
        <w:pStyle w:val="ONUMFS"/>
        <w:rPr>
          <w:szCs w:val="22"/>
          <w:lang w:val="fr-FR"/>
        </w:rPr>
      </w:pPr>
      <w:r w:rsidRPr="00202EB9">
        <w:rPr>
          <w:szCs w:val="22"/>
          <w:lang w:val="fr-FR"/>
        </w:rPr>
        <w:t>Une étroite collaboration avec la Division de la coordination du Plan d</w:t>
      </w:r>
      <w:r w:rsidR="00426067" w:rsidRPr="00202EB9">
        <w:rPr>
          <w:szCs w:val="22"/>
          <w:lang w:val="fr-FR"/>
        </w:rPr>
        <w:t>’</w:t>
      </w:r>
      <w:r w:rsidRPr="00202EB9">
        <w:rPr>
          <w:szCs w:val="22"/>
          <w:lang w:val="fr-FR"/>
        </w:rPr>
        <w:t>action pour le développement a facilité l</w:t>
      </w:r>
      <w:r w:rsidR="00DA1A7A" w:rsidRPr="00202EB9">
        <w:rPr>
          <w:szCs w:val="22"/>
          <w:lang w:val="fr-FR"/>
        </w:rPr>
        <w:t>a tâche</w:t>
      </w:r>
      <w:r w:rsidRPr="00202EB9">
        <w:rPr>
          <w:szCs w:val="22"/>
          <w:lang w:val="fr-FR"/>
        </w:rPr>
        <w:t xml:space="preserve"> de l</w:t>
      </w:r>
      <w:r w:rsidR="00426067" w:rsidRPr="00202EB9">
        <w:rPr>
          <w:szCs w:val="22"/>
          <w:lang w:val="fr-FR"/>
        </w:rPr>
        <w:t>’</w:t>
      </w:r>
      <w:r w:rsidRPr="00202EB9">
        <w:rPr>
          <w:szCs w:val="22"/>
          <w:lang w:val="fr-FR"/>
        </w:rPr>
        <w:t>équipe chargée de l</w:t>
      </w:r>
      <w:r w:rsidR="00426067" w:rsidRPr="00202EB9">
        <w:rPr>
          <w:szCs w:val="22"/>
          <w:lang w:val="fr-FR"/>
        </w:rPr>
        <w:t>’</w:t>
      </w:r>
      <w:r w:rsidRPr="00202EB9">
        <w:rPr>
          <w:szCs w:val="22"/>
          <w:lang w:val="fr-FR"/>
        </w:rPr>
        <w:t>étude</w:t>
      </w:r>
      <w:r w:rsidR="00D038C5" w:rsidRPr="00202EB9">
        <w:rPr>
          <w:szCs w:val="22"/>
          <w:lang w:val="fr-FR"/>
        </w:rPr>
        <w:t>,</w:t>
      </w:r>
      <w:r w:rsidRPr="00202EB9">
        <w:rPr>
          <w:szCs w:val="22"/>
          <w:lang w:val="fr-FR"/>
        </w:rPr>
        <w:t xml:space="preserve"> </w:t>
      </w:r>
      <w:r w:rsidR="00DA1A7A" w:rsidRPr="00202EB9">
        <w:rPr>
          <w:szCs w:val="22"/>
          <w:lang w:val="fr-FR"/>
        </w:rPr>
        <w:t>et lui a permis de bénéficier d</w:t>
      </w:r>
      <w:r w:rsidR="00426067" w:rsidRPr="00202EB9">
        <w:rPr>
          <w:szCs w:val="22"/>
          <w:lang w:val="fr-FR"/>
        </w:rPr>
        <w:t>’</w:t>
      </w:r>
      <w:r w:rsidR="00DA1A7A" w:rsidRPr="00202EB9">
        <w:rPr>
          <w:szCs w:val="22"/>
          <w:lang w:val="fr-FR"/>
        </w:rPr>
        <w:t xml:space="preserve">une compréhension interne du travail </w:t>
      </w:r>
      <w:r w:rsidR="00E3633D" w:rsidRPr="00202EB9">
        <w:rPr>
          <w:szCs w:val="22"/>
          <w:lang w:val="fr-FR"/>
        </w:rPr>
        <w:t>de</w:t>
      </w:r>
      <w:r w:rsidR="00DA1A7A" w:rsidRPr="00202EB9">
        <w:rPr>
          <w:szCs w:val="22"/>
          <w:lang w:val="fr-FR"/>
        </w:rPr>
        <w:t xml:space="preserve"> mise en œuvre des recommandations du Plan d</w:t>
      </w:r>
      <w:r w:rsidR="00426067" w:rsidRPr="00202EB9">
        <w:rPr>
          <w:szCs w:val="22"/>
          <w:lang w:val="fr-FR"/>
        </w:rPr>
        <w:t>’</w:t>
      </w:r>
      <w:r w:rsidR="00DA1A7A" w:rsidRPr="00202EB9">
        <w:rPr>
          <w:szCs w:val="22"/>
          <w:lang w:val="fr-FR"/>
        </w:rPr>
        <w:t>action pour le développeme</w:t>
      </w:r>
      <w:r w:rsidR="001E787E" w:rsidRPr="00202EB9">
        <w:rPr>
          <w:szCs w:val="22"/>
          <w:lang w:val="fr-FR"/>
        </w:rPr>
        <w:t>nt.  Ce</w:t>
      </w:r>
      <w:r w:rsidR="00DA1A7A" w:rsidRPr="00202EB9">
        <w:rPr>
          <w:szCs w:val="22"/>
          <w:lang w:val="fr-FR"/>
        </w:rPr>
        <w:t>tte interaction a été extrêmement utile à l</w:t>
      </w:r>
      <w:r w:rsidR="00426067" w:rsidRPr="00202EB9">
        <w:rPr>
          <w:szCs w:val="22"/>
          <w:lang w:val="fr-FR"/>
        </w:rPr>
        <w:t>’</w:t>
      </w:r>
      <w:r w:rsidR="00DA1A7A" w:rsidRPr="00202EB9">
        <w:rPr>
          <w:szCs w:val="22"/>
          <w:lang w:val="fr-FR"/>
        </w:rPr>
        <w:t>équipe</w:t>
      </w:r>
      <w:r w:rsidR="005B5FB8" w:rsidRPr="00202EB9">
        <w:rPr>
          <w:szCs w:val="22"/>
          <w:lang w:val="fr-FR"/>
        </w:rPr>
        <w:t>, dont elle a favorisé l</w:t>
      </w:r>
      <w:r w:rsidR="00DA1A7A" w:rsidRPr="00202EB9">
        <w:rPr>
          <w:szCs w:val="22"/>
          <w:lang w:val="fr-FR"/>
        </w:rPr>
        <w:t xml:space="preserve">a communication et </w:t>
      </w:r>
      <w:r w:rsidR="005B5FB8" w:rsidRPr="00202EB9">
        <w:rPr>
          <w:szCs w:val="22"/>
          <w:lang w:val="fr-FR"/>
        </w:rPr>
        <w:t>l</w:t>
      </w:r>
      <w:r w:rsidR="00DA1A7A" w:rsidRPr="00202EB9">
        <w:rPr>
          <w:szCs w:val="22"/>
          <w:lang w:val="fr-FR"/>
        </w:rPr>
        <w:t>es rapports avec</w:t>
      </w:r>
      <w:r w:rsidR="001374E7" w:rsidRPr="00202EB9">
        <w:rPr>
          <w:szCs w:val="22"/>
          <w:lang w:val="fr-FR"/>
        </w:rPr>
        <w:t xml:space="preserve"> les fonctionnaires</w:t>
      </w:r>
      <w:r w:rsidR="00A121EF" w:rsidRPr="00202EB9">
        <w:rPr>
          <w:szCs w:val="22"/>
          <w:lang w:val="fr-FR"/>
        </w:rPr>
        <w:t xml:space="preserve"> concernés par les questions liées au Plan d</w:t>
      </w:r>
      <w:r w:rsidR="00426067" w:rsidRPr="00202EB9">
        <w:rPr>
          <w:szCs w:val="22"/>
          <w:lang w:val="fr-FR"/>
        </w:rPr>
        <w:t>’</w:t>
      </w:r>
      <w:r w:rsidR="00A121EF" w:rsidRPr="00202EB9">
        <w:rPr>
          <w:szCs w:val="22"/>
          <w:lang w:val="fr-FR"/>
        </w:rPr>
        <w:t>action pour le développement.</w:t>
      </w:r>
    </w:p>
    <w:p w:rsidR="00426067" w:rsidRPr="00202EB9" w:rsidRDefault="00FB4909"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équipe chargée de l</w:t>
      </w:r>
      <w:r w:rsidR="00426067" w:rsidRPr="00202EB9">
        <w:rPr>
          <w:szCs w:val="22"/>
          <w:lang w:val="fr-FR"/>
        </w:rPr>
        <w:t>’</w:t>
      </w:r>
      <w:r w:rsidRPr="00202EB9">
        <w:rPr>
          <w:szCs w:val="22"/>
          <w:lang w:val="fr-FR"/>
        </w:rPr>
        <w:t>étude a eu l</w:t>
      </w:r>
      <w:r w:rsidR="00426067" w:rsidRPr="00202EB9">
        <w:rPr>
          <w:szCs w:val="22"/>
          <w:lang w:val="fr-FR"/>
        </w:rPr>
        <w:t>’</w:t>
      </w:r>
      <w:r w:rsidRPr="00202EB9">
        <w:rPr>
          <w:szCs w:val="22"/>
          <w:lang w:val="fr-FR"/>
        </w:rPr>
        <w:t>occasion, dans le cadre de son travail, de nouer des dialogues tant formels qu</w:t>
      </w:r>
      <w:r w:rsidR="00426067" w:rsidRPr="00202EB9">
        <w:rPr>
          <w:szCs w:val="22"/>
          <w:lang w:val="fr-FR"/>
        </w:rPr>
        <w:t>’</w:t>
      </w:r>
      <w:r w:rsidRPr="00202EB9">
        <w:rPr>
          <w:szCs w:val="22"/>
          <w:lang w:val="fr-FR"/>
        </w:rPr>
        <w:t>informels</w:t>
      </w:r>
      <w:r w:rsidR="00727521" w:rsidRPr="00202EB9">
        <w:rPr>
          <w:szCs w:val="22"/>
          <w:lang w:val="fr-FR"/>
        </w:rPr>
        <w:t xml:space="preserve"> sur les questions relatives au Plan d</w:t>
      </w:r>
      <w:r w:rsidR="00426067" w:rsidRPr="00202EB9">
        <w:rPr>
          <w:szCs w:val="22"/>
          <w:lang w:val="fr-FR"/>
        </w:rPr>
        <w:t>’</w:t>
      </w:r>
      <w:r w:rsidR="00727521" w:rsidRPr="00202EB9">
        <w:rPr>
          <w:szCs w:val="22"/>
          <w:lang w:val="fr-FR"/>
        </w:rPr>
        <w:t>action pour le développement,</w:t>
      </w:r>
      <w:r w:rsidRPr="00202EB9">
        <w:rPr>
          <w:szCs w:val="22"/>
          <w:lang w:val="fr-FR"/>
        </w:rPr>
        <w:t xml:space="preserve"> avec</w:t>
      </w:r>
      <w:r w:rsidR="001C4CE8" w:rsidRPr="00202EB9">
        <w:rPr>
          <w:szCs w:val="22"/>
          <w:lang w:val="fr-FR"/>
        </w:rPr>
        <w:t xml:space="preserve"> le </w:t>
      </w:r>
      <w:r w:rsidR="00810610" w:rsidRPr="00202EB9">
        <w:rPr>
          <w:szCs w:val="22"/>
          <w:lang w:val="fr-FR"/>
        </w:rPr>
        <w:t>comité d</w:t>
      </w:r>
      <w:r w:rsidR="00426067" w:rsidRPr="00202EB9">
        <w:rPr>
          <w:szCs w:val="22"/>
          <w:lang w:val="fr-FR"/>
        </w:rPr>
        <w:t>’</w:t>
      </w:r>
      <w:r w:rsidR="00810610" w:rsidRPr="00202EB9">
        <w:rPr>
          <w:szCs w:val="22"/>
          <w:lang w:val="fr-FR"/>
        </w:rPr>
        <w:t>examen</w:t>
      </w:r>
      <w:r w:rsidR="001C4CE8" w:rsidRPr="00202EB9">
        <w:rPr>
          <w:szCs w:val="22"/>
          <w:lang w:val="fr-FR"/>
        </w:rPr>
        <w:t xml:space="preserve"> </w:t>
      </w:r>
      <w:r w:rsidR="005570CD" w:rsidRPr="00202EB9">
        <w:rPr>
          <w:szCs w:val="22"/>
          <w:lang w:val="fr-FR"/>
        </w:rPr>
        <w:t>ainsi qu</w:t>
      </w:r>
      <w:r w:rsidR="00426067" w:rsidRPr="00202EB9">
        <w:rPr>
          <w:szCs w:val="22"/>
          <w:lang w:val="fr-FR"/>
        </w:rPr>
        <w:t>’</w:t>
      </w:r>
      <w:r w:rsidR="005570CD" w:rsidRPr="00202EB9">
        <w:rPr>
          <w:szCs w:val="22"/>
          <w:lang w:val="fr-FR"/>
        </w:rPr>
        <w:t>avec divers groupements régionaux et délégués à Genè</w:t>
      </w:r>
      <w:r w:rsidR="001E787E" w:rsidRPr="00202EB9">
        <w:rPr>
          <w:szCs w:val="22"/>
          <w:lang w:val="fr-FR"/>
        </w:rPr>
        <w:t>ve.  L’é</w:t>
      </w:r>
      <w:r w:rsidR="00727521" w:rsidRPr="00202EB9">
        <w:rPr>
          <w:szCs w:val="22"/>
          <w:lang w:val="fr-FR"/>
        </w:rPr>
        <w:t xml:space="preserve">quipe a également eu une rencontre et une conférence vidéo, respectivement avec </w:t>
      </w:r>
      <w:r w:rsidR="00A2385A" w:rsidRPr="00202EB9">
        <w:rPr>
          <w:szCs w:val="22"/>
          <w:lang w:val="fr-FR"/>
        </w:rPr>
        <w:t>les pays</w:t>
      </w:r>
      <w:r w:rsidR="00426067" w:rsidRPr="00202EB9">
        <w:rPr>
          <w:szCs w:val="22"/>
          <w:lang w:val="fr-FR"/>
        </w:rPr>
        <w:t xml:space="preserve"> du </w:t>
      </w:r>
      <w:proofErr w:type="spellStart"/>
      <w:r w:rsidR="00426067" w:rsidRPr="00202EB9">
        <w:rPr>
          <w:szCs w:val="22"/>
          <w:lang w:val="fr-FR"/>
        </w:rPr>
        <w:t>GRU</w:t>
      </w:r>
      <w:r w:rsidR="00A2385A" w:rsidRPr="00202EB9">
        <w:rPr>
          <w:szCs w:val="22"/>
          <w:lang w:val="fr-FR"/>
        </w:rPr>
        <w:t>LAC</w:t>
      </w:r>
      <w:proofErr w:type="spellEnd"/>
      <w:r w:rsidR="00A2385A" w:rsidRPr="00202EB9">
        <w:rPr>
          <w:szCs w:val="22"/>
          <w:lang w:val="fr-FR"/>
        </w:rPr>
        <w:t xml:space="preserve"> et ceux du groupe</w:t>
      </w:r>
      <w:r w:rsidR="00E15713" w:rsidRPr="00202EB9">
        <w:rPr>
          <w:szCs w:val="22"/>
          <w:lang w:val="fr-FR"/>
        </w:rPr>
        <w:t> </w:t>
      </w:r>
      <w:r w:rsidR="00A2385A" w:rsidRPr="00202EB9">
        <w:rPr>
          <w:szCs w:val="22"/>
          <w:lang w:val="fr-FR"/>
        </w:rPr>
        <w:t>B, dans lesquelles ces deux</w:t>
      </w:r>
      <w:r w:rsidR="00E15713" w:rsidRPr="00202EB9">
        <w:rPr>
          <w:szCs w:val="22"/>
          <w:lang w:val="fr-FR"/>
        </w:rPr>
        <w:t> </w:t>
      </w:r>
      <w:r w:rsidR="00A2385A" w:rsidRPr="00202EB9">
        <w:rPr>
          <w:szCs w:val="22"/>
          <w:lang w:val="fr-FR"/>
        </w:rPr>
        <w:t>groupes ont exprimé leur opinion concernant les résultats attendus de l</w:t>
      </w:r>
      <w:r w:rsidR="00426067" w:rsidRPr="00202EB9">
        <w:rPr>
          <w:szCs w:val="22"/>
          <w:lang w:val="fr-FR"/>
        </w:rPr>
        <w:t>’</w:t>
      </w:r>
      <w:r w:rsidR="00A2385A" w:rsidRPr="00202EB9">
        <w:rPr>
          <w:szCs w:val="22"/>
          <w:lang w:val="fr-FR"/>
        </w:rPr>
        <w:t>étude</w:t>
      </w:r>
      <w:r w:rsidR="00FB047B" w:rsidRPr="00202EB9">
        <w:rPr>
          <w:szCs w:val="22"/>
          <w:lang w:val="fr-FR"/>
        </w:rPr>
        <w:t xml:space="preserve"> vis</w:t>
      </w:r>
      <w:r w:rsidR="001E787E" w:rsidRPr="00202EB9">
        <w:rPr>
          <w:szCs w:val="22"/>
          <w:lang w:val="fr-FR"/>
        </w:rPr>
        <w:noBreakHyphen/>
      </w:r>
      <w:r w:rsidR="00FB047B" w:rsidRPr="00202EB9">
        <w:rPr>
          <w:szCs w:val="22"/>
          <w:lang w:val="fr-FR"/>
        </w:rPr>
        <w:t>à</w:t>
      </w:r>
      <w:r w:rsidR="001E787E" w:rsidRPr="00202EB9">
        <w:rPr>
          <w:szCs w:val="22"/>
          <w:lang w:val="fr-FR"/>
        </w:rPr>
        <w:noBreakHyphen/>
      </w:r>
      <w:r w:rsidR="00FB047B" w:rsidRPr="00202EB9">
        <w:rPr>
          <w:szCs w:val="22"/>
          <w:lang w:val="fr-FR"/>
        </w:rPr>
        <w:t>vis du rapport initi</w:t>
      </w:r>
      <w:r w:rsidR="001E787E" w:rsidRPr="00202EB9">
        <w:rPr>
          <w:szCs w:val="22"/>
          <w:lang w:val="fr-FR"/>
        </w:rPr>
        <w:t>al.  De</w:t>
      </w:r>
      <w:r w:rsidR="002001D2" w:rsidRPr="00202EB9">
        <w:rPr>
          <w:szCs w:val="22"/>
          <w:lang w:val="fr-FR"/>
        </w:rPr>
        <w:t>s téléconférences ont également été tenues individuellement avec des bénéficiaires dans les capitales, sélectionnés parmi les autres parties prenantes, notamment</w:t>
      </w:r>
      <w:r w:rsidR="00FB047B" w:rsidRPr="00202EB9">
        <w:rPr>
          <w:szCs w:val="22"/>
          <w:lang w:val="fr-FR"/>
        </w:rPr>
        <w:t xml:space="preserve"> </w:t>
      </w:r>
      <w:r w:rsidR="002001D2" w:rsidRPr="00202EB9">
        <w:rPr>
          <w:szCs w:val="22"/>
          <w:lang w:val="fr-FR"/>
        </w:rPr>
        <w:t>d</w:t>
      </w:r>
      <w:r w:rsidR="00426067" w:rsidRPr="00202EB9">
        <w:rPr>
          <w:szCs w:val="22"/>
          <w:lang w:val="fr-FR"/>
        </w:rPr>
        <w:t>’</w:t>
      </w:r>
      <w:r w:rsidR="002001D2" w:rsidRPr="00202EB9">
        <w:rPr>
          <w:szCs w:val="22"/>
          <w:lang w:val="fr-FR"/>
        </w:rPr>
        <w:t>anciens délégués</w:t>
      </w:r>
      <w:r w:rsidR="00426067" w:rsidRPr="00202EB9">
        <w:rPr>
          <w:szCs w:val="22"/>
          <w:lang w:val="fr-FR"/>
        </w:rPr>
        <w:t xml:space="preserve"> du </w:t>
      </w:r>
      <w:proofErr w:type="spellStart"/>
      <w:r w:rsidR="00426067" w:rsidRPr="00202EB9">
        <w:rPr>
          <w:szCs w:val="22"/>
          <w:lang w:val="fr-FR"/>
        </w:rPr>
        <w:t>CDI</w:t>
      </w:r>
      <w:r w:rsidR="005014D0" w:rsidRPr="00202EB9">
        <w:rPr>
          <w:szCs w:val="22"/>
          <w:lang w:val="fr-FR"/>
        </w:rPr>
        <w:t>P</w:t>
      </w:r>
      <w:proofErr w:type="spellEnd"/>
      <w:r w:rsidR="005014D0" w:rsidRPr="00202EB9">
        <w:rPr>
          <w:szCs w:val="22"/>
          <w:lang w:val="fr-FR"/>
        </w:rPr>
        <w:t>, des universitaires, des organismes non gouvernementaux et des évaluateurs de projets parrainés par</w:t>
      </w:r>
      <w:r w:rsidR="00426067" w:rsidRPr="00202EB9">
        <w:rPr>
          <w:szCs w:val="22"/>
          <w:lang w:val="fr-FR"/>
        </w:rPr>
        <w:t xml:space="preserve"> le </w:t>
      </w:r>
      <w:proofErr w:type="spellStart"/>
      <w:r w:rsidR="00426067" w:rsidRPr="00202EB9">
        <w:rPr>
          <w:szCs w:val="22"/>
          <w:lang w:val="fr-FR"/>
        </w:rPr>
        <w:t>C</w:t>
      </w:r>
      <w:r w:rsidR="001E787E" w:rsidRPr="00202EB9">
        <w:rPr>
          <w:szCs w:val="22"/>
          <w:lang w:val="fr-FR"/>
        </w:rPr>
        <w:t>DIP</w:t>
      </w:r>
      <w:proofErr w:type="spellEnd"/>
      <w:r w:rsidR="001E787E" w:rsidRPr="00202EB9">
        <w:rPr>
          <w:szCs w:val="22"/>
          <w:lang w:val="fr-FR"/>
        </w:rPr>
        <w:t>.  De</w:t>
      </w:r>
      <w:r w:rsidR="00F14E4B" w:rsidRPr="00202EB9">
        <w:rPr>
          <w:szCs w:val="22"/>
          <w:lang w:val="fr-FR"/>
        </w:rPr>
        <w:t xml:space="preserve">s visites sur le terrain </w:t>
      </w:r>
      <w:r w:rsidR="00E10D8A" w:rsidRPr="00202EB9">
        <w:rPr>
          <w:szCs w:val="22"/>
          <w:lang w:val="fr-FR"/>
        </w:rPr>
        <w:t xml:space="preserve">auprès de bénéficiaires </w:t>
      </w:r>
      <w:r w:rsidR="00F14E4B" w:rsidRPr="00202EB9">
        <w:rPr>
          <w:szCs w:val="22"/>
          <w:lang w:val="fr-FR"/>
        </w:rPr>
        <w:t>ont été organisées</w:t>
      </w:r>
      <w:r w:rsidR="00E10D8A" w:rsidRPr="00202EB9">
        <w:rPr>
          <w:szCs w:val="22"/>
          <w:lang w:val="fr-FR"/>
        </w:rPr>
        <w:t>, afin de compléter les informations recueillies.</w:t>
      </w:r>
    </w:p>
    <w:p w:rsidR="004372EF" w:rsidRPr="00202EB9" w:rsidRDefault="004372EF" w:rsidP="00255C01">
      <w:pPr>
        <w:pStyle w:val="Heading2"/>
        <w:rPr>
          <w:szCs w:val="22"/>
          <w:lang w:val="fr-FR"/>
        </w:rPr>
      </w:pPr>
      <w:bookmarkStart w:id="13" w:name="_Toc460492855"/>
      <w:r w:rsidRPr="00202EB9">
        <w:rPr>
          <w:szCs w:val="22"/>
          <w:lang w:val="fr-FR"/>
        </w:rPr>
        <w:t>3.</w:t>
      </w:r>
      <w:r w:rsidR="00255C01" w:rsidRPr="00202EB9">
        <w:rPr>
          <w:szCs w:val="22"/>
          <w:lang w:val="fr-FR"/>
        </w:rPr>
        <w:tab/>
      </w:r>
      <w:r w:rsidRPr="00202EB9">
        <w:rPr>
          <w:szCs w:val="22"/>
          <w:lang w:val="fr-FR"/>
        </w:rPr>
        <w:t>M</w:t>
      </w:r>
      <w:r w:rsidR="00E10D8A" w:rsidRPr="00202EB9">
        <w:rPr>
          <w:szCs w:val="22"/>
          <w:lang w:val="fr-FR"/>
        </w:rPr>
        <w:t>éthodologie</w:t>
      </w:r>
      <w:bookmarkEnd w:id="13"/>
    </w:p>
    <w:p w:rsidR="004372EF" w:rsidRPr="00202EB9" w:rsidRDefault="00255C01" w:rsidP="00255C01">
      <w:pPr>
        <w:pStyle w:val="Heading3"/>
        <w:rPr>
          <w:szCs w:val="22"/>
          <w:lang w:val="fr-FR"/>
        </w:rPr>
      </w:pPr>
      <w:bookmarkStart w:id="14" w:name="_Toc460492856"/>
      <w:r w:rsidRPr="008D1193">
        <w:rPr>
          <w:szCs w:val="22"/>
          <w:u w:val="none"/>
          <w:lang w:val="fr-FR"/>
        </w:rPr>
        <w:t>a.</w:t>
      </w:r>
      <w:r w:rsidRPr="008D1193">
        <w:rPr>
          <w:szCs w:val="22"/>
          <w:u w:val="none"/>
          <w:lang w:val="fr-FR"/>
        </w:rPr>
        <w:tab/>
      </w:r>
      <w:r w:rsidR="007836FE" w:rsidRPr="00202EB9">
        <w:rPr>
          <w:szCs w:val="22"/>
          <w:lang w:val="fr-FR"/>
        </w:rPr>
        <w:t>Principes directeurs</w:t>
      </w:r>
      <w:bookmarkEnd w:id="14"/>
    </w:p>
    <w:p w:rsidR="00255C01" w:rsidRPr="00202EB9" w:rsidRDefault="00255C01" w:rsidP="00255C01">
      <w:pPr>
        <w:rPr>
          <w:rFonts w:cs="Arial"/>
          <w:lang w:val="fr-FR" w:eastAsia="zh-CN" w:bidi="ar-SA"/>
        </w:rPr>
      </w:pPr>
    </w:p>
    <w:p w:rsidR="004372EF" w:rsidRPr="00202EB9" w:rsidRDefault="000440C2"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équipe chargée de l</w:t>
      </w:r>
      <w:r w:rsidR="00426067" w:rsidRPr="00202EB9">
        <w:rPr>
          <w:szCs w:val="22"/>
          <w:lang w:val="fr-FR"/>
        </w:rPr>
        <w:t>’</w:t>
      </w:r>
      <w:r w:rsidRPr="00202EB9">
        <w:rPr>
          <w:szCs w:val="22"/>
          <w:lang w:val="fr-FR"/>
        </w:rPr>
        <w:t xml:space="preserve">étude a été guidée dans ses travaux par les </w:t>
      </w:r>
      <w:r w:rsidR="009D7070" w:rsidRPr="00202EB9">
        <w:rPr>
          <w:szCs w:val="22"/>
          <w:lang w:val="fr-FR"/>
        </w:rPr>
        <w:t>directiv</w:t>
      </w:r>
      <w:r w:rsidRPr="00202EB9">
        <w:rPr>
          <w:szCs w:val="22"/>
          <w:lang w:val="fr-FR"/>
        </w:rPr>
        <w:t xml:space="preserve">es du Groupe des </w:t>
      </w:r>
      <w:r w:rsidR="00426067" w:rsidRPr="00202EB9">
        <w:rPr>
          <w:szCs w:val="22"/>
          <w:lang w:val="fr-FR"/>
        </w:rPr>
        <w:t>Nations Unies</w:t>
      </w:r>
      <w:r w:rsidRPr="00202EB9">
        <w:rPr>
          <w:szCs w:val="22"/>
          <w:lang w:val="fr-FR"/>
        </w:rPr>
        <w:t xml:space="preserve"> sur l</w:t>
      </w:r>
      <w:r w:rsidR="00426067" w:rsidRPr="00202EB9">
        <w:rPr>
          <w:szCs w:val="22"/>
          <w:lang w:val="fr-FR"/>
        </w:rPr>
        <w:t>’</w:t>
      </w:r>
      <w:r w:rsidRPr="00202EB9">
        <w:rPr>
          <w:szCs w:val="22"/>
          <w:lang w:val="fr-FR"/>
        </w:rPr>
        <w:t>évaluation</w:t>
      </w:r>
      <w:r w:rsidR="002A3383" w:rsidRPr="00202EB9">
        <w:rPr>
          <w:szCs w:val="22"/>
          <w:lang w:val="fr-FR"/>
        </w:rPr>
        <w:t xml:space="preserve"> (</w:t>
      </w:r>
      <w:proofErr w:type="spellStart"/>
      <w:r w:rsidR="002A3383" w:rsidRPr="00202EB9">
        <w:rPr>
          <w:szCs w:val="22"/>
          <w:lang w:val="fr-FR"/>
        </w:rPr>
        <w:t>GNUE</w:t>
      </w:r>
      <w:proofErr w:type="spellEnd"/>
      <w:r w:rsidR="002A3383" w:rsidRPr="00202EB9">
        <w:rPr>
          <w:szCs w:val="22"/>
          <w:lang w:val="fr-FR"/>
        </w:rPr>
        <w:t>) et par la politique d</w:t>
      </w:r>
      <w:r w:rsidR="00426067" w:rsidRPr="00202EB9">
        <w:rPr>
          <w:szCs w:val="22"/>
          <w:lang w:val="fr-FR"/>
        </w:rPr>
        <w:t>’</w:t>
      </w:r>
      <w:r w:rsidR="002A3383" w:rsidRPr="00202EB9">
        <w:rPr>
          <w:szCs w:val="22"/>
          <w:lang w:val="fr-FR"/>
        </w:rPr>
        <w:t>évaluation de l</w:t>
      </w:r>
      <w:r w:rsidR="00426067" w:rsidRPr="00202EB9">
        <w:rPr>
          <w:szCs w:val="22"/>
          <w:lang w:val="fr-FR"/>
        </w:rPr>
        <w:t>’</w:t>
      </w:r>
      <w:r w:rsidR="002A3383" w:rsidRPr="00202EB9">
        <w:rPr>
          <w:szCs w:val="22"/>
          <w:lang w:val="fr-FR"/>
        </w:rPr>
        <w:t>OMPI</w:t>
      </w:r>
      <w:r w:rsidR="009D7070" w:rsidRPr="00202EB9">
        <w:rPr>
          <w:szCs w:val="22"/>
          <w:lang w:val="fr-FR"/>
        </w:rPr>
        <w:t xml:space="preserve"> (2010)</w:t>
      </w:r>
      <w:r w:rsidR="004372EF" w:rsidRPr="00202EB9">
        <w:rPr>
          <w:rStyle w:val="FootnoteReference"/>
          <w:szCs w:val="22"/>
          <w:lang w:val="fr-FR"/>
        </w:rPr>
        <w:footnoteReference w:id="15"/>
      </w:r>
      <w:r w:rsidR="002A3383" w:rsidRPr="00202EB9">
        <w:rPr>
          <w:szCs w:val="22"/>
          <w:lang w:val="fr-FR"/>
        </w:rPr>
        <w:t xml:space="preserve">, </w:t>
      </w:r>
      <w:r w:rsidR="009D7070" w:rsidRPr="00202EB9">
        <w:rPr>
          <w:szCs w:val="22"/>
          <w:lang w:val="fr-FR"/>
        </w:rPr>
        <w:t>dans le respect</w:t>
      </w:r>
      <w:r w:rsidR="001F41E0" w:rsidRPr="00202EB9">
        <w:rPr>
          <w:szCs w:val="22"/>
          <w:lang w:val="fr-FR"/>
        </w:rPr>
        <w:t xml:space="preserve"> des principes méthodologiques fondamentaux suivants</w:t>
      </w:r>
      <w:r w:rsidR="00E15713" w:rsidRPr="00202EB9">
        <w:rPr>
          <w:szCs w:val="22"/>
          <w:lang w:val="fr-FR"/>
        </w:rPr>
        <w:t> </w:t>
      </w:r>
      <w:r w:rsidR="001F41E0" w:rsidRPr="00202EB9">
        <w:rPr>
          <w:szCs w:val="22"/>
          <w:lang w:val="fr-FR"/>
        </w:rPr>
        <w:t>:</w:t>
      </w:r>
    </w:p>
    <w:p w:rsidR="004372EF" w:rsidRPr="00202EB9" w:rsidRDefault="001F41E0" w:rsidP="00F3224E">
      <w:pPr>
        <w:pStyle w:val="ListParagraph"/>
        <w:numPr>
          <w:ilvl w:val="0"/>
          <w:numId w:val="10"/>
        </w:numPr>
        <w:rPr>
          <w:rFonts w:cs="Arial"/>
          <w:lang w:val="fr-FR"/>
        </w:rPr>
      </w:pPr>
      <w:r w:rsidRPr="00202EB9">
        <w:rPr>
          <w:rFonts w:cs="Arial"/>
          <w:lang w:val="fr-FR"/>
        </w:rPr>
        <w:t xml:space="preserve">accent sur la triangulation (validation croisée) des sources de données et </w:t>
      </w:r>
      <w:r w:rsidR="00F0724B" w:rsidRPr="00202EB9">
        <w:rPr>
          <w:rFonts w:cs="Arial"/>
          <w:lang w:val="fr-FR"/>
        </w:rPr>
        <w:t>l</w:t>
      </w:r>
      <w:r w:rsidR="00426067" w:rsidRPr="00202EB9">
        <w:rPr>
          <w:rFonts w:cs="Arial"/>
          <w:lang w:val="fr-FR"/>
        </w:rPr>
        <w:t>’</w:t>
      </w:r>
      <w:r w:rsidRPr="00202EB9">
        <w:rPr>
          <w:rFonts w:cs="Arial"/>
          <w:lang w:val="fr-FR"/>
        </w:rPr>
        <w:t>évaluation de la plausibilité des résultats obtenus;</w:t>
      </w:r>
    </w:p>
    <w:p w:rsidR="004372EF" w:rsidRPr="00202EB9" w:rsidRDefault="00D735AC" w:rsidP="00F3224E">
      <w:pPr>
        <w:pStyle w:val="ListParagraph"/>
        <w:numPr>
          <w:ilvl w:val="0"/>
          <w:numId w:val="10"/>
        </w:numPr>
        <w:rPr>
          <w:rFonts w:cs="Arial"/>
          <w:lang w:val="fr-FR"/>
        </w:rPr>
      </w:pPr>
      <w:r w:rsidRPr="00202EB9">
        <w:rPr>
          <w:rFonts w:cs="Arial"/>
          <w:lang w:val="fr-FR"/>
        </w:rPr>
        <w:t>application d</w:t>
      </w:r>
      <w:r w:rsidR="00426067" w:rsidRPr="00202EB9">
        <w:rPr>
          <w:rFonts w:cs="Arial"/>
          <w:lang w:val="fr-FR"/>
        </w:rPr>
        <w:t>’</w:t>
      </w:r>
      <w:r w:rsidRPr="00202EB9">
        <w:rPr>
          <w:rFonts w:cs="Arial"/>
          <w:lang w:val="fr-FR"/>
        </w:rPr>
        <w:t>un raisonnement déductif fondant les conclusions et recommandations sur les résultats de l</w:t>
      </w:r>
      <w:r w:rsidR="00426067" w:rsidRPr="00202EB9">
        <w:rPr>
          <w:rFonts w:cs="Arial"/>
          <w:lang w:val="fr-FR"/>
        </w:rPr>
        <w:t>’</w:t>
      </w:r>
      <w:r w:rsidRPr="00202EB9">
        <w:rPr>
          <w:rFonts w:cs="Arial"/>
          <w:lang w:val="fr-FR"/>
        </w:rPr>
        <w:t>étude</w:t>
      </w:r>
      <w:r w:rsidR="004372EF" w:rsidRPr="00202EB9">
        <w:rPr>
          <w:rFonts w:cs="Arial"/>
          <w:lang w:val="fr-FR"/>
        </w:rPr>
        <w:t>;</w:t>
      </w:r>
    </w:p>
    <w:p w:rsidR="004372EF" w:rsidRPr="00202EB9" w:rsidRDefault="00D735AC" w:rsidP="00F3224E">
      <w:pPr>
        <w:pStyle w:val="ListParagraph"/>
        <w:numPr>
          <w:ilvl w:val="0"/>
          <w:numId w:val="10"/>
        </w:numPr>
        <w:rPr>
          <w:rFonts w:cs="Arial"/>
          <w:lang w:val="fr-FR"/>
        </w:rPr>
      </w:pPr>
      <w:r w:rsidRPr="00202EB9">
        <w:rPr>
          <w:rFonts w:cs="Arial"/>
          <w:lang w:val="fr-FR"/>
        </w:rPr>
        <w:t xml:space="preserve">démarche participative sollicitant activement les points de vue des parties prenantes, </w:t>
      </w:r>
      <w:r w:rsidR="00426067" w:rsidRPr="00202EB9">
        <w:rPr>
          <w:rFonts w:cs="Arial"/>
          <w:lang w:val="fr-FR"/>
        </w:rPr>
        <w:t>y compris</w:t>
      </w:r>
      <w:r w:rsidRPr="00202EB9">
        <w:rPr>
          <w:rFonts w:cs="Arial"/>
          <w:lang w:val="fr-FR"/>
        </w:rPr>
        <w:t xml:space="preserve"> des bénéficiaires des activités, </w:t>
      </w:r>
      <w:r w:rsidR="00AC467A" w:rsidRPr="00202EB9">
        <w:rPr>
          <w:rFonts w:cs="Arial"/>
          <w:lang w:val="fr-FR"/>
        </w:rPr>
        <w:t xml:space="preserve">et recherchant </w:t>
      </w:r>
      <w:r w:rsidR="00E56EB0" w:rsidRPr="00202EB9">
        <w:rPr>
          <w:rFonts w:cs="Arial"/>
          <w:lang w:val="fr-FR"/>
        </w:rPr>
        <w:t>ainsi</w:t>
      </w:r>
      <w:r w:rsidR="00AC467A" w:rsidRPr="00202EB9">
        <w:rPr>
          <w:rFonts w:cs="Arial"/>
          <w:lang w:val="fr-FR"/>
        </w:rPr>
        <w:t xml:space="preserve"> un retour d</w:t>
      </w:r>
      <w:r w:rsidR="00426067" w:rsidRPr="00202EB9">
        <w:rPr>
          <w:rFonts w:cs="Arial"/>
          <w:lang w:val="fr-FR"/>
        </w:rPr>
        <w:t>’</w:t>
      </w:r>
      <w:r w:rsidR="00AC467A" w:rsidRPr="00202EB9">
        <w:rPr>
          <w:rFonts w:cs="Arial"/>
          <w:lang w:val="fr-FR"/>
        </w:rPr>
        <w:t xml:space="preserve">information </w:t>
      </w:r>
      <w:r w:rsidR="00625C2C" w:rsidRPr="00202EB9">
        <w:rPr>
          <w:rFonts w:cs="Arial"/>
          <w:lang w:val="fr-FR"/>
        </w:rPr>
        <w:t>permettant l</w:t>
      </w:r>
      <w:r w:rsidR="00426067" w:rsidRPr="00202EB9">
        <w:rPr>
          <w:rFonts w:cs="Arial"/>
          <w:lang w:val="fr-FR"/>
        </w:rPr>
        <w:t>’</w:t>
      </w:r>
      <w:r w:rsidR="00625C2C" w:rsidRPr="00202EB9">
        <w:rPr>
          <w:rFonts w:cs="Arial"/>
          <w:lang w:val="fr-FR"/>
        </w:rPr>
        <w:t>harmonisation des principaux résultats, enseignements</w:t>
      </w:r>
      <w:r w:rsidR="00523EB8" w:rsidRPr="00202EB9">
        <w:rPr>
          <w:rFonts w:cs="Arial"/>
          <w:lang w:val="fr-FR"/>
        </w:rPr>
        <w:t xml:space="preserve"> et conclusions;</w:t>
      </w:r>
    </w:p>
    <w:p w:rsidR="004372EF" w:rsidRPr="00202EB9" w:rsidRDefault="00BD057B" w:rsidP="00F3224E">
      <w:pPr>
        <w:pStyle w:val="ListParagraph"/>
        <w:numPr>
          <w:ilvl w:val="0"/>
          <w:numId w:val="10"/>
        </w:numPr>
        <w:rPr>
          <w:rFonts w:cs="Arial"/>
          <w:lang w:val="fr-FR"/>
        </w:rPr>
      </w:pPr>
      <w:r w:rsidRPr="00202EB9">
        <w:rPr>
          <w:rFonts w:cs="Arial"/>
          <w:lang w:val="fr-FR"/>
        </w:rPr>
        <w:t xml:space="preserve">discussions avec les principales parties prenantes basées sur </w:t>
      </w:r>
      <w:r w:rsidR="00B76F9A" w:rsidRPr="00202EB9">
        <w:rPr>
          <w:rFonts w:cs="Arial"/>
          <w:lang w:val="fr-FR"/>
        </w:rPr>
        <w:t>les questions clés</w:t>
      </w:r>
      <w:r w:rsidRPr="00202EB9">
        <w:rPr>
          <w:rFonts w:cs="Arial"/>
          <w:lang w:val="fr-FR"/>
        </w:rPr>
        <w:t xml:space="preserve"> </w:t>
      </w:r>
      <w:r w:rsidR="00B76F9A" w:rsidRPr="00202EB9">
        <w:rPr>
          <w:rFonts w:cs="Arial"/>
          <w:lang w:val="fr-FR"/>
        </w:rPr>
        <w:t xml:space="preserve">du cahier des charges, </w:t>
      </w:r>
      <w:r w:rsidR="00F0724B" w:rsidRPr="00202EB9">
        <w:rPr>
          <w:rFonts w:cs="Arial"/>
          <w:lang w:val="fr-FR"/>
        </w:rPr>
        <w:t>puis</w:t>
      </w:r>
      <w:r w:rsidR="00B76F9A" w:rsidRPr="00202EB9">
        <w:rPr>
          <w:rFonts w:cs="Arial"/>
          <w:lang w:val="fr-FR"/>
        </w:rPr>
        <w:t xml:space="preserve"> développé</w:t>
      </w:r>
      <w:r w:rsidR="00F43610" w:rsidRPr="00202EB9">
        <w:rPr>
          <w:rFonts w:cs="Arial"/>
          <w:lang w:val="fr-FR"/>
        </w:rPr>
        <w:t>es</w:t>
      </w:r>
      <w:r w:rsidR="00B76F9A" w:rsidRPr="00202EB9">
        <w:rPr>
          <w:rFonts w:cs="Arial"/>
          <w:lang w:val="fr-FR"/>
        </w:rPr>
        <w:t xml:space="preserve"> par les évaluateurs afin de favoriser des échanges ouverts et transparents;</w:t>
      </w:r>
    </w:p>
    <w:p w:rsidR="009E47B6" w:rsidRPr="00202EB9" w:rsidRDefault="00B76F9A" w:rsidP="00F3224E">
      <w:pPr>
        <w:pStyle w:val="ListParagraph"/>
        <w:numPr>
          <w:ilvl w:val="0"/>
          <w:numId w:val="10"/>
        </w:numPr>
        <w:rPr>
          <w:rFonts w:cs="Arial"/>
          <w:lang w:val="fr-FR"/>
        </w:rPr>
      </w:pPr>
      <w:r w:rsidRPr="00202EB9">
        <w:rPr>
          <w:rFonts w:cs="Arial"/>
          <w:lang w:val="fr-FR"/>
        </w:rPr>
        <w:t>collecte d</w:t>
      </w:r>
      <w:r w:rsidR="00426067" w:rsidRPr="00202EB9">
        <w:rPr>
          <w:rFonts w:cs="Arial"/>
          <w:lang w:val="fr-FR"/>
        </w:rPr>
        <w:t>’</w:t>
      </w:r>
      <w:r w:rsidRPr="00202EB9">
        <w:rPr>
          <w:rFonts w:cs="Arial"/>
          <w:lang w:val="fr-FR"/>
        </w:rPr>
        <w:t>opinions, idées et perceptions diverses, ayant contribué à la formulation des recommandations faites dans le rapport.</w:t>
      </w:r>
    </w:p>
    <w:p w:rsidR="004372EF" w:rsidRPr="00202EB9" w:rsidRDefault="004372EF" w:rsidP="00255C01">
      <w:pPr>
        <w:pStyle w:val="Heading3"/>
        <w:rPr>
          <w:szCs w:val="22"/>
          <w:lang w:val="fr-FR"/>
        </w:rPr>
      </w:pPr>
      <w:bookmarkStart w:id="15" w:name="_Toc460492857"/>
      <w:r w:rsidRPr="008D1193">
        <w:rPr>
          <w:szCs w:val="22"/>
          <w:u w:val="none"/>
          <w:lang w:val="fr-FR"/>
        </w:rPr>
        <w:t>b.</w:t>
      </w:r>
      <w:r w:rsidR="00255C01" w:rsidRPr="008D1193">
        <w:rPr>
          <w:szCs w:val="22"/>
          <w:u w:val="none"/>
          <w:lang w:val="fr-FR"/>
        </w:rPr>
        <w:tab/>
      </w:r>
      <w:r w:rsidRPr="00202EB9">
        <w:rPr>
          <w:szCs w:val="22"/>
          <w:lang w:val="fr-FR"/>
        </w:rPr>
        <w:t>Questions</w:t>
      </w:r>
      <w:r w:rsidR="00261269" w:rsidRPr="00202EB9">
        <w:rPr>
          <w:szCs w:val="22"/>
          <w:lang w:val="fr-FR"/>
        </w:rPr>
        <w:t xml:space="preserve"> de l</w:t>
      </w:r>
      <w:r w:rsidR="00426067" w:rsidRPr="00202EB9">
        <w:rPr>
          <w:szCs w:val="22"/>
          <w:lang w:val="fr-FR"/>
        </w:rPr>
        <w:t>’</w:t>
      </w:r>
      <w:r w:rsidR="00261269" w:rsidRPr="00202EB9">
        <w:rPr>
          <w:szCs w:val="22"/>
          <w:lang w:val="fr-FR"/>
        </w:rPr>
        <w:t>étude</w:t>
      </w:r>
      <w:bookmarkEnd w:id="15"/>
    </w:p>
    <w:p w:rsidR="00255C01" w:rsidRPr="00202EB9" w:rsidRDefault="00255C01" w:rsidP="00255C01">
      <w:pPr>
        <w:rPr>
          <w:rFonts w:cs="Arial"/>
          <w:lang w:val="fr-FR" w:eastAsia="zh-CN" w:bidi="ar-SA"/>
        </w:rPr>
      </w:pPr>
    </w:p>
    <w:p w:rsidR="004372EF" w:rsidRPr="00202EB9" w:rsidRDefault="00A70D8E" w:rsidP="00255C01">
      <w:pPr>
        <w:pStyle w:val="ONUMFS"/>
        <w:rPr>
          <w:szCs w:val="22"/>
          <w:lang w:val="fr-FR"/>
        </w:rPr>
      </w:pPr>
      <w:r w:rsidRPr="00202EB9">
        <w:rPr>
          <w:szCs w:val="22"/>
          <w:lang w:val="fr-FR"/>
        </w:rPr>
        <w:t>L</w:t>
      </w:r>
      <w:r w:rsidR="00426067" w:rsidRPr="00202EB9">
        <w:rPr>
          <w:szCs w:val="22"/>
          <w:lang w:val="fr-FR"/>
        </w:rPr>
        <w:t>’</w:t>
      </w:r>
      <w:r w:rsidRPr="00202EB9">
        <w:rPr>
          <w:szCs w:val="22"/>
          <w:lang w:val="fr-FR"/>
        </w:rPr>
        <w:t xml:space="preserve">étude indépendante </w:t>
      </w:r>
      <w:r w:rsidR="000F7E38" w:rsidRPr="00202EB9">
        <w:rPr>
          <w:szCs w:val="22"/>
          <w:lang w:val="fr-FR"/>
        </w:rPr>
        <w:t>a ciblé cinq</w:t>
      </w:r>
      <w:r w:rsidR="00E15713" w:rsidRPr="00202EB9">
        <w:rPr>
          <w:szCs w:val="22"/>
          <w:lang w:val="fr-FR"/>
        </w:rPr>
        <w:t> </w:t>
      </w:r>
      <w:r w:rsidR="000F7E38" w:rsidRPr="00202EB9">
        <w:rPr>
          <w:szCs w:val="22"/>
          <w:lang w:val="fr-FR"/>
        </w:rPr>
        <w:t xml:space="preserve">questions clés </w:t>
      </w:r>
      <w:r w:rsidR="00D516C2" w:rsidRPr="00202EB9">
        <w:rPr>
          <w:szCs w:val="22"/>
          <w:lang w:val="fr-FR"/>
        </w:rPr>
        <w:t>portant sur la pertinence, l</w:t>
      </w:r>
      <w:r w:rsidR="00426067" w:rsidRPr="00202EB9">
        <w:rPr>
          <w:szCs w:val="22"/>
          <w:lang w:val="fr-FR"/>
        </w:rPr>
        <w:t>’</w:t>
      </w:r>
      <w:r w:rsidR="00D516C2" w:rsidRPr="00202EB9">
        <w:rPr>
          <w:szCs w:val="22"/>
          <w:lang w:val="fr-FR"/>
        </w:rPr>
        <w:t>impact, l</w:t>
      </w:r>
      <w:r w:rsidR="00426067" w:rsidRPr="00202EB9">
        <w:rPr>
          <w:szCs w:val="22"/>
          <w:lang w:val="fr-FR"/>
        </w:rPr>
        <w:t>’</w:t>
      </w:r>
      <w:r w:rsidR="00D516C2" w:rsidRPr="00202EB9">
        <w:rPr>
          <w:szCs w:val="22"/>
          <w:lang w:val="fr-FR"/>
        </w:rPr>
        <w:t>efficacité, l</w:t>
      </w:r>
      <w:r w:rsidR="00426067" w:rsidRPr="00202EB9">
        <w:rPr>
          <w:szCs w:val="22"/>
          <w:lang w:val="fr-FR"/>
        </w:rPr>
        <w:t>’</w:t>
      </w:r>
      <w:r w:rsidR="00D516C2" w:rsidRPr="00202EB9">
        <w:rPr>
          <w:szCs w:val="22"/>
          <w:lang w:val="fr-FR"/>
        </w:rPr>
        <w:t xml:space="preserve">efficience et la durabilité, lesquelles sont </w:t>
      </w:r>
      <w:r w:rsidR="003D2C68" w:rsidRPr="00202EB9">
        <w:rPr>
          <w:szCs w:val="22"/>
          <w:lang w:val="fr-FR"/>
        </w:rPr>
        <w:t>formulées dans le cahier des charges</w:t>
      </w:r>
      <w:r w:rsidR="00927658" w:rsidRPr="00202EB9">
        <w:rPr>
          <w:szCs w:val="22"/>
          <w:lang w:val="fr-FR"/>
        </w:rPr>
        <w:t xml:space="preserve"> </w:t>
      </w:r>
      <w:r w:rsidR="001F5DB5" w:rsidRPr="00202EB9">
        <w:rPr>
          <w:szCs w:val="22"/>
          <w:lang w:val="fr-FR"/>
        </w:rPr>
        <w:t>e</w:t>
      </w:r>
      <w:r w:rsidR="00D516C2" w:rsidRPr="00202EB9">
        <w:rPr>
          <w:szCs w:val="22"/>
          <w:lang w:val="fr-FR"/>
        </w:rPr>
        <w:t>t reproduites dans l</w:t>
      </w:r>
      <w:r w:rsidR="00426067" w:rsidRPr="00202EB9">
        <w:rPr>
          <w:szCs w:val="22"/>
          <w:lang w:val="fr-FR"/>
        </w:rPr>
        <w:t>’</w:t>
      </w:r>
      <w:r w:rsidR="00D516C2" w:rsidRPr="00202EB9">
        <w:rPr>
          <w:szCs w:val="22"/>
          <w:lang w:val="fr-FR"/>
        </w:rPr>
        <w:t>encadré</w:t>
      </w:r>
      <w:r w:rsidR="00502A6F" w:rsidRPr="00202EB9">
        <w:rPr>
          <w:szCs w:val="22"/>
          <w:lang w:val="fr-FR"/>
        </w:rPr>
        <w:t> </w:t>
      </w:r>
      <w:r w:rsidR="00D516C2" w:rsidRPr="00202EB9">
        <w:rPr>
          <w:szCs w:val="22"/>
          <w:lang w:val="fr-FR"/>
        </w:rPr>
        <w:t>1 ci</w:t>
      </w:r>
      <w:r w:rsidR="001E787E" w:rsidRPr="00202EB9">
        <w:rPr>
          <w:szCs w:val="22"/>
          <w:lang w:val="fr-FR"/>
        </w:rPr>
        <w:noBreakHyphen/>
      </w:r>
      <w:r w:rsidR="00D516C2" w:rsidRPr="00202EB9">
        <w:rPr>
          <w:szCs w:val="22"/>
          <w:lang w:val="fr-FR"/>
        </w:rPr>
        <w:t>dessous.</w:t>
      </w:r>
    </w:p>
    <w:p w:rsidR="00255C01" w:rsidRPr="00202EB9" w:rsidRDefault="00661BB0" w:rsidP="00255C01">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u w:val="single"/>
          <w:lang w:val="fr-FR"/>
        </w:rPr>
      </w:pPr>
      <w:r w:rsidRPr="00202EB9">
        <w:rPr>
          <w:rFonts w:cs="Arial"/>
          <w:u w:val="single"/>
          <w:lang w:val="fr-FR"/>
        </w:rPr>
        <w:t>Encadré</w:t>
      </w:r>
      <w:r w:rsidR="00502A6F" w:rsidRPr="00202EB9">
        <w:rPr>
          <w:rFonts w:cs="Arial"/>
          <w:u w:val="single"/>
          <w:lang w:val="fr-FR"/>
        </w:rPr>
        <w:t> </w:t>
      </w:r>
      <w:r w:rsidR="00255C01" w:rsidRPr="00202EB9">
        <w:rPr>
          <w:rFonts w:cs="Arial"/>
          <w:u w:val="single"/>
          <w:lang w:val="fr-FR"/>
        </w:rPr>
        <w:t>1</w:t>
      </w:r>
      <w:r w:rsidR="00E15713" w:rsidRPr="00202EB9">
        <w:rPr>
          <w:rFonts w:cs="Arial"/>
          <w:u w:val="single"/>
          <w:lang w:val="fr-FR"/>
        </w:rPr>
        <w:t> </w:t>
      </w:r>
      <w:proofErr w:type="gramStart"/>
      <w:r w:rsidR="00255C01" w:rsidRPr="00202EB9">
        <w:rPr>
          <w:rFonts w:cs="Arial"/>
          <w:u w:val="single"/>
          <w:lang w:val="fr-FR"/>
        </w:rPr>
        <w:t xml:space="preserve">: </w:t>
      </w:r>
      <w:r w:rsidRPr="00202EB9">
        <w:rPr>
          <w:rFonts w:cs="Arial"/>
          <w:u w:val="single"/>
          <w:lang w:val="fr-FR"/>
        </w:rPr>
        <w:t>Questions</w:t>
      </w:r>
      <w:proofErr w:type="gramEnd"/>
      <w:r w:rsidRPr="00202EB9">
        <w:rPr>
          <w:rFonts w:cs="Arial"/>
          <w:u w:val="single"/>
          <w:lang w:val="fr-FR"/>
        </w:rPr>
        <w:t xml:space="preserve"> clés</w:t>
      </w:r>
    </w:p>
    <w:p w:rsidR="00255C01" w:rsidRPr="00202EB9" w:rsidRDefault="00255C01" w:rsidP="00255C01">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fr-FR"/>
        </w:rPr>
      </w:pPr>
    </w:p>
    <w:p w:rsidR="000836AC" w:rsidRPr="00202EB9" w:rsidRDefault="00255C01" w:rsidP="000836AC">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fr-FR"/>
        </w:rPr>
      </w:pPr>
      <w:r w:rsidRPr="00202EB9">
        <w:rPr>
          <w:rFonts w:cs="Arial"/>
          <w:lang w:val="fr-FR"/>
        </w:rPr>
        <w:t>1.</w:t>
      </w:r>
      <w:r w:rsidRPr="00202EB9">
        <w:rPr>
          <w:rFonts w:cs="Arial"/>
          <w:lang w:val="fr-FR"/>
        </w:rPr>
        <w:tab/>
      </w:r>
      <w:r w:rsidR="000836AC" w:rsidRPr="00202EB9">
        <w:rPr>
          <w:rFonts w:cs="Arial"/>
          <w:lang w:val="fr-FR"/>
        </w:rPr>
        <w:t>Pertinence</w:t>
      </w:r>
      <w:r w:rsidR="00E15713" w:rsidRPr="00202EB9">
        <w:rPr>
          <w:rFonts w:cs="Arial"/>
          <w:lang w:val="fr-FR"/>
        </w:rPr>
        <w:t> </w:t>
      </w:r>
      <w:proofErr w:type="gramStart"/>
      <w:r w:rsidR="000836AC" w:rsidRPr="00202EB9">
        <w:rPr>
          <w:rFonts w:cs="Arial"/>
          <w:lang w:val="fr-FR"/>
        </w:rPr>
        <w:t>: dans</w:t>
      </w:r>
      <w:proofErr w:type="gramEnd"/>
      <w:r w:rsidR="000836AC" w:rsidRPr="00202EB9">
        <w:rPr>
          <w:rFonts w:cs="Arial"/>
          <w:lang w:val="fr-FR"/>
        </w:rPr>
        <w:t xml:space="preserve"> quelle mesure les travaux de l</w:t>
      </w:r>
      <w:r w:rsidR="00426067" w:rsidRPr="00202EB9">
        <w:rPr>
          <w:rFonts w:cs="Arial"/>
          <w:lang w:val="fr-FR"/>
        </w:rPr>
        <w:t>’</w:t>
      </w:r>
      <w:r w:rsidR="000836AC" w:rsidRPr="00202EB9">
        <w:rPr>
          <w:rFonts w:cs="Arial"/>
          <w:lang w:val="fr-FR"/>
        </w:rPr>
        <w:t xml:space="preserve">OMPI et les résultats de ses activités pour la mise en </w:t>
      </w:r>
      <w:r w:rsidR="006C50B9" w:rsidRPr="00202EB9">
        <w:rPr>
          <w:rFonts w:cs="Arial"/>
          <w:lang w:val="fr-FR"/>
        </w:rPr>
        <w:t>œuvre</w:t>
      </w:r>
      <w:r w:rsidR="000836AC" w:rsidRPr="00202EB9">
        <w:rPr>
          <w:rFonts w:cs="Arial"/>
          <w:lang w:val="fr-FR"/>
        </w:rPr>
        <w:t xml:space="preserve"> des recommandations du Plan d</w:t>
      </w:r>
      <w:r w:rsidR="00426067" w:rsidRPr="00202EB9">
        <w:rPr>
          <w:rFonts w:cs="Arial"/>
          <w:lang w:val="fr-FR"/>
        </w:rPr>
        <w:t>’</w:t>
      </w:r>
      <w:r w:rsidR="000836AC" w:rsidRPr="00202EB9">
        <w:rPr>
          <w:rFonts w:cs="Arial"/>
          <w:lang w:val="fr-FR"/>
        </w:rPr>
        <w:t>action pour le développement</w:t>
      </w:r>
    </w:p>
    <w:p w:rsidR="000836AC" w:rsidRPr="00202EB9" w:rsidRDefault="000836AC" w:rsidP="000836AC">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fr-FR"/>
        </w:rPr>
      </w:pPr>
      <w:proofErr w:type="gramStart"/>
      <w:r w:rsidRPr="00202EB9">
        <w:rPr>
          <w:rFonts w:cs="Arial"/>
          <w:lang w:val="fr-FR"/>
        </w:rPr>
        <w:t>répondent</w:t>
      </w:r>
      <w:r w:rsidR="001E787E" w:rsidRPr="00202EB9">
        <w:rPr>
          <w:rFonts w:cs="Arial"/>
          <w:lang w:val="fr-FR"/>
        </w:rPr>
        <w:noBreakHyphen/>
      </w:r>
      <w:r w:rsidRPr="00202EB9">
        <w:rPr>
          <w:rFonts w:cs="Arial"/>
          <w:lang w:val="fr-FR"/>
        </w:rPr>
        <w:t>ils</w:t>
      </w:r>
      <w:proofErr w:type="gramEnd"/>
      <w:r w:rsidRPr="00202EB9">
        <w:rPr>
          <w:rFonts w:cs="Arial"/>
          <w:lang w:val="fr-FR"/>
        </w:rPr>
        <w:t xml:space="preserve"> aux besoins des États membres, parties prenantes et autres bénéficiaires</w:t>
      </w:r>
    </w:p>
    <w:p w:rsidR="00255C01" w:rsidRPr="00202EB9" w:rsidRDefault="000836AC" w:rsidP="000836AC">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fr-FR"/>
        </w:rPr>
      </w:pPr>
      <w:r w:rsidRPr="00202EB9">
        <w:rPr>
          <w:rFonts w:cs="Arial"/>
          <w:lang w:val="fr-FR"/>
        </w:rPr>
        <w:t>visés?</w:t>
      </w:r>
    </w:p>
    <w:p w:rsidR="00255C01" w:rsidRPr="00202EB9" w:rsidRDefault="00255C01" w:rsidP="00255C01">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fr-FR"/>
        </w:rPr>
      </w:pPr>
    </w:p>
    <w:p w:rsidR="00255C01" w:rsidRPr="00202EB9" w:rsidRDefault="00255C01" w:rsidP="000836AC">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fr-FR"/>
        </w:rPr>
      </w:pPr>
      <w:r w:rsidRPr="00202EB9">
        <w:rPr>
          <w:rFonts w:cs="Arial"/>
          <w:lang w:val="fr-FR"/>
        </w:rPr>
        <w:t>2.</w:t>
      </w:r>
      <w:r w:rsidRPr="00202EB9">
        <w:rPr>
          <w:rFonts w:cs="Arial"/>
          <w:lang w:val="fr-FR"/>
        </w:rPr>
        <w:tab/>
      </w:r>
      <w:r w:rsidR="000836AC" w:rsidRPr="00202EB9">
        <w:rPr>
          <w:rFonts w:cs="Arial"/>
          <w:lang w:val="fr-FR"/>
        </w:rPr>
        <w:t>Impact</w:t>
      </w:r>
      <w:r w:rsidR="00E15713" w:rsidRPr="00202EB9">
        <w:rPr>
          <w:rFonts w:cs="Arial"/>
          <w:lang w:val="fr-FR"/>
        </w:rPr>
        <w:t> </w:t>
      </w:r>
      <w:proofErr w:type="gramStart"/>
      <w:r w:rsidR="000836AC" w:rsidRPr="00202EB9">
        <w:rPr>
          <w:rFonts w:cs="Arial"/>
          <w:lang w:val="fr-FR"/>
        </w:rPr>
        <w:t>: quel</w:t>
      </w:r>
      <w:proofErr w:type="gramEnd"/>
      <w:r w:rsidR="000836AC" w:rsidRPr="00202EB9">
        <w:rPr>
          <w:rFonts w:cs="Arial"/>
          <w:lang w:val="fr-FR"/>
        </w:rPr>
        <w:t xml:space="preserve"> est l</w:t>
      </w:r>
      <w:r w:rsidR="00426067" w:rsidRPr="00202EB9">
        <w:rPr>
          <w:rFonts w:cs="Arial"/>
          <w:lang w:val="fr-FR"/>
        </w:rPr>
        <w:t>’</w:t>
      </w:r>
      <w:r w:rsidR="000836AC" w:rsidRPr="00202EB9">
        <w:rPr>
          <w:rFonts w:cs="Arial"/>
          <w:lang w:val="fr-FR"/>
        </w:rPr>
        <w:t>impact des travaux menés par l</w:t>
      </w:r>
      <w:r w:rsidR="00426067" w:rsidRPr="00202EB9">
        <w:rPr>
          <w:rFonts w:cs="Arial"/>
          <w:lang w:val="fr-FR"/>
        </w:rPr>
        <w:t>’</w:t>
      </w:r>
      <w:r w:rsidR="000836AC" w:rsidRPr="00202EB9">
        <w:rPr>
          <w:rFonts w:cs="Arial"/>
          <w:lang w:val="fr-FR"/>
        </w:rPr>
        <w:t>OMPI dans le cadre de la mise en œuvre des recommandations du Plan d</w:t>
      </w:r>
      <w:r w:rsidR="00426067" w:rsidRPr="00202EB9">
        <w:rPr>
          <w:rFonts w:cs="Arial"/>
          <w:lang w:val="fr-FR"/>
        </w:rPr>
        <w:t>’</w:t>
      </w:r>
      <w:r w:rsidR="000836AC" w:rsidRPr="00202EB9">
        <w:rPr>
          <w:rFonts w:cs="Arial"/>
          <w:lang w:val="fr-FR"/>
        </w:rPr>
        <w:t xml:space="preserve">action pour le développement? </w:t>
      </w:r>
      <w:r w:rsidR="00E15713" w:rsidRPr="00202EB9">
        <w:rPr>
          <w:rFonts w:cs="Arial"/>
          <w:lang w:val="fr-FR"/>
        </w:rPr>
        <w:t xml:space="preserve"> </w:t>
      </w:r>
      <w:r w:rsidR="000836AC" w:rsidRPr="00202EB9">
        <w:rPr>
          <w:rFonts w:cs="Arial"/>
          <w:lang w:val="fr-FR"/>
        </w:rPr>
        <w:t>À cet égard, l</w:t>
      </w:r>
      <w:r w:rsidR="00426067" w:rsidRPr="00202EB9">
        <w:rPr>
          <w:rFonts w:cs="Arial"/>
          <w:lang w:val="fr-FR"/>
        </w:rPr>
        <w:t>’</w:t>
      </w:r>
      <w:r w:rsidR="000836AC" w:rsidRPr="00202EB9">
        <w:rPr>
          <w:rFonts w:cs="Arial"/>
          <w:lang w:val="fr-FR"/>
        </w:rPr>
        <w:t>étude doit porter sur l</w:t>
      </w:r>
      <w:r w:rsidR="00426067" w:rsidRPr="00202EB9">
        <w:rPr>
          <w:rFonts w:cs="Arial"/>
          <w:lang w:val="fr-FR"/>
        </w:rPr>
        <w:t>’</w:t>
      </w:r>
      <w:r w:rsidR="000836AC" w:rsidRPr="00202EB9">
        <w:rPr>
          <w:rFonts w:cs="Arial"/>
          <w:lang w:val="fr-FR"/>
        </w:rPr>
        <w:t>impact réel des travaux menés par l</w:t>
      </w:r>
      <w:r w:rsidR="00426067" w:rsidRPr="00202EB9">
        <w:rPr>
          <w:rFonts w:cs="Arial"/>
          <w:lang w:val="fr-FR"/>
        </w:rPr>
        <w:t>’</w:t>
      </w:r>
      <w:r w:rsidR="000836AC" w:rsidRPr="00202EB9">
        <w:rPr>
          <w:rFonts w:cs="Arial"/>
          <w:lang w:val="fr-FR"/>
        </w:rPr>
        <w:t>OMPI dans ce domaine, à tous les niveaux et pour tous les organes et programmes de l</w:t>
      </w:r>
      <w:r w:rsidR="00426067" w:rsidRPr="00202EB9">
        <w:rPr>
          <w:rFonts w:cs="Arial"/>
          <w:lang w:val="fr-FR"/>
        </w:rPr>
        <w:t>’</w:t>
      </w:r>
      <w:r w:rsidR="000836AC" w:rsidRPr="00202EB9">
        <w:rPr>
          <w:rFonts w:cs="Arial"/>
          <w:lang w:val="fr-FR"/>
        </w:rPr>
        <w:t>OMPI.</w:t>
      </w:r>
    </w:p>
    <w:p w:rsidR="00255C01" w:rsidRPr="00202EB9" w:rsidRDefault="00255C01" w:rsidP="00255C01">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fr-FR"/>
        </w:rPr>
      </w:pPr>
    </w:p>
    <w:p w:rsidR="00255C01" w:rsidRPr="00202EB9" w:rsidRDefault="00255C01" w:rsidP="00A61B17">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fr-FR"/>
        </w:rPr>
      </w:pPr>
      <w:r w:rsidRPr="00202EB9">
        <w:rPr>
          <w:rFonts w:cs="Arial"/>
          <w:lang w:val="fr-FR"/>
        </w:rPr>
        <w:t>3.</w:t>
      </w:r>
      <w:r w:rsidRPr="00202EB9">
        <w:rPr>
          <w:rFonts w:cs="Arial"/>
          <w:lang w:val="fr-FR"/>
        </w:rPr>
        <w:tab/>
      </w:r>
      <w:r w:rsidR="00A61B17" w:rsidRPr="00202EB9">
        <w:rPr>
          <w:rFonts w:cs="Arial"/>
          <w:lang w:val="fr-FR"/>
        </w:rPr>
        <w:t>Efficacité</w:t>
      </w:r>
      <w:r w:rsidR="00E15713" w:rsidRPr="00202EB9">
        <w:rPr>
          <w:rFonts w:cs="Arial"/>
          <w:lang w:val="fr-FR"/>
        </w:rPr>
        <w:t> </w:t>
      </w:r>
      <w:proofErr w:type="gramStart"/>
      <w:r w:rsidR="00A61B17" w:rsidRPr="00202EB9">
        <w:rPr>
          <w:rFonts w:cs="Arial"/>
          <w:lang w:val="fr-FR"/>
        </w:rPr>
        <w:t>: dans</w:t>
      </w:r>
      <w:proofErr w:type="gramEnd"/>
      <w:r w:rsidR="00A61B17" w:rsidRPr="00202EB9">
        <w:rPr>
          <w:rFonts w:cs="Arial"/>
          <w:lang w:val="fr-FR"/>
        </w:rPr>
        <w:t xml:space="preserve"> quelle mesure les travaux de l</w:t>
      </w:r>
      <w:r w:rsidR="00426067" w:rsidRPr="00202EB9">
        <w:rPr>
          <w:rFonts w:cs="Arial"/>
          <w:lang w:val="fr-FR"/>
        </w:rPr>
        <w:t>’</w:t>
      </w:r>
      <w:r w:rsidR="00A61B17" w:rsidRPr="00202EB9">
        <w:rPr>
          <w:rFonts w:cs="Arial"/>
          <w:lang w:val="fr-FR"/>
        </w:rPr>
        <w:t>OMPI sont</w:t>
      </w:r>
      <w:r w:rsidR="001E787E" w:rsidRPr="00202EB9">
        <w:rPr>
          <w:rFonts w:cs="Arial"/>
          <w:lang w:val="fr-FR"/>
        </w:rPr>
        <w:noBreakHyphen/>
      </w:r>
      <w:r w:rsidR="00A61B17" w:rsidRPr="00202EB9">
        <w:rPr>
          <w:rFonts w:cs="Arial"/>
          <w:lang w:val="fr-FR"/>
        </w:rPr>
        <w:t>ils efficaces aux fins de la mise en œuvre des recommandations du Plan d</w:t>
      </w:r>
      <w:r w:rsidR="00426067" w:rsidRPr="00202EB9">
        <w:rPr>
          <w:rFonts w:cs="Arial"/>
          <w:lang w:val="fr-FR"/>
        </w:rPr>
        <w:t>’</w:t>
      </w:r>
      <w:r w:rsidR="00A61B17" w:rsidRPr="00202EB9">
        <w:rPr>
          <w:rFonts w:cs="Arial"/>
          <w:lang w:val="fr-FR"/>
        </w:rPr>
        <w:t xml:space="preserve">action pour le développement? </w:t>
      </w:r>
      <w:r w:rsidR="00E15713" w:rsidRPr="00202EB9">
        <w:rPr>
          <w:rFonts w:cs="Arial"/>
          <w:lang w:val="fr-FR"/>
        </w:rPr>
        <w:t xml:space="preserve"> </w:t>
      </w:r>
      <w:r w:rsidR="00A61B17" w:rsidRPr="00202EB9">
        <w:rPr>
          <w:rFonts w:cs="Arial"/>
          <w:lang w:val="fr-FR"/>
        </w:rPr>
        <w:t>À cet égard, l</w:t>
      </w:r>
      <w:r w:rsidR="00426067" w:rsidRPr="00202EB9">
        <w:rPr>
          <w:rFonts w:cs="Arial"/>
          <w:lang w:val="fr-FR"/>
        </w:rPr>
        <w:t>’</w:t>
      </w:r>
      <w:r w:rsidR="00A61B17" w:rsidRPr="00202EB9">
        <w:rPr>
          <w:rFonts w:cs="Arial"/>
          <w:lang w:val="fr-FR"/>
        </w:rPr>
        <w:t>étude doit permettre d</w:t>
      </w:r>
      <w:r w:rsidR="00426067" w:rsidRPr="00202EB9">
        <w:rPr>
          <w:rFonts w:cs="Arial"/>
          <w:lang w:val="fr-FR"/>
        </w:rPr>
        <w:t>’</w:t>
      </w:r>
      <w:r w:rsidR="00A61B17" w:rsidRPr="00202EB9">
        <w:rPr>
          <w:rFonts w:cs="Arial"/>
          <w:lang w:val="fr-FR"/>
        </w:rPr>
        <w:t>évaluer si les travaux de l</w:t>
      </w:r>
      <w:r w:rsidR="00426067" w:rsidRPr="00202EB9">
        <w:rPr>
          <w:rFonts w:cs="Arial"/>
          <w:lang w:val="fr-FR"/>
        </w:rPr>
        <w:t>’</w:t>
      </w:r>
      <w:r w:rsidR="00A61B17" w:rsidRPr="00202EB9">
        <w:rPr>
          <w:rFonts w:cs="Arial"/>
          <w:lang w:val="fr-FR"/>
        </w:rPr>
        <w:t>OMPI ont permis d</w:t>
      </w:r>
      <w:r w:rsidR="00426067" w:rsidRPr="00202EB9">
        <w:rPr>
          <w:rFonts w:cs="Arial"/>
          <w:lang w:val="fr-FR"/>
        </w:rPr>
        <w:t>’</w:t>
      </w:r>
      <w:r w:rsidR="00A61B17" w:rsidRPr="00202EB9">
        <w:rPr>
          <w:rFonts w:cs="Arial"/>
          <w:lang w:val="fr-FR"/>
        </w:rPr>
        <w:t>obtenir les résultats attendus conformément aux recommandations du Plan d</w:t>
      </w:r>
      <w:r w:rsidR="00426067" w:rsidRPr="00202EB9">
        <w:rPr>
          <w:rFonts w:cs="Arial"/>
          <w:lang w:val="fr-FR"/>
        </w:rPr>
        <w:t>’</w:t>
      </w:r>
      <w:r w:rsidR="00A61B17" w:rsidRPr="00202EB9">
        <w:rPr>
          <w:rFonts w:cs="Arial"/>
          <w:lang w:val="fr-FR"/>
        </w:rPr>
        <w:t>action pour le développement et si l</w:t>
      </w:r>
      <w:r w:rsidR="00426067" w:rsidRPr="00202EB9">
        <w:rPr>
          <w:rFonts w:cs="Arial"/>
          <w:lang w:val="fr-FR"/>
        </w:rPr>
        <w:t>’</w:t>
      </w:r>
      <w:r w:rsidR="00A61B17" w:rsidRPr="00202EB9">
        <w:rPr>
          <w:rFonts w:cs="Arial"/>
          <w:lang w:val="fr-FR"/>
        </w:rPr>
        <w:t>approche fondée sur des projets a été efficace.</w:t>
      </w:r>
    </w:p>
    <w:p w:rsidR="00255C01" w:rsidRPr="00202EB9" w:rsidRDefault="00255C01" w:rsidP="00255C01">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fr-FR"/>
        </w:rPr>
      </w:pPr>
    </w:p>
    <w:p w:rsidR="00255C01" w:rsidRPr="00202EB9" w:rsidRDefault="00255C01" w:rsidP="00661BB0">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fr-FR"/>
        </w:rPr>
      </w:pPr>
      <w:r w:rsidRPr="00202EB9">
        <w:rPr>
          <w:rFonts w:cs="Arial"/>
          <w:lang w:val="fr-FR"/>
        </w:rPr>
        <w:t>4.</w:t>
      </w:r>
      <w:r w:rsidRPr="00202EB9">
        <w:rPr>
          <w:rFonts w:cs="Arial"/>
          <w:lang w:val="fr-FR"/>
        </w:rPr>
        <w:tab/>
      </w:r>
      <w:r w:rsidR="00661BB0" w:rsidRPr="00202EB9">
        <w:rPr>
          <w:rFonts w:cs="Arial"/>
          <w:lang w:val="fr-FR"/>
        </w:rPr>
        <w:t>Efficience</w:t>
      </w:r>
      <w:r w:rsidR="00E15713" w:rsidRPr="00202EB9">
        <w:rPr>
          <w:rFonts w:cs="Arial"/>
          <w:lang w:val="fr-FR"/>
        </w:rPr>
        <w:t> </w:t>
      </w:r>
      <w:proofErr w:type="gramStart"/>
      <w:r w:rsidR="00661BB0" w:rsidRPr="00202EB9">
        <w:rPr>
          <w:rFonts w:cs="Arial"/>
          <w:lang w:val="fr-FR"/>
        </w:rPr>
        <w:t>: dans</w:t>
      </w:r>
      <w:proofErr w:type="gramEnd"/>
      <w:r w:rsidR="00661BB0" w:rsidRPr="00202EB9">
        <w:rPr>
          <w:rFonts w:cs="Arial"/>
          <w:lang w:val="fr-FR"/>
        </w:rPr>
        <w:t xml:space="preserve"> quelle mesure l</w:t>
      </w:r>
      <w:r w:rsidR="00426067" w:rsidRPr="00202EB9">
        <w:rPr>
          <w:rFonts w:cs="Arial"/>
          <w:lang w:val="fr-FR"/>
        </w:rPr>
        <w:t>’</w:t>
      </w:r>
      <w:r w:rsidR="00661BB0" w:rsidRPr="00202EB9">
        <w:rPr>
          <w:rFonts w:cs="Arial"/>
          <w:lang w:val="fr-FR"/>
        </w:rPr>
        <w:t>OMPI a</w:t>
      </w:r>
      <w:r w:rsidR="001E787E" w:rsidRPr="00202EB9">
        <w:rPr>
          <w:rFonts w:cs="Arial"/>
          <w:lang w:val="fr-FR"/>
        </w:rPr>
        <w:noBreakHyphen/>
      </w:r>
      <w:r w:rsidR="00661BB0" w:rsidRPr="00202EB9">
        <w:rPr>
          <w:rFonts w:cs="Arial"/>
          <w:lang w:val="fr-FR"/>
        </w:rPr>
        <w:t>t</w:t>
      </w:r>
      <w:r w:rsidR="001E787E" w:rsidRPr="00202EB9">
        <w:rPr>
          <w:rFonts w:cs="Arial"/>
          <w:lang w:val="fr-FR"/>
        </w:rPr>
        <w:noBreakHyphen/>
      </w:r>
      <w:r w:rsidR="00661BB0" w:rsidRPr="00202EB9">
        <w:rPr>
          <w:rFonts w:cs="Arial"/>
          <w:lang w:val="fr-FR"/>
        </w:rPr>
        <w:t>elle utilisé les ressources humaines et</w:t>
      </w:r>
      <w:r w:rsidR="002C109F" w:rsidRPr="00202EB9">
        <w:rPr>
          <w:rFonts w:cs="Arial"/>
          <w:lang w:val="fr-FR"/>
        </w:rPr>
        <w:t xml:space="preserve"> </w:t>
      </w:r>
      <w:r w:rsidR="00661BB0" w:rsidRPr="00202EB9">
        <w:rPr>
          <w:rFonts w:cs="Arial"/>
          <w:lang w:val="fr-FR"/>
        </w:rPr>
        <w:t xml:space="preserve">financières de manière rationnelle dans le cadre de la mise en </w:t>
      </w:r>
      <w:r w:rsidR="006C50B9" w:rsidRPr="00202EB9">
        <w:rPr>
          <w:rFonts w:cs="Arial"/>
          <w:lang w:val="fr-FR"/>
        </w:rPr>
        <w:t xml:space="preserve">œuvre </w:t>
      </w:r>
      <w:r w:rsidR="00661BB0" w:rsidRPr="00202EB9">
        <w:rPr>
          <w:rFonts w:cs="Arial"/>
          <w:lang w:val="fr-FR"/>
        </w:rPr>
        <w:t>des recommandations</w:t>
      </w:r>
      <w:r w:rsidR="002C109F" w:rsidRPr="00202EB9">
        <w:rPr>
          <w:rFonts w:cs="Arial"/>
          <w:lang w:val="fr-FR"/>
        </w:rPr>
        <w:t xml:space="preserve"> </w:t>
      </w:r>
      <w:r w:rsidR="00661BB0" w:rsidRPr="00202EB9">
        <w:rPr>
          <w:rFonts w:cs="Arial"/>
          <w:lang w:val="fr-FR"/>
        </w:rPr>
        <w:t>du</w:t>
      </w:r>
      <w:r w:rsidR="002C109F" w:rsidRPr="00202EB9">
        <w:rPr>
          <w:rFonts w:cs="Arial"/>
          <w:lang w:val="fr-FR"/>
        </w:rPr>
        <w:t xml:space="preserve"> </w:t>
      </w:r>
      <w:r w:rsidR="00661BB0" w:rsidRPr="00202EB9">
        <w:rPr>
          <w:rFonts w:cs="Arial"/>
          <w:lang w:val="fr-FR"/>
        </w:rPr>
        <w:t>Plan d</w:t>
      </w:r>
      <w:r w:rsidR="00426067" w:rsidRPr="00202EB9">
        <w:rPr>
          <w:rFonts w:cs="Arial"/>
          <w:lang w:val="fr-FR"/>
        </w:rPr>
        <w:t>’</w:t>
      </w:r>
      <w:r w:rsidR="00661BB0" w:rsidRPr="00202EB9">
        <w:rPr>
          <w:rFonts w:cs="Arial"/>
          <w:lang w:val="fr-FR"/>
        </w:rPr>
        <w:t>action pour le développement?</w:t>
      </w:r>
    </w:p>
    <w:p w:rsidR="00255C01" w:rsidRPr="00202EB9" w:rsidRDefault="00255C01" w:rsidP="00255C01">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fr-FR"/>
        </w:rPr>
      </w:pPr>
    </w:p>
    <w:p w:rsidR="00255C01" w:rsidRDefault="00255C01" w:rsidP="002C109F">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fr-FR"/>
        </w:rPr>
      </w:pPr>
      <w:r w:rsidRPr="00202EB9">
        <w:rPr>
          <w:rFonts w:cs="Arial"/>
          <w:lang w:val="fr-FR"/>
        </w:rPr>
        <w:t>5.</w:t>
      </w:r>
      <w:r w:rsidRPr="00202EB9">
        <w:rPr>
          <w:rFonts w:cs="Arial"/>
          <w:lang w:val="fr-FR"/>
        </w:rPr>
        <w:tab/>
      </w:r>
      <w:r w:rsidR="002C109F" w:rsidRPr="00202EB9">
        <w:rPr>
          <w:rFonts w:cs="Arial"/>
          <w:lang w:val="fr-FR"/>
        </w:rPr>
        <w:t>Durabilité</w:t>
      </w:r>
      <w:r w:rsidR="00E15713" w:rsidRPr="00202EB9">
        <w:rPr>
          <w:rFonts w:cs="Arial"/>
          <w:lang w:val="fr-FR"/>
        </w:rPr>
        <w:t> </w:t>
      </w:r>
      <w:proofErr w:type="gramStart"/>
      <w:r w:rsidR="002C109F" w:rsidRPr="00202EB9">
        <w:rPr>
          <w:rFonts w:cs="Arial"/>
          <w:lang w:val="fr-FR"/>
        </w:rPr>
        <w:t>: dans</w:t>
      </w:r>
      <w:proofErr w:type="gramEnd"/>
      <w:r w:rsidR="002C109F" w:rsidRPr="00202EB9">
        <w:rPr>
          <w:rFonts w:cs="Arial"/>
          <w:lang w:val="fr-FR"/>
        </w:rPr>
        <w:t xml:space="preserve"> quelle mesure les résultats des travaux de l</w:t>
      </w:r>
      <w:r w:rsidR="00426067" w:rsidRPr="00202EB9">
        <w:rPr>
          <w:rFonts w:cs="Arial"/>
          <w:lang w:val="fr-FR"/>
        </w:rPr>
        <w:t>’</w:t>
      </w:r>
      <w:r w:rsidR="002C109F" w:rsidRPr="00202EB9">
        <w:rPr>
          <w:rFonts w:cs="Arial"/>
          <w:lang w:val="fr-FR"/>
        </w:rPr>
        <w:t>OMPI ont</w:t>
      </w:r>
      <w:r w:rsidR="001E787E" w:rsidRPr="00202EB9">
        <w:rPr>
          <w:rFonts w:cs="Arial"/>
          <w:lang w:val="fr-FR"/>
        </w:rPr>
        <w:noBreakHyphen/>
      </w:r>
      <w:r w:rsidR="002C109F" w:rsidRPr="00202EB9">
        <w:rPr>
          <w:rFonts w:cs="Arial"/>
          <w:lang w:val="fr-FR"/>
        </w:rPr>
        <w:t>ils un effet durable à long terme?</w:t>
      </w:r>
      <w:r w:rsidR="00E15713" w:rsidRPr="00202EB9">
        <w:rPr>
          <w:rFonts w:cs="Arial"/>
          <w:lang w:val="fr-FR"/>
        </w:rPr>
        <w:t xml:space="preserve"> </w:t>
      </w:r>
      <w:r w:rsidR="002C109F" w:rsidRPr="00202EB9">
        <w:rPr>
          <w:rFonts w:cs="Arial"/>
          <w:lang w:val="fr-FR"/>
        </w:rPr>
        <w:t xml:space="preserve"> À cet égard, l</w:t>
      </w:r>
      <w:r w:rsidR="00426067" w:rsidRPr="00202EB9">
        <w:rPr>
          <w:rFonts w:cs="Arial"/>
          <w:lang w:val="fr-FR"/>
        </w:rPr>
        <w:t>’</w:t>
      </w:r>
      <w:r w:rsidR="002C109F" w:rsidRPr="00202EB9">
        <w:rPr>
          <w:rFonts w:cs="Arial"/>
          <w:lang w:val="fr-FR"/>
        </w:rPr>
        <w:t>étude doit aussi recenser les pratiques recommandées et les enseignements à tirer des travaux menés par l</w:t>
      </w:r>
      <w:r w:rsidR="00426067" w:rsidRPr="00202EB9">
        <w:rPr>
          <w:rFonts w:cs="Arial"/>
          <w:lang w:val="fr-FR"/>
        </w:rPr>
        <w:t>’</w:t>
      </w:r>
      <w:r w:rsidR="002C109F" w:rsidRPr="00202EB9">
        <w:rPr>
          <w:rFonts w:cs="Arial"/>
          <w:lang w:val="fr-FR"/>
        </w:rPr>
        <w:t>OMPI dans le cadre de la mise en œuvre des</w:t>
      </w:r>
      <w:r w:rsidR="00E37D32" w:rsidRPr="00202EB9">
        <w:rPr>
          <w:rFonts w:cs="Arial"/>
          <w:lang w:val="fr-FR"/>
        </w:rPr>
        <w:t xml:space="preserve"> </w:t>
      </w:r>
      <w:r w:rsidR="002C109F" w:rsidRPr="00202EB9">
        <w:rPr>
          <w:rFonts w:cs="Arial"/>
          <w:lang w:val="fr-FR"/>
        </w:rPr>
        <w:t>recommandations du Plan d</w:t>
      </w:r>
      <w:r w:rsidR="00426067" w:rsidRPr="00202EB9">
        <w:rPr>
          <w:rFonts w:cs="Arial"/>
          <w:lang w:val="fr-FR"/>
        </w:rPr>
        <w:t>’</w:t>
      </w:r>
      <w:r w:rsidR="002C109F" w:rsidRPr="00202EB9">
        <w:rPr>
          <w:rFonts w:cs="Arial"/>
          <w:lang w:val="fr-FR"/>
        </w:rPr>
        <w:t>action pour le développement en vue d</w:t>
      </w:r>
      <w:r w:rsidR="00426067" w:rsidRPr="00202EB9">
        <w:rPr>
          <w:rFonts w:cs="Arial"/>
          <w:lang w:val="fr-FR"/>
        </w:rPr>
        <w:t>’</w:t>
      </w:r>
      <w:r w:rsidR="002C109F" w:rsidRPr="00202EB9">
        <w:rPr>
          <w:rFonts w:cs="Arial"/>
          <w:lang w:val="fr-FR"/>
        </w:rPr>
        <w:t>obtenir des</w:t>
      </w:r>
      <w:r w:rsidR="00E37D32" w:rsidRPr="00202EB9">
        <w:rPr>
          <w:rFonts w:cs="Arial"/>
          <w:lang w:val="fr-FR"/>
        </w:rPr>
        <w:t xml:space="preserve"> </w:t>
      </w:r>
      <w:r w:rsidR="002C109F" w:rsidRPr="00202EB9">
        <w:rPr>
          <w:rFonts w:cs="Arial"/>
          <w:lang w:val="fr-FR"/>
        </w:rPr>
        <w:t>résultats</w:t>
      </w:r>
      <w:r w:rsidR="00E37D32" w:rsidRPr="00202EB9">
        <w:rPr>
          <w:rFonts w:cs="Arial"/>
          <w:lang w:val="fr-FR"/>
        </w:rPr>
        <w:t xml:space="preserve"> </w:t>
      </w:r>
      <w:r w:rsidR="002C109F" w:rsidRPr="00202EB9">
        <w:rPr>
          <w:rFonts w:cs="Arial"/>
          <w:lang w:val="fr-FR"/>
        </w:rPr>
        <w:t>durables à l</w:t>
      </w:r>
      <w:r w:rsidR="00426067" w:rsidRPr="00202EB9">
        <w:rPr>
          <w:rFonts w:cs="Arial"/>
          <w:lang w:val="fr-FR"/>
        </w:rPr>
        <w:t>’</w:t>
      </w:r>
      <w:r w:rsidR="002C109F" w:rsidRPr="00202EB9">
        <w:rPr>
          <w:rFonts w:cs="Arial"/>
          <w:lang w:val="fr-FR"/>
        </w:rPr>
        <w:t>avenir.</w:t>
      </w:r>
    </w:p>
    <w:p w:rsidR="008D1193" w:rsidRPr="00202EB9" w:rsidRDefault="008D1193" w:rsidP="002C109F">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fr-FR"/>
        </w:rPr>
      </w:pPr>
    </w:p>
    <w:p w:rsidR="004372EF" w:rsidRPr="00202EB9" w:rsidRDefault="004372EF" w:rsidP="004372EF">
      <w:pPr>
        <w:jc w:val="both"/>
        <w:rPr>
          <w:rFonts w:cs="Arial"/>
          <w:u w:val="single"/>
          <w:lang w:val="fr-FR"/>
        </w:rPr>
      </w:pPr>
    </w:p>
    <w:p w:rsidR="004372EF" w:rsidRPr="00202EB9" w:rsidRDefault="00AE6C83" w:rsidP="00255C01">
      <w:pPr>
        <w:pStyle w:val="ONUMFS"/>
        <w:rPr>
          <w:szCs w:val="22"/>
          <w:u w:val="single"/>
          <w:lang w:val="fr-FR"/>
        </w:rPr>
      </w:pPr>
      <w:r w:rsidRPr="00202EB9">
        <w:rPr>
          <w:szCs w:val="22"/>
          <w:lang w:val="fr-FR"/>
        </w:rPr>
        <w:t>Les questions clés reproduites dans l</w:t>
      </w:r>
      <w:r w:rsidR="00426067" w:rsidRPr="00202EB9">
        <w:rPr>
          <w:szCs w:val="22"/>
          <w:lang w:val="fr-FR"/>
        </w:rPr>
        <w:t>’</w:t>
      </w:r>
      <w:r w:rsidRPr="00202EB9">
        <w:rPr>
          <w:szCs w:val="22"/>
          <w:lang w:val="fr-FR"/>
        </w:rPr>
        <w:t>encadré</w:t>
      </w:r>
      <w:r w:rsidR="00C4740B" w:rsidRPr="00202EB9">
        <w:rPr>
          <w:szCs w:val="22"/>
          <w:lang w:val="fr-FR"/>
        </w:rPr>
        <w:t> </w:t>
      </w:r>
      <w:r w:rsidRPr="00202EB9">
        <w:rPr>
          <w:szCs w:val="22"/>
          <w:lang w:val="fr-FR"/>
        </w:rPr>
        <w:t xml:space="preserve">1 </w:t>
      </w:r>
      <w:r w:rsidR="003E4556" w:rsidRPr="00202EB9">
        <w:rPr>
          <w:szCs w:val="22"/>
          <w:lang w:val="fr-FR"/>
        </w:rPr>
        <w:t xml:space="preserve">ont été </w:t>
      </w:r>
      <w:r w:rsidR="009900AB" w:rsidRPr="00202EB9">
        <w:rPr>
          <w:szCs w:val="22"/>
          <w:lang w:val="fr-FR"/>
        </w:rPr>
        <w:t xml:space="preserve">spécialement </w:t>
      </w:r>
      <w:r w:rsidR="003E4556" w:rsidRPr="00202EB9">
        <w:rPr>
          <w:szCs w:val="22"/>
          <w:lang w:val="fr-FR"/>
        </w:rPr>
        <w:t>conçues de manière à répondre aux attentes d</w:t>
      </w:r>
      <w:r w:rsidR="00426067" w:rsidRPr="00202EB9">
        <w:rPr>
          <w:szCs w:val="22"/>
          <w:lang w:val="fr-FR"/>
        </w:rPr>
        <w:t>’</w:t>
      </w:r>
      <w:r w:rsidR="003E4556" w:rsidRPr="00202EB9">
        <w:rPr>
          <w:szCs w:val="22"/>
          <w:lang w:val="fr-FR"/>
        </w:rPr>
        <w:t xml:space="preserve">une catégorie donnée de parties prenantes, </w:t>
      </w:r>
      <w:r w:rsidR="00D104F8" w:rsidRPr="00202EB9">
        <w:rPr>
          <w:szCs w:val="22"/>
          <w:lang w:val="fr-FR"/>
        </w:rPr>
        <w:t xml:space="preserve">puis </w:t>
      </w:r>
      <w:r w:rsidR="00F43610" w:rsidRPr="00202EB9">
        <w:rPr>
          <w:szCs w:val="22"/>
          <w:lang w:val="fr-FR"/>
        </w:rPr>
        <w:t>développ</w:t>
      </w:r>
      <w:r w:rsidR="00D104F8" w:rsidRPr="00202EB9">
        <w:rPr>
          <w:szCs w:val="22"/>
          <w:lang w:val="fr-FR"/>
        </w:rPr>
        <w:t>ées</w:t>
      </w:r>
      <w:r w:rsidR="006C50B9" w:rsidRPr="00202EB9">
        <w:rPr>
          <w:szCs w:val="22"/>
          <w:lang w:val="fr-FR"/>
        </w:rPr>
        <w:t xml:space="preserve"> pour plus de clarté et afin de </w:t>
      </w:r>
      <w:r w:rsidR="009900AB" w:rsidRPr="00202EB9">
        <w:rPr>
          <w:szCs w:val="22"/>
          <w:lang w:val="fr-FR"/>
        </w:rPr>
        <w:t>guider les interactions avec les différentes parties prenantes (voir l</w:t>
      </w:r>
      <w:r w:rsidR="00426067" w:rsidRPr="00202EB9">
        <w:rPr>
          <w:szCs w:val="22"/>
          <w:lang w:val="fr-FR"/>
        </w:rPr>
        <w:t>’</w:t>
      </w:r>
      <w:r w:rsidR="009900AB" w:rsidRPr="00202EB9">
        <w:rPr>
          <w:szCs w:val="22"/>
          <w:lang w:val="fr-FR"/>
        </w:rPr>
        <w:t>encadré</w:t>
      </w:r>
      <w:r w:rsidR="00502A6F" w:rsidRPr="00202EB9">
        <w:rPr>
          <w:szCs w:val="22"/>
          <w:lang w:val="fr-FR"/>
        </w:rPr>
        <w:t> </w:t>
      </w:r>
      <w:r w:rsidR="009900AB" w:rsidRPr="00202EB9">
        <w:rPr>
          <w:szCs w:val="22"/>
          <w:lang w:val="fr-FR"/>
        </w:rPr>
        <w:t>2).</w:t>
      </w:r>
    </w:p>
    <w:p w:rsidR="00255C01" w:rsidRPr="00202EB9" w:rsidRDefault="00903A4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u w:val="single"/>
          <w:lang w:val="fr-FR"/>
        </w:rPr>
      </w:pPr>
      <w:r w:rsidRPr="00202EB9">
        <w:rPr>
          <w:rFonts w:cs="Arial"/>
          <w:u w:val="single"/>
          <w:lang w:val="fr-FR"/>
        </w:rPr>
        <w:t>Encadré</w:t>
      </w:r>
      <w:r w:rsidR="00327572">
        <w:rPr>
          <w:rFonts w:cs="Arial"/>
          <w:u w:val="single"/>
          <w:lang w:val="fr-FR"/>
        </w:rPr>
        <w:t> </w:t>
      </w:r>
      <w:r w:rsidR="00255C01" w:rsidRPr="00202EB9">
        <w:rPr>
          <w:rFonts w:cs="Arial"/>
          <w:u w:val="single"/>
          <w:lang w:val="fr-FR"/>
        </w:rPr>
        <w:t>2</w:t>
      </w:r>
      <w:r w:rsidR="00E15713" w:rsidRPr="00202EB9">
        <w:rPr>
          <w:rFonts w:cs="Arial"/>
          <w:u w:val="single"/>
          <w:lang w:val="fr-FR"/>
        </w:rPr>
        <w:t> </w:t>
      </w:r>
      <w:proofErr w:type="gramStart"/>
      <w:r w:rsidR="00255C01" w:rsidRPr="00202EB9">
        <w:rPr>
          <w:rFonts w:cs="Arial"/>
          <w:u w:val="single"/>
          <w:lang w:val="fr-FR"/>
        </w:rPr>
        <w:t xml:space="preserve">: </w:t>
      </w:r>
      <w:r w:rsidRPr="00202EB9">
        <w:rPr>
          <w:rFonts w:cs="Arial"/>
          <w:u w:val="single"/>
          <w:lang w:val="fr-FR"/>
        </w:rPr>
        <w:t>Rapport</w:t>
      </w:r>
      <w:proofErr w:type="gramEnd"/>
      <w:r w:rsidRPr="00202EB9">
        <w:rPr>
          <w:rFonts w:cs="Arial"/>
          <w:u w:val="single"/>
          <w:lang w:val="fr-FR"/>
        </w:rPr>
        <w:t xml:space="preserve"> initial : questions clés et indicateurs </w:t>
      </w:r>
      <w:r w:rsidR="006138C2" w:rsidRPr="00202EB9">
        <w:rPr>
          <w:rFonts w:cs="Arial"/>
          <w:u w:val="single"/>
          <w:lang w:val="fr-FR"/>
        </w:rPr>
        <w:t>retenu</w:t>
      </w:r>
      <w:r w:rsidRPr="00202EB9">
        <w:rPr>
          <w:rFonts w:cs="Arial"/>
          <w:u w:val="single"/>
          <w:lang w:val="fr-FR"/>
        </w:rPr>
        <w:t>s</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u w:val="single"/>
          <w:lang w:val="fr-FR"/>
        </w:rPr>
      </w:pPr>
    </w:p>
    <w:p w:rsidR="00255C01" w:rsidRPr="00202EB9" w:rsidRDefault="000D5977"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u w:val="single"/>
          <w:lang w:val="fr-FR"/>
        </w:rPr>
      </w:pPr>
      <w:r w:rsidRPr="00202EB9">
        <w:rPr>
          <w:rFonts w:cs="Arial"/>
          <w:u w:val="single"/>
          <w:lang w:val="fr-FR"/>
        </w:rPr>
        <w:t>Sur la question de</w:t>
      </w:r>
      <w:r w:rsidR="00255C01" w:rsidRPr="00202EB9">
        <w:rPr>
          <w:rFonts w:cs="Arial"/>
          <w:u w:val="single"/>
          <w:lang w:val="fr-FR"/>
        </w:rPr>
        <w:t xml:space="preserve"> </w:t>
      </w:r>
      <w:r w:rsidRPr="00202EB9">
        <w:rPr>
          <w:rFonts w:cs="Arial"/>
          <w:u w:val="single"/>
          <w:lang w:val="fr-FR"/>
        </w:rPr>
        <w:t>la pertinence</w:t>
      </w:r>
      <w:r w:rsidRPr="00202EB9">
        <w:rPr>
          <w:rFonts w:cs="Arial"/>
          <w:lang w:val="fr-FR"/>
        </w:rPr>
        <w:t> :</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u w:val="single"/>
          <w:lang w:val="fr-FR"/>
        </w:rPr>
      </w:pPr>
    </w:p>
    <w:p w:rsidR="00426067"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w:t>
      </w:r>
      <w:r w:rsidRPr="00202EB9">
        <w:rPr>
          <w:rFonts w:cs="Arial"/>
          <w:lang w:val="fr-FR"/>
        </w:rPr>
        <w:tab/>
      </w:r>
      <w:r w:rsidR="00502A6F" w:rsidRPr="00202EB9">
        <w:rPr>
          <w:rFonts w:cs="Arial"/>
          <w:lang w:val="fr-FR"/>
        </w:rPr>
        <w:t>C</w:t>
      </w:r>
      <w:r w:rsidR="00F10D3A" w:rsidRPr="00202EB9">
        <w:rPr>
          <w:rFonts w:cs="Arial"/>
          <w:lang w:val="fr-FR"/>
        </w:rPr>
        <w:t>omment mesurer l</w:t>
      </w:r>
      <w:r w:rsidR="00426067" w:rsidRPr="00202EB9">
        <w:rPr>
          <w:rFonts w:cs="Arial"/>
          <w:lang w:val="fr-FR"/>
        </w:rPr>
        <w:t>’</w:t>
      </w:r>
      <w:r w:rsidR="00F10D3A" w:rsidRPr="00202EB9">
        <w:rPr>
          <w:rFonts w:cs="Arial"/>
          <w:lang w:val="fr-FR"/>
        </w:rPr>
        <w:t>utilité des travaux de l</w:t>
      </w:r>
      <w:r w:rsidR="00426067" w:rsidRPr="00202EB9">
        <w:rPr>
          <w:rFonts w:cs="Arial"/>
          <w:lang w:val="fr-FR"/>
        </w:rPr>
        <w:t>’</w:t>
      </w:r>
      <w:r w:rsidR="00F10D3A" w:rsidRPr="00202EB9">
        <w:rPr>
          <w:rFonts w:cs="Arial"/>
          <w:lang w:val="fr-FR"/>
        </w:rPr>
        <w:t xml:space="preserve">OMPI </w:t>
      </w:r>
      <w:r w:rsidR="000835FC" w:rsidRPr="00202EB9">
        <w:rPr>
          <w:rFonts w:cs="Arial"/>
          <w:lang w:val="fr-FR"/>
        </w:rPr>
        <w:t>en fonction des avantages qui en découlent pour les bénéficiaires et les parties prenantes en général</w:t>
      </w:r>
      <w:r w:rsidRPr="00202EB9">
        <w:rPr>
          <w:rFonts w:cs="Arial"/>
          <w:lang w:val="fr-FR"/>
        </w:rPr>
        <w:t>?</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ii)</w:t>
      </w:r>
      <w:r w:rsidRPr="00202EB9">
        <w:rPr>
          <w:rFonts w:cs="Arial"/>
          <w:lang w:val="fr-FR"/>
        </w:rPr>
        <w:tab/>
      </w:r>
      <w:r w:rsidR="00502A6F" w:rsidRPr="00202EB9">
        <w:rPr>
          <w:rFonts w:cs="Arial"/>
          <w:lang w:val="fr-FR"/>
        </w:rPr>
        <w:t>C</w:t>
      </w:r>
      <w:r w:rsidR="00F10D3A" w:rsidRPr="00202EB9">
        <w:rPr>
          <w:rFonts w:cs="Arial"/>
          <w:lang w:val="fr-FR"/>
        </w:rPr>
        <w:t>omment mesurer l</w:t>
      </w:r>
      <w:r w:rsidR="00426067" w:rsidRPr="00202EB9">
        <w:rPr>
          <w:rFonts w:cs="Arial"/>
          <w:lang w:val="fr-FR"/>
        </w:rPr>
        <w:t>’</w:t>
      </w:r>
      <w:r w:rsidR="00F10D3A" w:rsidRPr="00202EB9">
        <w:rPr>
          <w:rFonts w:cs="Arial"/>
          <w:lang w:val="fr-FR"/>
        </w:rPr>
        <w:t>impact progressif de la mise en œuvre des recommandations du Plan d</w:t>
      </w:r>
      <w:r w:rsidR="00426067" w:rsidRPr="00202EB9">
        <w:rPr>
          <w:rFonts w:cs="Arial"/>
          <w:lang w:val="fr-FR"/>
        </w:rPr>
        <w:t>’</w:t>
      </w:r>
      <w:r w:rsidR="00F10D3A" w:rsidRPr="00202EB9">
        <w:rPr>
          <w:rFonts w:cs="Arial"/>
          <w:lang w:val="fr-FR"/>
        </w:rPr>
        <w:t>action pour le développement sur les parties prenantes et les bénéficiaires</w:t>
      </w:r>
      <w:r w:rsidRPr="00202EB9">
        <w:rPr>
          <w:rFonts w:cs="Arial"/>
          <w:lang w:val="fr-FR"/>
        </w:rPr>
        <w:t>?</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iii)</w:t>
      </w:r>
      <w:r w:rsidRPr="00202EB9">
        <w:rPr>
          <w:rFonts w:cs="Arial"/>
          <w:lang w:val="fr-FR"/>
        </w:rPr>
        <w:tab/>
      </w:r>
      <w:r w:rsidR="00502A6F" w:rsidRPr="00202EB9">
        <w:rPr>
          <w:rFonts w:cs="Arial"/>
          <w:lang w:val="fr-FR"/>
        </w:rPr>
        <w:t>C</w:t>
      </w:r>
      <w:r w:rsidR="006138C2" w:rsidRPr="00202EB9">
        <w:rPr>
          <w:rFonts w:cs="Arial"/>
          <w:lang w:val="fr-FR"/>
        </w:rPr>
        <w:t>omment déterminer le</w:t>
      </w:r>
      <w:r w:rsidR="0073169F" w:rsidRPr="00202EB9">
        <w:rPr>
          <w:rFonts w:cs="Arial"/>
          <w:lang w:val="fr-FR"/>
        </w:rPr>
        <w:t xml:space="preserve"> degré d</w:t>
      </w:r>
      <w:r w:rsidR="00426067" w:rsidRPr="00202EB9">
        <w:rPr>
          <w:rFonts w:cs="Arial"/>
          <w:lang w:val="fr-FR"/>
        </w:rPr>
        <w:t>’</w:t>
      </w:r>
      <w:r w:rsidR="0073169F" w:rsidRPr="00202EB9">
        <w:rPr>
          <w:rFonts w:cs="Arial"/>
          <w:lang w:val="fr-FR"/>
        </w:rPr>
        <w:t xml:space="preserve">engagement </w:t>
      </w:r>
      <w:r w:rsidR="006138C2" w:rsidRPr="00202EB9">
        <w:rPr>
          <w:rFonts w:cs="Arial"/>
          <w:lang w:val="fr-FR"/>
        </w:rPr>
        <w:t>des États membres</w:t>
      </w:r>
      <w:r w:rsidR="005D525B" w:rsidRPr="00202EB9">
        <w:rPr>
          <w:rFonts w:cs="Arial"/>
          <w:lang w:val="fr-FR"/>
        </w:rPr>
        <w:t xml:space="preserve"> </w:t>
      </w:r>
      <w:r w:rsidR="00426067" w:rsidRPr="00202EB9">
        <w:rPr>
          <w:rFonts w:cs="Arial"/>
          <w:lang w:val="fr-FR"/>
        </w:rPr>
        <w:t>à l’égard</w:t>
      </w:r>
      <w:r w:rsidR="005D525B" w:rsidRPr="00202EB9">
        <w:rPr>
          <w:rFonts w:cs="Arial"/>
          <w:lang w:val="fr-FR"/>
        </w:rPr>
        <w:t xml:space="preserve"> de la mise en œuvre des recommandations du Plan d</w:t>
      </w:r>
      <w:r w:rsidR="00426067" w:rsidRPr="00202EB9">
        <w:rPr>
          <w:rFonts w:cs="Arial"/>
          <w:lang w:val="fr-FR"/>
        </w:rPr>
        <w:t>’</w:t>
      </w:r>
      <w:r w:rsidR="005D525B" w:rsidRPr="00202EB9">
        <w:rPr>
          <w:rFonts w:cs="Arial"/>
          <w:lang w:val="fr-FR"/>
        </w:rPr>
        <w:t>action pour le développement</w:t>
      </w:r>
      <w:r w:rsidRPr="00202EB9">
        <w:rPr>
          <w:rFonts w:cs="Arial"/>
          <w:lang w:val="fr-FR"/>
        </w:rPr>
        <w:t>?</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iv)</w:t>
      </w:r>
      <w:r w:rsidRPr="00202EB9">
        <w:rPr>
          <w:rFonts w:cs="Arial"/>
          <w:lang w:val="fr-FR"/>
        </w:rPr>
        <w:tab/>
      </w:r>
      <w:r w:rsidR="00502A6F" w:rsidRPr="00202EB9">
        <w:rPr>
          <w:rFonts w:cs="Arial"/>
          <w:lang w:val="fr-FR"/>
        </w:rPr>
        <w:t>C</w:t>
      </w:r>
      <w:r w:rsidR="005D525B" w:rsidRPr="00202EB9">
        <w:rPr>
          <w:rFonts w:cs="Arial"/>
          <w:lang w:val="fr-FR"/>
        </w:rPr>
        <w:t>omment évaluer le degré de diffusion des éléments produits dans le cadre de la mise en œuvre des recommandations du Plan d</w:t>
      </w:r>
      <w:r w:rsidR="00426067" w:rsidRPr="00202EB9">
        <w:rPr>
          <w:rFonts w:cs="Arial"/>
          <w:lang w:val="fr-FR"/>
        </w:rPr>
        <w:t>’</w:t>
      </w:r>
      <w:r w:rsidR="005D525B" w:rsidRPr="00202EB9">
        <w:rPr>
          <w:rFonts w:cs="Arial"/>
          <w:lang w:val="fr-FR"/>
        </w:rPr>
        <w:t>action pour le développement</w:t>
      </w:r>
      <w:r w:rsidRPr="00202EB9">
        <w:rPr>
          <w:rFonts w:cs="Arial"/>
          <w:lang w:val="fr-FR"/>
        </w:rPr>
        <w:t>?</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0D5977" w:rsidP="00255C01">
      <w:pPr>
        <w:pBdr>
          <w:top w:val="single" w:sz="4" w:space="1" w:color="auto"/>
          <w:left w:val="single" w:sz="4" w:space="1" w:color="auto"/>
          <w:bottom w:val="single" w:sz="4" w:space="1" w:color="auto"/>
          <w:right w:val="single" w:sz="4" w:space="1" w:color="auto"/>
        </w:pBdr>
        <w:shd w:val="clear" w:color="auto" w:fill="F2F2F2" w:themeFill="background1" w:themeFillShade="F2"/>
        <w:rPr>
          <w:rFonts w:cs="Arial"/>
          <w:lang w:val="fr-FR"/>
        </w:rPr>
      </w:pPr>
      <w:r w:rsidRPr="00202EB9">
        <w:rPr>
          <w:rFonts w:cs="Arial"/>
          <w:u w:val="single"/>
          <w:lang w:val="fr-FR"/>
        </w:rPr>
        <w:t xml:space="preserve">Sur la question </w:t>
      </w:r>
      <w:r w:rsidR="00C00673" w:rsidRPr="00202EB9">
        <w:rPr>
          <w:rFonts w:cs="Arial"/>
          <w:u w:val="single"/>
          <w:lang w:val="fr-FR"/>
        </w:rPr>
        <w:t xml:space="preserve">de </w:t>
      </w:r>
      <w:r w:rsidRPr="00202EB9">
        <w:rPr>
          <w:rFonts w:cs="Arial"/>
          <w:u w:val="single"/>
          <w:lang w:val="fr-FR"/>
        </w:rPr>
        <w:t>l</w:t>
      </w:r>
      <w:r w:rsidR="00426067" w:rsidRPr="00202EB9">
        <w:rPr>
          <w:rFonts w:cs="Arial"/>
          <w:u w:val="single"/>
          <w:lang w:val="fr-FR"/>
        </w:rPr>
        <w:t>’</w:t>
      </w:r>
      <w:r w:rsidRPr="00202EB9">
        <w:rPr>
          <w:rFonts w:cs="Arial"/>
          <w:u w:val="single"/>
          <w:lang w:val="fr-FR"/>
        </w:rPr>
        <w:t>i</w:t>
      </w:r>
      <w:r w:rsidR="00255C01" w:rsidRPr="00202EB9">
        <w:rPr>
          <w:rFonts w:cs="Arial"/>
          <w:u w:val="single"/>
          <w:lang w:val="fr-FR"/>
        </w:rPr>
        <w:t>mpact</w:t>
      </w:r>
      <w:r w:rsidRPr="00202EB9">
        <w:rPr>
          <w:rFonts w:cs="Arial"/>
          <w:lang w:val="fr-FR"/>
        </w:rPr>
        <w:t> :</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rPr>
          <w:rFonts w:cs="Arial"/>
          <w:u w:val="single"/>
          <w:lang w:val="fr-FR"/>
        </w:rPr>
      </w:pPr>
    </w:p>
    <w:p w:rsidR="00426067"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w:t>
      </w:r>
      <w:r w:rsidRPr="00202EB9">
        <w:rPr>
          <w:rFonts w:cs="Arial"/>
          <w:lang w:val="fr-FR"/>
        </w:rPr>
        <w:tab/>
      </w:r>
      <w:r w:rsidR="00502A6F" w:rsidRPr="00202EB9">
        <w:rPr>
          <w:rFonts w:cs="Arial"/>
          <w:lang w:val="fr-FR"/>
        </w:rPr>
        <w:t>Q</w:t>
      </w:r>
      <w:r w:rsidR="004954C6" w:rsidRPr="00202EB9">
        <w:rPr>
          <w:rFonts w:cs="Arial"/>
          <w:lang w:val="fr-FR"/>
        </w:rPr>
        <w:t>uel</w:t>
      </w:r>
      <w:r w:rsidR="00561BA8" w:rsidRPr="00202EB9">
        <w:rPr>
          <w:rFonts w:cs="Arial"/>
          <w:lang w:val="fr-FR"/>
        </w:rPr>
        <w:t xml:space="preserve"> a été l</w:t>
      </w:r>
      <w:r w:rsidR="00426067" w:rsidRPr="00202EB9">
        <w:rPr>
          <w:rFonts w:cs="Arial"/>
          <w:lang w:val="fr-FR"/>
        </w:rPr>
        <w:t>’</w:t>
      </w:r>
      <w:r w:rsidR="00561BA8" w:rsidRPr="00202EB9">
        <w:rPr>
          <w:rFonts w:cs="Arial"/>
          <w:lang w:val="fr-FR"/>
        </w:rPr>
        <w:t xml:space="preserve">impact progressif des </w:t>
      </w:r>
      <w:r w:rsidR="0073169F" w:rsidRPr="00202EB9">
        <w:rPr>
          <w:rFonts w:cs="Arial"/>
          <w:lang w:val="fr-FR"/>
        </w:rPr>
        <w:t>mise</w:t>
      </w:r>
      <w:r w:rsidR="00561BA8" w:rsidRPr="00202EB9">
        <w:rPr>
          <w:rFonts w:cs="Arial"/>
          <w:lang w:val="fr-FR"/>
        </w:rPr>
        <w:t>s</w:t>
      </w:r>
      <w:r w:rsidR="0073169F" w:rsidRPr="00202EB9">
        <w:rPr>
          <w:rFonts w:cs="Arial"/>
          <w:lang w:val="fr-FR"/>
        </w:rPr>
        <w:t xml:space="preserve"> en œuvre </w:t>
      </w:r>
      <w:r w:rsidR="00561BA8" w:rsidRPr="00202EB9">
        <w:rPr>
          <w:rFonts w:cs="Arial"/>
          <w:lang w:val="fr-FR"/>
        </w:rPr>
        <w:t>sur le fonctionnement de l</w:t>
      </w:r>
      <w:r w:rsidR="00426067" w:rsidRPr="00202EB9">
        <w:rPr>
          <w:rFonts w:cs="Arial"/>
          <w:lang w:val="fr-FR"/>
        </w:rPr>
        <w:t>’</w:t>
      </w:r>
      <w:r w:rsidR="00561BA8" w:rsidRPr="00202EB9">
        <w:rPr>
          <w:rFonts w:cs="Arial"/>
          <w:lang w:val="fr-FR"/>
        </w:rPr>
        <w:t>OMPI en tant qu</w:t>
      </w:r>
      <w:r w:rsidR="00426067" w:rsidRPr="00202EB9">
        <w:rPr>
          <w:rFonts w:cs="Arial"/>
          <w:lang w:val="fr-FR"/>
        </w:rPr>
        <w:t>’</w:t>
      </w:r>
      <w:r w:rsidR="00561BA8" w:rsidRPr="00202EB9">
        <w:rPr>
          <w:rFonts w:cs="Arial"/>
          <w:lang w:val="fr-FR"/>
        </w:rPr>
        <w:t>organisation ainsi que ses différents organes et programmes, et dans quelle mesure les recommandations du Plan d</w:t>
      </w:r>
      <w:r w:rsidR="00426067" w:rsidRPr="00202EB9">
        <w:rPr>
          <w:rFonts w:cs="Arial"/>
          <w:lang w:val="fr-FR"/>
        </w:rPr>
        <w:t>’</w:t>
      </w:r>
      <w:r w:rsidR="00561BA8" w:rsidRPr="00202EB9">
        <w:rPr>
          <w:rFonts w:cs="Arial"/>
          <w:lang w:val="fr-FR"/>
        </w:rPr>
        <w:t xml:space="preserve">action pour le développement </w:t>
      </w:r>
      <w:proofErr w:type="spellStart"/>
      <w:r w:rsidR="00561BA8" w:rsidRPr="00202EB9">
        <w:rPr>
          <w:rFonts w:cs="Arial"/>
          <w:lang w:val="fr-FR"/>
        </w:rPr>
        <w:t>ont</w:t>
      </w:r>
      <w:r w:rsidR="001E787E" w:rsidRPr="00202EB9">
        <w:rPr>
          <w:rFonts w:cs="Arial"/>
          <w:lang w:val="fr-FR"/>
        </w:rPr>
        <w:noBreakHyphen/>
      </w:r>
      <w:r w:rsidR="00561BA8" w:rsidRPr="00202EB9">
        <w:rPr>
          <w:rFonts w:cs="Arial"/>
          <w:lang w:val="fr-FR"/>
        </w:rPr>
        <w:t>elles</w:t>
      </w:r>
      <w:proofErr w:type="spellEnd"/>
      <w:r w:rsidR="00561BA8" w:rsidRPr="00202EB9">
        <w:rPr>
          <w:rFonts w:cs="Arial"/>
          <w:lang w:val="fr-FR"/>
        </w:rPr>
        <w:t xml:space="preserve"> transformé le travail et la culture de l</w:t>
      </w:r>
      <w:r w:rsidR="00426067" w:rsidRPr="00202EB9">
        <w:rPr>
          <w:rFonts w:cs="Arial"/>
          <w:lang w:val="fr-FR"/>
        </w:rPr>
        <w:t>’</w:t>
      </w:r>
      <w:r w:rsidR="00561BA8" w:rsidRPr="00202EB9">
        <w:rPr>
          <w:rFonts w:cs="Arial"/>
          <w:lang w:val="fr-FR"/>
        </w:rPr>
        <w:t>OMPI</w:t>
      </w:r>
      <w:r w:rsidRPr="00202EB9">
        <w:rPr>
          <w:rFonts w:cs="Arial"/>
          <w:lang w:val="fr-FR"/>
        </w:rPr>
        <w:t>?</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ii)</w:t>
      </w:r>
      <w:r w:rsidRPr="00202EB9">
        <w:rPr>
          <w:rFonts w:cs="Arial"/>
          <w:lang w:val="fr-FR"/>
        </w:rPr>
        <w:tab/>
      </w:r>
      <w:r w:rsidR="00502A6F" w:rsidRPr="00202EB9">
        <w:rPr>
          <w:rFonts w:cs="Arial"/>
          <w:lang w:val="fr-FR"/>
        </w:rPr>
        <w:t>D</w:t>
      </w:r>
      <w:r w:rsidR="00561BA8" w:rsidRPr="00202EB9">
        <w:rPr>
          <w:rFonts w:cs="Arial"/>
          <w:lang w:val="fr-FR"/>
        </w:rPr>
        <w:t>ans quelle mesure les projets</w:t>
      </w:r>
      <w:r w:rsidR="00316774" w:rsidRPr="00202EB9">
        <w:rPr>
          <w:rFonts w:cs="Arial"/>
          <w:lang w:val="fr-FR"/>
        </w:rPr>
        <w:t xml:space="preserve"> du Plan d</w:t>
      </w:r>
      <w:r w:rsidR="00426067" w:rsidRPr="00202EB9">
        <w:rPr>
          <w:rFonts w:cs="Arial"/>
          <w:lang w:val="fr-FR"/>
        </w:rPr>
        <w:t>’</w:t>
      </w:r>
      <w:r w:rsidR="00316774" w:rsidRPr="00202EB9">
        <w:rPr>
          <w:rFonts w:cs="Arial"/>
          <w:lang w:val="fr-FR"/>
        </w:rPr>
        <w:t>action pour le développement qui ont été achevés sont</w:t>
      </w:r>
      <w:r w:rsidR="001E787E" w:rsidRPr="00202EB9">
        <w:rPr>
          <w:rFonts w:cs="Arial"/>
          <w:lang w:val="fr-FR"/>
        </w:rPr>
        <w:noBreakHyphen/>
      </w:r>
      <w:r w:rsidR="00316774" w:rsidRPr="00202EB9">
        <w:rPr>
          <w:rFonts w:cs="Arial"/>
          <w:lang w:val="fr-FR"/>
        </w:rPr>
        <w:t>ils utilisés par les États membres et bénéficiaires à l</w:t>
      </w:r>
      <w:r w:rsidR="00426067" w:rsidRPr="00202EB9">
        <w:rPr>
          <w:rFonts w:cs="Arial"/>
          <w:lang w:val="fr-FR"/>
        </w:rPr>
        <w:t>’</w:t>
      </w:r>
      <w:r w:rsidR="00316774" w:rsidRPr="00202EB9">
        <w:rPr>
          <w:rFonts w:cs="Arial"/>
          <w:lang w:val="fr-FR"/>
        </w:rPr>
        <w:t>intention desquels ils avaient été créés, ainsi que par les autres États membres et les parties prenantes en général?</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iii)</w:t>
      </w:r>
      <w:r w:rsidRPr="00202EB9">
        <w:rPr>
          <w:rFonts w:cs="Arial"/>
          <w:lang w:val="fr-FR"/>
        </w:rPr>
        <w:tab/>
      </w:r>
      <w:r w:rsidR="008D1193">
        <w:rPr>
          <w:rFonts w:cs="Arial"/>
          <w:lang w:val="fr-FR"/>
        </w:rPr>
        <w:t>D</w:t>
      </w:r>
      <w:r w:rsidR="0073169F" w:rsidRPr="00202EB9">
        <w:rPr>
          <w:rFonts w:cs="Arial"/>
          <w:lang w:val="fr-FR"/>
        </w:rPr>
        <w:t>egré d</w:t>
      </w:r>
      <w:r w:rsidR="00426067" w:rsidRPr="00202EB9">
        <w:rPr>
          <w:rFonts w:cs="Arial"/>
          <w:lang w:val="fr-FR"/>
        </w:rPr>
        <w:t>’</w:t>
      </w:r>
      <w:r w:rsidR="0073169F" w:rsidRPr="00202EB9">
        <w:rPr>
          <w:rFonts w:cs="Arial"/>
          <w:lang w:val="fr-FR"/>
        </w:rPr>
        <w:t xml:space="preserve">engagement des États membres </w:t>
      </w:r>
      <w:r w:rsidR="00426067" w:rsidRPr="00202EB9">
        <w:rPr>
          <w:rFonts w:cs="Arial"/>
          <w:lang w:val="fr-FR"/>
        </w:rPr>
        <w:t>à l’égard</w:t>
      </w:r>
      <w:r w:rsidR="0073169F" w:rsidRPr="00202EB9">
        <w:rPr>
          <w:rFonts w:cs="Arial"/>
          <w:lang w:val="fr-FR"/>
        </w:rPr>
        <w:t xml:space="preserve"> de la mise en œuvre des recommandations du Plan d</w:t>
      </w:r>
      <w:r w:rsidR="00426067" w:rsidRPr="00202EB9">
        <w:rPr>
          <w:rFonts w:cs="Arial"/>
          <w:lang w:val="fr-FR"/>
        </w:rPr>
        <w:t>’</w:t>
      </w:r>
      <w:r w:rsidR="008D1193">
        <w:rPr>
          <w:rFonts w:cs="Arial"/>
          <w:lang w:val="fr-FR"/>
        </w:rPr>
        <w:t>action pour le développement.</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iv)</w:t>
      </w:r>
      <w:r w:rsidRPr="00202EB9">
        <w:rPr>
          <w:rFonts w:cs="Arial"/>
          <w:lang w:val="fr-FR"/>
        </w:rPr>
        <w:tab/>
      </w:r>
      <w:r w:rsidR="008D1193">
        <w:rPr>
          <w:rFonts w:cs="Arial"/>
          <w:lang w:val="fr-FR"/>
        </w:rPr>
        <w:t>D</w:t>
      </w:r>
      <w:r w:rsidR="0073169F" w:rsidRPr="00202EB9">
        <w:rPr>
          <w:rFonts w:cs="Arial"/>
          <w:lang w:val="fr-FR"/>
        </w:rPr>
        <w:t>egré de diffusion et d</w:t>
      </w:r>
      <w:r w:rsidR="00426067" w:rsidRPr="00202EB9">
        <w:rPr>
          <w:rFonts w:cs="Arial"/>
          <w:lang w:val="fr-FR"/>
        </w:rPr>
        <w:t>’</w:t>
      </w:r>
      <w:r w:rsidR="0073169F" w:rsidRPr="00202EB9">
        <w:rPr>
          <w:rFonts w:cs="Arial"/>
          <w:lang w:val="fr-FR"/>
        </w:rPr>
        <w:t>utilisation réelle des éléments produits dans le cadre de la mise en œuvre des recommandations du Plan d</w:t>
      </w:r>
      <w:r w:rsidR="00426067" w:rsidRPr="00202EB9">
        <w:rPr>
          <w:rFonts w:cs="Arial"/>
          <w:lang w:val="fr-FR"/>
        </w:rPr>
        <w:t>’</w:t>
      </w:r>
      <w:r w:rsidR="0073169F" w:rsidRPr="00202EB9">
        <w:rPr>
          <w:rFonts w:cs="Arial"/>
          <w:lang w:val="fr-FR"/>
        </w:rPr>
        <w:t>action pour le développement.</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0D5977" w:rsidP="00327572">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u w:val="single"/>
          <w:lang w:val="fr-FR"/>
        </w:rPr>
      </w:pPr>
      <w:r w:rsidRPr="00202EB9">
        <w:rPr>
          <w:rFonts w:cs="Arial"/>
          <w:u w:val="single"/>
          <w:lang w:val="fr-FR"/>
        </w:rPr>
        <w:t>Sur la question de</w:t>
      </w:r>
      <w:r w:rsidR="00255C01" w:rsidRPr="00202EB9">
        <w:rPr>
          <w:rFonts w:cs="Arial"/>
          <w:u w:val="single"/>
          <w:lang w:val="fr-FR"/>
        </w:rPr>
        <w:t xml:space="preserve"> </w:t>
      </w:r>
      <w:r w:rsidRPr="00202EB9">
        <w:rPr>
          <w:rFonts w:cs="Arial"/>
          <w:u w:val="single"/>
          <w:lang w:val="fr-FR"/>
        </w:rPr>
        <w:t>l</w:t>
      </w:r>
      <w:r w:rsidR="00426067" w:rsidRPr="00202EB9">
        <w:rPr>
          <w:rFonts w:cs="Arial"/>
          <w:u w:val="single"/>
          <w:lang w:val="fr-FR"/>
        </w:rPr>
        <w:t>’</w:t>
      </w:r>
      <w:r w:rsidRPr="00202EB9">
        <w:rPr>
          <w:rFonts w:cs="Arial"/>
          <w:u w:val="single"/>
          <w:lang w:val="fr-FR"/>
        </w:rPr>
        <w:t>efficacité</w:t>
      </w:r>
      <w:r w:rsidRPr="00202EB9">
        <w:rPr>
          <w:rFonts w:cs="Arial"/>
          <w:lang w:val="fr-FR"/>
        </w:rPr>
        <w:t> :</w:t>
      </w:r>
    </w:p>
    <w:p w:rsidR="00255C01" w:rsidRPr="00202EB9" w:rsidRDefault="00255C01" w:rsidP="00327572">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u w:val="single"/>
          <w:lang w:val="fr-FR"/>
        </w:rPr>
      </w:pP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w:t>
      </w:r>
      <w:r w:rsidRPr="00202EB9">
        <w:rPr>
          <w:rFonts w:cs="Arial"/>
          <w:lang w:val="fr-FR"/>
        </w:rPr>
        <w:tab/>
      </w:r>
      <w:r w:rsidR="00502A6F" w:rsidRPr="00202EB9">
        <w:rPr>
          <w:rFonts w:cs="Arial"/>
          <w:lang w:val="fr-FR"/>
        </w:rPr>
        <w:t>L</w:t>
      </w:r>
      <w:r w:rsidR="004954C6" w:rsidRPr="00202EB9">
        <w:rPr>
          <w:rFonts w:cs="Arial"/>
          <w:lang w:val="fr-FR"/>
        </w:rPr>
        <w:t>es travaux de l</w:t>
      </w:r>
      <w:r w:rsidR="00426067" w:rsidRPr="00202EB9">
        <w:rPr>
          <w:rFonts w:cs="Arial"/>
          <w:lang w:val="fr-FR"/>
        </w:rPr>
        <w:t>’</w:t>
      </w:r>
      <w:r w:rsidR="004954C6" w:rsidRPr="00202EB9">
        <w:rPr>
          <w:rFonts w:cs="Arial"/>
          <w:lang w:val="fr-FR"/>
        </w:rPr>
        <w:t>OMPI ont</w:t>
      </w:r>
      <w:r w:rsidR="001E787E" w:rsidRPr="00202EB9">
        <w:rPr>
          <w:rFonts w:cs="Arial"/>
          <w:lang w:val="fr-FR"/>
        </w:rPr>
        <w:noBreakHyphen/>
      </w:r>
      <w:r w:rsidR="004954C6" w:rsidRPr="00202EB9">
        <w:rPr>
          <w:rFonts w:cs="Arial"/>
          <w:lang w:val="fr-FR"/>
        </w:rPr>
        <w:t>ils permis d</w:t>
      </w:r>
      <w:r w:rsidR="00426067" w:rsidRPr="00202EB9">
        <w:rPr>
          <w:rFonts w:cs="Arial"/>
          <w:lang w:val="fr-FR"/>
        </w:rPr>
        <w:t>’</w:t>
      </w:r>
      <w:r w:rsidR="004954C6" w:rsidRPr="00202EB9">
        <w:rPr>
          <w:rFonts w:cs="Arial"/>
          <w:lang w:val="fr-FR"/>
        </w:rPr>
        <w:t xml:space="preserve">obtenir les résultats attendus </w:t>
      </w:r>
      <w:r w:rsidR="00B41AFC" w:rsidRPr="00202EB9">
        <w:rPr>
          <w:rFonts w:cs="Arial"/>
          <w:lang w:val="fr-FR"/>
        </w:rPr>
        <w:t>conformément aux recommandations du Plan d</w:t>
      </w:r>
      <w:r w:rsidR="00426067" w:rsidRPr="00202EB9">
        <w:rPr>
          <w:rFonts w:cs="Arial"/>
          <w:lang w:val="fr-FR"/>
        </w:rPr>
        <w:t>’</w:t>
      </w:r>
      <w:r w:rsidR="00B41AFC" w:rsidRPr="00202EB9">
        <w:rPr>
          <w:rFonts w:cs="Arial"/>
          <w:lang w:val="fr-FR"/>
        </w:rPr>
        <w:t>action pour le développement</w:t>
      </w:r>
      <w:r w:rsidRPr="00202EB9">
        <w:rPr>
          <w:rFonts w:cs="Arial"/>
          <w:lang w:val="fr-FR"/>
        </w:rPr>
        <w:t>?</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ii)</w:t>
      </w:r>
      <w:r w:rsidRPr="00202EB9">
        <w:rPr>
          <w:rFonts w:cs="Arial"/>
          <w:lang w:val="fr-FR"/>
        </w:rPr>
        <w:tab/>
      </w:r>
      <w:r w:rsidR="00502A6F" w:rsidRPr="00202EB9">
        <w:rPr>
          <w:rFonts w:cs="Arial"/>
          <w:lang w:val="fr-FR"/>
        </w:rPr>
        <w:t>Q</w:t>
      </w:r>
      <w:r w:rsidR="00B41AFC" w:rsidRPr="00202EB9">
        <w:rPr>
          <w:rFonts w:cs="Arial"/>
          <w:lang w:val="fr-FR"/>
        </w:rPr>
        <w:t>uel a été le degré d</w:t>
      </w:r>
      <w:r w:rsidR="00426067" w:rsidRPr="00202EB9">
        <w:rPr>
          <w:rFonts w:cs="Arial"/>
          <w:lang w:val="fr-FR"/>
        </w:rPr>
        <w:t>’</w:t>
      </w:r>
      <w:r w:rsidR="00B41AFC" w:rsidRPr="00202EB9">
        <w:rPr>
          <w:rFonts w:cs="Arial"/>
          <w:lang w:val="fr-FR"/>
        </w:rPr>
        <w:t>efficacité de l</w:t>
      </w:r>
      <w:r w:rsidR="00426067" w:rsidRPr="00202EB9">
        <w:rPr>
          <w:rFonts w:cs="Arial"/>
          <w:lang w:val="fr-FR"/>
        </w:rPr>
        <w:t>’</w:t>
      </w:r>
      <w:r w:rsidR="00B41AFC" w:rsidRPr="00202EB9">
        <w:rPr>
          <w:rFonts w:cs="Arial"/>
          <w:lang w:val="fr-FR"/>
        </w:rPr>
        <w:t>approche fondée sur des projets?</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iii)</w:t>
      </w:r>
      <w:r w:rsidRPr="00202EB9">
        <w:rPr>
          <w:rFonts w:cs="Arial"/>
          <w:lang w:val="fr-FR"/>
        </w:rPr>
        <w:tab/>
      </w:r>
      <w:r w:rsidR="00502A6F" w:rsidRPr="00202EB9">
        <w:rPr>
          <w:rFonts w:cs="Arial"/>
          <w:lang w:val="fr-FR"/>
        </w:rPr>
        <w:t>L</w:t>
      </w:r>
      <w:r w:rsidR="00426067" w:rsidRPr="00202EB9">
        <w:rPr>
          <w:rFonts w:cs="Arial"/>
          <w:lang w:val="fr-FR"/>
        </w:rPr>
        <w:t>’</w:t>
      </w:r>
      <w:r w:rsidR="00316ECC" w:rsidRPr="00202EB9">
        <w:rPr>
          <w:rFonts w:cs="Arial"/>
          <w:lang w:val="fr-FR"/>
        </w:rPr>
        <w:t>approche fondée sur des projets a</w:t>
      </w:r>
      <w:r w:rsidR="001E787E" w:rsidRPr="00202EB9">
        <w:rPr>
          <w:rFonts w:cs="Arial"/>
          <w:lang w:val="fr-FR"/>
        </w:rPr>
        <w:noBreakHyphen/>
      </w:r>
      <w:r w:rsidR="00316ECC" w:rsidRPr="00202EB9">
        <w:rPr>
          <w:rFonts w:cs="Arial"/>
          <w:lang w:val="fr-FR"/>
        </w:rPr>
        <w:t>t</w:t>
      </w:r>
      <w:r w:rsidR="001E787E" w:rsidRPr="00202EB9">
        <w:rPr>
          <w:rFonts w:cs="Arial"/>
          <w:lang w:val="fr-FR"/>
        </w:rPr>
        <w:noBreakHyphen/>
      </w:r>
      <w:r w:rsidR="00316ECC" w:rsidRPr="00202EB9">
        <w:rPr>
          <w:rFonts w:cs="Arial"/>
          <w:lang w:val="fr-FR"/>
        </w:rPr>
        <w:t>elle été la bonne méthode pour faciliter la mise en œuvre des recommandations du Plan d</w:t>
      </w:r>
      <w:r w:rsidR="00426067" w:rsidRPr="00202EB9">
        <w:rPr>
          <w:rFonts w:cs="Arial"/>
          <w:lang w:val="fr-FR"/>
        </w:rPr>
        <w:t>’</w:t>
      </w:r>
      <w:r w:rsidR="00316ECC" w:rsidRPr="00202EB9">
        <w:rPr>
          <w:rFonts w:cs="Arial"/>
          <w:lang w:val="fr-FR"/>
        </w:rPr>
        <w:t>action pour le développement</w:t>
      </w:r>
      <w:r w:rsidRPr="00202EB9">
        <w:rPr>
          <w:rFonts w:cs="Arial"/>
          <w:lang w:val="fr-FR"/>
        </w:rPr>
        <w:t>?</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iv)</w:t>
      </w:r>
      <w:r w:rsidRPr="00202EB9">
        <w:rPr>
          <w:rFonts w:cs="Arial"/>
          <w:lang w:val="fr-FR"/>
        </w:rPr>
        <w:tab/>
      </w:r>
      <w:r w:rsidR="00502A6F" w:rsidRPr="00202EB9">
        <w:rPr>
          <w:rFonts w:cs="Arial"/>
          <w:lang w:val="fr-FR"/>
        </w:rPr>
        <w:t>D</w:t>
      </w:r>
      <w:r w:rsidR="00316ECC" w:rsidRPr="00202EB9">
        <w:rPr>
          <w:rFonts w:cs="Arial"/>
          <w:lang w:val="fr-FR"/>
        </w:rPr>
        <w:t>ans quelle mesure les travaux de l</w:t>
      </w:r>
      <w:r w:rsidR="00426067" w:rsidRPr="00202EB9">
        <w:rPr>
          <w:rFonts w:cs="Arial"/>
          <w:lang w:val="fr-FR"/>
        </w:rPr>
        <w:t>’</w:t>
      </w:r>
      <w:r w:rsidR="00316ECC" w:rsidRPr="00202EB9">
        <w:rPr>
          <w:rFonts w:cs="Arial"/>
          <w:lang w:val="fr-FR"/>
        </w:rPr>
        <w:t>OMPI ont</w:t>
      </w:r>
      <w:r w:rsidR="001E787E" w:rsidRPr="00202EB9">
        <w:rPr>
          <w:rFonts w:cs="Arial"/>
          <w:lang w:val="fr-FR"/>
        </w:rPr>
        <w:noBreakHyphen/>
      </w:r>
      <w:r w:rsidR="00316ECC" w:rsidRPr="00202EB9">
        <w:rPr>
          <w:rFonts w:cs="Arial"/>
          <w:lang w:val="fr-FR"/>
        </w:rPr>
        <w:t>ils permis de mettre en œuvre les recommandations du Plan d</w:t>
      </w:r>
      <w:r w:rsidR="00426067" w:rsidRPr="00202EB9">
        <w:rPr>
          <w:rFonts w:cs="Arial"/>
          <w:lang w:val="fr-FR"/>
        </w:rPr>
        <w:t>’</w:t>
      </w:r>
      <w:r w:rsidR="00316ECC" w:rsidRPr="00202EB9">
        <w:rPr>
          <w:rFonts w:cs="Arial"/>
          <w:lang w:val="fr-FR"/>
        </w:rPr>
        <w:t>action pour le développement, et quelle a été leur efficacité</w:t>
      </w:r>
      <w:r w:rsidRPr="00202EB9">
        <w:rPr>
          <w:rFonts w:cs="Arial"/>
          <w:lang w:val="fr-FR"/>
        </w:rPr>
        <w:t>?</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0D5977" w:rsidP="00327572">
      <w:pPr>
        <w:pBdr>
          <w:top w:val="single" w:sz="4" w:space="1" w:color="auto"/>
          <w:left w:val="single" w:sz="4" w:space="1" w:color="auto"/>
          <w:bottom w:val="single" w:sz="4" w:space="1" w:color="auto"/>
          <w:right w:val="single" w:sz="4" w:space="1" w:color="auto"/>
        </w:pBdr>
        <w:shd w:val="clear" w:color="auto" w:fill="F2F2F2" w:themeFill="background1" w:themeFillShade="F2"/>
        <w:rPr>
          <w:rFonts w:cs="Arial"/>
          <w:u w:val="single"/>
          <w:lang w:val="fr-FR"/>
        </w:rPr>
      </w:pPr>
      <w:r w:rsidRPr="00202EB9">
        <w:rPr>
          <w:rFonts w:cs="Arial"/>
          <w:u w:val="single"/>
          <w:lang w:val="fr-FR"/>
        </w:rPr>
        <w:t>Sur la question de</w:t>
      </w:r>
      <w:r w:rsidR="00255C01" w:rsidRPr="00202EB9">
        <w:rPr>
          <w:rFonts w:cs="Arial"/>
          <w:u w:val="single"/>
          <w:lang w:val="fr-FR"/>
        </w:rPr>
        <w:t xml:space="preserve"> </w:t>
      </w:r>
      <w:r w:rsidRPr="00202EB9">
        <w:rPr>
          <w:rFonts w:cs="Arial"/>
          <w:u w:val="single"/>
          <w:lang w:val="fr-FR"/>
        </w:rPr>
        <w:t>l</w:t>
      </w:r>
      <w:r w:rsidR="00426067" w:rsidRPr="00202EB9">
        <w:rPr>
          <w:rFonts w:cs="Arial"/>
          <w:u w:val="single"/>
          <w:lang w:val="fr-FR"/>
        </w:rPr>
        <w:t>’</w:t>
      </w:r>
      <w:r w:rsidRPr="00202EB9">
        <w:rPr>
          <w:rFonts w:cs="Arial"/>
          <w:u w:val="single"/>
          <w:lang w:val="fr-FR"/>
        </w:rPr>
        <w:t>efficience</w:t>
      </w:r>
      <w:r w:rsidRPr="00202EB9">
        <w:rPr>
          <w:rFonts w:cs="Arial"/>
          <w:lang w:val="fr-FR"/>
        </w:rPr>
        <w:t> :</w:t>
      </w:r>
    </w:p>
    <w:p w:rsidR="00255C01" w:rsidRPr="00202EB9" w:rsidRDefault="00255C01" w:rsidP="00327572">
      <w:pPr>
        <w:pBdr>
          <w:top w:val="single" w:sz="4" w:space="1" w:color="auto"/>
          <w:left w:val="single" w:sz="4" w:space="1" w:color="auto"/>
          <w:bottom w:val="single" w:sz="4" w:space="1" w:color="auto"/>
          <w:right w:val="single" w:sz="4" w:space="1" w:color="auto"/>
        </w:pBdr>
        <w:shd w:val="clear" w:color="auto" w:fill="F2F2F2" w:themeFill="background1" w:themeFillShade="F2"/>
        <w:rPr>
          <w:rFonts w:cs="Arial"/>
          <w:u w:val="single"/>
          <w:lang w:val="fr-FR"/>
        </w:rPr>
      </w:pPr>
    </w:p>
    <w:p w:rsidR="00255C01" w:rsidRPr="00202EB9" w:rsidRDefault="00502A6F" w:rsidP="00327572">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w:t>
      </w:r>
      <w:r w:rsidR="00255C01" w:rsidRPr="00202EB9">
        <w:rPr>
          <w:rFonts w:cs="Arial"/>
          <w:lang w:val="fr-FR"/>
        </w:rPr>
        <w:tab/>
      </w:r>
      <w:r w:rsidRPr="00202EB9">
        <w:rPr>
          <w:rFonts w:cs="Arial"/>
          <w:lang w:val="fr-FR"/>
        </w:rPr>
        <w:t>Q</w:t>
      </w:r>
      <w:r w:rsidR="00E46840" w:rsidRPr="00202EB9">
        <w:rPr>
          <w:rFonts w:cs="Arial"/>
          <w:lang w:val="fr-FR"/>
        </w:rPr>
        <w:t>uelle est l</w:t>
      </w:r>
      <w:r w:rsidR="00426067" w:rsidRPr="00202EB9">
        <w:rPr>
          <w:rFonts w:cs="Arial"/>
          <w:lang w:val="fr-FR"/>
        </w:rPr>
        <w:t>’</w:t>
      </w:r>
      <w:r w:rsidR="00E46840" w:rsidRPr="00202EB9">
        <w:rPr>
          <w:rFonts w:cs="Arial"/>
          <w:lang w:val="fr-FR"/>
        </w:rPr>
        <w:t xml:space="preserve">importance des ressources humaines et financières consacrées à la </w:t>
      </w:r>
      <w:r w:rsidR="000E0862" w:rsidRPr="00202EB9">
        <w:rPr>
          <w:rFonts w:cs="Arial"/>
          <w:lang w:val="fr-FR"/>
        </w:rPr>
        <w:t xml:space="preserve">mise en œuvre </w:t>
      </w:r>
      <w:r w:rsidR="00E46840" w:rsidRPr="00202EB9">
        <w:rPr>
          <w:rFonts w:cs="Arial"/>
          <w:lang w:val="fr-FR"/>
        </w:rPr>
        <w:t>des recommandations du Plan d</w:t>
      </w:r>
      <w:r w:rsidR="00426067" w:rsidRPr="00202EB9">
        <w:rPr>
          <w:rFonts w:cs="Arial"/>
          <w:lang w:val="fr-FR"/>
        </w:rPr>
        <w:t>’</w:t>
      </w:r>
      <w:r w:rsidR="00E46840" w:rsidRPr="00202EB9">
        <w:rPr>
          <w:rFonts w:cs="Arial"/>
          <w:lang w:val="fr-FR"/>
        </w:rPr>
        <w:t>action pour le développement</w:t>
      </w:r>
      <w:r w:rsidR="00255C01" w:rsidRPr="00202EB9">
        <w:rPr>
          <w:rFonts w:cs="Arial"/>
          <w:lang w:val="fr-FR"/>
        </w:rPr>
        <w:t>?</w:t>
      </w:r>
    </w:p>
    <w:p w:rsidR="00255C01" w:rsidRPr="00202EB9" w:rsidRDefault="00255C01" w:rsidP="00327572">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502A6F"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ii)</w:t>
      </w:r>
      <w:r w:rsidR="00255C01" w:rsidRPr="00202EB9">
        <w:rPr>
          <w:rFonts w:cs="Arial"/>
          <w:lang w:val="fr-FR"/>
        </w:rPr>
        <w:tab/>
      </w:r>
      <w:r w:rsidRPr="00202EB9">
        <w:rPr>
          <w:rFonts w:cs="Arial"/>
          <w:lang w:val="fr-FR"/>
        </w:rPr>
        <w:t>E</w:t>
      </w:r>
      <w:r w:rsidR="00A40492" w:rsidRPr="00202EB9">
        <w:rPr>
          <w:rFonts w:cs="Arial"/>
          <w:lang w:val="fr-FR"/>
        </w:rPr>
        <w:t>xiste</w:t>
      </w:r>
      <w:r w:rsidR="001E787E" w:rsidRPr="00202EB9">
        <w:rPr>
          <w:rFonts w:cs="Arial"/>
          <w:lang w:val="fr-FR"/>
        </w:rPr>
        <w:noBreakHyphen/>
      </w:r>
      <w:r w:rsidR="00A40492" w:rsidRPr="00202EB9">
        <w:rPr>
          <w:rFonts w:cs="Arial"/>
          <w:lang w:val="fr-FR"/>
        </w:rPr>
        <w:t>t</w:t>
      </w:r>
      <w:r w:rsidR="001E787E" w:rsidRPr="00202EB9">
        <w:rPr>
          <w:rFonts w:cs="Arial"/>
          <w:lang w:val="fr-FR"/>
        </w:rPr>
        <w:noBreakHyphen/>
      </w:r>
      <w:r w:rsidR="00A40492" w:rsidRPr="00202EB9">
        <w:rPr>
          <w:rFonts w:cs="Arial"/>
          <w:lang w:val="fr-FR"/>
        </w:rPr>
        <w:t>il des moyens d</w:t>
      </w:r>
      <w:r w:rsidR="00426067" w:rsidRPr="00202EB9">
        <w:rPr>
          <w:rFonts w:cs="Arial"/>
          <w:lang w:val="fr-FR"/>
        </w:rPr>
        <w:t>’</w:t>
      </w:r>
      <w:r w:rsidR="00A40492" w:rsidRPr="00202EB9">
        <w:rPr>
          <w:rFonts w:cs="Arial"/>
          <w:lang w:val="fr-FR"/>
        </w:rPr>
        <w:t>évaluer le degré de rationalité de l</w:t>
      </w:r>
      <w:r w:rsidR="00426067" w:rsidRPr="00202EB9">
        <w:rPr>
          <w:rFonts w:cs="Arial"/>
          <w:lang w:val="fr-FR"/>
        </w:rPr>
        <w:t>’</w:t>
      </w:r>
      <w:r w:rsidR="00A40492" w:rsidRPr="00202EB9">
        <w:rPr>
          <w:rFonts w:cs="Arial"/>
          <w:lang w:val="fr-FR"/>
        </w:rPr>
        <w:t>utilisation des ressources ci</w:t>
      </w:r>
      <w:r w:rsidR="001E787E" w:rsidRPr="00202EB9">
        <w:rPr>
          <w:rFonts w:cs="Arial"/>
          <w:lang w:val="fr-FR"/>
        </w:rPr>
        <w:noBreakHyphen/>
      </w:r>
      <w:r w:rsidR="00A40492" w:rsidRPr="00202EB9">
        <w:rPr>
          <w:rFonts w:cs="Arial"/>
          <w:lang w:val="fr-FR"/>
        </w:rPr>
        <w:t>dessus</w:t>
      </w:r>
      <w:r w:rsidR="00255C01" w:rsidRPr="00202EB9">
        <w:rPr>
          <w:rFonts w:cs="Arial"/>
          <w:lang w:val="fr-FR"/>
        </w:rPr>
        <w:t>?</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502A6F"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iii)</w:t>
      </w:r>
      <w:r w:rsidR="00255C01" w:rsidRPr="00202EB9">
        <w:rPr>
          <w:rFonts w:cs="Arial"/>
          <w:lang w:val="fr-FR"/>
        </w:rPr>
        <w:tab/>
      </w:r>
      <w:r w:rsidRPr="00202EB9">
        <w:rPr>
          <w:rFonts w:cs="Arial"/>
          <w:lang w:val="fr-FR"/>
        </w:rPr>
        <w:t>D</w:t>
      </w:r>
      <w:r w:rsidR="00EF10DA" w:rsidRPr="00202EB9">
        <w:rPr>
          <w:rFonts w:cs="Arial"/>
          <w:lang w:val="fr-FR"/>
        </w:rPr>
        <w:t>ans quelle mesure les budgets et les délais prévus pour la mise en œuvre des projets du Plan d</w:t>
      </w:r>
      <w:r w:rsidR="00426067" w:rsidRPr="00202EB9">
        <w:rPr>
          <w:rFonts w:cs="Arial"/>
          <w:lang w:val="fr-FR"/>
        </w:rPr>
        <w:t>’</w:t>
      </w:r>
      <w:r w:rsidR="00EF10DA" w:rsidRPr="00202EB9">
        <w:rPr>
          <w:rFonts w:cs="Arial"/>
          <w:lang w:val="fr-FR"/>
        </w:rPr>
        <w:t>action pour le développement ont</w:t>
      </w:r>
      <w:r w:rsidR="001E787E" w:rsidRPr="00202EB9">
        <w:rPr>
          <w:rFonts w:cs="Arial"/>
          <w:lang w:val="fr-FR"/>
        </w:rPr>
        <w:noBreakHyphen/>
      </w:r>
      <w:r w:rsidR="00EF10DA" w:rsidRPr="00202EB9">
        <w:rPr>
          <w:rFonts w:cs="Arial"/>
          <w:lang w:val="fr-FR"/>
        </w:rPr>
        <w:t>ils été respectés sans compromettre les objectifs et les résultats escomptés de ces projets?</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502A6F"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iv)</w:t>
      </w:r>
      <w:r w:rsidR="00255C01" w:rsidRPr="00202EB9">
        <w:rPr>
          <w:rFonts w:cs="Arial"/>
          <w:lang w:val="fr-FR"/>
        </w:rPr>
        <w:tab/>
      </w:r>
      <w:r w:rsidRPr="00202EB9">
        <w:rPr>
          <w:rFonts w:cs="Arial"/>
          <w:lang w:val="fr-FR"/>
        </w:rPr>
        <w:t>Q</w:t>
      </w:r>
      <w:r w:rsidR="00AC5613" w:rsidRPr="00202EB9">
        <w:rPr>
          <w:rFonts w:cs="Arial"/>
          <w:lang w:val="fr-FR"/>
        </w:rPr>
        <w:t>uel est le degré d</w:t>
      </w:r>
      <w:r w:rsidR="00426067" w:rsidRPr="00202EB9">
        <w:rPr>
          <w:rFonts w:cs="Arial"/>
          <w:lang w:val="fr-FR"/>
        </w:rPr>
        <w:t>’</w:t>
      </w:r>
      <w:r w:rsidR="00AC5613" w:rsidRPr="00202EB9">
        <w:rPr>
          <w:rFonts w:cs="Arial"/>
          <w:lang w:val="fr-FR"/>
        </w:rPr>
        <w:t xml:space="preserve">engagement du personnel </w:t>
      </w:r>
      <w:r w:rsidR="00426067" w:rsidRPr="00202EB9">
        <w:rPr>
          <w:rFonts w:cs="Arial"/>
          <w:lang w:val="fr-FR"/>
        </w:rPr>
        <w:t>à l’égard</w:t>
      </w:r>
      <w:r w:rsidR="00AC5613" w:rsidRPr="00202EB9">
        <w:rPr>
          <w:rFonts w:cs="Arial"/>
          <w:lang w:val="fr-FR"/>
        </w:rPr>
        <w:t xml:space="preserve"> de la mise en œuvre des recommandations du Plan d</w:t>
      </w:r>
      <w:r w:rsidR="00426067" w:rsidRPr="00202EB9">
        <w:rPr>
          <w:rFonts w:cs="Arial"/>
          <w:lang w:val="fr-FR"/>
        </w:rPr>
        <w:t>’</w:t>
      </w:r>
      <w:r w:rsidR="00AC5613" w:rsidRPr="00202EB9">
        <w:rPr>
          <w:rFonts w:cs="Arial"/>
          <w:lang w:val="fr-FR"/>
        </w:rPr>
        <w:t>action pour le développement?</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0D5977"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u w:val="single"/>
          <w:lang w:val="fr-FR"/>
        </w:rPr>
      </w:pPr>
      <w:r w:rsidRPr="00202EB9">
        <w:rPr>
          <w:rFonts w:cs="Arial"/>
          <w:u w:val="single"/>
          <w:lang w:val="fr-FR"/>
        </w:rPr>
        <w:t>Sur la question de</w:t>
      </w:r>
      <w:r w:rsidR="00255C01" w:rsidRPr="00202EB9">
        <w:rPr>
          <w:rFonts w:cs="Arial"/>
          <w:u w:val="single"/>
          <w:lang w:val="fr-FR"/>
        </w:rPr>
        <w:t xml:space="preserve"> </w:t>
      </w:r>
      <w:r w:rsidRPr="00202EB9">
        <w:rPr>
          <w:rFonts w:cs="Arial"/>
          <w:u w:val="single"/>
          <w:lang w:val="fr-FR"/>
        </w:rPr>
        <w:t>la durabilité</w:t>
      </w:r>
      <w:r w:rsidRPr="00202EB9">
        <w:rPr>
          <w:rFonts w:cs="Arial"/>
          <w:lang w:val="fr-FR"/>
        </w:rPr>
        <w:t> :</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u w:val="single"/>
          <w:lang w:val="fr-FR"/>
        </w:rPr>
      </w:pPr>
    </w:p>
    <w:p w:rsidR="00255C01" w:rsidRPr="00202EB9" w:rsidRDefault="00502A6F"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w:t>
      </w:r>
      <w:r w:rsidR="00255C01" w:rsidRPr="00202EB9">
        <w:rPr>
          <w:rFonts w:cs="Arial"/>
          <w:lang w:val="fr-FR"/>
        </w:rPr>
        <w:tab/>
      </w:r>
      <w:r w:rsidRPr="00202EB9">
        <w:rPr>
          <w:rFonts w:cs="Arial"/>
          <w:lang w:val="fr-FR"/>
        </w:rPr>
        <w:t>Q</w:t>
      </w:r>
      <w:r w:rsidR="002842D5" w:rsidRPr="00202EB9">
        <w:rPr>
          <w:rFonts w:cs="Arial"/>
          <w:lang w:val="fr-FR"/>
        </w:rPr>
        <w:t>uel est le nombre de services de l</w:t>
      </w:r>
      <w:r w:rsidR="00426067" w:rsidRPr="00202EB9">
        <w:rPr>
          <w:rFonts w:cs="Arial"/>
          <w:lang w:val="fr-FR"/>
        </w:rPr>
        <w:t>’</w:t>
      </w:r>
      <w:r w:rsidR="002842D5" w:rsidRPr="00202EB9">
        <w:rPr>
          <w:rFonts w:cs="Arial"/>
          <w:lang w:val="fr-FR"/>
        </w:rPr>
        <w:t>OMPI impliqués dans la mise en œuvre des recommandations du Plan d</w:t>
      </w:r>
      <w:r w:rsidR="00426067" w:rsidRPr="00202EB9">
        <w:rPr>
          <w:rFonts w:cs="Arial"/>
          <w:lang w:val="fr-FR"/>
        </w:rPr>
        <w:t>’</w:t>
      </w:r>
      <w:r w:rsidR="002842D5" w:rsidRPr="00202EB9">
        <w:rPr>
          <w:rFonts w:cs="Arial"/>
          <w:lang w:val="fr-FR"/>
        </w:rPr>
        <w:t>action pour le développement?</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502A6F"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ii)</w:t>
      </w:r>
      <w:r w:rsidR="00255C01" w:rsidRPr="00202EB9">
        <w:rPr>
          <w:rFonts w:cs="Arial"/>
          <w:lang w:val="fr-FR"/>
        </w:rPr>
        <w:tab/>
      </w:r>
      <w:r w:rsidRPr="00202EB9">
        <w:rPr>
          <w:rFonts w:cs="Arial"/>
          <w:lang w:val="fr-FR"/>
        </w:rPr>
        <w:t>Q</w:t>
      </w:r>
      <w:r w:rsidR="0050772F" w:rsidRPr="00202EB9">
        <w:rPr>
          <w:rFonts w:cs="Arial"/>
          <w:lang w:val="fr-FR"/>
        </w:rPr>
        <w:t xml:space="preserve">uel est le degré de viabilité </w:t>
      </w:r>
      <w:r w:rsidR="009E1DF5" w:rsidRPr="00202EB9">
        <w:rPr>
          <w:rFonts w:cs="Arial"/>
          <w:lang w:val="fr-FR"/>
        </w:rPr>
        <w:t xml:space="preserve">à long terme </w:t>
      </w:r>
      <w:r w:rsidR="0050772F" w:rsidRPr="00202EB9">
        <w:rPr>
          <w:rFonts w:cs="Arial"/>
          <w:lang w:val="fr-FR"/>
        </w:rPr>
        <w:t>des travaux de l</w:t>
      </w:r>
      <w:r w:rsidR="00426067" w:rsidRPr="00202EB9">
        <w:rPr>
          <w:rFonts w:cs="Arial"/>
          <w:lang w:val="fr-FR"/>
        </w:rPr>
        <w:t>’</w:t>
      </w:r>
      <w:r w:rsidR="0050772F" w:rsidRPr="00202EB9">
        <w:rPr>
          <w:rFonts w:cs="Arial"/>
          <w:lang w:val="fr-FR"/>
        </w:rPr>
        <w:t>OMPI dans le cadre de la mise en œuvre des recommandations du Plan d</w:t>
      </w:r>
      <w:r w:rsidR="00426067" w:rsidRPr="00202EB9">
        <w:rPr>
          <w:rFonts w:cs="Arial"/>
          <w:lang w:val="fr-FR"/>
        </w:rPr>
        <w:t>’</w:t>
      </w:r>
      <w:r w:rsidR="0050772F" w:rsidRPr="00202EB9">
        <w:rPr>
          <w:rFonts w:cs="Arial"/>
          <w:lang w:val="fr-FR"/>
        </w:rPr>
        <w:t>action pour le développement, en particulier en ce qui concerne l</w:t>
      </w:r>
      <w:r w:rsidR="00426067" w:rsidRPr="00202EB9">
        <w:rPr>
          <w:rFonts w:cs="Arial"/>
          <w:lang w:val="fr-FR"/>
        </w:rPr>
        <w:t>’</w:t>
      </w:r>
      <w:r w:rsidR="0050772F" w:rsidRPr="00202EB9">
        <w:rPr>
          <w:rFonts w:cs="Arial"/>
          <w:lang w:val="fr-FR"/>
        </w:rPr>
        <w:t>obtention de résultats durables à l</w:t>
      </w:r>
      <w:r w:rsidR="00426067" w:rsidRPr="00202EB9">
        <w:rPr>
          <w:rFonts w:cs="Arial"/>
          <w:lang w:val="fr-FR"/>
        </w:rPr>
        <w:t>’</w:t>
      </w:r>
      <w:r w:rsidR="0050772F" w:rsidRPr="00202EB9">
        <w:rPr>
          <w:rFonts w:cs="Arial"/>
          <w:lang w:val="fr-FR"/>
        </w:rPr>
        <w:t>avenir</w:t>
      </w:r>
      <w:r w:rsidR="00255C01" w:rsidRPr="00202EB9">
        <w:rPr>
          <w:rFonts w:cs="Arial"/>
          <w:lang w:val="fr-FR"/>
        </w:rPr>
        <w:t>?</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Pr="00202EB9" w:rsidRDefault="00502A6F"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iii)</w:t>
      </w:r>
      <w:r w:rsidR="00255C01" w:rsidRPr="00202EB9">
        <w:rPr>
          <w:rFonts w:cs="Arial"/>
          <w:lang w:val="fr-FR"/>
        </w:rPr>
        <w:tab/>
      </w:r>
      <w:r w:rsidRPr="00202EB9">
        <w:rPr>
          <w:rFonts w:cs="Arial"/>
          <w:lang w:val="fr-FR"/>
        </w:rPr>
        <w:t>D</w:t>
      </w:r>
      <w:r w:rsidR="00AA7575" w:rsidRPr="00202EB9">
        <w:rPr>
          <w:rFonts w:cs="Arial"/>
          <w:lang w:val="fr-FR"/>
        </w:rPr>
        <w:t>e quel type sont les enseignements tirés de la mise en œuvre des recommandations du Plan d</w:t>
      </w:r>
      <w:r w:rsidR="00426067" w:rsidRPr="00202EB9">
        <w:rPr>
          <w:rFonts w:cs="Arial"/>
          <w:lang w:val="fr-FR"/>
        </w:rPr>
        <w:t>’</w:t>
      </w:r>
      <w:r w:rsidR="00AA7575" w:rsidRPr="00202EB9">
        <w:rPr>
          <w:rFonts w:cs="Arial"/>
          <w:lang w:val="fr-FR"/>
        </w:rPr>
        <w:t>action pour le développement</w:t>
      </w:r>
      <w:r w:rsidR="00255C01" w:rsidRPr="00202EB9">
        <w:rPr>
          <w:rFonts w:cs="Arial"/>
          <w:lang w:val="fr-FR"/>
        </w:rPr>
        <w:t>?</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426067" w:rsidRPr="00202EB9" w:rsidRDefault="00502A6F"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iv)</w:t>
      </w:r>
      <w:r w:rsidR="00255C01" w:rsidRPr="00202EB9">
        <w:rPr>
          <w:rFonts w:cs="Arial"/>
          <w:lang w:val="fr-FR"/>
        </w:rPr>
        <w:tab/>
      </w:r>
      <w:r w:rsidRPr="00202EB9">
        <w:rPr>
          <w:rFonts w:cs="Arial"/>
          <w:lang w:val="fr-FR"/>
        </w:rPr>
        <w:t>Q</w:t>
      </w:r>
      <w:r w:rsidR="008B4D5E" w:rsidRPr="00202EB9">
        <w:rPr>
          <w:rFonts w:cs="Arial"/>
          <w:lang w:val="fr-FR"/>
        </w:rPr>
        <w:t>uelles sont les bonnes pratiques et les éventuelles lacunes qui peuvent être mises en évidence</w:t>
      </w:r>
      <w:r w:rsidR="00255C01" w:rsidRPr="00202EB9">
        <w:rPr>
          <w:rFonts w:cs="Arial"/>
          <w:lang w:val="fr-FR"/>
        </w:rPr>
        <w:t>?</w:t>
      </w:r>
    </w:p>
    <w:p w:rsidR="00255C01" w:rsidRPr="00202EB9" w:rsidRDefault="00255C01"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255C01" w:rsidRDefault="00502A6F"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r w:rsidRPr="00202EB9">
        <w:rPr>
          <w:rFonts w:cs="Arial"/>
          <w:lang w:val="fr-FR"/>
        </w:rPr>
        <w:t>v)</w:t>
      </w:r>
      <w:r w:rsidR="00255C01" w:rsidRPr="00202EB9">
        <w:rPr>
          <w:rFonts w:cs="Arial"/>
          <w:lang w:val="fr-FR"/>
        </w:rPr>
        <w:tab/>
      </w:r>
      <w:r w:rsidRPr="00202EB9">
        <w:rPr>
          <w:rFonts w:cs="Arial"/>
          <w:lang w:val="fr-FR"/>
        </w:rPr>
        <w:t>L</w:t>
      </w:r>
      <w:r w:rsidR="0066616D" w:rsidRPr="00202EB9">
        <w:rPr>
          <w:rFonts w:cs="Arial"/>
          <w:lang w:val="fr-FR"/>
        </w:rPr>
        <w:t xml:space="preserve">es projets intégrés </w:t>
      </w:r>
      <w:proofErr w:type="spellStart"/>
      <w:r w:rsidR="0066616D" w:rsidRPr="00202EB9">
        <w:rPr>
          <w:rFonts w:cs="Arial"/>
          <w:lang w:val="fr-FR"/>
        </w:rPr>
        <w:t>font</w:t>
      </w:r>
      <w:r w:rsidR="001E787E" w:rsidRPr="00202EB9">
        <w:rPr>
          <w:rFonts w:cs="Arial"/>
          <w:lang w:val="fr-FR"/>
        </w:rPr>
        <w:noBreakHyphen/>
      </w:r>
      <w:r w:rsidR="0066616D" w:rsidRPr="00202EB9">
        <w:rPr>
          <w:rFonts w:cs="Arial"/>
          <w:lang w:val="fr-FR"/>
        </w:rPr>
        <w:t>ils</w:t>
      </w:r>
      <w:proofErr w:type="spellEnd"/>
      <w:r w:rsidR="0066616D" w:rsidRPr="00202EB9">
        <w:rPr>
          <w:rFonts w:cs="Arial"/>
          <w:lang w:val="fr-FR"/>
        </w:rPr>
        <w:t xml:space="preserve"> partie du programme de gestion axée sur les résultats</w:t>
      </w:r>
      <w:r w:rsidR="00810DA6" w:rsidRPr="00202EB9">
        <w:rPr>
          <w:rFonts w:cs="Arial"/>
          <w:lang w:val="fr-FR"/>
        </w:rPr>
        <w:t>, et des budgets leur sont</w:t>
      </w:r>
      <w:r w:rsidR="001E787E" w:rsidRPr="00202EB9">
        <w:rPr>
          <w:rFonts w:cs="Arial"/>
          <w:lang w:val="fr-FR"/>
        </w:rPr>
        <w:noBreakHyphen/>
      </w:r>
      <w:r w:rsidR="00810DA6" w:rsidRPr="00202EB9">
        <w:rPr>
          <w:rFonts w:cs="Arial"/>
          <w:lang w:val="fr-FR"/>
        </w:rPr>
        <w:t>ils spécifiquement alloués</w:t>
      </w:r>
      <w:r w:rsidR="00255C01" w:rsidRPr="00202EB9">
        <w:rPr>
          <w:rFonts w:cs="Arial"/>
          <w:lang w:val="fr-FR"/>
        </w:rPr>
        <w:t>?</w:t>
      </w:r>
    </w:p>
    <w:p w:rsidR="008D1193" w:rsidRPr="00202EB9" w:rsidRDefault="008D1193" w:rsidP="00255C01">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cs="Arial"/>
          <w:lang w:val="fr-FR"/>
        </w:rPr>
      </w:pPr>
    </w:p>
    <w:p w:rsidR="000B4E62" w:rsidRPr="00202EB9" w:rsidRDefault="000B4E62" w:rsidP="004372EF">
      <w:pPr>
        <w:jc w:val="both"/>
        <w:rPr>
          <w:rFonts w:cs="Arial"/>
          <w:lang w:val="fr-FR"/>
        </w:rPr>
      </w:pPr>
    </w:p>
    <w:p w:rsidR="004372EF" w:rsidRPr="00202EB9" w:rsidRDefault="004372EF" w:rsidP="00F3224E">
      <w:pPr>
        <w:pStyle w:val="Heading3"/>
        <w:rPr>
          <w:szCs w:val="22"/>
          <w:lang w:val="fr-FR"/>
        </w:rPr>
      </w:pPr>
      <w:bookmarkStart w:id="16" w:name="_Toc460492858"/>
      <w:r w:rsidRPr="008D1193">
        <w:rPr>
          <w:szCs w:val="22"/>
          <w:u w:val="none"/>
          <w:lang w:val="fr-FR"/>
        </w:rPr>
        <w:t>c.</w:t>
      </w:r>
      <w:r w:rsidR="00F3224E" w:rsidRPr="008D1193">
        <w:rPr>
          <w:szCs w:val="22"/>
          <w:u w:val="none"/>
          <w:lang w:val="fr-FR"/>
        </w:rPr>
        <w:tab/>
      </w:r>
      <w:r w:rsidRPr="00202EB9">
        <w:rPr>
          <w:szCs w:val="22"/>
          <w:lang w:val="fr-FR"/>
        </w:rPr>
        <w:t xml:space="preserve">Description </w:t>
      </w:r>
      <w:r w:rsidR="009A2BE9" w:rsidRPr="00202EB9">
        <w:rPr>
          <w:szCs w:val="22"/>
          <w:lang w:val="fr-FR"/>
        </w:rPr>
        <w:t>des outils méthodologiques utilisés dans l</w:t>
      </w:r>
      <w:r w:rsidR="00426067" w:rsidRPr="00202EB9">
        <w:rPr>
          <w:szCs w:val="22"/>
          <w:lang w:val="fr-FR"/>
        </w:rPr>
        <w:t>’</w:t>
      </w:r>
      <w:r w:rsidR="009A2BE9" w:rsidRPr="00202EB9">
        <w:rPr>
          <w:szCs w:val="22"/>
          <w:lang w:val="fr-FR"/>
        </w:rPr>
        <w:t>étude</w:t>
      </w:r>
      <w:bookmarkEnd w:id="16"/>
    </w:p>
    <w:p w:rsidR="00F3224E" w:rsidRPr="00202EB9" w:rsidRDefault="00F3224E" w:rsidP="00F3224E">
      <w:pPr>
        <w:rPr>
          <w:rFonts w:cs="Arial"/>
          <w:lang w:val="fr-FR" w:eastAsia="zh-CN" w:bidi="ar-SA"/>
        </w:rPr>
      </w:pPr>
    </w:p>
    <w:p w:rsidR="004372EF" w:rsidRPr="00202EB9" w:rsidRDefault="00C36FD8" w:rsidP="00F3224E">
      <w:pPr>
        <w:pStyle w:val="ONUMFS"/>
        <w:rPr>
          <w:szCs w:val="22"/>
          <w:lang w:val="fr-FR"/>
        </w:rPr>
      </w:pPr>
      <w:r w:rsidRPr="00202EB9">
        <w:rPr>
          <w:szCs w:val="22"/>
          <w:lang w:val="fr-FR"/>
        </w:rPr>
        <w:t>Les principes et outils méthodologiques utilisés dans l</w:t>
      </w:r>
      <w:r w:rsidR="00426067" w:rsidRPr="00202EB9">
        <w:rPr>
          <w:szCs w:val="22"/>
          <w:lang w:val="fr-FR"/>
        </w:rPr>
        <w:t>’</w:t>
      </w:r>
      <w:r w:rsidRPr="00202EB9">
        <w:rPr>
          <w:szCs w:val="22"/>
          <w:lang w:val="fr-FR"/>
        </w:rPr>
        <w:t>étude ont été conçus pour trouver réponse aux questions clés énumérées dans le cahier des charges</w:t>
      </w:r>
      <w:r w:rsidR="00F43610" w:rsidRPr="00202EB9">
        <w:rPr>
          <w:szCs w:val="22"/>
          <w:lang w:val="fr-FR"/>
        </w:rPr>
        <w:t xml:space="preserve"> et ensuite développées par l</w:t>
      </w:r>
      <w:r w:rsidR="00426067" w:rsidRPr="00202EB9">
        <w:rPr>
          <w:szCs w:val="22"/>
          <w:lang w:val="fr-FR"/>
        </w:rPr>
        <w:t>’</w:t>
      </w:r>
      <w:r w:rsidR="00F43610" w:rsidRPr="00202EB9">
        <w:rPr>
          <w:szCs w:val="22"/>
          <w:lang w:val="fr-FR"/>
        </w:rPr>
        <w:t>équipe chargée de l</w:t>
      </w:r>
      <w:r w:rsidR="00426067" w:rsidRPr="00202EB9">
        <w:rPr>
          <w:szCs w:val="22"/>
          <w:lang w:val="fr-FR"/>
        </w:rPr>
        <w:t>’</w:t>
      </w:r>
      <w:r w:rsidR="00F43610" w:rsidRPr="00202EB9">
        <w:rPr>
          <w:szCs w:val="22"/>
          <w:lang w:val="fr-FR"/>
        </w:rPr>
        <w:t>étu</w:t>
      </w:r>
      <w:r w:rsidR="001E787E" w:rsidRPr="00202EB9">
        <w:rPr>
          <w:szCs w:val="22"/>
          <w:lang w:val="fr-FR"/>
        </w:rPr>
        <w:t>de.  La</w:t>
      </w:r>
      <w:r w:rsidR="00F43610" w:rsidRPr="00202EB9">
        <w:rPr>
          <w:szCs w:val="22"/>
          <w:lang w:val="fr-FR"/>
        </w:rPr>
        <w:t xml:space="preserve"> pertinence, l</w:t>
      </w:r>
      <w:r w:rsidR="00426067" w:rsidRPr="00202EB9">
        <w:rPr>
          <w:szCs w:val="22"/>
          <w:lang w:val="fr-FR"/>
        </w:rPr>
        <w:t>’</w:t>
      </w:r>
      <w:r w:rsidR="00F43610" w:rsidRPr="00202EB9">
        <w:rPr>
          <w:szCs w:val="22"/>
          <w:lang w:val="fr-FR"/>
        </w:rPr>
        <w:t>efficacité, l</w:t>
      </w:r>
      <w:r w:rsidR="00426067" w:rsidRPr="00202EB9">
        <w:rPr>
          <w:szCs w:val="22"/>
          <w:lang w:val="fr-FR"/>
        </w:rPr>
        <w:t>’</w:t>
      </w:r>
      <w:r w:rsidR="00F43610" w:rsidRPr="00202EB9">
        <w:rPr>
          <w:szCs w:val="22"/>
          <w:lang w:val="fr-FR"/>
        </w:rPr>
        <w:t>efficience, l</w:t>
      </w:r>
      <w:r w:rsidR="00426067" w:rsidRPr="00202EB9">
        <w:rPr>
          <w:szCs w:val="22"/>
          <w:lang w:val="fr-FR"/>
        </w:rPr>
        <w:t>’</w:t>
      </w:r>
      <w:r w:rsidR="00F43610" w:rsidRPr="00202EB9">
        <w:rPr>
          <w:szCs w:val="22"/>
          <w:lang w:val="fr-FR"/>
        </w:rPr>
        <w:t>impact et la durabilité des travaux de l</w:t>
      </w:r>
      <w:r w:rsidR="00426067" w:rsidRPr="00202EB9">
        <w:rPr>
          <w:szCs w:val="22"/>
          <w:lang w:val="fr-FR"/>
        </w:rPr>
        <w:t>’</w:t>
      </w:r>
      <w:r w:rsidR="00F43610" w:rsidRPr="00202EB9">
        <w:rPr>
          <w:szCs w:val="22"/>
          <w:lang w:val="fr-FR"/>
        </w:rPr>
        <w:t>OMPI</w:t>
      </w:r>
      <w:r w:rsidR="00305F30" w:rsidRPr="00202EB9">
        <w:rPr>
          <w:szCs w:val="22"/>
          <w:lang w:val="fr-FR"/>
        </w:rPr>
        <w:t xml:space="preserve"> consacré</w:t>
      </w:r>
      <w:r w:rsidR="00DE7D23" w:rsidRPr="00202EB9">
        <w:rPr>
          <w:szCs w:val="22"/>
          <w:lang w:val="fr-FR"/>
        </w:rPr>
        <w:t>s</w:t>
      </w:r>
      <w:r w:rsidR="00305F30" w:rsidRPr="00202EB9">
        <w:rPr>
          <w:szCs w:val="22"/>
          <w:lang w:val="fr-FR"/>
        </w:rPr>
        <w:t xml:space="preserve"> à la mise en œuvre des recommandations du Plan d</w:t>
      </w:r>
      <w:r w:rsidR="00426067" w:rsidRPr="00202EB9">
        <w:rPr>
          <w:szCs w:val="22"/>
          <w:lang w:val="fr-FR"/>
        </w:rPr>
        <w:t>’</w:t>
      </w:r>
      <w:r w:rsidR="00305F30" w:rsidRPr="00202EB9">
        <w:rPr>
          <w:szCs w:val="22"/>
          <w:lang w:val="fr-FR"/>
        </w:rPr>
        <w:t>action pour le développement</w:t>
      </w:r>
      <w:r w:rsidR="00DE7D23" w:rsidRPr="00202EB9">
        <w:rPr>
          <w:szCs w:val="22"/>
          <w:lang w:val="fr-FR"/>
        </w:rPr>
        <w:t xml:space="preserve"> ont été, par conséquent, les critères centraux de l</w:t>
      </w:r>
      <w:r w:rsidR="00426067" w:rsidRPr="00202EB9">
        <w:rPr>
          <w:szCs w:val="22"/>
          <w:lang w:val="fr-FR"/>
        </w:rPr>
        <w:t>’</w:t>
      </w:r>
      <w:r w:rsidR="00DE7D23" w:rsidRPr="00202EB9">
        <w:rPr>
          <w:szCs w:val="22"/>
          <w:lang w:val="fr-FR"/>
        </w:rPr>
        <w:t>étude</w:t>
      </w:r>
      <w:r w:rsidR="00305F30" w:rsidRPr="00202EB9">
        <w:rPr>
          <w:szCs w:val="22"/>
          <w:lang w:val="fr-FR"/>
        </w:rPr>
        <w:t>.</w:t>
      </w:r>
    </w:p>
    <w:p w:rsidR="00D661A2" w:rsidRPr="00202EB9" w:rsidRDefault="009C2798" w:rsidP="00F3224E">
      <w:pPr>
        <w:pStyle w:val="Heading4"/>
        <w:rPr>
          <w:szCs w:val="22"/>
          <w:lang w:val="fr-FR"/>
        </w:rPr>
      </w:pPr>
      <w:r w:rsidRPr="00202EB9">
        <w:rPr>
          <w:szCs w:val="22"/>
          <w:lang w:val="fr-FR"/>
        </w:rPr>
        <w:t>Données secondaires</w:t>
      </w:r>
    </w:p>
    <w:p w:rsidR="004372EF" w:rsidRPr="00202EB9" w:rsidRDefault="0001052C" w:rsidP="00F3224E">
      <w:pPr>
        <w:pStyle w:val="Heading4"/>
        <w:rPr>
          <w:szCs w:val="22"/>
          <w:lang w:val="fr-FR"/>
        </w:rPr>
      </w:pPr>
      <w:r w:rsidRPr="00202EB9">
        <w:rPr>
          <w:szCs w:val="22"/>
          <w:lang w:val="fr-FR"/>
        </w:rPr>
        <w:t>Étude préliminaire</w:t>
      </w:r>
      <w:r w:rsidR="00BA2168" w:rsidRPr="00202EB9">
        <w:rPr>
          <w:szCs w:val="22"/>
          <w:lang w:val="fr-FR"/>
        </w:rPr>
        <w:t xml:space="preserve"> de la documentation relative à la mise en œuvre</w:t>
      </w:r>
    </w:p>
    <w:p w:rsidR="00F3224E" w:rsidRPr="00202EB9" w:rsidRDefault="00F3224E" w:rsidP="00F3224E">
      <w:pPr>
        <w:rPr>
          <w:rFonts w:cs="Arial"/>
          <w:lang w:val="fr-FR" w:eastAsia="zh-CN" w:bidi="ar-SA"/>
        </w:rPr>
      </w:pPr>
    </w:p>
    <w:p w:rsidR="004372EF" w:rsidRPr="00202EB9" w:rsidRDefault="004C581D" w:rsidP="00F3224E">
      <w:pPr>
        <w:pStyle w:val="ONUMFS"/>
        <w:rPr>
          <w:szCs w:val="22"/>
          <w:lang w:val="fr-FR"/>
        </w:rPr>
      </w:pPr>
      <w:r w:rsidRPr="00202EB9">
        <w:rPr>
          <w:szCs w:val="22"/>
          <w:lang w:val="fr-FR"/>
        </w:rPr>
        <w:t>L</w:t>
      </w:r>
      <w:r w:rsidR="00426067" w:rsidRPr="00202EB9">
        <w:rPr>
          <w:szCs w:val="22"/>
          <w:lang w:val="fr-FR"/>
        </w:rPr>
        <w:t>’</w:t>
      </w:r>
      <w:r w:rsidRPr="00202EB9">
        <w:rPr>
          <w:szCs w:val="22"/>
          <w:lang w:val="fr-FR"/>
        </w:rPr>
        <w:t>étude préliminaire s</w:t>
      </w:r>
      <w:r w:rsidR="00426067" w:rsidRPr="00202EB9">
        <w:rPr>
          <w:szCs w:val="22"/>
          <w:lang w:val="fr-FR"/>
        </w:rPr>
        <w:t>’</w:t>
      </w:r>
      <w:r w:rsidRPr="00202EB9">
        <w:rPr>
          <w:szCs w:val="22"/>
          <w:lang w:val="fr-FR"/>
        </w:rPr>
        <w:t>est concentrée sur l</w:t>
      </w:r>
      <w:r w:rsidR="00426067" w:rsidRPr="00202EB9">
        <w:rPr>
          <w:szCs w:val="22"/>
          <w:lang w:val="fr-FR"/>
        </w:rPr>
        <w:t>’</w:t>
      </w:r>
      <w:r w:rsidRPr="00202EB9">
        <w:rPr>
          <w:szCs w:val="22"/>
          <w:lang w:val="fr-FR"/>
        </w:rPr>
        <w:t>analyse de documents essentiels se rapportant à la mise en œuvre des recommandations du Plan d</w:t>
      </w:r>
      <w:r w:rsidR="00426067" w:rsidRPr="00202EB9">
        <w:rPr>
          <w:szCs w:val="22"/>
          <w:lang w:val="fr-FR"/>
        </w:rPr>
        <w:t>’</w:t>
      </w:r>
      <w:r w:rsidRPr="00202EB9">
        <w:rPr>
          <w:szCs w:val="22"/>
          <w:lang w:val="fr-FR"/>
        </w:rPr>
        <w:t>action pour le développeme</w:t>
      </w:r>
      <w:r w:rsidR="001E787E" w:rsidRPr="00202EB9">
        <w:rPr>
          <w:szCs w:val="22"/>
          <w:lang w:val="fr-FR"/>
        </w:rPr>
        <w:t>nt.  Ce</w:t>
      </w:r>
      <w:r w:rsidRPr="00202EB9">
        <w:rPr>
          <w:szCs w:val="22"/>
          <w:lang w:val="fr-FR"/>
        </w:rPr>
        <w:t xml:space="preserve">t examen portait, entre autres, sur </w:t>
      </w:r>
      <w:r w:rsidR="0050308A" w:rsidRPr="00202EB9">
        <w:rPr>
          <w:szCs w:val="22"/>
          <w:lang w:val="fr-FR"/>
        </w:rPr>
        <w:t>les décisions</w:t>
      </w:r>
      <w:r w:rsidR="00B67710" w:rsidRPr="00202EB9">
        <w:rPr>
          <w:szCs w:val="22"/>
          <w:lang w:val="fr-FR"/>
        </w:rPr>
        <w:t xml:space="preserve"> en la matière </w:t>
      </w:r>
      <w:r w:rsidR="0050308A" w:rsidRPr="00202EB9">
        <w:rPr>
          <w:szCs w:val="22"/>
          <w:lang w:val="fr-FR"/>
        </w:rPr>
        <w:t>de l</w:t>
      </w:r>
      <w:r w:rsidR="00426067" w:rsidRPr="00202EB9">
        <w:rPr>
          <w:szCs w:val="22"/>
          <w:lang w:val="fr-FR"/>
        </w:rPr>
        <w:t>’</w:t>
      </w:r>
      <w:r w:rsidR="0050308A" w:rsidRPr="00202EB9">
        <w:rPr>
          <w:szCs w:val="22"/>
          <w:lang w:val="fr-FR"/>
        </w:rPr>
        <w:t>Assemblée générale de l</w:t>
      </w:r>
      <w:r w:rsidR="00426067" w:rsidRPr="00202EB9">
        <w:rPr>
          <w:szCs w:val="22"/>
          <w:lang w:val="fr-FR"/>
        </w:rPr>
        <w:t>’</w:t>
      </w:r>
      <w:r w:rsidR="0050308A" w:rsidRPr="00202EB9">
        <w:rPr>
          <w:szCs w:val="22"/>
          <w:lang w:val="fr-FR"/>
        </w:rPr>
        <w:t>OMPI et la documentation correspondante,</w:t>
      </w:r>
      <w:r w:rsidR="003C01F9" w:rsidRPr="00202EB9">
        <w:rPr>
          <w:szCs w:val="22"/>
          <w:lang w:val="fr-FR"/>
        </w:rPr>
        <w:t xml:space="preserve"> ainsi que les études et rapports pertinents</w:t>
      </w:r>
      <w:r w:rsidR="00426067" w:rsidRPr="00202EB9">
        <w:rPr>
          <w:szCs w:val="22"/>
          <w:lang w:val="fr-FR"/>
        </w:rPr>
        <w:t xml:space="preserve"> du </w:t>
      </w:r>
      <w:proofErr w:type="spellStart"/>
      <w:r w:rsidR="00426067" w:rsidRPr="00202EB9">
        <w:rPr>
          <w:szCs w:val="22"/>
          <w:lang w:val="fr-FR"/>
        </w:rPr>
        <w:t>CDI</w:t>
      </w:r>
      <w:r w:rsidR="00B67710" w:rsidRPr="00202EB9">
        <w:rPr>
          <w:szCs w:val="22"/>
          <w:lang w:val="fr-FR"/>
        </w:rPr>
        <w:t>P</w:t>
      </w:r>
      <w:proofErr w:type="spellEnd"/>
      <w:r w:rsidR="00B67710" w:rsidRPr="00202EB9">
        <w:rPr>
          <w:szCs w:val="22"/>
          <w:lang w:val="fr-FR"/>
        </w:rPr>
        <w:t xml:space="preserve">, </w:t>
      </w:r>
      <w:r w:rsidR="00426067" w:rsidRPr="00202EB9">
        <w:rPr>
          <w:szCs w:val="22"/>
          <w:lang w:val="fr-FR"/>
        </w:rPr>
        <w:t>à savoir</w:t>
      </w:r>
      <w:r w:rsidR="00B67710" w:rsidRPr="00202EB9">
        <w:rPr>
          <w:szCs w:val="22"/>
          <w:lang w:val="fr-FR"/>
        </w:rPr>
        <w:t xml:space="preserve"> les rapports du comité, les résumés du président, les rapports d</w:t>
      </w:r>
      <w:r w:rsidR="00426067" w:rsidRPr="00202EB9">
        <w:rPr>
          <w:szCs w:val="22"/>
          <w:lang w:val="fr-FR"/>
        </w:rPr>
        <w:t>’</w:t>
      </w:r>
      <w:r w:rsidR="00B67710" w:rsidRPr="00202EB9">
        <w:rPr>
          <w:szCs w:val="22"/>
          <w:lang w:val="fr-FR"/>
        </w:rPr>
        <w:t>état d</w:t>
      </w:r>
      <w:r w:rsidR="00426067" w:rsidRPr="00202EB9">
        <w:rPr>
          <w:szCs w:val="22"/>
          <w:lang w:val="fr-FR"/>
        </w:rPr>
        <w:t>’</w:t>
      </w:r>
      <w:r w:rsidR="00B67710" w:rsidRPr="00202EB9">
        <w:rPr>
          <w:szCs w:val="22"/>
          <w:lang w:val="fr-FR"/>
        </w:rPr>
        <w:t>avancement et les rapports du Directeur général, les projets approuvés et les rapports d</w:t>
      </w:r>
      <w:r w:rsidR="00426067" w:rsidRPr="00202EB9">
        <w:rPr>
          <w:szCs w:val="22"/>
          <w:lang w:val="fr-FR"/>
        </w:rPr>
        <w:t>’</w:t>
      </w:r>
      <w:r w:rsidR="00B67710" w:rsidRPr="00202EB9">
        <w:rPr>
          <w:szCs w:val="22"/>
          <w:lang w:val="fr-FR"/>
        </w:rPr>
        <w:t>évaluation s</w:t>
      </w:r>
      <w:r w:rsidR="00426067" w:rsidRPr="00202EB9">
        <w:rPr>
          <w:szCs w:val="22"/>
          <w:lang w:val="fr-FR"/>
        </w:rPr>
        <w:t>’</w:t>
      </w:r>
      <w:r w:rsidR="00B67710" w:rsidRPr="00202EB9">
        <w:rPr>
          <w:szCs w:val="22"/>
          <w:lang w:val="fr-FR"/>
        </w:rPr>
        <w:t>y rapportant.</w:t>
      </w:r>
    </w:p>
    <w:p w:rsidR="00426067" w:rsidRPr="00202EB9" w:rsidRDefault="006453BB" w:rsidP="00F3224E">
      <w:pPr>
        <w:pStyle w:val="ONUMFS"/>
        <w:rPr>
          <w:szCs w:val="22"/>
          <w:lang w:val="fr-FR"/>
        </w:rPr>
      </w:pPr>
      <w:r w:rsidRPr="00202EB9">
        <w:rPr>
          <w:szCs w:val="22"/>
          <w:lang w:val="fr-FR"/>
        </w:rPr>
        <w:t>L</w:t>
      </w:r>
      <w:r w:rsidR="00426067" w:rsidRPr="00202EB9">
        <w:rPr>
          <w:szCs w:val="22"/>
          <w:lang w:val="fr-FR"/>
        </w:rPr>
        <w:t>’</w:t>
      </w:r>
      <w:r w:rsidRPr="00202EB9">
        <w:rPr>
          <w:szCs w:val="22"/>
          <w:lang w:val="fr-FR"/>
        </w:rPr>
        <w:t xml:space="preserve">étude préliminaire a été </w:t>
      </w:r>
      <w:r w:rsidR="00AB775C" w:rsidRPr="00202EB9">
        <w:rPr>
          <w:szCs w:val="22"/>
          <w:lang w:val="fr-FR"/>
        </w:rPr>
        <w:t>d</w:t>
      </w:r>
      <w:r w:rsidR="00426067" w:rsidRPr="00202EB9">
        <w:rPr>
          <w:szCs w:val="22"/>
          <w:lang w:val="fr-FR"/>
        </w:rPr>
        <w:t>’</w:t>
      </w:r>
      <w:r w:rsidR="00AB775C" w:rsidRPr="00202EB9">
        <w:rPr>
          <w:szCs w:val="22"/>
          <w:lang w:val="fr-FR"/>
        </w:rPr>
        <w:t>une grande utilité en ce qu</w:t>
      </w:r>
      <w:r w:rsidR="00426067" w:rsidRPr="00202EB9">
        <w:rPr>
          <w:szCs w:val="22"/>
          <w:lang w:val="fr-FR"/>
        </w:rPr>
        <w:t>’</w:t>
      </w:r>
      <w:r w:rsidR="00AB775C" w:rsidRPr="00202EB9">
        <w:rPr>
          <w:szCs w:val="22"/>
          <w:lang w:val="fr-FR"/>
        </w:rPr>
        <w:t>elle a favorisé une compréhension plus approfondie de la pertinence, de l</w:t>
      </w:r>
      <w:r w:rsidR="00426067" w:rsidRPr="00202EB9">
        <w:rPr>
          <w:szCs w:val="22"/>
          <w:lang w:val="fr-FR"/>
        </w:rPr>
        <w:t>’</w:t>
      </w:r>
      <w:r w:rsidR="00AB775C" w:rsidRPr="00202EB9">
        <w:rPr>
          <w:szCs w:val="22"/>
          <w:lang w:val="fr-FR"/>
        </w:rPr>
        <w:t>impact et de l</w:t>
      </w:r>
      <w:r w:rsidR="00426067" w:rsidRPr="00202EB9">
        <w:rPr>
          <w:szCs w:val="22"/>
          <w:lang w:val="fr-FR"/>
        </w:rPr>
        <w:t>’</w:t>
      </w:r>
      <w:r w:rsidR="00AB775C" w:rsidRPr="00202EB9">
        <w:rPr>
          <w:szCs w:val="22"/>
          <w:lang w:val="fr-FR"/>
        </w:rPr>
        <w:t>efficacité des travaux et activités de l</w:t>
      </w:r>
      <w:r w:rsidR="00426067" w:rsidRPr="00202EB9">
        <w:rPr>
          <w:szCs w:val="22"/>
          <w:lang w:val="fr-FR"/>
        </w:rPr>
        <w:t>’</w:t>
      </w:r>
      <w:r w:rsidR="00AB775C" w:rsidRPr="00202EB9">
        <w:rPr>
          <w:szCs w:val="22"/>
          <w:lang w:val="fr-FR"/>
        </w:rPr>
        <w:t>OMPI.  L</w:t>
      </w:r>
      <w:r w:rsidR="00426067" w:rsidRPr="00202EB9">
        <w:rPr>
          <w:szCs w:val="22"/>
          <w:lang w:val="fr-FR"/>
        </w:rPr>
        <w:t>’</w:t>
      </w:r>
      <w:r w:rsidR="00AB775C" w:rsidRPr="00202EB9">
        <w:rPr>
          <w:szCs w:val="22"/>
          <w:lang w:val="fr-FR"/>
        </w:rPr>
        <w:t>équipe chargée de l</w:t>
      </w:r>
      <w:r w:rsidR="00426067" w:rsidRPr="00202EB9">
        <w:rPr>
          <w:szCs w:val="22"/>
          <w:lang w:val="fr-FR"/>
        </w:rPr>
        <w:t>’</w:t>
      </w:r>
      <w:r w:rsidR="00AB775C" w:rsidRPr="00202EB9">
        <w:rPr>
          <w:szCs w:val="22"/>
          <w:lang w:val="fr-FR"/>
        </w:rPr>
        <w:t xml:space="preserve">étude </w:t>
      </w:r>
      <w:r w:rsidR="0035785F" w:rsidRPr="00202EB9">
        <w:rPr>
          <w:szCs w:val="22"/>
          <w:lang w:val="fr-FR"/>
        </w:rPr>
        <w:t>a eu l</w:t>
      </w:r>
      <w:r w:rsidR="00426067" w:rsidRPr="00202EB9">
        <w:rPr>
          <w:szCs w:val="22"/>
          <w:lang w:val="fr-FR"/>
        </w:rPr>
        <w:t>’</w:t>
      </w:r>
      <w:r w:rsidR="0035785F" w:rsidRPr="00202EB9">
        <w:rPr>
          <w:szCs w:val="22"/>
          <w:lang w:val="fr-FR"/>
        </w:rPr>
        <w:t>avantage de pouvoir travailler sur un large éventail de documents couvrant un nombre</w:t>
      </w:r>
      <w:r w:rsidR="006F45E8" w:rsidRPr="00202EB9">
        <w:rPr>
          <w:szCs w:val="22"/>
          <w:lang w:val="fr-FR"/>
        </w:rPr>
        <w:t xml:space="preserve"> important</w:t>
      </w:r>
      <w:r w:rsidR="0035785F" w:rsidRPr="00202EB9">
        <w:rPr>
          <w:szCs w:val="22"/>
          <w:lang w:val="fr-FR"/>
        </w:rPr>
        <w:t xml:space="preserve"> de sujets.</w:t>
      </w:r>
    </w:p>
    <w:p w:rsidR="004372EF" w:rsidRPr="00202EB9" w:rsidRDefault="00AF0DE9" w:rsidP="00F3224E">
      <w:pPr>
        <w:pStyle w:val="ONUMFS"/>
        <w:rPr>
          <w:szCs w:val="22"/>
          <w:lang w:val="fr-FR"/>
        </w:rPr>
      </w:pPr>
      <w:r w:rsidRPr="00202EB9">
        <w:rPr>
          <w:szCs w:val="22"/>
          <w:lang w:val="fr-FR"/>
        </w:rPr>
        <w:t>L</w:t>
      </w:r>
      <w:r w:rsidR="00426067" w:rsidRPr="00202EB9">
        <w:rPr>
          <w:szCs w:val="22"/>
          <w:lang w:val="fr-FR"/>
        </w:rPr>
        <w:t>’</w:t>
      </w:r>
      <w:r w:rsidRPr="00202EB9">
        <w:rPr>
          <w:szCs w:val="22"/>
          <w:lang w:val="fr-FR"/>
        </w:rPr>
        <w:t>annexe</w:t>
      </w:r>
      <w:r w:rsidR="00E15713" w:rsidRPr="00202EB9">
        <w:rPr>
          <w:szCs w:val="22"/>
          <w:lang w:val="fr-FR"/>
        </w:rPr>
        <w:t> </w:t>
      </w:r>
      <w:r w:rsidRPr="00202EB9">
        <w:rPr>
          <w:szCs w:val="22"/>
          <w:lang w:val="fr-FR"/>
        </w:rPr>
        <w:t>K du présent rapport contient la liste des données secondaires examinées par l</w:t>
      </w:r>
      <w:r w:rsidR="00426067" w:rsidRPr="00202EB9">
        <w:rPr>
          <w:szCs w:val="22"/>
          <w:lang w:val="fr-FR"/>
        </w:rPr>
        <w:t>’</w:t>
      </w:r>
      <w:r w:rsidRPr="00202EB9">
        <w:rPr>
          <w:szCs w:val="22"/>
          <w:lang w:val="fr-FR"/>
        </w:rPr>
        <w:t>équipe chargée de l</w:t>
      </w:r>
      <w:r w:rsidR="00426067" w:rsidRPr="00202EB9">
        <w:rPr>
          <w:szCs w:val="22"/>
          <w:lang w:val="fr-FR"/>
        </w:rPr>
        <w:t>’</w:t>
      </w:r>
      <w:r w:rsidRPr="00202EB9">
        <w:rPr>
          <w:szCs w:val="22"/>
          <w:lang w:val="fr-FR"/>
        </w:rPr>
        <w:t>étude</w:t>
      </w:r>
      <w:r w:rsidR="006B49F5" w:rsidRPr="00202EB9">
        <w:rPr>
          <w:szCs w:val="22"/>
          <w:lang w:val="fr-FR"/>
        </w:rPr>
        <w:t xml:space="preserve"> afin d</w:t>
      </w:r>
      <w:r w:rsidR="00426067" w:rsidRPr="00202EB9">
        <w:rPr>
          <w:szCs w:val="22"/>
          <w:lang w:val="fr-FR"/>
        </w:rPr>
        <w:t>’</w:t>
      </w:r>
      <w:r w:rsidR="006B49F5" w:rsidRPr="00202EB9">
        <w:rPr>
          <w:szCs w:val="22"/>
          <w:lang w:val="fr-FR"/>
        </w:rPr>
        <w:t>évaluer d</w:t>
      </w:r>
      <w:r w:rsidR="00426067" w:rsidRPr="00202EB9">
        <w:rPr>
          <w:szCs w:val="22"/>
          <w:lang w:val="fr-FR"/>
        </w:rPr>
        <w:t>’</w:t>
      </w:r>
      <w:r w:rsidR="006B49F5" w:rsidRPr="00202EB9">
        <w:rPr>
          <w:szCs w:val="22"/>
          <w:lang w:val="fr-FR"/>
        </w:rPr>
        <w:t>une manière exhaustive les travaux de l</w:t>
      </w:r>
      <w:r w:rsidR="00426067" w:rsidRPr="00202EB9">
        <w:rPr>
          <w:szCs w:val="22"/>
          <w:lang w:val="fr-FR"/>
        </w:rPr>
        <w:t>’</w:t>
      </w:r>
      <w:r w:rsidR="006B49F5" w:rsidRPr="00202EB9">
        <w:rPr>
          <w:szCs w:val="22"/>
          <w:lang w:val="fr-FR"/>
        </w:rPr>
        <w:t>OMPI relatifs à la mise en œuvre des recommandations du Plan d</w:t>
      </w:r>
      <w:r w:rsidR="00426067" w:rsidRPr="00202EB9">
        <w:rPr>
          <w:szCs w:val="22"/>
          <w:lang w:val="fr-FR"/>
        </w:rPr>
        <w:t>’</w:t>
      </w:r>
      <w:r w:rsidR="006B49F5" w:rsidRPr="00202EB9">
        <w:rPr>
          <w:szCs w:val="22"/>
          <w:lang w:val="fr-FR"/>
        </w:rPr>
        <w:t>action pour le développement et de fournir ainsi aux États membres de l</w:t>
      </w:r>
      <w:r w:rsidR="00426067" w:rsidRPr="00202EB9">
        <w:rPr>
          <w:szCs w:val="22"/>
          <w:lang w:val="fr-FR"/>
        </w:rPr>
        <w:t>’</w:t>
      </w:r>
      <w:r w:rsidR="006B49F5" w:rsidRPr="00202EB9">
        <w:rPr>
          <w:szCs w:val="22"/>
          <w:lang w:val="fr-FR"/>
        </w:rPr>
        <w:t>OMPI des informations et des conclusions util</w:t>
      </w:r>
      <w:r w:rsidR="001E787E" w:rsidRPr="00202EB9">
        <w:rPr>
          <w:szCs w:val="22"/>
          <w:lang w:val="fr-FR"/>
        </w:rPr>
        <w:t>es.  Le</w:t>
      </w:r>
      <w:r w:rsidR="00CA7AD9" w:rsidRPr="00202EB9">
        <w:rPr>
          <w:szCs w:val="22"/>
          <w:lang w:val="fr-FR"/>
        </w:rPr>
        <w:t>s documents produits dans le cadre</w:t>
      </w:r>
      <w:r w:rsidR="00426067" w:rsidRPr="00202EB9">
        <w:rPr>
          <w:szCs w:val="22"/>
          <w:lang w:val="fr-FR"/>
        </w:rPr>
        <w:t xml:space="preserve"> du </w:t>
      </w:r>
      <w:proofErr w:type="spellStart"/>
      <w:r w:rsidR="00426067" w:rsidRPr="00202EB9">
        <w:rPr>
          <w:szCs w:val="22"/>
          <w:lang w:val="fr-FR"/>
        </w:rPr>
        <w:t>CDI</w:t>
      </w:r>
      <w:r w:rsidR="00CA7AD9" w:rsidRPr="00202EB9">
        <w:rPr>
          <w:szCs w:val="22"/>
          <w:lang w:val="fr-FR"/>
        </w:rPr>
        <w:t>P</w:t>
      </w:r>
      <w:proofErr w:type="spellEnd"/>
      <w:r w:rsidR="00CA7AD9" w:rsidRPr="00202EB9">
        <w:rPr>
          <w:szCs w:val="22"/>
          <w:lang w:val="fr-FR"/>
        </w:rPr>
        <w:t xml:space="preserve"> et faisant partie de l</w:t>
      </w:r>
      <w:r w:rsidR="00426067" w:rsidRPr="00202EB9">
        <w:rPr>
          <w:szCs w:val="22"/>
          <w:lang w:val="fr-FR"/>
        </w:rPr>
        <w:t>’</w:t>
      </w:r>
      <w:r w:rsidR="00CA7AD9" w:rsidRPr="00202EB9">
        <w:rPr>
          <w:szCs w:val="22"/>
          <w:lang w:val="fr-FR"/>
        </w:rPr>
        <w:t>étude préliminaire</w:t>
      </w:r>
      <w:r w:rsidR="00BE2461" w:rsidRPr="00202EB9">
        <w:rPr>
          <w:szCs w:val="22"/>
          <w:lang w:val="fr-FR"/>
        </w:rPr>
        <w:t xml:space="preserve"> se répartissent dans les catégories suivantes</w:t>
      </w:r>
      <w:r w:rsidR="00E15713" w:rsidRPr="00202EB9">
        <w:rPr>
          <w:szCs w:val="22"/>
          <w:lang w:val="fr-FR"/>
        </w:rPr>
        <w:t> </w:t>
      </w:r>
      <w:r w:rsidR="00BE2461" w:rsidRPr="00202EB9">
        <w:rPr>
          <w:szCs w:val="22"/>
          <w:lang w:val="fr-FR"/>
        </w:rPr>
        <w:t xml:space="preserve">: </w:t>
      </w:r>
      <w:r w:rsidR="004372EF" w:rsidRPr="00202EB9">
        <w:rPr>
          <w:szCs w:val="22"/>
          <w:lang w:val="fr-FR"/>
        </w:rPr>
        <w:t>i)</w:t>
      </w:r>
      <w:r w:rsidR="00E15713" w:rsidRPr="00202EB9">
        <w:rPr>
          <w:szCs w:val="22"/>
          <w:lang w:val="fr-FR"/>
        </w:rPr>
        <w:t> </w:t>
      </w:r>
      <w:r w:rsidR="00BE2461" w:rsidRPr="00202EB9">
        <w:rPr>
          <w:szCs w:val="22"/>
          <w:lang w:val="fr-FR"/>
        </w:rPr>
        <w:t xml:space="preserve">informations générales, </w:t>
      </w:r>
      <w:r w:rsidR="004372EF" w:rsidRPr="00202EB9">
        <w:rPr>
          <w:szCs w:val="22"/>
          <w:lang w:val="fr-FR"/>
        </w:rPr>
        <w:t>ii)</w:t>
      </w:r>
      <w:r w:rsidR="00E15713" w:rsidRPr="00202EB9">
        <w:rPr>
          <w:szCs w:val="22"/>
          <w:lang w:val="fr-FR"/>
        </w:rPr>
        <w:t> </w:t>
      </w:r>
      <w:proofErr w:type="spellStart"/>
      <w:r w:rsidR="00A27540" w:rsidRPr="00202EB9">
        <w:rPr>
          <w:szCs w:val="22"/>
          <w:lang w:val="fr-FR"/>
        </w:rPr>
        <w:t>CDIP</w:t>
      </w:r>
      <w:proofErr w:type="spellEnd"/>
      <w:r w:rsidR="00A27540" w:rsidRPr="00202EB9">
        <w:rPr>
          <w:szCs w:val="22"/>
          <w:lang w:val="fr-FR"/>
        </w:rPr>
        <w:t xml:space="preserve"> </w:t>
      </w:r>
      <w:r w:rsidR="00BE2461" w:rsidRPr="00202EB9">
        <w:rPr>
          <w:szCs w:val="22"/>
          <w:lang w:val="fr-FR"/>
        </w:rPr>
        <w:t xml:space="preserve">et son mandat, </w:t>
      </w:r>
      <w:r w:rsidR="00A27540" w:rsidRPr="00202EB9">
        <w:rPr>
          <w:szCs w:val="22"/>
          <w:lang w:val="fr-FR"/>
        </w:rPr>
        <w:t>iii)</w:t>
      </w:r>
      <w:r w:rsidR="00E15713" w:rsidRPr="00202EB9">
        <w:rPr>
          <w:szCs w:val="22"/>
          <w:lang w:val="fr-FR"/>
        </w:rPr>
        <w:t> </w:t>
      </w:r>
      <w:r w:rsidR="00BE2461" w:rsidRPr="00202EB9">
        <w:rPr>
          <w:szCs w:val="22"/>
          <w:lang w:val="fr-FR"/>
        </w:rPr>
        <w:t>les 45</w:t>
      </w:r>
      <w:r w:rsidR="001E787E" w:rsidRPr="00202EB9">
        <w:rPr>
          <w:szCs w:val="22"/>
          <w:lang w:val="fr-FR"/>
        </w:rPr>
        <w:t> </w:t>
      </w:r>
      <w:r w:rsidR="00BE2461" w:rsidRPr="00202EB9">
        <w:rPr>
          <w:szCs w:val="22"/>
          <w:lang w:val="fr-FR"/>
        </w:rPr>
        <w:t>recommandations du Plan d</w:t>
      </w:r>
      <w:r w:rsidR="00426067" w:rsidRPr="00202EB9">
        <w:rPr>
          <w:szCs w:val="22"/>
          <w:lang w:val="fr-FR"/>
        </w:rPr>
        <w:t>’</w:t>
      </w:r>
      <w:r w:rsidR="00BE2461" w:rsidRPr="00202EB9">
        <w:rPr>
          <w:szCs w:val="22"/>
          <w:lang w:val="fr-FR"/>
        </w:rPr>
        <w:t xml:space="preserve">action pour le développement, </w:t>
      </w:r>
      <w:r w:rsidR="00F056E1" w:rsidRPr="00202EB9">
        <w:rPr>
          <w:szCs w:val="22"/>
          <w:lang w:val="fr-FR"/>
        </w:rPr>
        <w:t>dont</w:t>
      </w:r>
      <w:r w:rsidR="003D07BF" w:rsidRPr="00202EB9">
        <w:rPr>
          <w:szCs w:val="22"/>
          <w:lang w:val="fr-FR"/>
        </w:rPr>
        <w:t xml:space="preserve"> 19</w:t>
      </w:r>
      <w:r w:rsidR="00C4740B" w:rsidRPr="00202EB9">
        <w:rPr>
          <w:szCs w:val="22"/>
          <w:lang w:val="fr-FR"/>
        </w:rPr>
        <w:t> </w:t>
      </w:r>
      <w:r w:rsidR="00C43860" w:rsidRPr="00202EB9">
        <w:rPr>
          <w:szCs w:val="22"/>
          <w:lang w:val="fr-FR"/>
        </w:rPr>
        <w:t>recommandations</w:t>
      </w:r>
      <w:r w:rsidR="003D07BF" w:rsidRPr="00202EB9">
        <w:rPr>
          <w:szCs w:val="22"/>
          <w:lang w:val="fr-FR"/>
        </w:rPr>
        <w:t xml:space="preserve"> à mettre en œuvre immédiatement, </w:t>
      </w:r>
      <w:r w:rsidR="004372EF" w:rsidRPr="00202EB9">
        <w:rPr>
          <w:szCs w:val="22"/>
          <w:lang w:val="fr-FR"/>
        </w:rPr>
        <w:t>iv)</w:t>
      </w:r>
      <w:r w:rsidR="00E15713" w:rsidRPr="00202EB9">
        <w:rPr>
          <w:szCs w:val="22"/>
          <w:lang w:val="fr-FR"/>
        </w:rPr>
        <w:t> </w:t>
      </w:r>
      <w:r w:rsidR="00E058C5" w:rsidRPr="00202EB9">
        <w:rPr>
          <w:szCs w:val="22"/>
          <w:lang w:val="fr-FR"/>
        </w:rPr>
        <w:t>projets approuvés par</w:t>
      </w:r>
      <w:r w:rsidR="00426067" w:rsidRPr="00202EB9">
        <w:rPr>
          <w:szCs w:val="22"/>
          <w:lang w:val="fr-FR"/>
        </w:rPr>
        <w:t xml:space="preserve"> le </w:t>
      </w:r>
      <w:proofErr w:type="spellStart"/>
      <w:r w:rsidR="00426067" w:rsidRPr="00202EB9">
        <w:rPr>
          <w:szCs w:val="22"/>
          <w:lang w:val="fr-FR"/>
        </w:rPr>
        <w:t>CDI</w:t>
      </w:r>
      <w:r w:rsidR="002470C4" w:rsidRPr="00202EB9">
        <w:rPr>
          <w:szCs w:val="22"/>
          <w:lang w:val="fr-FR"/>
        </w:rPr>
        <w:t>P</w:t>
      </w:r>
      <w:proofErr w:type="spellEnd"/>
      <w:r w:rsidR="002470C4" w:rsidRPr="00202EB9">
        <w:rPr>
          <w:szCs w:val="22"/>
          <w:lang w:val="fr-FR"/>
        </w:rPr>
        <w:t>,</w:t>
      </w:r>
      <w:r w:rsidR="00E058C5" w:rsidRPr="00202EB9">
        <w:rPr>
          <w:szCs w:val="22"/>
          <w:lang w:val="fr-FR"/>
        </w:rPr>
        <w:t xml:space="preserve"> soumis par les États membres et le Secrétariat, </w:t>
      </w:r>
      <w:r w:rsidR="002470C4" w:rsidRPr="00202EB9">
        <w:rPr>
          <w:szCs w:val="22"/>
          <w:lang w:val="fr-FR"/>
        </w:rPr>
        <w:t>v)</w:t>
      </w:r>
      <w:r w:rsidR="00E15713" w:rsidRPr="00202EB9">
        <w:rPr>
          <w:szCs w:val="22"/>
          <w:lang w:val="fr-FR"/>
        </w:rPr>
        <w:t> </w:t>
      </w:r>
      <w:r w:rsidR="00F056E1" w:rsidRPr="00202EB9">
        <w:rPr>
          <w:szCs w:val="22"/>
          <w:lang w:val="fr-FR"/>
        </w:rPr>
        <w:t>rapports d</w:t>
      </w:r>
      <w:r w:rsidR="00426067" w:rsidRPr="00202EB9">
        <w:rPr>
          <w:szCs w:val="22"/>
          <w:lang w:val="fr-FR"/>
        </w:rPr>
        <w:t>’</w:t>
      </w:r>
      <w:r w:rsidR="00F056E1" w:rsidRPr="00202EB9">
        <w:rPr>
          <w:szCs w:val="22"/>
          <w:lang w:val="fr-FR"/>
        </w:rPr>
        <w:t>état d</w:t>
      </w:r>
      <w:r w:rsidR="00426067" w:rsidRPr="00202EB9">
        <w:rPr>
          <w:szCs w:val="22"/>
          <w:lang w:val="fr-FR"/>
        </w:rPr>
        <w:t>’</w:t>
      </w:r>
      <w:r w:rsidR="00F056E1" w:rsidRPr="00202EB9">
        <w:rPr>
          <w:szCs w:val="22"/>
          <w:lang w:val="fr-FR"/>
        </w:rPr>
        <w:t xml:space="preserve">avancement concernant la mise en œuvre des projets et activités </w:t>
      </w:r>
      <w:r w:rsidR="00920E09" w:rsidRPr="00202EB9">
        <w:rPr>
          <w:szCs w:val="22"/>
          <w:lang w:val="fr-FR"/>
        </w:rPr>
        <w:t>du Plan d</w:t>
      </w:r>
      <w:r w:rsidR="00426067" w:rsidRPr="00202EB9">
        <w:rPr>
          <w:szCs w:val="22"/>
          <w:lang w:val="fr-FR"/>
        </w:rPr>
        <w:t>’</w:t>
      </w:r>
      <w:r w:rsidR="00920E09" w:rsidRPr="00202EB9">
        <w:rPr>
          <w:szCs w:val="22"/>
          <w:lang w:val="fr-FR"/>
        </w:rPr>
        <w:t xml:space="preserve">action pour le développement, </w:t>
      </w:r>
      <w:r w:rsidR="004372EF" w:rsidRPr="00202EB9">
        <w:rPr>
          <w:szCs w:val="22"/>
          <w:lang w:val="fr-FR"/>
        </w:rPr>
        <w:t>vi)</w:t>
      </w:r>
      <w:r w:rsidR="00E15713" w:rsidRPr="00202EB9">
        <w:rPr>
          <w:szCs w:val="22"/>
          <w:lang w:val="fr-FR"/>
        </w:rPr>
        <w:t> </w:t>
      </w:r>
      <w:r w:rsidR="00920E09" w:rsidRPr="00202EB9">
        <w:rPr>
          <w:szCs w:val="22"/>
          <w:lang w:val="fr-FR"/>
        </w:rPr>
        <w:t>rapports d</w:t>
      </w:r>
      <w:r w:rsidR="00C95168" w:rsidRPr="00202EB9">
        <w:rPr>
          <w:szCs w:val="22"/>
          <w:lang w:val="fr-FR"/>
        </w:rPr>
        <w:t>u</w:t>
      </w:r>
      <w:r w:rsidR="00920E09" w:rsidRPr="00202EB9">
        <w:rPr>
          <w:szCs w:val="22"/>
          <w:lang w:val="fr-FR"/>
        </w:rPr>
        <w:t xml:space="preserve"> Directeur général, </w:t>
      </w:r>
      <w:r w:rsidR="004372EF" w:rsidRPr="00202EB9">
        <w:rPr>
          <w:szCs w:val="22"/>
          <w:lang w:val="fr-FR"/>
        </w:rPr>
        <w:t>vii)</w:t>
      </w:r>
      <w:r w:rsidR="00E15713" w:rsidRPr="00202EB9">
        <w:rPr>
          <w:szCs w:val="22"/>
          <w:lang w:val="fr-FR"/>
        </w:rPr>
        <w:t> </w:t>
      </w:r>
      <w:r w:rsidR="00920E09" w:rsidRPr="00202EB9">
        <w:rPr>
          <w:szCs w:val="22"/>
          <w:lang w:val="fr-FR"/>
        </w:rPr>
        <w:t>rapports d</w:t>
      </w:r>
      <w:r w:rsidR="00426067" w:rsidRPr="00202EB9">
        <w:rPr>
          <w:szCs w:val="22"/>
          <w:lang w:val="fr-FR"/>
        </w:rPr>
        <w:t>’</w:t>
      </w:r>
      <w:r w:rsidR="00920E09" w:rsidRPr="00202EB9">
        <w:rPr>
          <w:szCs w:val="22"/>
          <w:lang w:val="fr-FR"/>
        </w:rPr>
        <w:t xml:space="preserve">évaluation des projets achevés, </w:t>
      </w:r>
      <w:r w:rsidR="004372EF" w:rsidRPr="00202EB9">
        <w:rPr>
          <w:szCs w:val="22"/>
          <w:lang w:val="fr-FR"/>
        </w:rPr>
        <w:t>viii)</w:t>
      </w:r>
      <w:r w:rsidR="001E787E" w:rsidRPr="00202EB9">
        <w:rPr>
          <w:szCs w:val="22"/>
          <w:lang w:val="fr-FR"/>
        </w:rPr>
        <w:t> </w:t>
      </w:r>
      <w:r w:rsidR="009D481E" w:rsidRPr="00202EB9">
        <w:rPr>
          <w:szCs w:val="22"/>
          <w:lang w:val="fr-FR"/>
        </w:rPr>
        <w:t>éléments de flexibilité approuvés par</w:t>
      </w:r>
      <w:r w:rsidR="00426067" w:rsidRPr="00202EB9">
        <w:rPr>
          <w:szCs w:val="22"/>
          <w:lang w:val="fr-FR"/>
        </w:rPr>
        <w:t xml:space="preserve"> le </w:t>
      </w:r>
      <w:proofErr w:type="spellStart"/>
      <w:r w:rsidR="00426067" w:rsidRPr="00202EB9">
        <w:rPr>
          <w:szCs w:val="22"/>
          <w:lang w:val="fr-FR"/>
        </w:rPr>
        <w:t>CDI</w:t>
      </w:r>
      <w:r w:rsidR="004372EF" w:rsidRPr="00202EB9">
        <w:rPr>
          <w:szCs w:val="22"/>
          <w:lang w:val="fr-FR"/>
        </w:rPr>
        <w:t>P</w:t>
      </w:r>
      <w:proofErr w:type="spellEnd"/>
      <w:r w:rsidR="009D481E" w:rsidRPr="00202EB9">
        <w:rPr>
          <w:szCs w:val="22"/>
          <w:lang w:val="fr-FR"/>
        </w:rPr>
        <w:t xml:space="preserve"> et documents élaborés</w:t>
      </w:r>
      <w:r w:rsidR="00C95168" w:rsidRPr="00202EB9">
        <w:rPr>
          <w:szCs w:val="22"/>
          <w:lang w:val="fr-FR"/>
        </w:rPr>
        <w:t xml:space="preserve"> les concernant, </w:t>
      </w:r>
      <w:r w:rsidR="004372EF" w:rsidRPr="00202EB9">
        <w:rPr>
          <w:szCs w:val="22"/>
          <w:lang w:val="fr-FR"/>
        </w:rPr>
        <w:t>ix)</w:t>
      </w:r>
      <w:r w:rsidR="00E15713" w:rsidRPr="00202EB9">
        <w:rPr>
          <w:szCs w:val="22"/>
          <w:lang w:val="fr-FR"/>
        </w:rPr>
        <w:t> </w:t>
      </w:r>
      <w:r w:rsidR="00C95168" w:rsidRPr="00202EB9">
        <w:rPr>
          <w:szCs w:val="22"/>
          <w:lang w:val="fr-FR"/>
        </w:rPr>
        <w:t xml:space="preserve">travaux relatifs aux </w:t>
      </w:r>
      <w:r w:rsidR="00E15713" w:rsidRPr="00202EB9">
        <w:rPr>
          <w:szCs w:val="22"/>
          <w:lang w:val="fr-FR"/>
        </w:rPr>
        <w:t>objectifs</w:t>
      </w:r>
      <w:r w:rsidR="00C95168" w:rsidRPr="00202EB9">
        <w:rPr>
          <w:szCs w:val="22"/>
          <w:lang w:val="fr-FR"/>
        </w:rPr>
        <w:t xml:space="preserve"> du Millénaire pour le développement (</w:t>
      </w:r>
      <w:proofErr w:type="spellStart"/>
      <w:r w:rsidR="00C95168" w:rsidRPr="00202EB9">
        <w:rPr>
          <w:szCs w:val="22"/>
          <w:lang w:val="fr-FR"/>
        </w:rPr>
        <w:t>OMD</w:t>
      </w:r>
      <w:proofErr w:type="spellEnd"/>
      <w:r w:rsidR="00C95168" w:rsidRPr="00202EB9">
        <w:rPr>
          <w:szCs w:val="22"/>
          <w:lang w:val="fr-FR"/>
        </w:rPr>
        <w:t xml:space="preserve">), </w:t>
      </w:r>
      <w:r w:rsidR="004372EF" w:rsidRPr="00202EB9">
        <w:rPr>
          <w:szCs w:val="22"/>
          <w:lang w:val="fr-FR"/>
        </w:rPr>
        <w:t>x)</w:t>
      </w:r>
      <w:r w:rsidR="00E15713" w:rsidRPr="00202EB9">
        <w:rPr>
          <w:szCs w:val="22"/>
          <w:lang w:val="fr-FR"/>
        </w:rPr>
        <w:t> </w:t>
      </w:r>
      <w:r w:rsidR="00D148A5" w:rsidRPr="00202EB9">
        <w:rPr>
          <w:szCs w:val="22"/>
          <w:lang w:val="fr-FR"/>
        </w:rPr>
        <w:t>résumés du président pour toutes les sessions</w:t>
      </w:r>
      <w:r w:rsidR="00426067" w:rsidRPr="00202EB9">
        <w:rPr>
          <w:szCs w:val="22"/>
          <w:lang w:val="fr-FR"/>
        </w:rPr>
        <w:t xml:space="preserve"> du </w:t>
      </w:r>
      <w:proofErr w:type="spellStart"/>
      <w:r w:rsidR="00426067" w:rsidRPr="00202EB9">
        <w:rPr>
          <w:szCs w:val="22"/>
          <w:lang w:val="fr-FR"/>
        </w:rPr>
        <w:t>CDI</w:t>
      </w:r>
      <w:r w:rsidR="00D148A5" w:rsidRPr="00202EB9">
        <w:rPr>
          <w:szCs w:val="22"/>
          <w:lang w:val="fr-FR"/>
        </w:rPr>
        <w:t>P</w:t>
      </w:r>
      <w:proofErr w:type="spellEnd"/>
      <w:r w:rsidR="00D148A5" w:rsidRPr="00202EB9">
        <w:rPr>
          <w:szCs w:val="22"/>
          <w:lang w:val="fr-FR"/>
        </w:rPr>
        <w:t>,</w:t>
      </w:r>
      <w:r w:rsidR="004372EF" w:rsidRPr="00202EB9">
        <w:rPr>
          <w:szCs w:val="22"/>
          <w:lang w:val="fr-FR"/>
        </w:rPr>
        <w:t xml:space="preserve"> xi)</w:t>
      </w:r>
      <w:r w:rsidR="00E15713" w:rsidRPr="00202EB9">
        <w:rPr>
          <w:szCs w:val="22"/>
          <w:lang w:val="fr-FR"/>
        </w:rPr>
        <w:t> </w:t>
      </w:r>
      <w:r w:rsidR="00D148A5" w:rsidRPr="00202EB9">
        <w:rPr>
          <w:szCs w:val="22"/>
          <w:lang w:val="fr-FR"/>
        </w:rPr>
        <w:t>rapports des réunions</w:t>
      </w:r>
      <w:r w:rsidR="00426067" w:rsidRPr="00202EB9">
        <w:rPr>
          <w:szCs w:val="22"/>
          <w:lang w:val="fr-FR"/>
        </w:rPr>
        <w:t xml:space="preserve"> du </w:t>
      </w:r>
      <w:proofErr w:type="spellStart"/>
      <w:r w:rsidR="00426067" w:rsidRPr="00202EB9">
        <w:rPr>
          <w:szCs w:val="22"/>
          <w:lang w:val="fr-FR"/>
        </w:rPr>
        <w:t>CDI</w:t>
      </w:r>
      <w:r w:rsidR="00D148A5" w:rsidRPr="00202EB9">
        <w:rPr>
          <w:szCs w:val="22"/>
          <w:lang w:val="fr-FR"/>
        </w:rPr>
        <w:t>P</w:t>
      </w:r>
      <w:proofErr w:type="spellEnd"/>
      <w:r w:rsidR="00D148A5" w:rsidRPr="00202EB9">
        <w:rPr>
          <w:szCs w:val="22"/>
          <w:lang w:val="fr-FR"/>
        </w:rPr>
        <w:t>,</w:t>
      </w:r>
      <w:r w:rsidR="004372EF" w:rsidRPr="00202EB9">
        <w:rPr>
          <w:szCs w:val="22"/>
          <w:lang w:val="fr-FR"/>
        </w:rPr>
        <w:t xml:space="preserve"> xii)</w:t>
      </w:r>
      <w:r w:rsidR="00E15713" w:rsidRPr="00202EB9">
        <w:rPr>
          <w:szCs w:val="22"/>
          <w:lang w:val="fr-FR"/>
        </w:rPr>
        <w:t> </w:t>
      </w:r>
      <w:r w:rsidR="000A1912" w:rsidRPr="00202EB9">
        <w:rPr>
          <w:szCs w:val="22"/>
          <w:lang w:val="fr-FR"/>
        </w:rPr>
        <w:t>r</w:t>
      </w:r>
      <w:r w:rsidR="00D148A5" w:rsidRPr="00202EB9">
        <w:rPr>
          <w:szCs w:val="22"/>
          <w:lang w:val="fr-FR"/>
        </w:rPr>
        <w:t>apport du Comité du développement et de la propriété intellectuelle (</w:t>
      </w:r>
      <w:proofErr w:type="spellStart"/>
      <w:r w:rsidR="00D148A5" w:rsidRPr="00202EB9">
        <w:rPr>
          <w:szCs w:val="22"/>
          <w:lang w:val="fr-FR"/>
        </w:rPr>
        <w:t>CDIP</w:t>
      </w:r>
      <w:proofErr w:type="spellEnd"/>
      <w:r w:rsidR="00D148A5" w:rsidRPr="00202EB9">
        <w:rPr>
          <w:szCs w:val="22"/>
          <w:lang w:val="fr-FR"/>
        </w:rPr>
        <w:t>) et examen de la mise en œuvre des recommandations du Plan d</w:t>
      </w:r>
      <w:r w:rsidR="00426067" w:rsidRPr="00202EB9">
        <w:rPr>
          <w:szCs w:val="22"/>
          <w:lang w:val="fr-FR"/>
        </w:rPr>
        <w:t>’</w:t>
      </w:r>
      <w:r w:rsidR="00D148A5" w:rsidRPr="00202EB9">
        <w:rPr>
          <w:szCs w:val="22"/>
          <w:lang w:val="fr-FR"/>
        </w:rPr>
        <w:t xml:space="preserve">action pour le développement, </w:t>
      </w:r>
      <w:r w:rsidR="004372EF" w:rsidRPr="00202EB9">
        <w:rPr>
          <w:szCs w:val="22"/>
          <w:lang w:val="fr-FR"/>
        </w:rPr>
        <w:t>xiii)</w:t>
      </w:r>
      <w:r w:rsidR="0074395B" w:rsidRPr="00202EB9">
        <w:rPr>
          <w:szCs w:val="22"/>
          <w:lang w:val="fr-FR"/>
        </w:rPr>
        <w:t> </w:t>
      </w:r>
      <w:r w:rsidR="000A1912" w:rsidRPr="00202EB9">
        <w:rPr>
          <w:szCs w:val="22"/>
          <w:lang w:val="fr-FR"/>
        </w:rPr>
        <w:t xml:space="preserve">documents relatifs au programme et budget, </w:t>
      </w:r>
      <w:r w:rsidR="004372EF" w:rsidRPr="00202EB9">
        <w:rPr>
          <w:szCs w:val="22"/>
          <w:lang w:val="fr-FR"/>
        </w:rPr>
        <w:t>xiv)</w:t>
      </w:r>
      <w:r w:rsidR="00E15713" w:rsidRPr="00202EB9">
        <w:rPr>
          <w:szCs w:val="22"/>
          <w:lang w:val="fr-FR"/>
        </w:rPr>
        <w:t> </w:t>
      </w:r>
      <w:r w:rsidR="000A1912" w:rsidRPr="00202EB9">
        <w:rPr>
          <w:szCs w:val="22"/>
          <w:lang w:val="fr-FR"/>
        </w:rPr>
        <w:t>rapports sur l</w:t>
      </w:r>
      <w:r w:rsidR="00426067" w:rsidRPr="00202EB9">
        <w:rPr>
          <w:szCs w:val="22"/>
          <w:lang w:val="fr-FR"/>
        </w:rPr>
        <w:t>’</w:t>
      </w:r>
      <w:r w:rsidR="000A1912" w:rsidRPr="00202EB9">
        <w:rPr>
          <w:szCs w:val="22"/>
          <w:lang w:val="fr-FR"/>
        </w:rPr>
        <w:t xml:space="preserve">exécution du programme, </w:t>
      </w:r>
      <w:r w:rsidR="004372EF" w:rsidRPr="00202EB9">
        <w:rPr>
          <w:szCs w:val="22"/>
          <w:lang w:val="fr-FR"/>
        </w:rPr>
        <w:t>xv)</w:t>
      </w:r>
      <w:r w:rsidR="0074395B" w:rsidRPr="00202EB9">
        <w:rPr>
          <w:szCs w:val="22"/>
          <w:lang w:val="fr-FR"/>
        </w:rPr>
        <w:t> </w:t>
      </w:r>
      <w:r w:rsidR="00916C27" w:rsidRPr="00202EB9">
        <w:rPr>
          <w:szCs w:val="22"/>
          <w:lang w:val="fr-FR"/>
        </w:rPr>
        <w:t>procédures budgétaires appliquées aux projets proposés par</w:t>
      </w:r>
      <w:r w:rsidR="00426067" w:rsidRPr="00202EB9">
        <w:rPr>
          <w:szCs w:val="22"/>
          <w:lang w:val="fr-FR"/>
        </w:rPr>
        <w:t xml:space="preserve"> le </w:t>
      </w:r>
      <w:proofErr w:type="spellStart"/>
      <w:r w:rsidR="00426067" w:rsidRPr="00202EB9">
        <w:rPr>
          <w:szCs w:val="22"/>
          <w:lang w:val="fr-FR"/>
        </w:rPr>
        <w:t>CDI</w:t>
      </w:r>
      <w:r w:rsidR="00916C27" w:rsidRPr="00202EB9">
        <w:rPr>
          <w:szCs w:val="22"/>
          <w:lang w:val="fr-FR"/>
        </w:rPr>
        <w:t>P</w:t>
      </w:r>
      <w:proofErr w:type="spellEnd"/>
      <w:r w:rsidR="00916C27" w:rsidRPr="00202EB9">
        <w:rPr>
          <w:szCs w:val="22"/>
          <w:lang w:val="fr-FR"/>
        </w:rPr>
        <w:t xml:space="preserve"> aux fins de la mise en œuvre des recommandations du Plan d</w:t>
      </w:r>
      <w:r w:rsidR="00426067" w:rsidRPr="00202EB9">
        <w:rPr>
          <w:szCs w:val="22"/>
          <w:lang w:val="fr-FR"/>
        </w:rPr>
        <w:t>’</w:t>
      </w:r>
      <w:r w:rsidR="00916C27" w:rsidRPr="00202EB9">
        <w:rPr>
          <w:szCs w:val="22"/>
          <w:lang w:val="fr-FR"/>
        </w:rPr>
        <w:t xml:space="preserve">action pour le développement, et </w:t>
      </w:r>
      <w:r w:rsidR="004372EF" w:rsidRPr="00202EB9">
        <w:rPr>
          <w:szCs w:val="22"/>
          <w:lang w:val="fr-FR"/>
        </w:rPr>
        <w:t>xvi)</w:t>
      </w:r>
      <w:r w:rsidR="00E15713" w:rsidRPr="00202EB9">
        <w:rPr>
          <w:szCs w:val="22"/>
          <w:lang w:val="fr-FR"/>
        </w:rPr>
        <w:t> </w:t>
      </w:r>
      <w:r w:rsidR="00916C27" w:rsidRPr="00202EB9">
        <w:rPr>
          <w:szCs w:val="22"/>
          <w:lang w:val="fr-FR"/>
        </w:rPr>
        <w:t>mécanisme de coordinati</w:t>
      </w:r>
      <w:r w:rsidR="001E787E" w:rsidRPr="00202EB9">
        <w:rPr>
          <w:szCs w:val="22"/>
          <w:lang w:val="fr-FR"/>
        </w:rPr>
        <w:t>on.  L’e</w:t>
      </w:r>
      <w:r w:rsidR="002E191D" w:rsidRPr="00202EB9">
        <w:rPr>
          <w:szCs w:val="22"/>
          <w:lang w:val="fr-FR"/>
        </w:rPr>
        <w:t>ncadré</w:t>
      </w:r>
      <w:r w:rsidR="001E787E" w:rsidRPr="00202EB9">
        <w:rPr>
          <w:szCs w:val="22"/>
          <w:lang w:val="fr-FR"/>
        </w:rPr>
        <w:t> </w:t>
      </w:r>
      <w:r w:rsidR="002E191D" w:rsidRPr="00202EB9">
        <w:rPr>
          <w:szCs w:val="22"/>
          <w:lang w:val="fr-FR"/>
        </w:rPr>
        <w:t>3 indique la nature de</w:t>
      </w:r>
      <w:r w:rsidR="002B45AA" w:rsidRPr="00202EB9">
        <w:rPr>
          <w:szCs w:val="22"/>
          <w:lang w:val="fr-FR"/>
        </w:rPr>
        <w:t xml:space="preserve"> ce</w:t>
      </w:r>
      <w:r w:rsidR="002E191D" w:rsidRPr="00202EB9">
        <w:rPr>
          <w:szCs w:val="22"/>
          <w:lang w:val="fr-FR"/>
        </w:rPr>
        <w:t xml:space="preserve">s documents, le niveau où ils ont </w:t>
      </w:r>
      <w:r w:rsidR="002B45AA" w:rsidRPr="00202EB9">
        <w:rPr>
          <w:szCs w:val="22"/>
          <w:lang w:val="fr-FR"/>
        </w:rPr>
        <w:t xml:space="preserve">été </w:t>
      </w:r>
      <w:r w:rsidR="002E191D" w:rsidRPr="00202EB9">
        <w:rPr>
          <w:szCs w:val="22"/>
          <w:lang w:val="fr-FR"/>
        </w:rPr>
        <w:t>examinés au sein de l</w:t>
      </w:r>
      <w:r w:rsidR="00426067" w:rsidRPr="00202EB9">
        <w:rPr>
          <w:szCs w:val="22"/>
          <w:lang w:val="fr-FR"/>
        </w:rPr>
        <w:t>’</w:t>
      </w:r>
      <w:r w:rsidR="002E191D" w:rsidRPr="00202EB9">
        <w:rPr>
          <w:szCs w:val="22"/>
          <w:lang w:val="fr-FR"/>
        </w:rPr>
        <w:t xml:space="preserve">Organisation, </w:t>
      </w:r>
      <w:r w:rsidR="00686C33" w:rsidRPr="00202EB9">
        <w:rPr>
          <w:szCs w:val="22"/>
          <w:lang w:val="fr-FR"/>
        </w:rPr>
        <w:t>les années ou périodes sur lesquelles porte leur examen</w:t>
      </w:r>
      <w:r w:rsidR="008724CF" w:rsidRPr="00202EB9">
        <w:rPr>
          <w:szCs w:val="22"/>
          <w:lang w:val="fr-FR"/>
        </w:rPr>
        <w:t>,</w:t>
      </w:r>
      <w:r w:rsidR="00686C33" w:rsidRPr="00202EB9">
        <w:rPr>
          <w:szCs w:val="22"/>
          <w:lang w:val="fr-FR"/>
        </w:rPr>
        <w:t xml:space="preserve"> et </w:t>
      </w:r>
      <w:r w:rsidR="008724CF" w:rsidRPr="00202EB9">
        <w:rPr>
          <w:szCs w:val="22"/>
          <w:lang w:val="fr-FR"/>
        </w:rPr>
        <w:t xml:space="preserve">enfin </w:t>
      </w:r>
      <w:r w:rsidR="00686C33" w:rsidRPr="00202EB9">
        <w:rPr>
          <w:szCs w:val="22"/>
          <w:lang w:val="fr-FR"/>
        </w:rPr>
        <w:t>leur contenu</w:t>
      </w:r>
      <w:r w:rsidR="004372EF" w:rsidRPr="00202EB9">
        <w:rPr>
          <w:szCs w:val="22"/>
          <w:lang w:val="fr-FR"/>
        </w:rPr>
        <w:t>.</w:t>
      </w:r>
    </w:p>
    <w:tbl>
      <w:tblPr>
        <w:tblStyle w:val="TableGrid"/>
        <w:tblW w:w="9477" w:type="dxa"/>
        <w:tblInd w:w="10" w:type="dxa"/>
        <w:shd w:val="clear" w:color="auto" w:fill="F2F2F2" w:themeFill="background1" w:themeFillShade="F2"/>
        <w:tblLayout w:type="fixed"/>
        <w:tblCellMar>
          <w:top w:w="28" w:type="dxa"/>
          <w:bottom w:w="28" w:type="dxa"/>
        </w:tblCellMar>
        <w:tblLook w:val="04A0" w:firstRow="1" w:lastRow="0" w:firstColumn="1" w:lastColumn="0" w:noHBand="0" w:noVBand="1"/>
      </w:tblPr>
      <w:tblGrid>
        <w:gridCol w:w="3217"/>
        <w:gridCol w:w="1276"/>
        <w:gridCol w:w="1842"/>
        <w:gridCol w:w="3142"/>
      </w:tblGrid>
      <w:tr w:rsidR="00202EB9" w:rsidRPr="00202EB9" w:rsidTr="004546DF">
        <w:trPr>
          <w:cantSplit/>
          <w:trHeight w:val="304"/>
        </w:trPr>
        <w:tc>
          <w:tcPr>
            <w:tcW w:w="9477" w:type="dxa"/>
            <w:gridSpan w:val="4"/>
            <w:shd w:val="clear" w:color="auto" w:fill="F2F2F2" w:themeFill="background1" w:themeFillShade="F2"/>
          </w:tcPr>
          <w:p w:rsidR="004372EF" w:rsidRPr="00202EB9" w:rsidRDefault="0097788F" w:rsidP="004546DF">
            <w:pPr>
              <w:keepNext/>
              <w:keepLines/>
              <w:rPr>
                <w:rFonts w:cs="Arial"/>
                <w:b/>
                <w:lang w:val="fr-FR"/>
              </w:rPr>
            </w:pPr>
            <w:r w:rsidRPr="00202EB9">
              <w:rPr>
                <w:rFonts w:cs="Arial"/>
                <w:lang w:val="fr-FR"/>
              </w:rPr>
              <w:t>Encadré</w:t>
            </w:r>
            <w:r w:rsidR="001E787E" w:rsidRPr="00202EB9">
              <w:rPr>
                <w:rFonts w:cs="Arial"/>
                <w:lang w:val="fr-FR"/>
              </w:rPr>
              <w:t> </w:t>
            </w:r>
            <w:r w:rsidR="004372EF" w:rsidRPr="00202EB9">
              <w:rPr>
                <w:rFonts w:cs="Arial"/>
                <w:lang w:val="fr-FR"/>
              </w:rPr>
              <w:t>3</w:t>
            </w:r>
            <w:r w:rsidR="00E15713" w:rsidRPr="00202EB9">
              <w:rPr>
                <w:rFonts w:cs="Arial"/>
                <w:lang w:val="fr-FR"/>
              </w:rPr>
              <w:t> </w:t>
            </w:r>
            <w:proofErr w:type="gramStart"/>
            <w:r w:rsidR="004372EF" w:rsidRPr="00202EB9">
              <w:rPr>
                <w:rFonts w:cs="Arial"/>
                <w:lang w:val="fr-FR"/>
              </w:rPr>
              <w:t>: Documents</w:t>
            </w:r>
            <w:proofErr w:type="gramEnd"/>
            <w:r w:rsidR="004372EF" w:rsidRPr="00202EB9">
              <w:rPr>
                <w:rFonts w:cs="Arial"/>
                <w:lang w:val="fr-FR"/>
              </w:rPr>
              <w:t xml:space="preserve"> </w:t>
            </w:r>
            <w:r w:rsidRPr="00202EB9">
              <w:rPr>
                <w:rFonts w:cs="Arial"/>
                <w:lang w:val="fr-FR"/>
              </w:rPr>
              <w:t>compris dans l</w:t>
            </w:r>
            <w:r w:rsidR="00426067" w:rsidRPr="00202EB9">
              <w:rPr>
                <w:rFonts w:cs="Arial"/>
                <w:lang w:val="fr-FR"/>
              </w:rPr>
              <w:t>’</w:t>
            </w:r>
            <w:r w:rsidRPr="00202EB9">
              <w:rPr>
                <w:rFonts w:cs="Arial"/>
                <w:lang w:val="fr-FR"/>
              </w:rPr>
              <w:t>étude préliminaire</w:t>
            </w:r>
          </w:p>
        </w:tc>
      </w:tr>
      <w:tr w:rsidR="00202EB9" w:rsidRPr="00202EB9" w:rsidTr="004546DF">
        <w:trPr>
          <w:cantSplit/>
          <w:trHeight w:val="674"/>
        </w:trPr>
        <w:tc>
          <w:tcPr>
            <w:tcW w:w="3217" w:type="dxa"/>
            <w:shd w:val="clear" w:color="auto" w:fill="F2F2F2" w:themeFill="background1" w:themeFillShade="F2"/>
          </w:tcPr>
          <w:p w:rsidR="004372EF" w:rsidRPr="008D1193" w:rsidRDefault="004372EF" w:rsidP="004546DF">
            <w:pPr>
              <w:keepNext/>
              <w:keepLines/>
              <w:jc w:val="center"/>
              <w:rPr>
                <w:rFonts w:cs="Arial"/>
                <w:b/>
                <w:sz w:val="20"/>
                <w:szCs w:val="20"/>
                <w:lang w:val="fr-FR"/>
              </w:rPr>
            </w:pPr>
            <w:r w:rsidRPr="008D1193">
              <w:rPr>
                <w:rFonts w:cs="Arial"/>
                <w:b/>
                <w:sz w:val="20"/>
                <w:szCs w:val="20"/>
                <w:lang w:val="fr-FR"/>
              </w:rPr>
              <w:t>Information</w:t>
            </w:r>
            <w:r w:rsidR="00C05D5B" w:rsidRPr="008D1193">
              <w:rPr>
                <w:rFonts w:cs="Arial"/>
                <w:b/>
                <w:sz w:val="20"/>
                <w:szCs w:val="20"/>
                <w:lang w:val="fr-FR"/>
              </w:rPr>
              <w:t>s par</w:t>
            </w:r>
            <w:r w:rsidRPr="008D1193">
              <w:rPr>
                <w:rFonts w:cs="Arial"/>
                <w:b/>
                <w:sz w:val="20"/>
                <w:szCs w:val="20"/>
                <w:lang w:val="fr-FR"/>
              </w:rPr>
              <w:t xml:space="preserve"> sujet</w:t>
            </w:r>
          </w:p>
        </w:tc>
        <w:tc>
          <w:tcPr>
            <w:tcW w:w="1276" w:type="dxa"/>
            <w:shd w:val="clear" w:color="auto" w:fill="F2F2F2" w:themeFill="background1" w:themeFillShade="F2"/>
          </w:tcPr>
          <w:p w:rsidR="004372EF" w:rsidRPr="008D1193" w:rsidRDefault="00C05D5B" w:rsidP="004546DF">
            <w:pPr>
              <w:keepNext/>
              <w:keepLines/>
              <w:jc w:val="center"/>
              <w:rPr>
                <w:rFonts w:cs="Arial"/>
                <w:b/>
                <w:sz w:val="20"/>
                <w:szCs w:val="20"/>
                <w:lang w:val="fr-FR"/>
              </w:rPr>
            </w:pPr>
            <w:r w:rsidRPr="008D1193">
              <w:rPr>
                <w:rFonts w:cs="Arial"/>
                <w:b/>
                <w:sz w:val="20"/>
                <w:szCs w:val="20"/>
                <w:lang w:val="fr-FR"/>
              </w:rPr>
              <w:t>Niveau</w:t>
            </w:r>
          </w:p>
        </w:tc>
        <w:tc>
          <w:tcPr>
            <w:tcW w:w="1842" w:type="dxa"/>
            <w:shd w:val="clear" w:color="auto" w:fill="F2F2F2" w:themeFill="background1" w:themeFillShade="F2"/>
          </w:tcPr>
          <w:p w:rsidR="004372EF" w:rsidRPr="008D1193" w:rsidRDefault="00C05D5B" w:rsidP="004546DF">
            <w:pPr>
              <w:keepNext/>
              <w:keepLines/>
              <w:jc w:val="center"/>
              <w:rPr>
                <w:rFonts w:cs="Arial"/>
                <w:b/>
                <w:sz w:val="20"/>
                <w:szCs w:val="20"/>
                <w:lang w:val="fr-FR"/>
              </w:rPr>
            </w:pPr>
            <w:r w:rsidRPr="008D1193">
              <w:rPr>
                <w:rFonts w:cs="Arial"/>
                <w:b/>
                <w:sz w:val="20"/>
                <w:szCs w:val="20"/>
                <w:lang w:val="fr-FR"/>
              </w:rPr>
              <w:t>No</w:t>
            </w:r>
            <w:r w:rsidR="004372EF" w:rsidRPr="008D1193">
              <w:rPr>
                <w:rFonts w:cs="Arial"/>
                <w:b/>
                <w:sz w:val="20"/>
                <w:szCs w:val="20"/>
                <w:lang w:val="fr-FR"/>
              </w:rPr>
              <w:t>mb</w:t>
            </w:r>
            <w:r w:rsidRPr="008D1193">
              <w:rPr>
                <w:rFonts w:cs="Arial"/>
                <w:b/>
                <w:sz w:val="20"/>
                <w:szCs w:val="20"/>
                <w:lang w:val="fr-FR"/>
              </w:rPr>
              <w:t>r</w:t>
            </w:r>
            <w:r w:rsidR="004372EF" w:rsidRPr="008D1193">
              <w:rPr>
                <w:rFonts w:cs="Arial"/>
                <w:b/>
                <w:sz w:val="20"/>
                <w:szCs w:val="20"/>
                <w:lang w:val="fr-FR"/>
              </w:rPr>
              <w:t xml:space="preserve">e </w:t>
            </w:r>
            <w:r w:rsidRPr="008D1193">
              <w:rPr>
                <w:rFonts w:cs="Arial"/>
                <w:b/>
                <w:sz w:val="20"/>
                <w:szCs w:val="20"/>
                <w:lang w:val="fr-FR"/>
              </w:rPr>
              <w:t>de</w:t>
            </w:r>
            <w:r w:rsidR="004372EF" w:rsidRPr="008D1193">
              <w:rPr>
                <w:rFonts w:cs="Arial"/>
                <w:b/>
                <w:sz w:val="20"/>
                <w:szCs w:val="20"/>
                <w:lang w:val="fr-FR"/>
              </w:rPr>
              <w:t xml:space="preserve"> documents</w:t>
            </w:r>
          </w:p>
          <w:p w:rsidR="004372EF" w:rsidRPr="008D1193" w:rsidRDefault="00C05D5B" w:rsidP="004546DF">
            <w:pPr>
              <w:keepNext/>
              <w:keepLines/>
              <w:jc w:val="center"/>
              <w:rPr>
                <w:rFonts w:cs="Arial"/>
                <w:b/>
                <w:sz w:val="20"/>
                <w:szCs w:val="20"/>
                <w:lang w:val="fr-FR"/>
              </w:rPr>
            </w:pPr>
            <w:r w:rsidRPr="008D1193">
              <w:rPr>
                <w:rFonts w:cs="Arial"/>
                <w:b/>
                <w:sz w:val="20"/>
                <w:szCs w:val="20"/>
                <w:lang w:val="fr-FR"/>
              </w:rPr>
              <w:t>et</w:t>
            </w:r>
          </w:p>
          <w:p w:rsidR="004372EF" w:rsidRPr="008D1193" w:rsidRDefault="004372EF" w:rsidP="004546DF">
            <w:pPr>
              <w:keepNext/>
              <w:keepLines/>
              <w:jc w:val="center"/>
              <w:rPr>
                <w:rFonts w:cs="Arial"/>
                <w:b/>
                <w:sz w:val="20"/>
                <w:szCs w:val="20"/>
                <w:lang w:val="fr-FR"/>
              </w:rPr>
            </w:pPr>
            <w:r w:rsidRPr="008D1193">
              <w:rPr>
                <w:rFonts w:cs="Arial"/>
                <w:b/>
                <w:sz w:val="20"/>
                <w:szCs w:val="20"/>
                <w:lang w:val="fr-FR"/>
              </w:rPr>
              <w:t>(</w:t>
            </w:r>
            <w:r w:rsidR="00C05D5B" w:rsidRPr="008D1193">
              <w:rPr>
                <w:rFonts w:cs="Arial"/>
                <w:b/>
                <w:sz w:val="20"/>
                <w:szCs w:val="20"/>
                <w:lang w:val="fr-FR"/>
              </w:rPr>
              <w:t>périodes</w:t>
            </w:r>
            <w:r w:rsidR="00EA309C" w:rsidRPr="008D1193">
              <w:rPr>
                <w:rFonts w:cs="Arial"/>
                <w:b/>
                <w:sz w:val="20"/>
                <w:szCs w:val="20"/>
                <w:lang w:val="fr-FR"/>
              </w:rPr>
              <w:t xml:space="preserve"> considérées</w:t>
            </w:r>
            <w:r w:rsidRPr="008D1193">
              <w:rPr>
                <w:rFonts w:cs="Arial"/>
                <w:b/>
                <w:sz w:val="20"/>
                <w:szCs w:val="20"/>
                <w:lang w:val="fr-FR"/>
              </w:rPr>
              <w:t>)</w:t>
            </w:r>
          </w:p>
        </w:tc>
        <w:tc>
          <w:tcPr>
            <w:tcW w:w="3142" w:type="dxa"/>
            <w:shd w:val="clear" w:color="auto" w:fill="F2F2F2" w:themeFill="background1" w:themeFillShade="F2"/>
          </w:tcPr>
          <w:p w:rsidR="004372EF" w:rsidRPr="008D1193" w:rsidRDefault="004372EF" w:rsidP="004546DF">
            <w:pPr>
              <w:keepNext/>
              <w:keepLines/>
              <w:ind w:right="57"/>
              <w:jc w:val="center"/>
              <w:rPr>
                <w:rFonts w:cs="Arial"/>
                <w:b/>
                <w:sz w:val="20"/>
                <w:szCs w:val="20"/>
                <w:lang w:val="fr-FR"/>
              </w:rPr>
            </w:pPr>
            <w:r w:rsidRPr="008D1193">
              <w:rPr>
                <w:rFonts w:cs="Arial"/>
                <w:b/>
                <w:sz w:val="20"/>
                <w:szCs w:val="20"/>
                <w:lang w:val="fr-FR"/>
              </w:rPr>
              <w:t>Conten</w:t>
            </w:r>
            <w:r w:rsidR="00C05D5B" w:rsidRPr="008D1193">
              <w:rPr>
                <w:rFonts w:cs="Arial"/>
                <w:b/>
                <w:sz w:val="20"/>
                <w:szCs w:val="20"/>
                <w:lang w:val="fr-FR"/>
              </w:rPr>
              <w:t>u</w:t>
            </w:r>
          </w:p>
        </w:tc>
      </w:tr>
      <w:tr w:rsidR="00202EB9" w:rsidRPr="00202EB9" w:rsidTr="004546DF">
        <w:trPr>
          <w:cantSplit/>
        </w:trPr>
        <w:tc>
          <w:tcPr>
            <w:tcW w:w="3217" w:type="dxa"/>
            <w:shd w:val="clear" w:color="auto" w:fill="F2F2F2" w:themeFill="background1" w:themeFillShade="F2"/>
          </w:tcPr>
          <w:p w:rsidR="004372EF" w:rsidRPr="008D1193" w:rsidRDefault="00513729" w:rsidP="004546DF">
            <w:pPr>
              <w:pStyle w:val="ListParagraph"/>
              <w:keepNext/>
              <w:keepLines/>
              <w:numPr>
                <w:ilvl w:val="0"/>
                <w:numId w:val="1"/>
              </w:numPr>
              <w:ind w:left="416" w:hanging="457"/>
              <w:rPr>
                <w:rFonts w:cs="Arial"/>
                <w:sz w:val="20"/>
                <w:szCs w:val="20"/>
                <w:lang w:val="fr-FR"/>
              </w:rPr>
            </w:pPr>
            <w:r w:rsidRPr="008D1193">
              <w:rPr>
                <w:rFonts w:cs="Arial"/>
                <w:sz w:val="20"/>
                <w:szCs w:val="20"/>
                <w:lang w:val="fr-FR"/>
              </w:rPr>
              <w:t>Historique du Plan d</w:t>
            </w:r>
            <w:r w:rsidR="00426067" w:rsidRPr="008D1193">
              <w:rPr>
                <w:rFonts w:cs="Arial"/>
                <w:sz w:val="20"/>
                <w:szCs w:val="20"/>
                <w:lang w:val="fr-FR"/>
              </w:rPr>
              <w:t>’</w:t>
            </w:r>
            <w:r w:rsidRPr="008D1193">
              <w:rPr>
                <w:rFonts w:cs="Arial"/>
                <w:sz w:val="20"/>
                <w:szCs w:val="20"/>
                <w:lang w:val="fr-FR"/>
              </w:rPr>
              <w:t xml:space="preserve">action pour le développement </w:t>
            </w:r>
            <w:r w:rsidR="004372EF" w:rsidRPr="008D1193">
              <w:rPr>
                <w:rFonts w:cs="Arial"/>
                <w:sz w:val="20"/>
                <w:szCs w:val="20"/>
                <w:lang w:val="fr-FR"/>
              </w:rPr>
              <w:t>(</w:t>
            </w:r>
            <w:r w:rsidRPr="008D1193">
              <w:rPr>
                <w:rFonts w:cs="Arial"/>
                <w:sz w:val="20"/>
                <w:szCs w:val="20"/>
                <w:lang w:val="fr-FR"/>
              </w:rPr>
              <w:t>é</w:t>
            </w:r>
            <w:r w:rsidR="004372EF" w:rsidRPr="008D1193">
              <w:rPr>
                <w:rFonts w:cs="Arial"/>
                <w:sz w:val="20"/>
                <w:szCs w:val="20"/>
                <w:lang w:val="fr-FR"/>
              </w:rPr>
              <w:t>tablis</w:t>
            </w:r>
            <w:r w:rsidRPr="008D1193">
              <w:rPr>
                <w:rFonts w:cs="Arial"/>
                <w:sz w:val="20"/>
                <w:szCs w:val="20"/>
                <w:lang w:val="fr-FR"/>
              </w:rPr>
              <w:t>se</w:t>
            </w:r>
            <w:r w:rsidR="004372EF" w:rsidRPr="008D1193">
              <w:rPr>
                <w:rFonts w:cs="Arial"/>
                <w:sz w:val="20"/>
                <w:szCs w:val="20"/>
                <w:lang w:val="fr-FR"/>
              </w:rPr>
              <w:t>ment)</w:t>
            </w:r>
          </w:p>
        </w:tc>
        <w:tc>
          <w:tcPr>
            <w:tcW w:w="1276" w:type="dxa"/>
            <w:shd w:val="clear" w:color="auto" w:fill="F2F2F2" w:themeFill="background1" w:themeFillShade="F2"/>
          </w:tcPr>
          <w:p w:rsidR="004372EF" w:rsidRPr="008D1193" w:rsidRDefault="004372EF" w:rsidP="004546DF">
            <w:pPr>
              <w:keepNext/>
              <w:keepLines/>
              <w:rPr>
                <w:rFonts w:cs="Arial"/>
                <w:sz w:val="20"/>
                <w:szCs w:val="20"/>
                <w:lang w:val="fr-FR"/>
              </w:rPr>
            </w:pPr>
            <w:proofErr w:type="spellStart"/>
            <w:r w:rsidRPr="008D1193">
              <w:rPr>
                <w:rFonts w:cs="Arial"/>
                <w:sz w:val="20"/>
                <w:szCs w:val="20"/>
                <w:lang w:val="fr-FR"/>
              </w:rPr>
              <w:t>IIM</w:t>
            </w:r>
            <w:proofErr w:type="spellEnd"/>
            <w:r w:rsidRPr="008D1193">
              <w:rPr>
                <w:rFonts w:cs="Arial"/>
                <w:sz w:val="20"/>
                <w:szCs w:val="20"/>
                <w:lang w:val="fr-FR"/>
              </w:rPr>
              <w:t>,</w:t>
            </w:r>
            <w:r w:rsidR="00DC647F" w:rsidRPr="008D1193">
              <w:rPr>
                <w:rFonts w:cs="Arial"/>
                <w:sz w:val="20"/>
                <w:szCs w:val="20"/>
                <w:lang w:val="fr-FR"/>
              </w:rPr>
              <w:t xml:space="preserve"> </w:t>
            </w:r>
            <w:proofErr w:type="spellStart"/>
            <w:r w:rsidRPr="008D1193">
              <w:rPr>
                <w:rFonts w:cs="Arial"/>
                <w:sz w:val="20"/>
                <w:szCs w:val="20"/>
                <w:lang w:val="fr-FR"/>
              </w:rPr>
              <w:t>PCDA</w:t>
            </w:r>
            <w:proofErr w:type="spellEnd"/>
            <w:r w:rsidRPr="008D1193">
              <w:rPr>
                <w:rFonts w:cs="Arial"/>
                <w:sz w:val="20"/>
                <w:szCs w:val="20"/>
                <w:lang w:val="fr-FR"/>
              </w:rPr>
              <w:t xml:space="preserve"> </w:t>
            </w:r>
            <w:r w:rsidR="00C05D5B" w:rsidRPr="008D1193">
              <w:rPr>
                <w:rFonts w:cs="Arial"/>
                <w:sz w:val="20"/>
                <w:szCs w:val="20"/>
                <w:lang w:val="fr-FR"/>
              </w:rPr>
              <w:t>et AG</w:t>
            </w:r>
          </w:p>
        </w:tc>
        <w:tc>
          <w:tcPr>
            <w:tcW w:w="1842" w:type="dxa"/>
            <w:shd w:val="clear" w:color="auto" w:fill="F2F2F2" w:themeFill="background1" w:themeFillShade="F2"/>
          </w:tcPr>
          <w:p w:rsidR="004372EF" w:rsidRPr="008D1193" w:rsidRDefault="004372EF" w:rsidP="004546DF">
            <w:pPr>
              <w:keepNext/>
              <w:keepLines/>
              <w:jc w:val="center"/>
              <w:rPr>
                <w:rFonts w:cs="Arial"/>
                <w:sz w:val="20"/>
                <w:szCs w:val="20"/>
                <w:lang w:val="fr-FR"/>
              </w:rPr>
            </w:pPr>
            <w:r w:rsidRPr="008D1193">
              <w:rPr>
                <w:rFonts w:cs="Arial"/>
                <w:sz w:val="20"/>
                <w:szCs w:val="20"/>
                <w:lang w:val="fr-FR"/>
              </w:rPr>
              <w:t>11</w:t>
            </w:r>
          </w:p>
          <w:p w:rsidR="004372EF" w:rsidRPr="008D1193" w:rsidRDefault="004372EF" w:rsidP="004546DF">
            <w:pPr>
              <w:keepNext/>
              <w:keepLines/>
              <w:jc w:val="center"/>
              <w:rPr>
                <w:rFonts w:cs="Arial"/>
                <w:sz w:val="20"/>
                <w:szCs w:val="20"/>
                <w:lang w:val="fr-FR"/>
              </w:rPr>
            </w:pPr>
            <w:r w:rsidRPr="008D1193">
              <w:rPr>
                <w:rFonts w:cs="Arial"/>
                <w:sz w:val="20"/>
                <w:szCs w:val="20"/>
                <w:lang w:val="fr-FR"/>
              </w:rPr>
              <w:t>(2004 – 2007)</w:t>
            </w:r>
          </w:p>
        </w:tc>
        <w:tc>
          <w:tcPr>
            <w:tcW w:w="3142" w:type="dxa"/>
            <w:shd w:val="clear" w:color="auto" w:fill="F2F2F2" w:themeFill="background1" w:themeFillShade="F2"/>
          </w:tcPr>
          <w:p w:rsidR="004372EF" w:rsidRPr="008D1193" w:rsidRDefault="004372EF" w:rsidP="004546DF">
            <w:pPr>
              <w:keepNext/>
              <w:keepLines/>
              <w:ind w:right="57"/>
              <w:rPr>
                <w:rFonts w:cs="Arial"/>
                <w:sz w:val="20"/>
                <w:szCs w:val="20"/>
                <w:lang w:val="fr-FR"/>
              </w:rPr>
            </w:pPr>
            <w:r w:rsidRPr="008D1193">
              <w:rPr>
                <w:rFonts w:cs="Arial"/>
                <w:sz w:val="20"/>
                <w:szCs w:val="20"/>
                <w:lang w:val="fr-FR"/>
              </w:rPr>
              <w:t>N</w:t>
            </w:r>
            <w:r w:rsidR="00DC647F" w:rsidRPr="008D1193">
              <w:rPr>
                <w:rFonts w:cs="Arial"/>
                <w:sz w:val="20"/>
                <w:szCs w:val="20"/>
                <w:lang w:val="fr-FR"/>
              </w:rPr>
              <w:t>égociation d</w:t>
            </w:r>
            <w:r w:rsidR="00426067" w:rsidRPr="008D1193">
              <w:rPr>
                <w:rFonts w:cs="Arial"/>
                <w:sz w:val="20"/>
                <w:szCs w:val="20"/>
                <w:lang w:val="fr-FR"/>
              </w:rPr>
              <w:t>’</w:t>
            </w:r>
            <w:r w:rsidR="00DC647F" w:rsidRPr="008D1193">
              <w:rPr>
                <w:rFonts w:cs="Arial"/>
                <w:sz w:val="20"/>
                <w:szCs w:val="20"/>
                <w:lang w:val="fr-FR"/>
              </w:rPr>
              <w:t>un plan d</w:t>
            </w:r>
            <w:r w:rsidR="00426067" w:rsidRPr="008D1193">
              <w:rPr>
                <w:rFonts w:cs="Arial"/>
                <w:sz w:val="20"/>
                <w:szCs w:val="20"/>
                <w:lang w:val="fr-FR"/>
              </w:rPr>
              <w:t>’</w:t>
            </w:r>
            <w:r w:rsidR="00DC647F" w:rsidRPr="008D1193">
              <w:rPr>
                <w:rFonts w:cs="Arial"/>
                <w:sz w:val="20"/>
                <w:szCs w:val="20"/>
                <w:lang w:val="fr-FR"/>
              </w:rPr>
              <w:t>action pour le développement pour l</w:t>
            </w:r>
            <w:r w:rsidR="00426067" w:rsidRPr="008D1193">
              <w:rPr>
                <w:rFonts w:cs="Arial"/>
                <w:sz w:val="20"/>
                <w:szCs w:val="20"/>
                <w:lang w:val="fr-FR"/>
              </w:rPr>
              <w:t>’</w:t>
            </w:r>
            <w:r w:rsidR="00DC647F" w:rsidRPr="008D1193">
              <w:rPr>
                <w:rFonts w:cs="Arial"/>
                <w:sz w:val="20"/>
                <w:szCs w:val="20"/>
                <w:lang w:val="fr-FR"/>
              </w:rPr>
              <w:t>OMPI</w:t>
            </w:r>
            <w:r w:rsidRPr="008D1193">
              <w:rPr>
                <w:rFonts w:cs="Arial"/>
                <w:sz w:val="20"/>
                <w:szCs w:val="20"/>
                <w:lang w:val="fr-FR"/>
              </w:rPr>
              <w:t>.</w:t>
            </w:r>
          </w:p>
        </w:tc>
      </w:tr>
      <w:tr w:rsidR="00202EB9" w:rsidRPr="00202EB9" w:rsidTr="004546DF">
        <w:trPr>
          <w:cantSplit/>
        </w:trPr>
        <w:tc>
          <w:tcPr>
            <w:tcW w:w="3217" w:type="dxa"/>
            <w:shd w:val="clear" w:color="auto" w:fill="F2F2F2" w:themeFill="background1" w:themeFillShade="F2"/>
          </w:tcPr>
          <w:p w:rsidR="004372EF" w:rsidRPr="008D1193" w:rsidRDefault="00513729" w:rsidP="004546DF">
            <w:pPr>
              <w:pStyle w:val="ListParagraph"/>
              <w:numPr>
                <w:ilvl w:val="0"/>
                <w:numId w:val="1"/>
              </w:numPr>
              <w:ind w:left="416" w:hanging="457"/>
              <w:rPr>
                <w:rFonts w:cs="Arial"/>
                <w:sz w:val="20"/>
                <w:szCs w:val="20"/>
                <w:lang w:val="fr-FR"/>
              </w:rPr>
            </w:pPr>
            <w:r w:rsidRPr="008D1193">
              <w:rPr>
                <w:rFonts w:cs="Arial"/>
                <w:sz w:val="20"/>
                <w:szCs w:val="20"/>
                <w:lang w:val="fr-FR"/>
              </w:rPr>
              <w:t xml:space="preserve">Le </w:t>
            </w:r>
            <w:proofErr w:type="spellStart"/>
            <w:r w:rsidR="004372EF" w:rsidRPr="008D1193">
              <w:rPr>
                <w:rFonts w:cs="Arial"/>
                <w:sz w:val="20"/>
                <w:szCs w:val="20"/>
                <w:lang w:val="fr-FR"/>
              </w:rPr>
              <w:t>CDIP</w:t>
            </w:r>
            <w:proofErr w:type="spellEnd"/>
            <w:r w:rsidR="004372EF" w:rsidRPr="008D1193">
              <w:rPr>
                <w:rFonts w:cs="Arial"/>
                <w:sz w:val="20"/>
                <w:szCs w:val="20"/>
                <w:lang w:val="fr-FR"/>
              </w:rPr>
              <w:t xml:space="preserve"> </w:t>
            </w:r>
            <w:r w:rsidRPr="008D1193">
              <w:rPr>
                <w:rFonts w:cs="Arial"/>
                <w:sz w:val="20"/>
                <w:szCs w:val="20"/>
                <w:lang w:val="fr-FR"/>
              </w:rPr>
              <w:t>et son m</w:t>
            </w:r>
            <w:r w:rsidR="004372EF" w:rsidRPr="008D1193">
              <w:rPr>
                <w:rFonts w:cs="Arial"/>
                <w:sz w:val="20"/>
                <w:szCs w:val="20"/>
                <w:lang w:val="fr-FR"/>
              </w:rPr>
              <w:t>andat</w:t>
            </w:r>
            <w:r w:rsidR="009846D0" w:rsidRPr="008D1193">
              <w:rPr>
                <w:rFonts w:cs="Arial"/>
                <w:sz w:val="20"/>
                <w:szCs w:val="20"/>
                <w:lang w:val="fr-FR"/>
              </w:rPr>
              <w:t>.</w:t>
            </w:r>
          </w:p>
        </w:tc>
        <w:tc>
          <w:tcPr>
            <w:tcW w:w="1276" w:type="dxa"/>
            <w:shd w:val="clear" w:color="auto" w:fill="F2F2F2" w:themeFill="background1" w:themeFillShade="F2"/>
          </w:tcPr>
          <w:p w:rsidR="004372EF" w:rsidRPr="008D1193" w:rsidRDefault="00C05D5B" w:rsidP="004546DF">
            <w:pPr>
              <w:rPr>
                <w:rFonts w:cs="Arial"/>
                <w:sz w:val="20"/>
                <w:szCs w:val="20"/>
                <w:lang w:val="fr-FR"/>
              </w:rPr>
            </w:pPr>
            <w:r w:rsidRPr="008D1193">
              <w:rPr>
                <w:rFonts w:cs="Arial"/>
                <w:sz w:val="20"/>
                <w:szCs w:val="20"/>
                <w:lang w:val="fr-FR"/>
              </w:rPr>
              <w:t>AG</w:t>
            </w:r>
            <w:r w:rsidR="004372EF" w:rsidRPr="008D1193">
              <w:rPr>
                <w:rFonts w:cs="Arial"/>
                <w:sz w:val="20"/>
                <w:szCs w:val="20"/>
                <w:lang w:val="fr-FR"/>
              </w:rPr>
              <w:t xml:space="preserve"> </w:t>
            </w:r>
          </w:p>
        </w:tc>
        <w:tc>
          <w:tcPr>
            <w:tcW w:w="1842" w:type="dxa"/>
            <w:shd w:val="clear" w:color="auto" w:fill="F2F2F2" w:themeFill="background1" w:themeFillShade="F2"/>
          </w:tcPr>
          <w:p w:rsidR="004372EF" w:rsidRPr="008D1193" w:rsidRDefault="004372EF" w:rsidP="004546DF">
            <w:pPr>
              <w:jc w:val="center"/>
              <w:rPr>
                <w:rFonts w:cs="Arial"/>
                <w:sz w:val="20"/>
                <w:szCs w:val="20"/>
                <w:lang w:val="fr-FR"/>
              </w:rPr>
            </w:pPr>
            <w:r w:rsidRPr="008D1193">
              <w:rPr>
                <w:rFonts w:cs="Arial"/>
                <w:sz w:val="20"/>
                <w:szCs w:val="20"/>
                <w:lang w:val="fr-FR"/>
              </w:rPr>
              <w:t>1</w:t>
            </w:r>
          </w:p>
          <w:p w:rsidR="004372EF" w:rsidRPr="008D1193" w:rsidRDefault="004372EF" w:rsidP="004546DF">
            <w:pPr>
              <w:jc w:val="center"/>
              <w:rPr>
                <w:rFonts w:cs="Arial"/>
                <w:sz w:val="20"/>
                <w:szCs w:val="20"/>
                <w:lang w:val="fr-FR"/>
              </w:rPr>
            </w:pPr>
            <w:r w:rsidRPr="008D1193">
              <w:rPr>
                <w:rFonts w:cs="Arial"/>
                <w:sz w:val="20"/>
                <w:szCs w:val="20"/>
                <w:lang w:val="fr-FR"/>
              </w:rPr>
              <w:t>(2007)</w:t>
            </w:r>
          </w:p>
        </w:tc>
        <w:tc>
          <w:tcPr>
            <w:tcW w:w="3142" w:type="dxa"/>
            <w:shd w:val="clear" w:color="auto" w:fill="F2F2F2" w:themeFill="background1" w:themeFillShade="F2"/>
          </w:tcPr>
          <w:p w:rsidR="004372EF" w:rsidRPr="008D1193" w:rsidRDefault="00513729" w:rsidP="004546DF">
            <w:pPr>
              <w:ind w:right="57"/>
              <w:rPr>
                <w:rFonts w:cs="Arial"/>
                <w:sz w:val="20"/>
                <w:szCs w:val="20"/>
                <w:lang w:val="fr-FR"/>
              </w:rPr>
            </w:pPr>
            <w:r w:rsidRPr="008D1193">
              <w:rPr>
                <w:rFonts w:cs="Arial"/>
                <w:sz w:val="20"/>
                <w:szCs w:val="20"/>
                <w:lang w:val="fr-FR"/>
              </w:rPr>
              <w:t>Décision de l</w:t>
            </w:r>
            <w:r w:rsidR="00426067" w:rsidRPr="008D1193">
              <w:rPr>
                <w:rFonts w:cs="Arial"/>
                <w:sz w:val="20"/>
                <w:szCs w:val="20"/>
                <w:lang w:val="fr-FR"/>
              </w:rPr>
              <w:t>’</w:t>
            </w:r>
            <w:r w:rsidRPr="008D1193">
              <w:rPr>
                <w:rFonts w:cs="Arial"/>
                <w:sz w:val="20"/>
                <w:szCs w:val="20"/>
                <w:lang w:val="fr-FR"/>
              </w:rPr>
              <w:t>A</w:t>
            </w:r>
            <w:r w:rsidR="00E73F60" w:rsidRPr="008D1193">
              <w:rPr>
                <w:rFonts w:cs="Arial"/>
                <w:sz w:val="20"/>
                <w:szCs w:val="20"/>
                <w:lang w:val="fr-FR"/>
              </w:rPr>
              <w:t xml:space="preserve">ssemblée générale </w:t>
            </w:r>
            <w:r w:rsidRPr="008D1193">
              <w:rPr>
                <w:rFonts w:cs="Arial"/>
                <w:sz w:val="20"/>
                <w:szCs w:val="20"/>
                <w:lang w:val="fr-FR"/>
              </w:rPr>
              <w:t>sur les</w:t>
            </w:r>
            <w:r w:rsidR="009846D0" w:rsidRPr="008D1193">
              <w:rPr>
                <w:rFonts w:cs="Arial"/>
                <w:sz w:val="20"/>
                <w:szCs w:val="20"/>
                <w:lang w:val="fr-FR"/>
              </w:rPr>
              <w:t xml:space="preserve"> </w:t>
            </w:r>
            <w:r w:rsidRPr="008D1193">
              <w:rPr>
                <w:rFonts w:cs="Arial"/>
                <w:sz w:val="20"/>
                <w:szCs w:val="20"/>
                <w:lang w:val="fr-FR"/>
              </w:rPr>
              <w:t>recommandations du Plan d</w:t>
            </w:r>
            <w:r w:rsidR="00426067" w:rsidRPr="008D1193">
              <w:rPr>
                <w:rFonts w:cs="Arial"/>
                <w:sz w:val="20"/>
                <w:szCs w:val="20"/>
                <w:lang w:val="fr-FR"/>
              </w:rPr>
              <w:t>’</w:t>
            </w:r>
            <w:r w:rsidRPr="008D1193">
              <w:rPr>
                <w:rFonts w:cs="Arial"/>
                <w:sz w:val="20"/>
                <w:szCs w:val="20"/>
                <w:lang w:val="fr-FR"/>
              </w:rPr>
              <w:t>action</w:t>
            </w:r>
            <w:r w:rsidR="004372EF" w:rsidRPr="008D1193">
              <w:rPr>
                <w:rFonts w:cs="Arial"/>
                <w:sz w:val="20"/>
                <w:szCs w:val="20"/>
                <w:lang w:val="fr-FR"/>
              </w:rPr>
              <w:t xml:space="preserve">. </w:t>
            </w:r>
            <w:r w:rsidR="00E15713" w:rsidRPr="008D1193">
              <w:rPr>
                <w:rFonts w:cs="Arial"/>
                <w:sz w:val="20"/>
                <w:szCs w:val="20"/>
                <w:lang w:val="fr-FR"/>
              </w:rPr>
              <w:t xml:space="preserve"> </w:t>
            </w:r>
          </w:p>
        </w:tc>
      </w:tr>
      <w:tr w:rsidR="00202EB9" w:rsidRPr="00202EB9" w:rsidTr="004546DF">
        <w:trPr>
          <w:cantSplit/>
        </w:trPr>
        <w:tc>
          <w:tcPr>
            <w:tcW w:w="3217" w:type="dxa"/>
            <w:shd w:val="clear" w:color="auto" w:fill="F2F2F2" w:themeFill="background1" w:themeFillShade="F2"/>
          </w:tcPr>
          <w:p w:rsidR="004372EF" w:rsidRPr="008D1193" w:rsidRDefault="004372EF" w:rsidP="00502A6F">
            <w:pPr>
              <w:pStyle w:val="ListParagraph"/>
              <w:numPr>
                <w:ilvl w:val="0"/>
                <w:numId w:val="1"/>
              </w:numPr>
              <w:ind w:left="416" w:hanging="457"/>
              <w:rPr>
                <w:rFonts w:cs="Arial"/>
                <w:sz w:val="20"/>
                <w:szCs w:val="20"/>
                <w:lang w:val="fr-FR"/>
              </w:rPr>
            </w:pPr>
            <w:r w:rsidRPr="008D1193">
              <w:rPr>
                <w:rFonts w:cs="Arial"/>
                <w:sz w:val="20"/>
                <w:szCs w:val="20"/>
                <w:lang w:val="fr-FR"/>
              </w:rPr>
              <w:t>45</w:t>
            </w:r>
            <w:r w:rsidR="00502A6F" w:rsidRPr="008D1193">
              <w:rPr>
                <w:rFonts w:cs="Arial"/>
                <w:sz w:val="20"/>
                <w:szCs w:val="20"/>
                <w:lang w:val="fr-FR"/>
              </w:rPr>
              <w:t> </w:t>
            </w:r>
            <w:r w:rsidR="00513729" w:rsidRPr="008D1193">
              <w:rPr>
                <w:rFonts w:cs="Arial"/>
                <w:sz w:val="20"/>
                <w:szCs w:val="20"/>
                <w:lang w:val="fr-FR"/>
              </w:rPr>
              <w:t>recommandations dont 19 à mettre en œuvre immédiatement</w:t>
            </w:r>
          </w:p>
        </w:tc>
        <w:tc>
          <w:tcPr>
            <w:tcW w:w="1276" w:type="dxa"/>
            <w:shd w:val="clear" w:color="auto" w:fill="F2F2F2" w:themeFill="background1" w:themeFillShade="F2"/>
          </w:tcPr>
          <w:p w:rsidR="004372EF" w:rsidRPr="008D1193" w:rsidRDefault="004372EF" w:rsidP="000F54E4">
            <w:pPr>
              <w:rPr>
                <w:rFonts w:cs="Arial"/>
                <w:sz w:val="20"/>
                <w:szCs w:val="20"/>
                <w:lang w:val="fr-FR"/>
              </w:rPr>
            </w:pPr>
            <w:proofErr w:type="spellStart"/>
            <w:r w:rsidRPr="008D1193">
              <w:rPr>
                <w:rFonts w:cs="Arial"/>
                <w:sz w:val="20"/>
                <w:szCs w:val="20"/>
                <w:lang w:val="fr-FR"/>
              </w:rPr>
              <w:t>IIM</w:t>
            </w:r>
            <w:proofErr w:type="spellEnd"/>
            <w:r w:rsidRPr="008D1193">
              <w:rPr>
                <w:rFonts w:cs="Arial"/>
                <w:sz w:val="20"/>
                <w:szCs w:val="20"/>
                <w:lang w:val="fr-FR"/>
              </w:rPr>
              <w:t xml:space="preserve">, </w:t>
            </w:r>
            <w:proofErr w:type="spellStart"/>
            <w:r w:rsidRPr="008D1193">
              <w:rPr>
                <w:rFonts w:cs="Arial"/>
                <w:sz w:val="20"/>
                <w:szCs w:val="20"/>
                <w:lang w:val="fr-FR"/>
              </w:rPr>
              <w:t>PCDA</w:t>
            </w:r>
            <w:proofErr w:type="spellEnd"/>
            <w:r w:rsidRPr="008D1193">
              <w:rPr>
                <w:rFonts w:cs="Arial"/>
                <w:sz w:val="20"/>
                <w:szCs w:val="20"/>
                <w:lang w:val="fr-FR"/>
              </w:rPr>
              <w:t xml:space="preserve"> </w:t>
            </w:r>
            <w:r w:rsidR="00C05D5B" w:rsidRPr="008D1193">
              <w:rPr>
                <w:rFonts w:cs="Arial"/>
                <w:sz w:val="20"/>
                <w:szCs w:val="20"/>
                <w:lang w:val="fr-FR"/>
              </w:rPr>
              <w:t>et AG</w:t>
            </w:r>
          </w:p>
        </w:tc>
        <w:tc>
          <w:tcPr>
            <w:tcW w:w="1842" w:type="dxa"/>
            <w:shd w:val="clear" w:color="auto" w:fill="F2F2F2" w:themeFill="background1" w:themeFillShade="F2"/>
          </w:tcPr>
          <w:p w:rsidR="004372EF" w:rsidRPr="008D1193" w:rsidRDefault="004372EF" w:rsidP="000F54E4">
            <w:pPr>
              <w:jc w:val="center"/>
              <w:rPr>
                <w:rFonts w:cs="Arial"/>
                <w:sz w:val="20"/>
                <w:szCs w:val="20"/>
                <w:lang w:val="fr-FR"/>
              </w:rPr>
            </w:pPr>
            <w:r w:rsidRPr="008D1193">
              <w:rPr>
                <w:rFonts w:cs="Arial"/>
                <w:sz w:val="20"/>
                <w:szCs w:val="20"/>
                <w:lang w:val="fr-FR"/>
              </w:rPr>
              <w:t>1</w:t>
            </w:r>
          </w:p>
          <w:p w:rsidR="004372EF" w:rsidRPr="008D1193" w:rsidRDefault="004372EF" w:rsidP="000F54E4">
            <w:pPr>
              <w:jc w:val="center"/>
              <w:rPr>
                <w:rFonts w:cs="Arial"/>
                <w:sz w:val="20"/>
                <w:szCs w:val="20"/>
                <w:lang w:val="fr-FR"/>
              </w:rPr>
            </w:pPr>
            <w:r w:rsidRPr="008D1193">
              <w:rPr>
                <w:rFonts w:cs="Arial"/>
                <w:sz w:val="20"/>
                <w:szCs w:val="20"/>
                <w:lang w:val="fr-FR"/>
              </w:rPr>
              <w:t>(2004 – 2007)</w:t>
            </w:r>
          </w:p>
        </w:tc>
        <w:tc>
          <w:tcPr>
            <w:tcW w:w="3142" w:type="dxa"/>
            <w:shd w:val="clear" w:color="auto" w:fill="F2F2F2" w:themeFill="background1" w:themeFillShade="F2"/>
          </w:tcPr>
          <w:p w:rsidR="004372EF" w:rsidRPr="008D1193" w:rsidRDefault="004372EF" w:rsidP="004546DF">
            <w:pPr>
              <w:ind w:right="57"/>
              <w:rPr>
                <w:rFonts w:cs="Arial"/>
                <w:sz w:val="20"/>
                <w:szCs w:val="20"/>
                <w:lang w:val="fr-FR"/>
              </w:rPr>
            </w:pPr>
            <w:r w:rsidRPr="008D1193">
              <w:rPr>
                <w:rFonts w:cs="Arial"/>
                <w:sz w:val="20"/>
                <w:szCs w:val="20"/>
                <w:lang w:val="fr-FR"/>
              </w:rPr>
              <w:t>45</w:t>
            </w:r>
            <w:r w:rsidR="00502A6F" w:rsidRPr="008D1193">
              <w:rPr>
                <w:rFonts w:cs="Arial"/>
                <w:sz w:val="20"/>
                <w:szCs w:val="20"/>
                <w:lang w:val="fr-FR"/>
              </w:rPr>
              <w:t> </w:t>
            </w:r>
            <w:r w:rsidR="00513729" w:rsidRPr="008D1193">
              <w:rPr>
                <w:rFonts w:cs="Arial"/>
                <w:sz w:val="20"/>
                <w:szCs w:val="20"/>
                <w:lang w:val="fr-FR"/>
              </w:rPr>
              <w:t>recommandations et 6</w:t>
            </w:r>
            <w:r w:rsidR="00502A6F" w:rsidRPr="008D1193">
              <w:rPr>
                <w:rFonts w:cs="Arial"/>
                <w:sz w:val="20"/>
                <w:szCs w:val="20"/>
                <w:lang w:val="fr-FR"/>
              </w:rPr>
              <w:t> </w:t>
            </w:r>
            <w:r w:rsidR="00513729" w:rsidRPr="008D1193">
              <w:rPr>
                <w:rFonts w:cs="Arial"/>
                <w:sz w:val="20"/>
                <w:szCs w:val="20"/>
                <w:lang w:val="fr-FR"/>
              </w:rPr>
              <w:t>groupes</w:t>
            </w:r>
            <w:r w:rsidR="009846D0" w:rsidRPr="008D1193">
              <w:rPr>
                <w:rFonts w:cs="Arial"/>
                <w:sz w:val="20"/>
                <w:szCs w:val="20"/>
                <w:lang w:val="fr-FR"/>
              </w:rPr>
              <w:t>.</w:t>
            </w:r>
          </w:p>
        </w:tc>
      </w:tr>
      <w:tr w:rsidR="00202EB9" w:rsidRPr="00202EB9" w:rsidTr="004546DF">
        <w:trPr>
          <w:cantSplit/>
        </w:trPr>
        <w:tc>
          <w:tcPr>
            <w:tcW w:w="3217" w:type="dxa"/>
            <w:shd w:val="clear" w:color="auto" w:fill="F2F2F2" w:themeFill="background1" w:themeFillShade="F2"/>
          </w:tcPr>
          <w:p w:rsidR="004372EF" w:rsidRPr="008D1193" w:rsidRDefault="004372EF" w:rsidP="00502A6F">
            <w:pPr>
              <w:pStyle w:val="ListParagraph"/>
              <w:numPr>
                <w:ilvl w:val="0"/>
                <w:numId w:val="1"/>
              </w:numPr>
              <w:ind w:left="416" w:hanging="457"/>
              <w:rPr>
                <w:rFonts w:cs="Arial"/>
                <w:sz w:val="20"/>
                <w:szCs w:val="20"/>
                <w:lang w:val="fr-FR"/>
              </w:rPr>
            </w:pPr>
            <w:r w:rsidRPr="008D1193">
              <w:rPr>
                <w:rFonts w:cs="Arial"/>
                <w:sz w:val="20"/>
                <w:szCs w:val="20"/>
                <w:lang w:val="fr-FR"/>
              </w:rPr>
              <w:t>Projets appro</w:t>
            </w:r>
            <w:r w:rsidR="009846D0" w:rsidRPr="008D1193">
              <w:rPr>
                <w:rFonts w:cs="Arial"/>
                <w:sz w:val="20"/>
                <w:szCs w:val="20"/>
                <w:lang w:val="fr-FR"/>
              </w:rPr>
              <w:t>uvés par</w:t>
            </w:r>
            <w:r w:rsidR="00426067" w:rsidRPr="008D1193">
              <w:rPr>
                <w:rFonts w:cs="Arial"/>
                <w:sz w:val="20"/>
                <w:szCs w:val="20"/>
                <w:lang w:val="fr-FR"/>
              </w:rPr>
              <w:t xml:space="preserve"> le </w:t>
            </w:r>
            <w:proofErr w:type="spellStart"/>
            <w:r w:rsidR="00426067" w:rsidRPr="008D1193">
              <w:rPr>
                <w:rFonts w:cs="Arial"/>
                <w:sz w:val="20"/>
                <w:szCs w:val="20"/>
                <w:lang w:val="fr-FR"/>
              </w:rPr>
              <w:t>CDI</w:t>
            </w:r>
            <w:r w:rsidRPr="008D1193">
              <w:rPr>
                <w:rFonts w:cs="Arial"/>
                <w:sz w:val="20"/>
                <w:szCs w:val="20"/>
                <w:lang w:val="fr-FR"/>
              </w:rPr>
              <w:t>P</w:t>
            </w:r>
            <w:proofErr w:type="spellEnd"/>
            <w:r w:rsidRPr="008D1193">
              <w:rPr>
                <w:rFonts w:cs="Arial"/>
                <w:sz w:val="20"/>
                <w:szCs w:val="20"/>
                <w:lang w:val="fr-FR"/>
              </w:rPr>
              <w:t xml:space="preserve">, </w:t>
            </w:r>
            <w:r w:rsidR="009846D0" w:rsidRPr="008D1193">
              <w:rPr>
                <w:rFonts w:cs="Arial"/>
                <w:sz w:val="20"/>
                <w:szCs w:val="20"/>
                <w:lang w:val="fr-FR"/>
              </w:rPr>
              <w:t>soumis par les États membres et par le Secrétariat</w:t>
            </w:r>
          </w:p>
        </w:tc>
        <w:tc>
          <w:tcPr>
            <w:tcW w:w="1276" w:type="dxa"/>
            <w:shd w:val="clear" w:color="auto" w:fill="F2F2F2" w:themeFill="background1" w:themeFillShade="F2"/>
          </w:tcPr>
          <w:p w:rsidR="004372EF" w:rsidRPr="008D1193" w:rsidRDefault="004372EF" w:rsidP="000F54E4">
            <w:pPr>
              <w:rPr>
                <w:rFonts w:cs="Arial"/>
                <w:sz w:val="20"/>
                <w:szCs w:val="20"/>
                <w:lang w:val="fr-FR"/>
              </w:rPr>
            </w:pPr>
            <w:proofErr w:type="spellStart"/>
            <w:r w:rsidRPr="008D1193">
              <w:rPr>
                <w:rFonts w:cs="Arial"/>
                <w:sz w:val="20"/>
                <w:szCs w:val="20"/>
                <w:lang w:val="fr-FR"/>
              </w:rPr>
              <w:t>CDIP</w:t>
            </w:r>
            <w:proofErr w:type="spellEnd"/>
          </w:p>
        </w:tc>
        <w:tc>
          <w:tcPr>
            <w:tcW w:w="1842" w:type="dxa"/>
            <w:shd w:val="clear" w:color="auto" w:fill="F2F2F2" w:themeFill="background1" w:themeFillShade="F2"/>
          </w:tcPr>
          <w:p w:rsidR="004372EF" w:rsidRPr="008D1193" w:rsidRDefault="004372EF" w:rsidP="000F54E4">
            <w:pPr>
              <w:jc w:val="center"/>
              <w:rPr>
                <w:rFonts w:cs="Arial"/>
                <w:sz w:val="20"/>
                <w:szCs w:val="20"/>
                <w:lang w:val="fr-FR"/>
              </w:rPr>
            </w:pPr>
            <w:r w:rsidRPr="008D1193">
              <w:rPr>
                <w:rFonts w:cs="Arial"/>
                <w:sz w:val="20"/>
                <w:szCs w:val="20"/>
                <w:lang w:val="fr-FR"/>
              </w:rPr>
              <w:t>32</w:t>
            </w:r>
          </w:p>
          <w:p w:rsidR="004372EF" w:rsidRPr="008D1193" w:rsidRDefault="004372EF" w:rsidP="000F54E4">
            <w:pPr>
              <w:jc w:val="center"/>
              <w:rPr>
                <w:rFonts w:cs="Arial"/>
                <w:sz w:val="20"/>
                <w:szCs w:val="20"/>
                <w:lang w:val="fr-FR"/>
              </w:rPr>
            </w:pPr>
            <w:r w:rsidRPr="008D1193">
              <w:rPr>
                <w:rFonts w:cs="Arial"/>
                <w:sz w:val="20"/>
                <w:szCs w:val="20"/>
                <w:lang w:val="fr-FR"/>
              </w:rPr>
              <w:t>(2008 – 2015)</w:t>
            </w:r>
          </w:p>
        </w:tc>
        <w:tc>
          <w:tcPr>
            <w:tcW w:w="3142" w:type="dxa"/>
            <w:shd w:val="clear" w:color="auto" w:fill="F2F2F2" w:themeFill="background1" w:themeFillShade="F2"/>
          </w:tcPr>
          <w:p w:rsidR="004372EF" w:rsidRPr="008D1193" w:rsidRDefault="00EB3DE5" w:rsidP="004546DF">
            <w:pPr>
              <w:ind w:right="57"/>
              <w:rPr>
                <w:rFonts w:cs="Arial"/>
                <w:sz w:val="20"/>
                <w:szCs w:val="20"/>
                <w:lang w:val="fr-FR"/>
              </w:rPr>
            </w:pPr>
            <w:r w:rsidRPr="008D1193">
              <w:rPr>
                <w:rFonts w:cs="Arial"/>
                <w:sz w:val="20"/>
                <w:szCs w:val="20"/>
                <w:lang w:val="fr-FR"/>
              </w:rPr>
              <w:t>Rapports relatifs aux recommandations du Plan d</w:t>
            </w:r>
            <w:r w:rsidR="00426067" w:rsidRPr="008D1193">
              <w:rPr>
                <w:rFonts w:cs="Arial"/>
                <w:sz w:val="20"/>
                <w:szCs w:val="20"/>
                <w:lang w:val="fr-FR"/>
              </w:rPr>
              <w:t>’</w:t>
            </w:r>
            <w:r w:rsidRPr="008D1193">
              <w:rPr>
                <w:rFonts w:cs="Arial"/>
                <w:sz w:val="20"/>
                <w:szCs w:val="20"/>
                <w:lang w:val="fr-FR"/>
              </w:rPr>
              <w:t xml:space="preserve">action </w:t>
            </w:r>
            <w:r w:rsidR="007B0400" w:rsidRPr="008D1193">
              <w:rPr>
                <w:rFonts w:cs="Arial"/>
                <w:sz w:val="20"/>
                <w:szCs w:val="20"/>
                <w:lang w:val="fr-FR"/>
              </w:rPr>
              <w:t>pour le développement</w:t>
            </w:r>
            <w:r w:rsidR="009846D0" w:rsidRPr="008D1193">
              <w:rPr>
                <w:rFonts w:cs="Arial"/>
                <w:sz w:val="20"/>
                <w:szCs w:val="20"/>
                <w:lang w:val="fr-FR"/>
              </w:rPr>
              <w:t>.</w:t>
            </w:r>
          </w:p>
        </w:tc>
      </w:tr>
      <w:tr w:rsidR="00202EB9" w:rsidRPr="00202EB9" w:rsidTr="004546DF">
        <w:trPr>
          <w:cantSplit/>
        </w:trPr>
        <w:tc>
          <w:tcPr>
            <w:tcW w:w="3217" w:type="dxa"/>
            <w:shd w:val="clear" w:color="auto" w:fill="F2F2F2" w:themeFill="background1" w:themeFillShade="F2"/>
          </w:tcPr>
          <w:p w:rsidR="004372EF" w:rsidRPr="008D1193" w:rsidRDefault="009846D0" w:rsidP="00502A6F">
            <w:pPr>
              <w:pStyle w:val="ListParagraph"/>
              <w:numPr>
                <w:ilvl w:val="0"/>
                <w:numId w:val="1"/>
              </w:numPr>
              <w:ind w:left="416" w:hanging="457"/>
              <w:rPr>
                <w:rFonts w:cs="Arial"/>
                <w:sz w:val="20"/>
                <w:szCs w:val="20"/>
                <w:lang w:val="fr-FR"/>
              </w:rPr>
            </w:pPr>
            <w:r w:rsidRPr="008D1193">
              <w:rPr>
                <w:rFonts w:cs="Arial"/>
                <w:sz w:val="20"/>
                <w:szCs w:val="20"/>
                <w:lang w:val="fr-FR"/>
              </w:rPr>
              <w:t>Rapports d</w:t>
            </w:r>
            <w:r w:rsidR="00426067" w:rsidRPr="008D1193">
              <w:rPr>
                <w:rFonts w:cs="Arial"/>
                <w:sz w:val="20"/>
                <w:szCs w:val="20"/>
                <w:lang w:val="fr-FR"/>
              </w:rPr>
              <w:t>’</w:t>
            </w:r>
            <w:r w:rsidRPr="008D1193">
              <w:rPr>
                <w:rFonts w:cs="Arial"/>
                <w:sz w:val="20"/>
                <w:szCs w:val="20"/>
                <w:lang w:val="fr-FR"/>
              </w:rPr>
              <w:t>état d</w:t>
            </w:r>
            <w:r w:rsidR="00426067" w:rsidRPr="008D1193">
              <w:rPr>
                <w:rFonts w:cs="Arial"/>
                <w:sz w:val="20"/>
                <w:szCs w:val="20"/>
                <w:lang w:val="fr-FR"/>
              </w:rPr>
              <w:t>’</w:t>
            </w:r>
            <w:r w:rsidRPr="008D1193">
              <w:rPr>
                <w:rFonts w:cs="Arial"/>
                <w:sz w:val="20"/>
                <w:szCs w:val="20"/>
                <w:lang w:val="fr-FR"/>
              </w:rPr>
              <w:t>avancement des projets</w:t>
            </w:r>
          </w:p>
        </w:tc>
        <w:tc>
          <w:tcPr>
            <w:tcW w:w="1276" w:type="dxa"/>
            <w:shd w:val="clear" w:color="auto" w:fill="F2F2F2" w:themeFill="background1" w:themeFillShade="F2"/>
          </w:tcPr>
          <w:p w:rsidR="004372EF" w:rsidRPr="008D1193" w:rsidRDefault="004372EF" w:rsidP="000F54E4">
            <w:pPr>
              <w:rPr>
                <w:rFonts w:cs="Arial"/>
                <w:sz w:val="20"/>
                <w:szCs w:val="20"/>
                <w:lang w:val="fr-FR"/>
              </w:rPr>
            </w:pPr>
            <w:proofErr w:type="spellStart"/>
            <w:r w:rsidRPr="008D1193">
              <w:rPr>
                <w:rFonts w:cs="Arial"/>
                <w:sz w:val="20"/>
                <w:szCs w:val="20"/>
                <w:lang w:val="fr-FR"/>
              </w:rPr>
              <w:t>CDIP</w:t>
            </w:r>
            <w:proofErr w:type="spellEnd"/>
            <w:r w:rsidRPr="008D1193">
              <w:rPr>
                <w:rFonts w:cs="Arial"/>
                <w:sz w:val="20"/>
                <w:szCs w:val="20"/>
                <w:lang w:val="fr-FR"/>
              </w:rPr>
              <w:t xml:space="preserve"> </w:t>
            </w:r>
            <w:r w:rsidR="00C05D5B" w:rsidRPr="008D1193">
              <w:rPr>
                <w:rFonts w:cs="Arial"/>
                <w:sz w:val="20"/>
                <w:szCs w:val="20"/>
                <w:lang w:val="fr-FR"/>
              </w:rPr>
              <w:t>et AG</w:t>
            </w:r>
          </w:p>
        </w:tc>
        <w:tc>
          <w:tcPr>
            <w:tcW w:w="1842" w:type="dxa"/>
            <w:shd w:val="clear" w:color="auto" w:fill="F2F2F2" w:themeFill="background1" w:themeFillShade="F2"/>
          </w:tcPr>
          <w:p w:rsidR="004372EF" w:rsidRPr="008D1193" w:rsidRDefault="004372EF" w:rsidP="000F54E4">
            <w:pPr>
              <w:jc w:val="center"/>
              <w:rPr>
                <w:rFonts w:cs="Arial"/>
                <w:sz w:val="20"/>
                <w:szCs w:val="20"/>
                <w:lang w:val="fr-FR"/>
              </w:rPr>
            </w:pPr>
            <w:r w:rsidRPr="008D1193">
              <w:rPr>
                <w:rFonts w:cs="Arial"/>
                <w:sz w:val="20"/>
                <w:szCs w:val="20"/>
                <w:lang w:val="fr-FR"/>
              </w:rPr>
              <w:t>72</w:t>
            </w:r>
          </w:p>
          <w:p w:rsidR="004372EF" w:rsidRPr="008D1193" w:rsidRDefault="004372EF" w:rsidP="000F54E4">
            <w:pPr>
              <w:jc w:val="center"/>
              <w:rPr>
                <w:rFonts w:cs="Arial"/>
                <w:sz w:val="20"/>
                <w:szCs w:val="20"/>
                <w:lang w:val="fr-FR"/>
              </w:rPr>
            </w:pPr>
            <w:r w:rsidRPr="008D1193">
              <w:rPr>
                <w:rFonts w:cs="Arial"/>
                <w:sz w:val="20"/>
                <w:szCs w:val="20"/>
                <w:lang w:val="fr-FR"/>
              </w:rPr>
              <w:t>(2010 – 2015)</w:t>
            </w:r>
          </w:p>
        </w:tc>
        <w:tc>
          <w:tcPr>
            <w:tcW w:w="3142" w:type="dxa"/>
            <w:shd w:val="clear" w:color="auto" w:fill="F2F2F2" w:themeFill="background1" w:themeFillShade="F2"/>
          </w:tcPr>
          <w:p w:rsidR="004372EF" w:rsidRPr="008D1193" w:rsidRDefault="009846D0" w:rsidP="004546DF">
            <w:pPr>
              <w:ind w:right="57"/>
              <w:rPr>
                <w:rFonts w:cs="Arial"/>
                <w:sz w:val="20"/>
                <w:szCs w:val="20"/>
                <w:lang w:val="fr-FR"/>
              </w:rPr>
            </w:pPr>
            <w:r w:rsidRPr="008D1193">
              <w:rPr>
                <w:rFonts w:cs="Arial"/>
                <w:sz w:val="20"/>
                <w:szCs w:val="20"/>
                <w:lang w:val="fr-FR"/>
              </w:rPr>
              <w:t>Rapport sur l</w:t>
            </w:r>
            <w:r w:rsidR="00426067" w:rsidRPr="008D1193">
              <w:rPr>
                <w:rFonts w:cs="Arial"/>
                <w:sz w:val="20"/>
                <w:szCs w:val="20"/>
                <w:lang w:val="fr-FR"/>
              </w:rPr>
              <w:t>’</w:t>
            </w:r>
            <w:r w:rsidRPr="008D1193">
              <w:rPr>
                <w:rFonts w:cs="Arial"/>
                <w:sz w:val="20"/>
                <w:szCs w:val="20"/>
                <w:lang w:val="fr-FR"/>
              </w:rPr>
              <w:t>état d</w:t>
            </w:r>
            <w:r w:rsidR="00426067" w:rsidRPr="008D1193">
              <w:rPr>
                <w:rFonts w:cs="Arial"/>
                <w:sz w:val="20"/>
                <w:szCs w:val="20"/>
                <w:lang w:val="fr-FR"/>
              </w:rPr>
              <w:t>’</w:t>
            </w:r>
            <w:r w:rsidRPr="008D1193">
              <w:rPr>
                <w:rFonts w:cs="Arial"/>
                <w:sz w:val="20"/>
                <w:szCs w:val="20"/>
                <w:lang w:val="fr-FR"/>
              </w:rPr>
              <w:t>avancement de chaque projet</w:t>
            </w:r>
            <w:r w:rsidR="004372EF" w:rsidRPr="008D1193">
              <w:rPr>
                <w:rFonts w:cs="Arial"/>
                <w:sz w:val="20"/>
                <w:szCs w:val="20"/>
                <w:lang w:val="fr-FR"/>
              </w:rPr>
              <w:t>.</w:t>
            </w:r>
          </w:p>
        </w:tc>
      </w:tr>
      <w:tr w:rsidR="00202EB9" w:rsidRPr="00202EB9" w:rsidTr="004546DF">
        <w:trPr>
          <w:cantSplit/>
        </w:trPr>
        <w:tc>
          <w:tcPr>
            <w:tcW w:w="3217" w:type="dxa"/>
            <w:shd w:val="clear" w:color="auto" w:fill="F2F2F2" w:themeFill="background1" w:themeFillShade="F2"/>
          </w:tcPr>
          <w:p w:rsidR="004372EF" w:rsidRPr="008D1193" w:rsidRDefault="00F1718D" w:rsidP="00502A6F">
            <w:pPr>
              <w:pStyle w:val="ListParagraph"/>
              <w:numPr>
                <w:ilvl w:val="0"/>
                <w:numId w:val="1"/>
              </w:numPr>
              <w:ind w:left="416" w:hanging="457"/>
              <w:rPr>
                <w:rFonts w:cs="Arial"/>
                <w:sz w:val="20"/>
                <w:szCs w:val="20"/>
                <w:lang w:val="fr-FR"/>
              </w:rPr>
            </w:pPr>
            <w:r w:rsidRPr="008D1193">
              <w:rPr>
                <w:rFonts w:cs="Arial"/>
                <w:sz w:val="20"/>
                <w:szCs w:val="20"/>
                <w:lang w:val="fr-FR"/>
              </w:rPr>
              <w:t>Rapports du Directeur général sur les recommandations du Plan d</w:t>
            </w:r>
            <w:r w:rsidR="00426067" w:rsidRPr="008D1193">
              <w:rPr>
                <w:rFonts w:cs="Arial"/>
                <w:sz w:val="20"/>
                <w:szCs w:val="20"/>
                <w:lang w:val="fr-FR"/>
              </w:rPr>
              <w:t>’</w:t>
            </w:r>
            <w:r w:rsidRPr="008D1193">
              <w:rPr>
                <w:rFonts w:cs="Arial"/>
                <w:sz w:val="20"/>
                <w:szCs w:val="20"/>
                <w:lang w:val="fr-FR"/>
              </w:rPr>
              <w:t xml:space="preserve">action </w:t>
            </w:r>
          </w:p>
        </w:tc>
        <w:tc>
          <w:tcPr>
            <w:tcW w:w="1276" w:type="dxa"/>
            <w:shd w:val="clear" w:color="auto" w:fill="F2F2F2" w:themeFill="background1" w:themeFillShade="F2"/>
          </w:tcPr>
          <w:p w:rsidR="004372EF" w:rsidRPr="008D1193" w:rsidRDefault="004372EF" w:rsidP="000F54E4">
            <w:pPr>
              <w:rPr>
                <w:rFonts w:cs="Arial"/>
                <w:sz w:val="20"/>
                <w:szCs w:val="20"/>
                <w:lang w:val="fr-FR"/>
              </w:rPr>
            </w:pPr>
            <w:proofErr w:type="spellStart"/>
            <w:r w:rsidRPr="008D1193">
              <w:rPr>
                <w:rFonts w:cs="Arial"/>
                <w:sz w:val="20"/>
                <w:szCs w:val="20"/>
                <w:lang w:val="fr-FR"/>
              </w:rPr>
              <w:t>CDIP</w:t>
            </w:r>
            <w:proofErr w:type="spellEnd"/>
            <w:r w:rsidRPr="008D1193">
              <w:rPr>
                <w:rFonts w:cs="Arial"/>
                <w:sz w:val="20"/>
                <w:szCs w:val="20"/>
                <w:lang w:val="fr-FR"/>
              </w:rPr>
              <w:t xml:space="preserve"> </w:t>
            </w:r>
            <w:r w:rsidR="00C05D5B" w:rsidRPr="008D1193">
              <w:rPr>
                <w:rFonts w:cs="Arial"/>
                <w:sz w:val="20"/>
                <w:szCs w:val="20"/>
                <w:lang w:val="fr-FR"/>
              </w:rPr>
              <w:t>et AG</w:t>
            </w:r>
          </w:p>
        </w:tc>
        <w:tc>
          <w:tcPr>
            <w:tcW w:w="1842" w:type="dxa"/>
            <w:shd w:val="clear" w:color="auto" w:fill="F2F2F2" w:themeFill="background1" w:themeFillShade="F2"/>
          </w:tcPr>
          <w:p w:rsidR="004372EF" w:rsidRPr="008D1193" w:rsidRDefault="004372EF" w:rsidP="000F54E4">
            <w:pPr>
              <w:jc w:val="center"/>
              <w:rPr>
                <w:rFonts w:cs="Arial"/>
                <w:sz w:val="20"/>
                <w:szCs w:val="20"/>
                <w:lang w:val="fr-FR"/>
              </w:rPr>
            </w:pPr>
            <w:r w:rsidRPr="008D1193">
              <w:rPr>
                <w:rFonts w:cs="Arial"/>
                <w:sz w:val="20"/>
                <w:szCs w:val="20"/>
                <w:lang w:val="fr-FR"/>
              </w:rPr>
              <w:t>6</w:t>
            </w:r>
          </w:p>
          <w:p w:rsidR="004372EF" w:rsidRPr="008D1193" w:rsidRDefault="004372EF" w:rsidP="000F54E4">
            <w:pPr>
              <w:jc w:val="center"/>
              <w:rPr>
                <w:rFonts w:cs="Arial"/>
                <w:sz w:val="20"/>
                <w:szCs w:val="20"/>
                <w:lang w:val="fr-FR"/>
              </w:rPr>
            </w:pPr>
            <w:r w:rsidRPr="008D1193">
              <w:rPr>
                <w:rFonts w:cs="Arial"/>
                <w:sz w:val="20"/>
                <w:szCs w:val="20"/>
                <w:lang w:val="fr-FR"/>
              </w:rPr>
              <w:t>(2010, 2011, 2012, 2013, 2014, 2015)</w:t>
            </w:r>
          </w:p>
        </w:tc>
        <w:tc>
          <w:tcPr>
            <w:tcW w:w="3142" w:type="dxa"/>
            <w:shd w:val="clear" w:color="auto" w:fill="F2F2F2" w:themeFill="background1" w:themeFillShade="F2"/>
          </w:tcPr>
          <w:p w:rsidR="004372EF" w:rsidRPr="008D1193" w:rsidRDefault="00F1718D" w:rsidP="00E73F60">
            <w:pPr>
              <w:ind w:right="-108"/>
              <w:rPr>
                <w:rFonts w:cs="Arial"/>
                <w:sz w:val="20"/>
                <w:szCs w:val="20"/>
                <w:lang w:val="fr-FR"/>
              </w:rPr>
            </w:pPr>
            <w:r w:rsidRPr="008D1193">
              <w:rPr>
                <w:rFonts w:cs="Arial"/>
                <w:sz w:val="20"/>
                <w:szCs w:val="20"/>
                <w:lang w:val="fr-FR"/>
              </w:rPr>
              <w:t>Rapport du D</w:t>
            </w:r>
            <w:r w:rsidR="00E73F60" w:rsidRPr="008D1193">
              <w:rPr>
                <w:rFonts w:cs="Arial"/>
                <w:sz w:val="20"/>
                <w:szCs w:val="20"/>
                <w:lang w:val="fr-FR"/>
              </w:rPr>
              <w:t>irecteur général</w:t>
            </w:r>
            <w:r w:rsidRPr="008D1193">
              <w:rPr>
                <w:rFonts w:cs="Arial"/>
                <w:sz w:val="20"/>
                <w:szCs w:val="20"/>
                <w:lang w:val="fr-FR"/>
              </w:rPr>
              <w:t xml:space="preserve"> sur la mise en œuvre des recommandations du </w:t>
            </w:r>
            <w:r w:rsidR="007B0400" w:rsidRPr="008D1193">
              <w:rPr>
                <w:rFonts w:cs="Arial"/>
                <w:sz w:val="20"/>
                <w:szCs w:val="20"/>
                <w:lang w:val="fr-FR"/>
              </w:rPr>
              <w:t>Plan d</w:t>
            </w:r>
            <w:r w:rsidR="00426067" w:rsidRPr="008D1193">
              <w:rPr>
                <w:rFonts w:cs="Arial"/>
                <w:sz w:val="20"/>
                <w:szCs w:val="20"/>
                <w:lang w:val="fr-FR"/>
              </w:rPr>
              <w:t>’</w:t>
            </w:r>
            <w:r w:rsidR="007B0400" w:rsidRPr="008D1193">
              <w:rPr>
                <w:rFonts w:cs="Arial"/>
                <w:sz w:val="20"/>
                <w:szCs w:val="20"/>
                <w:lang w:val="fr-FR"/>
              </w:rPr>
              <w:t>action pour le développement</w:t>
            </w:r>
            <w:r w:rsidR="009846D0" w:rsidRPr="008D1193">
              <w:rPr>
                <w:rFonts w:cs="Arial"/>
                <w:sz w:val="20"/>
                <w:szCs w:val="20"/>
                <w:lang w:val="fr-FR"/>
              </w:rPr>
              <w:t>.</w:t>
            </w:r>
          </w:p>
        </w:tc>
      </w:tr>
      <w:tr w:rsidR="00202EB9" w:rsidRPr="00202EB9" w:rsidTr="004546DF">
        <w:trPr>
          <w:cantSplit/>
        </w:trPr>
        <w:tc>
          <w:tcPr>
            <w:tcW w:w="3217" w:type="dxa"/>
            <w:shd w:val="clear" w:color="auto" w:fill="F2F2F2" w:themeFill="background1" w:themeFillShade="F2"/>
          </w:tcPr>
          <w:p w:rsidR="004372EF" w:rsidRPr="008D1193" w:rsidRDefault="007B0400" w:rsidP="00502A6F">
            <w:pPr>
              <w:pStyle w:val="ListParagraph"/>
              <w:numPr>
                <w:ilvl w:val="0"/>
                <w:numId w:val="1"/>
              </w:numPr>
              <w:ind w:left="416" w:hanging="457"/>
              <w:rPr>
                <w:rFonts w:cs="Arial"/>
                <w:sz w:val="20"/>
                <w:szCs w:val="20"/>
                <w:lang w:val="fr-FR"/>
              </w:rPr>
            </w:pPr>
            <w:r w:rsidRPr="008D1193">
              <w:rPr>
                <w:rFonts w:cs="Arial"/>
                <w:sz w:val="20"/>
                <w:szCs w:val="20"/>
                <w:lang w:val="fr-FR"/>
              </w:rPr>
              <w:t>Auto</w:t>
            </w:r>
            <w:r w:rsidR="001E787E" w:rsidRPr="008D1193">
              <w:rPr>
                <w:rFonts w:cs="Arial"/>
                <w:sz w:val="20"/>
                <w:szCs w:val="20"/>
                <w:lang w:val="fr-FR"/>
              </w:rPr>
              <w:noBreakHyphen/>
            </w:r>
            <w:r w:rsidRPr="008D1193">
              <w:rPr>
                <w:rFonts w:cs="Arial"/>
                <w:sz w:val="20"/>
                <w:szCs w:val="20"/>
                <w:lang w:val="fr-FR"/>
              </w:rPr>
              <w:t>évaluations et évaluations par projet</w:t>
            </w:r>
          </w:p>
        </w:tc>
        <w:tc>
          <w:tcPr>
            <w:tcW w:w="1276" w:type="dxa"/>
            <w:shd w:val="clear" w:color="auto" w:fill="F2F2F2" w:themeFill="background1" w:themeFillShade="F2"/>
          </w:tcPr>
          <w:p w:rsidR="004372EF" w:rsidRPr="008D1193" w:rsidRDefault="004372EF" w:rsidP="000F54E4">
            <w:pPr>
              <w:rPr>
                <w:rFonts w:cs="Arial"/>
                <w:sz w:val="20"/>
                <w:szCs w:val="20"/>
                <w:lang w:val="fr-FR"/>
              </w:rPr>
            </w:pPr>
            <w:proofErr w:type="spellStart"/>
            <w:r w:rsidRPr="008D1193">
              <w:rPr>
                <w:rFonts w:cs="Arial"/>
                <w:sz w:val="20"/>
                <w:szCs w:val="20"/>
                <w:lang w:val="fr-FR"/>
              </w:rPr>
              <w:t>CDIP</w:t>
            </w:r>
            <w:proofErr w:type="spellEnd"/>
            <w:r w:rsidRPr="008D1193">
              <w:rPr>
                <w:rFonts w:cs="Arial"/>
                <w:sz w:val="20"/>
                <w:szCs w:val="20"/>
                <w:lang w:val="fr-FR"/>
              </w:rPr>
              <w:t xml:space="preserve"> </w:t>
            </w:r>
            <w:r w:rsidR="00C05D5B" w:rsidRPr="008D1193">
              <w:rPr>
                <w:rFonts w:cs="Arial"/>
                <w:sz w:val="20"/>
                <w:szCs w:val="20"/>
                <w:lang w:val="fr-FR"/>
              </w:rPr>
              <w:t>et AG</w:t>
            </w:r>
          </w:p>
        </w:tc>
        <w:tc>
          <w:tcPr>
            <w:tcW w:w="1842" w:type="dxa"/>
            <w:shd w:val="clear" w:color="auto" w:fill="F2F2F2" w:themeFill="background1" w:themeFillShade="F2"/>
          </w:tcPr>
          <w:p w:rsidR="004372EF" w:rsidRPr="008D1193" w:rsidRDefault="004372EF" w:rsidP="000F54E4">
            <w:pPr>
              <w:jc w:val="center"/>
              <w:rPr>
                <w:rFonts w:cs="Arial"/>
                <w:sz w:val="20"/>
                <w:szCs w:val="20"/>
                <w:lang w:val="fr-FR"/>
              </w:rPr>
            </w:pPr>
            <w:r w:rsidRPr="008D1193">
              <w:rPr>
                <w:rFonts w:cs="Arial"/>
                <w:sz w:val="20"/>
                <w:szCs w:val="20"/>
                <w:lang w:val="fr-FR"/>
              </w:rPr>
              <w:t>26</w:t>
            </w:r>
          </w:p>
          <w:p w:rsidR="004372EF" w:rsidRPr="008D1193" w:rsidRDefault="004372EF" w:rsidP="000F54E4">
            <w:pPr>
              <w:jc w:val="center"/>
              <w:rPr>
                <w:rFonts w:cs="Arial"/>
                <w:sz w:val="20"/>
                <w:szCs w:val="20"/>
                <w:lang w:val="fr-FR"/>
              </w:rPr>
            </w:pPr>
            <w:r w:rsidRPr="008D1193">
              <w:rPr>
                <w:rFonts w:cs="Arial"/>
                <w:sz w:val="20"/>
                <w:szCs w:val="20"/>
                <w:lang w:val="fr-FR"/>
              </w:rPr>
              <w:t>(2010 – 2015)</w:t>
            </w:r>
          </w:p>
        </w:tc>
        <w:tc>
          <w:tcPr>
            <w:tcW w:w="3142" w:type="dxa"/>
            <w:shd w:val="clear" w:color="auto" w:fill="F2F2F2" w:themeFill="background1" w:themeFillShade="F2"/>
          </w:tcPr>
          <w:p w:rsidR="004372EF" w:rsidRPr="008D1193" w:rsidRDefault="007B0400" w:rsidP="007B0400">
            <w:pPr>
              <w:ind w:right="-108"/>
              <w:rPr>
                <w:rFonts w:cs="Arial"/>
                <w:sz w:val="20"/>
                <w:szCs w:val="20"/>
                <w:lang w:val="fr-FR"/>
              </w:rPr>
            </w:pPr>
            <w:r w:rsidRPr="008D1193">
              <w:rPr>
                <w:rFonts w:cs="Arial"/>
                <w:sz w:val="20"/>
                <w:szCs w:val="20"/>
                <w:lang w:val="fr-FR"/>
              </w:rPr>
              <w:t>Rapports d</w:t>
            </w:r>
            <w:r w:rsidR="00426067" w:rsidRPr="008D1193">
              <w:rPr>
                <w:rFonts w:cs="Arial"/>
                <w:sz w:val="20"/>
                <w:szCs w:val="20"/>
                <w:lang w:val="fr-FR"/>
              </w:rPr>
              <w:t>’</w:t>
            </w:r>
            <w:r w:rsidRPr="008D1193">
              <w:rPr>
                <w:rFonts w:cs="Arial"/>
                <w:sz w:val="20"/>
                <w:szCs w:val="20"/>
                <w:lang w:val="fr-FR"/>
              </w:rPr>
              <w:t>é</w:t>
            </w:r>
            <w:r w:rsidR="004372EF" w:rsidRPr="008D1193">
              <w:rPr>
                <w:rFonts w:cs="Arial"/>
                <w:sz w:val="20"/>
                <w:szCs w:val="20"/>
                <w:lang w:val="fr-FR"/>
              </w:rPr>
              <w:t>valuation</w:t>
            </w:r>
            <w:r w:rsidR="009846D0" w:rsidRPr="008D1193">
              <w:rPr>
                <w:rFonts w:cs="Arial"/>
                <w:sz w:val="20"/>
                <w:szCs w:val="20"/>
                <w:lang w:val="fr-FR"/>
              </w:rPr>
              <w:t>.</w:t>
            </w:r>
          </w:p>
        </w:tc>
      </w:tr>
      <w:tr w:rsidR="00202EB9" w:rsidRPr="00202EB9" w:rsidTr="004546DF">
        <w:trPr>
          <w:cantSplit/>
        </w:trPr>
        <w:tc>
          <w:tcPr>
            <w:tcW w:w="3217" w:type="dxa"/>
            <w:shd w:val="clear" w:color="auto" w:fill="F2F2F2" w:themeFill="background1" w:themeFillShade="F2"/>
          </w:tcPr>
          <w:p w:rsidR="004372EF" w:rsidRPr="008D1193" w:rsidRDefault="00A762FE" w:rsidP="00502A6F">
            <w:pPr>
              <w:pStyle w:val="ListParagraph"/>
              <w:numPr>
                <w:ilvl w:val="0"/>
                <w:numId w:val="1"/>
              </w:numPr>
              <w:ind w:left="416" w:hanging="457"/>
              <w:rPr>
                <w:rFonts w:cs="Arial"/>
                <w:sz w:val="20"/>
                <w:szCs w:val="20"/>
                <w:lang w:val="fr-FR"/>
              </w:rPr>
            </w:pPr>
            <w:r w:rsidRPr="008D1193">
              <w:rPr>
                <w:rFonts w:cs="Arial"/>
                <w:sz w:val="20"/>
                <w:szCs w:val="20"/>
                <w:lang w:val="fr-FR"/>
              </w:rPr>
              <w:t>Éléments de flexibilité approuvé</w:t>
            </w:r>
            <w:r w:rsidR="0019105D" w:rsidRPr="008D1193">
              <w:rPr>
                <w:rFonts w:cs="Arial"/>
                <w:sz w:val="20"/>
                <w:szCs w:val="20"/>
                <w:lang w:val="fr-FR"/>
              </w:rPr>
              <w:t>s</w:t>
            </w:r>
            <w:r w:rsidRPr="008D1193">
              <w:rPr>
                <w:rFonts w:cs="Arial"/>
                <w:sz w:val="20"/>
                <w:szCs w:val="20"/>
                <w:lang w:val="fr-FR"/>
              </w:rPr>
              <w:t xml:space="preserve"> par</w:t>
            </w:r>
            <w:r w:rsidR="00426067" w:rsidRPr="008D1193">
              <w:rPr>
                <w:rFonts w:cs="Arial"/>
                <w:sz w:val="20"/>
                <w:szCs w:val="20"/>
                <w:lang w:val="fr-FR"/>
              </w:rPr>
              <w:t xml:space="preserve"> le </w:t>
            </w:r>
            <w:proofErr w:type="spellStart"/>
            <w:r w:rsidR="00426067" w:rsidRPr="008D1193">
              <w:rPr>
                <w:rFonts w:cs="Arial"/>
                <w:sz w:val="20"/>
                <w:szCs w:val="20"/>
                <w:lang w:val="fr-FR"/>
              </w:rPr>
              <w:t>CDI</w:t>
            </w:r>
            <w:r w:rsidR="004372EF" w:rsidRPr="008D1193">
              <w:rPr>
                <w:rFonts w:cs="Arial"/>
                <w:sz w:val="20"/>
                <w:szCs w:val="20"/>
                <w:lang w:val="fr-FR"/>
              </w:rPr>
              <w:t>P</w:t>
            </w:r>
            <w:proofErr w:type="spellEnd"/>
            <w:r w:rsidR="004372EF" w:rsidRPr="008D1193">
              <w:rPr>
                <w:rFonts w:cs="Arial"/>
                <w:sz w:val="20"/>
                <w:szCs w:val="20"/>
                <w:lang w:val="fr-FR"/>
              </w:rPr>
              <w:t xml:space="preserve"> </w:t>
            </w:r>
            <w:r w:rsidRPr="008D1193">
              <w:rPr>
                <w:rFonts w:cs="Arial"/>
                <w:sz w:val="20"/>
                <w:szCs w:val="20"/>
                <w:lang w:val="fr-FR"/>
              </w:rPr>
              <w:t>et informations les concernant</w:t>
            </w:r>
          </w:p>
        </w:tc>
        <w:tc>
          <w:tcPr>
            <w:tcW w:w="1276" w:type="dxa"/>
            <w:shd w:val="clear" w:color="auto" w:fill="F2F2F2" w:themeFill="background1" w:themeFillShade="F2"/>
          </w:tcPr>
          <w:p w:rsidR="004372EF" w:rsidRPr="008D1193" w:rsidRDefault="004372EF" w:rsidP="000F54E4">
            <w:pPr>
              <w:rPr>
                <w:rFonts w:cs="Arial"/>
                <w:sz w:val="20"/>
                <w:szCs w:val="20"/>
                <w:lang w:val="fr-FR"/>
              </w:rPr>
            </w:pPr>
            <w:proofErr w:type="spellStart"/>
            <w:r w:rsidRPr="008D1193">
              <w:rPr>
                <w:rFonts w:cs="Arial"/>
                <w:sz w:val="20"/>
                <w:szCs w:val="20"/>
                <w:lang w:val="fr-FR"/>
              </w:rPr>
              <w:t>CDIP</w:t>
            </w:r>
            <w:proofErr w:type="spellEnd"/>
            <w:r w:rsidRPr="008D1193">
              <w:rPr>
                <w:rFonts w:cs="Arial"/>
                <w:sz w:val="20"/>
                <w:szCs w:val="20"/>
                <w:lang w:val="fr-FR"/>
              </w:rPr>
              <w:t xml:space="preserve"> </w:t>
            </w:r>
            <w:r w:rsidR="00C05D5B" w:rsidRPr="008D1193">
              <w:rPr>
                <w:rFonts w:cs="Arial"/>
                <w:sz w:val="20"/>
                <w:szCs w:val="20"/>
                <w:lang w:val="fr-FR"/>
              </w:rPr>
              <w:t>et AG</w:t>
            </w:r>
          </w:p>
        </w:tc>
        <w:tc>
          <w:tcPr>
            <w:tcW w:w="1842" w:type="dxa"/>
            <w:shd w:val="clear" w:color="auto" w:fill="F2F2F2" w:themeFill="background1" w:themeFillShade="F2"/>
          </w:tcPr>
          <w:p w:rsidR="004372EF" w:rsidRPr="008D1193" w:rsidRDefault="004372EF" w:rsidP="000F54E4">
            <w:pPr>
              <w:jc w:val="center"/>
              <w:rPr>
                <w:rFonts w:cs="Arial"/>
                <w:sz w:val="20"/>
                <w:szCs w:val="20"/>
                <w:lang w:val="fr-FR"/>
              </w:rPr>
            </w:pPr>
            <w:r w:rsidRPr="008D1193">
              <w:rPr>
                <w:rFonts w:cs="Arial"/>
                <w:sz w:val="20"/>
                <w:szCs w:val="20"/>
                <w:lang w:val="fr-FR"/>
              </w:rPr>
              <w:t>11</w:t>
            </w:r>
          </w:p>
          <w:p w:rsidR="004372EF" w:rsidRPr="008D1193" w:rsidRDefault="004372EF" w:rsidP="000F54E4">
            <w:pPr>
              <w:jc w:val="center"/>
              <w:rPr>
                <w:rFonts w:cs="Arial"/>
                <w:sz w:val="20"/>
                <w:szCs w:val="20"/>
                <w:lang w:val="fr-FR"/>
              </w:rPr>
            </w:pPr>
            <w:r w:rsidRPr="008D1193">
              <w:rPr>
                <w:rFonts w:cs="Arial"/>
                <w:sz w:val="20"/>
                <w:szCs w:val="20"/>
                <w:lang w:val="fr-FR"/>
              </w:rPr>
              <w:t>(2009 – 2015)</w:t>
            </w:r>
          </w:p>
        </w:tc>
        <w:tc>
          <w:tcPr>
            <w:tcW w:w="3142" w:type="dxa"/>
            <w:shd w:val="clear" w:color="auto" w:fill="F2F2F2" w:themeFill="background1" w:themeFillShade="F2"/>
          </w:tcPr>
          <w:p w:rsidR="004372EF" w:rsidRPr="008D1193" w:rsidRDefault="004372EF" w:rsidP="00A762FE">
            <w:pPr>
              <w:ind w:right="-108"/>
              <w:rPr>
                <w:rFonts w:cs="Arial"/>
                <w:sz w:val="20"/>
                <w:szCs w:val="20"/>
                <w:lang w:val="fr-FR"/>
              </w:rPr>
            </w:pPr>
            <w:r w:rsidRPr="008D1193">
              <w:rPr>
                <w:rFonts w:cs="Arial"/>
                <w:sz w:val="20"/>
                <w:szCs w:val="20"/>
                <w:lang w:val="fr-FR"/>
              </w:rPr>
              <w:t xml:space="preserve">Discussions </w:t>
            </w:r>
            <w:r w:rsidR="00A762FE" w:rsidRPr="008D1193">
              <w:rPr>
                <w:rFonts w:cs="Arial"/>
                <w:sz w:val="20"/>
                <w:szCs w:val="20"/>
                <w:lang w:val="fr-FR"/>
              </w:rPr>
              <w:t>concernant les flexibilités</w:t>
            </w:r>
            <w:r w:rsidR="009846D0" w:rsidRPr="008D1193">
              <w:rPr>
                <w:rFonts w:cs="Arial"/>
                <w:sz w:val="20"/>
                <w:szCs w:val="20"/>
                <w:lang w:val="fr-FR"/>
              </w:rPr>
              <w:t>.</w:t>
            </w:r>
          </w:p>
        </w:tc>
      </w:tr>
      <w:tr w:rsidR="00202EB9" w:rsidRPr="00202EB9" w:rsidTr="004546DF">
        <w:trPr>
          <w:cantSplit/>
        </w:trPr>
        <w:tc>
          <w:tcPr>
            <w:tcW w:w="3217" w:type="dxa"/>
            <w:shd w:val="clear" w:color="auto" w:fill="F2F2F2" w:themeFill="background1" w:themeFillShade="F2"/>
          </w:tcPr>
          <w:p w:rsidR="004372EF" w:rsidRPr="008D1193" w:rsidRDefault="00377E71" w:rsidP="00502A6F">
            <w:pPr>
              <w:pStyle w:val="ListParagraph"/>
              <w:numPr>
                <w:ilvl w:val="0"/>
                <w:numId w:val="1"/>
              </w:numPr>
              <w:ind w:left="416" w:hanging="457"/>
              <w:rPr>
                <w:rFonts w:cs="Arial"/>
                <w:sz w:val="20"/>
                <w:szCs w:val="20"/>
                <w:lang w:val="fr-FR"/>
              </w:rPr>
            </w:pPr>
            <w:r w:rsidRPr="008D1193">
              <w:rPr>
                <w:rFonts w:cs="Arial"/>
                <w:sz w:val="20"/>
                <w:szCs w:val="20"/>
                <w:lang w:val="fr-FR"/>
              </w:rPr>
              <w:t>Travaux relatifs</w:t>
            </w:r>
            <w:r w:rsidR="00426067" w:rsidRPr="008D1193">
              <w:rPr>
                <w:rFonts w:cs="Arial"/>
                <w:sz w:val="20"/>
                <w:szCs w:val="20"/>
                <w:lang w:val="fr-FR"/>
              </w:rPr>
              <w:t xml:space="preserve"> aux </w:t>
            </w:r>
            <w:proofErr w:type="spellStart"/>
            <w:r w:rsidR="00426067" w:rsidRPr="008D1193">
              <w:rPr>
                <w:rFonts w:cs="Arial"/>
                <w:sz w:val="20"/>
                <w:szCs w:val="20"/>
                <w:lang w:val="fr-FR"/>
              </w:rPr>
              <w:t>OMD</w:t>
            </w:r>
            <w:proofErr w:type="spellEnd"/>
          </w:p>
        </w:tc>
        <w:tc>
          <w:tcPr>
            <w:tcW w:w="1276" w:type="dxa"/>
            <w:shd w:val="clear" w:color="auto" w:fill="F2F2F2" w:themeFill="background1" w:themeFillShade="F2"/>
          </w:tcPr>
          <w:p w:rsidR="004372EF" w:rsidRPr="008D1193" w:rsidRDefault="004372EF" w:rsidP="000F54E4">
            <w:pPr>
              <w:rPr>
                <w:rFonts w:cs="Arial"/>
                <w:sz w:val="20"/>
                <w:szCs w:val="20"/>
                <w:lang w:val="fr-FR"/>
              </w:rPr>
            </w:pPr>
            <w:proofErr w:type="spellStart"/>
            <w:r w:rsidRPr="008D1193">
              <w:rPr>
                <w:rFonts w:cs="Arial"/>
                <w:sz w:val="20"/>
                <w:szCs w:val="20"/>
                <w:lang w:val="fr-FR"/>
              </w:rPr>
              <w:t>CDIP</w:t>
            </w:r>
            <w:proofErr w:type="spellEnd"/>
          </w:p>
        </w:tc>
        <w:tc>
          <w:tcPr>
            <w:tcW w:w="1842" w:type="dxa"/>
            <w:shd w:val="clear" w:color="auto" w:fill="F2F2F2" w:themeFill="background1" w:themeFillShade="F2"/>
          </w:tcPr>
          <w:p w:rsidR="004372EF" w:rsidRPr="008D1193" w:rsidRDefault="004372EF" w:rsidP="000F54E4">
            <w:pPr>
              <w:jc w:val="center"/>
              <w:rPr>
                <w:rFonts w:cs="Arial"/>
                <w:sz w:val="20"/>
                <w:szCs w:val="20"/>
                <w:lang w:val="fr-FR"/>
              </w:rPr>
            </w:pPr>
            <w:r w:rsidRPr="008D1193">
              <w:rPr>
                <w:rFonts w:cs="Arial"/>
                <w:sz w:val="20"/>
                <w:szCs w:val="20"/>
                <w:lang w:val="fr-FR"/>
              </w:rPr>
              <w:t>12</w:t>
            </w:r>
          </w:p>
          <w:p w:rsidR="004372EF" w:rsidRPr="008D1193" w:rsidRDefault="004372EF" w:rsidP="000F54E4">
            <w:pPr>
              <w:jc w:val="center"/>
              <w:rPr>
                <w:rFonts w:cs="Arial"/>
                <w:sz w:val="20"/>
                <w:szCs w:val="20"/>
                <w:lang w:val="fr-FR"/>
              </w:rPr>
            </w:pPr>
            <w:r w:rsidRPr="008D1193">
              <w:rPr>
                <w:rFonts w:cs="Arial"/>
                <w:sz w:val="20"/>
                <w:szCs w:val="20"/>
                <w:lang w:val="fr-FR"/>
              </w:rPr>
              <w:t>(2009 – 2015)</w:t>
            </w:r>
          </w:p>
        </w:tc>
        <w:tc>
          <w:tcPr>
            <w:tcW w:w="3142" w:type="dxa"/>
            <w:shd w:val="clear" w:color="auto" w:fill="F2F2F2" w:themeFill="background1" w:themeFillShade="F2"/>
          </w:tcPr>
          <w:p w:rsidR="004372EF" w:rsidRPr="008D1193" w:rsidRDefault="00377E71" w:rsidP="00377E71">
            <w:pPr>
              <w:ind w:right="-108"/>
              <w:rPr>
                <w:rFonts w:cs="Arial"/>
                <w:sz w:val="20"/>
                <w:szCs w:val="20"/>
                <w:lang w:val="fr-FR"/>
              </w:rPr>
            </w:pPr>
            <w:proofErr w:type="spellStart"/>
            <w:r w:rsidRPr="008D1193">
              <w:rPr>
                <w:rFonts w:cs="Arial"/>
                <w:sz w:val="20"/>
                <w:szCs w:val="20"/>
                <w:lang w:val="fr-FR"/>
              </w:rPr>
              <w:t>OMD</w:t>
            </w:r>
            <w:proofErr w:type="spellEnd"/>
            <w:r w:rsidRPr="008D1193">
              <w:rPr>
                <w:rFonts w:cs="Arial"/>
                <w:sz w:val="20"/>
                <w:szCs w:val="20"/>
                <w:lang w:val="fr-FR"/>
              </w:rPr>
              <w:t xml:space="preserve"> en tant qu</w:t>
            </w:r>
            <w:r w:rsidR="00426067" w:rsidRPr="008D1193">
              <w:rPr>
                <w:rFonts w:cs="Arial"/>
                <w:sz w:val="20"/>
                <w:szCs w:val="20"/>
                <w:lang w:val="fr-FR"/>
              </w:rPr>
              <w:t>’</w:t>
            </w:r>
            <w:r w:rsidRPr="008D1193">
              <w:rPr>
                <w:rFonts w:cs="Arial"/>
                <w:sz w:val="20"/>
                <w:szCs w:val="20"/>
                <w:lang w:val="fr-FR"/>
              </w:rPr>
              <w:t>éléments des recommandations du Plan d</w:t>
            </w:r>
            <w:r w:rsidR="00426067" w:rsidRPr="008D1193">
              <w:rPr>
                <w:rFonts w:cs="Arial"/>
                <w:sz w:val="20"/>
                <w:szCs w:val="20"/>
                <w:lang w:val="fr-FR"/>
              </w:rPr>
              <w:t>’</w:t>
            </w:r>
            <w:r w:rsidRPr="008D1193">
              <w:rPr>
                <w:rFonts w:cs="Arial"/>
                <w:sz w:val="20"/>
                <w:szCs w:val="20"/>
                <w:lang w:val="fr-FR"/>
              </w:rPr>
              <w:t>action pour le développement</w:t>
            </w:r>
            <w:r w:rsidR="00C43860" w:rsidRPr="008D1193">
              <w:rPr>
                <w:rFonts w:cs="Arial"/>
                <w:sz w:val="20"/>
                <w:szCs w:val="20"/>
                <w:lang w:val="fr-FR"/>
              </w:rPr>
              <w:t>.</w:t>
            </w:r>
          </w:p>
        </w:tc>
      </w:tr>
      <w:tr w:rsidR="00202EB9" w:rsidRPr="00202EB9" w:rsidTr="004546DF">
        <w:trPr>
          <w:cantSplit/>
        </w:trPr>
        <w:tc>
          <w:tcPr>
            <w:tcW w:w="3217" w:type="dxa"/>
            <w:shd w:val="clear" w:color="auto" w:fill="F2F2F2" w:themeFill="background1" w:themeFillShade="F2"/>
          </w:tcPr>
          <w:p w:rsidR="004372EF" w:rsidRPr="008D1193" w:rsidRDefault="00642FF7" w:rsidP="00502A6F">
            <w:pPr>
              <w:pStyle w:val="ListParagraph"/>
              <w:numPr>
                <w:ilvl w:val="0"/>
                <w:numId w:val="1"/>
              </w:numPr>
              <w:ind w:left="416" w:hanging="457"/>
              <w:rPr>
                <w:rFonts w:cs="Arial"/>
                <w:sz w:val="20"/>
                <w:szCs w:val="20"/>
                <w:lang w:val="fr-FR"/>
              </w:rPr>
            </w:pPr>
            <w:r w:rsidRPr="008D1193">
              <w:rPr>
                <w:rFonts w:cs="Arial"/>
                <w:sz w:val="20"/>
                <w:szCs w:val="20"/>
                <w:lang w:val="fr-FR"/>
              </w:rPr>
              <w:t>Résumés du président pour les sessions</w:t>
            </w:r>
            <w:r w:rsidR="00426067" w:rsidRPr="008D1193">
              <w:rPr>
                <w:rFonts w:cs="Arial"/>
                <w:sz w:val="20"/>
                <w:szCs w:val="20"/>
                <w:lang w:val="fr-FR"/>
              </w:rPr>
              <w:t xml:space="preserve"> du </w:t>
            </w:r>
            <w:proofErr w:type="spellStart"/>
            <w:r w:rsidR="00426067" w:rsidRPr="008D1193">
              <w:rPr>
                <w:rFonts w:cs="Arial"/>
                <w:sz w:val="20"/>
                <w:szCs w:val="20"/>
                <w:lang w:val="fr-FR"/>
              </w:rPr>
              <w:t>CDI</w:t>
            </w:r>
            <w:r w:rsidR="009846D0" w:rsidRPr="008D1193">
              <w:rPr>
                <w:rFonts w:cs="Arial"/>
                <w:sz w:val="20"/>
                <w:szCs w:val="20"/>
                <w:lang w:val="fr-FR"/>
              </w:rPr>
              <w:t>P</w:t>
            </w:r>
            <w:proofErr w:type="spellEnd"/>
          </w:p>
        </w:tc>
        <w:tc>
          <w:tcPr>
            <w:tcW w:w="1276" w:type="dxa"/>
            <w:shd w:val="clear" w:color="auto" w:fill="F2F2F2" w:themeFill="background1" w:themeFillShade="F2"/>
          </w:tcPr>
          <w:p w:rsidR="004372EF" w:rsidRPr="008D1193" w:rsidRDefault="004372EF" w:rsidP="000F54E4">
            <w:pPr>
              <w:rPr>
                <w:rFonts w:cs="Arial"/>
                <w:sz w:val="20"/>
                <w:szCs w:val="20"/>
                <w:lang w:val="fr-FR"/>
              </w:rPr>
            </w:pPr>
            <w:proofErr w:type="spellStart"/>
            <w:r w:rsidRPr="008D1193">
              <w:rPr>
                <w:rFonts w:cs="Arial"/>
                <w:sz w:val="20"/>
                <w:szCs w:val="20"/>
                <w:lang w:val="fr-FR"/>
              </w:rPr>
              <w:t>CDIP</w:t>
            </w:r>
            <w:proofErr w:type="spellEnd"/>
          </w:p>
        </w:tc>
        <w:tc>
          <w:tcPr>
            <w:tcW w:w="1842" w:type="dxa"/>
            <w:shd w:val="clear" w:color="auto" w:fill="F2F2F2" w:themeFill="background1" w:themeFillShade="F2"/>
          </w:tcPr>
          <w:p w:rsidR="004372EF" w:rsidRPr="008D1193" w:rsidRDefault="004372EF" w:rsidP="000F54E4">
            <w:pPr>
              <w:jc w:val="center"/>
              <w:rPr>
                <w:rFonts w:cs="Arial"/>
                <w:sz w:val="20"/>
                <w:szCs w:val="20"/>
                <w:lang w:val="fr-FR"/>
              </w:rPr>
            </w:pPr>
            <w:r w:rsidRPr="008D1193">
              <w:rPr>
                <w:rFonts w:cs="Arial"/>
                <w:sz w:val="20"/>
                <w:szCs w:val="20"/>
                <w:lang w:val="fr-FR"/>
              </w:rPr>
              <w:t>15</w:t>
            </w:r>
          </w:p>
          <w:p w:rsidR="004372EF" w:rsidRPr="008D1193" w:rsidRDefault="004372EF" w:rsidP="000F54E4">
            <w:pPr>
              <w:jc w:val="center"/>
              <w:rPr>
                <w:rFonts w:cs="Arial"/>
                <w:sz w:val="20"/>
                <w:szCs w:val="20"/>
                <w:lang w:val="fr-FR"/>
              </w:rPr>
            </w:pPr>
            <w:r w:rsidRPr="008D1193">
              <w:rPr>
                <w:rFonts w:cs="Arial"/>
                <w:sz w:val="20"/>
                <w:szCs w:val="20"/>
                <w:lang w:val="fr-FR"/>
              </w:rPr>
              <w:t>(2008 – 2015)</w:t>
            </w:r>
          </w:p>
        </w:tc>
        <w:tc>
          <w:tcPr>
            <w:tcW w:w="3142" w:type="dxa"/>
            <w:shd w:val="clear" w:color="auto" w:fill="F2F2F2" w:themeFill="background1" w:themeFillShade="F2"/>
          </w:tcPr>
          <w:p w:rsidR="004372EF" w:rsidRPr="008D1193" w:rsidRDefault="00642FF7" w:rsidP="00642FF7">
            <w:pPr>
              <w:ind w:right="-108"/>
              <w:rPr>
                <w:rFonts w:cs="Arial"/>
                <w:sz w:val="20"/>
                <w:szCs w:val="20"/>
                <w:lang w:val="fr-FR"/>
              </w:rPr>
            </w:pPr>
            <w:r w:rsidRPr="008D1193">
              <w:rPr>
                <w:rFonts w:cs="Arial"/>
                <w:sz w:val="20"/>
                <w:szCs w:val="20"/>
                <w:lang w:val="fr-FR"/>
              </w:rPr>
              <w:t>Résumés des délibérations</w:t>
            </w:r>
            <w:r w:rsidR="00426067" w:rsidRPr="008D1193">
              <w:rPr>
                <w:rFonts w:cs="Arial"/>
                <w:sz w:val="20"/>
                <w:szCs w:val="20"/>
                <w:lang w:val="fr-FR"/>
              </w:rPr>
              <w:t xml:space="preserve"> du </w:t>
            </w:r>
            <w:proofErr w:type="spellStart"/>
            <w:r w:rsidR="00426067" w:rsidRPr="008D1193">
              <w:rPr>
                <w:rFonts w:cs="Arial"/>
                <w:sz w:val="20"/>
                <w:szCs w:val="20"/>
                <w:lang w:val="fr-FR"/>
              </w:rPr>
              <w:t>CDI</w:t>
            </w:r>
            <w:r w:rsidRPr="008D1193">
              <w:rPr>
                <w:rFonts w:cs="Arial"/>
                <w:sz w:val="20"/>
                <w:szCs w:val="20"/>
                <w:lang w:val="fr-FR"/>
              </w:rPr>
              <w:t>P</w:t>
            </w:r>
            <w:proofErr w:type="spellEnd"/>
            <w:r w:rsidRPr="008D1193">
              <w:rPr>
                <w:rFonts w:cs="Arial"/>
                <w:sz w:val="20"/>
                <w:szCs w:val="20"/>
                <w:lang w:val="fr-FR"/>
              </w:rPr>
              <w:t>.</w:t>
            </w:r>
          </w:p>
        </w:tc>
      </w:tr>
      <w:tr w:rsidR="00202EB9" w:rsidRPr="00202EB9" w:rsidTr="004546DF">
        <w:trPr>
          <w:cantSplit/>
        </w:trPr>
        <w:tc>
          <w:tcPr>
            <w:tcW w:w="3217" w:type="dxa"/>
            <w:shd w:val="clear" w:color="auto" w:fill="F2F2F2" w:themeFill="background1" w:themeFillShade="F2"/>
          </w:tcPr>
          <w:p w:rsidR="004372EF" w:rsidRPr="008D1193" w:rsidRDefault="00642FF7" w:rsidP="00502A6F">
            <w:pPr>
              <w:pStyle w:val="ListParagraph"/>
              <w:numPr>
                <w:ilvl w:val="0"/>
                <w:numId w:val="1"/>
              </w:numPr>
              <w:ind w:left="416" w:hanging="457"/>
              <w:rPr>
                <w:rFonts w:cs="Arial"/>
                <w:sz w:val="20"/>
                <w:szCs w:val="20"/>
                <w:lang w:val="fr-FR"/>
              </w:rPr>
            </w:pPr>
            <w:r w:rsidRPr="008D1193">
              <w:rPr>
                <w:rFonts w:cs="Arial"/>
                <w:sz w:val="20"/>
                <w:szCs w:val="20"/>
                <w:lang w:val="fr-FR"/>
              </w:rPr>
              <w:t>Rapports des réunions</w:t>
            </w:r>
            <w:r w:rsidR="00426067" w:rsidRPr="008D1193">
              <w:rPr>
                <w:rFonts w:cs="Arial"/>
                <w:sz w:val="20"/>
                <w:szCs w:val="20"/>
                <w:lang w:val="fr-FR"/>
              </w:rPr>
              <w:t xml:space="preserve"> du </w:t>
            </w:r>
            <w:proofErr w:type="spellStart"/>
            <w:r w:rsidR="00426067" w:rsidRPr="008D1193">
              <w:rPr>
                <w:rFonts w:cs="Arial"/>
                <w:sz w:val="20"/>
                <w:szCs w:val="20"/>
                <w:lang w:val="fr-FR"/>
              </w:rPr>
              <w:t>CDI</w:t>
            </w:r>
            <w:r w:rsidR="004372EF" w:rsidRPr="008D1193">
              <w:rPr>
                <w:rFonts w:cs="Arial"/>
                <w:sz w:val="20"/>
                <w:szCs w:val="20"/>
                <w:lang w:val="fr-FR"/>
              </w:rPr>
              <w:t>P</w:t>
            </w:r>
            <w:proofErr w:type="spellEnd"/>
            <w:r w:rsidR="004372EF" w:rsidRPr="008D1193">
              <w:rPr>
                <w:rFonts w:cs="Arial"/>
                <w:sz w:val="20"/>
                <w:szCs w:val="20"/>
                <w:lang w:val="fr-FR"/>
              </w:rPr>
              <w:t xml:space="preserve"> </w:t>
            </w:r>
          </w:p>
        </w:tc>
        <w:tc>
          <w:tcPr>
            <w:tcW w:w="1276" w:type="dxa"/>
            <w:shd w:val="clear" w:color="auto" w:fill="F2F2F2" w:themeFill="background1" w:themeFillShade="F2"/>
          </w:tcPr>
          <w:p w:rsidR="004372EF" w:rsidRPr="008D1193" w:rsidRDefault="004372EF" w:rsidP="000F54E4">
            <w:pPr>
              <w:rPr>
                <w:rFonts w:cs="Arial"/>
                <w:sz w:val="20"/>
                <w:szCs w:val="20"/>
                <w:lang w:val="fr-FR"/>
              </w:rPr>
            </w:pPr>
            <w:proofErr w:type="spellStart"/>
            <w:r w:rsidRPr="008D1193">
              <w:rPr>
                <w:rFonts w:cs="Arial"/>
                <w:sz w:val="20"/>
                <w:szCs w:val="20"/>
                <w:lang w:val="fr-FR"/>
              </w:rPr>
              <w:t>CDIP</w:t>
            </w:r>
            <w:proofErr w:type="spellEnd"/>
          </w:p>
        </w:tc>
        <w:tc>
          <w:tcPr>
            <w:tcW w:w="1842" w:type="dxa"/>
            <w:shd w:val="clear" w:color="auto" w:fill="F2F2F2" w:themeFill="background1" w:themeFillShade="F2"/>
          </w:tcPr>
          <w:p w:rsidR="004372EF" w:rsidRPr="008D1193" w:rsidRDefault="004372EF" w:rsidP="000F54E4">
            <w:pPr>
              <w:jc w:val="center"/>
              <w:rPr>
                <w:rFonts w:cs="Arial"/>
                <w:sz w:val="20"/>
                <w:szCs w:val="20"/>
                <w:lang w:val="fr-FR"/>
              </w:rPr>
            </w:pPr>
            <w:r w:rsidRPr="008D1193">
              <w:rPr>
                <w:rFonts w:cs="Arial"/>
                <w:sz w:val="20"/>
                <w:szCs w:val="20"/>
                <w:lang w:val="fr-FR"/>
              </w:rPr>
              <w:t>15</w:t>
            </w:r>
          </w:p>
          <w:p w:rsidR="004372EF" w:rsidRPr="008D1193" w:rsidRDefault="004372EF" w:rsidP="000F54E4">
            <w:pPr>
              <w:jc w:val="center"/>
              <w:rPr>
                <w:rFonts w:cs="Arial"/>
                <w:sz w:val="20"/>
                <w:szCs w:val="20"/>
                <w:lang w:val="fr-FR"/>
              </w:rPr>
            </w:pPr>
            <w:r w:rsidRPr="008D1193">
              <w:rPr>
                <w:rFonts w:cs="Arial"/>
                <w:sz w:val="20"/>
                <w:szCs w:val="20"/>
                <w:lang w:val="fr-FR"/>
              </w:rPr>
              <w:t>(2008 – 2015)</w:t>
            </w:r>
          </w:p>
        </w:tc>
        <w:tc>
          <w:tcPr>
            <w:tcW w:w="3142" w:type="dxa"/>
            <w:shd w:val="clear" w:color="auto" w:fill="F2F2F2" w:themeFill="background1" w:themeFillShade="F2"/>
          </w:tcPr>
          <w:p w:rsidR="004372EF" w:rsidRPr="008D1193" w:rsidRDefault="00642FF7" w:rsidP="00642FF7">
            <w:pPr>
              <w:ind w:right="-108"/>
              <w:rPr>
                <w:rFonts w:cs="Arial"/>
                <w:sz w:val="20"/>
                <w:szCs w:val="20"/>
                <w:lang w:val="fr-FR"/>
              </w:rPr>
            </w:pPr>
            <w:r w:rsidRPr="008D1193">
              <w:rPr>
                <w:rFonts w:cs="Arial"/>
                <w:sz w:val="20"/>
                <w:szCs w:val="20"/>
                <w:lang w:val="fr-FR"/>
              </w:rPr>
              <w:t>Rapports</w:t>
            </w:r>
            <w:r w:rsidR="00426067" w:rsidRPr="008D1193">
              <w:rPr>
                <w:rFonts w:cs="Arial"/>
                <w:sz w:val="20"/>
                <w:szCs w:val="20"/>
                <w:lang w:val="fr-FR"/>
              </w:rPr>
              <w:t xml:space="preserve"> du </w:t>
            </w:r>
            <w:proofErr w:type="spellStart"/>
            <w:r w:rsidR="00426067" w:rsidRPr="008D1193">
              <w:rPr>
                <w:rFonts w:cs="Arial"/>
                <w:sz w:val="20"/>
                <w:szCs w:val="20"/>
                <w:lang w:val="fr-FR"/>
              </w:rPr>
              <w:t>CDI</w:t>
            </w:r>
            <w:r w:rsidR="004372EF" w:rsidRPr="008D1193">
              <w:rPr>
                <w:rFonts w:cs="Arial"/>
                <w:sz w:val="20"/>
                <w:szCs w:val="20"/>
                <w:lang w:val="fr-FR"/>
              </w:rPr>
              <w:t>P</w:t>
            </w:r>
            <w:proofErr w:type="spellEnd"/>
            <w:r w:rsidR="009846D0" w:rsidRPr="008D1193">
              <w:rPr>
                <w:rFonts w:cs="Arial"/>
                <w:sz w:val="20"/>
                <w:szCs w:val="20"/>
                <w:lang w:val="fr-FR"/>
              </w:rPr>
              <w:t>.</w:t>
            </w:r>
          </w:p>
        </w:tc>
      </w:tr>
      <w:tr w:rsidR="00202EB9" w:rsidRPr="00202EB9" w:rsidTr="004546DF">
        <w:trPr>
          <w:cantSplit/>
        </w:trPr>
        <w:tc>
          <w:tcPr>
            <w:tcW w:w="3217" w:type="dxa"/>
            <w:shd w:val="clear" w:color="auto" w:fill="F2F2F2" w:themeFill="background1" w:themeFillShade="F2"/>
          </w:tcPr>
          <w:p w:rsidR="004372EF" w:rsidRPr="008D1193" w:rsidRDefault="00640C62" w:rsidP="00502A6F">
            <w:pPr>
              <w:pStyle w:val="ListParagraph"/>
              <w:numPr>
                <w:ilvl w:val="0"/>
                <w:numId w:val="1"/>
              </w:numPr>
              <w:ind w:left="416" w:hanging="457"/>
              <w:rPr>
                <w:rFonts w:cs="Arial"/>
                <w:sz w:val="20"/>
                <w:szCs w:val="20"/>
                <w:lang w:val="fr-FR"/>
              </w:rPr>
            </w:pPr>
            <w:r w:rsidRPr="008D1193">
              <w:rPr>
                <w:rFonts w:cs="Arial"/>
                <w:sz w:val="20"/>
                <w:szCs w:val="20"/>
                <w:lang w:val="fr-FR"/>
              </w:rPr>
              <w:t>Rapports de mise en œuvre du Plan d</w:t>
            </w:r>
            <w:r w:rsidR="00426067" w:rsidRPr="008D1193">
              <w:rPr>
                <w:rFonts w:cs="Arial"/>
                <w:sz w:val="20"/>
                <w:szCs w:val="20"/>
                <w:lang w:val="fr-FR"/>
              </w:rPr>
              <w:t>’</w:t>
            </w:r>
            <w:r w:rsidRPr="008D1193">
              <w:rPr>
                <w:rFonts w:cs="Arial"/>
                <w:sz w:val="20"/>
                <w:szCs w:val="20"/>
                <w:lang w:val="fr-FR"/>
              </w:rPr>
              <w:t xml:space="preserve">action pour le développement </w:t>
            </w:r>
            <w:r w:rsidR="000B04F1" w:rsidRPr="008D1193">
              <w:rPr>
                <w:rFonts w:cs="Arial"/>
                <w:sz w:val="20"/>
                <w:szCs w:val="20"/>
                <w:lang w:val="fr-FR"/>
              </w:rPr>
              <w:t>examinés par l</w:t>
            </w:r>
            <w:r w:rsidR="00426067" w:rsidRPr="008D1193">
              <w:rPr>
                <w:rFonts w:cs="Arial"/>
                <w:sz w:val="20"/>
                <w:szCs w:val="20"/>
                <w:lang w:val="fr-FR"/>
              </w:rPr>
              <w:t>’</w:t>
            </w:r>
            <w:r w:rsidR="000B04F1" w:rsidRPr="008D1193">
              <w:rPr>
                <w:rFonts w:cs="Arial"/>
                <w:sz w:val="20"/>
                <w:szCs w:val="20"/>
                <w:lang w:val="fr-FR"/>
              </w:rPr>
              <w:t xml:space="preserve">AG.  </w:t>
            </w:r>
            <w:r w:rsidR="00E523EB" w:rsidRPr="008D1193">
              <w:rPr>
                <w:rFonts w:cs="Arial"/>
                <w:sz w:val="20"/>
                <w:szCs w:val="20"/>
                <w:lang w:val="fr-FR"/>
              </w:rPr>
              <w:t>Rapports des organes compétents de l</w:t>
            </w:r>
            <w:r w:rsidR="00426067" w:rsidRPr="008D1193">
              <w:rPr>
                <w:rFonts w:cs="Arial"/>
                <w:sz w:val="20"/>
                <w:szCs w:val="20"/>
                <w:lang w:val="fr-FR"/>
              </w:rPr>
              <w:t>’</w:t>
            </w:r>
            <w:r w:rsidR="00E523EB" w:rsidRPr="008D1193">
              <w:rPr>
                <w:rFonts w:cs="Arial"/>
                <w:sz w:val="20"/>
                <w:szCs w:val="20"/>
                <w:lang w:val="fr-FR"/>
              </w:rPr>
              <w:t>OMPI à l</w:t>
            </w:r>
            <w:r w:rsidR="00426067" w:rsidRPr="008D1193">
              <w:rPr>
                <w:rFonts w:cs="Arial"/>
                <w:sz w:val="20"/>
                <w:szCs w:val="20"/>
                <w:lang w:val="fr-FR"/>
              </w:rPr>
              <w:t>’</w:t>
            </w:r>
            <w:r w:rsidR="00E523EB" w:rsidRPr="008D1193">
              <w:rPr>
                <w:rFonts w:cs="Arial"/>
                <w:sz w:val="20"/>
                <w:szCs w:val="20"/>
                <w:lang w:val="fr-FR"/>
              </w:rPr>
              <w:t>AG</w:t>
            </w:r>
          </w:p>
        </w:tc>
        <w:tc>
          <w:tcPr>
            <w:tcW w:w="1276" w:type="dxa"/>
            <w:shd w:val="clear" w:color="auto" w:fill="F2F2F2" w:themeFill="background1" w:themeFillShade="F2"/>
          </w:tcPr>
          <w:p w:rsidR="004372EF" w:rsidRPr="008D1193" w:rsidRDefault="004372EF" w:rsidP="000F54E4">
            <w:pPr>
              <w:rPr>
                <w:rFonts w:cs="Arial"/>
                <w:sz w:val="20"/>
                <w:szCs w:val="20"/>
                <w:lang w:val="fr-FR"/>
              </w:rPr>
            </w:pPr>
            <w:proofErr w:type="spellStart"/>
            <w:r w:rsidRPr="008D1193">
              <w:rPr>
                <w:rFonts w:cs="Arial"/>
                <w:sz w:val="20"/>
                <w:szCs w:val="20"/>
                <w:lang w:val="fr-FR"/>
              </w:rPr>
              <w:t>CDIP</w:t>
            </w:r>
            <w:proofErr w:type="spellEnd"/>
            <w:r w:rsidRPr="008D1193">
              <w:rPr>
                <w:rFonts w:cs="Arial"/>
                <w:sz w:val="20"/>
                <w:szCs w:val="20"/>
                <w:lang w:val="fr-FR"/>
              </w:rPr>
              <w:t xml:space="preserve"> </w:t>
            </w:r>
            <w:r w:rsidR="00C05D5B" w:rsidRPr="008D1193">
              <w:rPr>
                <w:rFonts w:cs="Arial"/>
                <w:sz w:val="20"/>
                <w:szCs w:val="20"/>
                <w:lang w:val="fr-FR"/>
              </w:rPr>
              <w:t>et AG</w:t>
            </w:r>
          </w:p>
        </w:tc>
        <w:tc>
          <w:tcPr>
            <w:tcW w:w="1842" w:type="dxa"/>
            <w:shd w:val="clear" w:color="auto" w:fill="F2F2F2" w:themeFill="background1" w:themeFillShade="F2"/>
          </w:tcPr>
          <w:p w:rsidR="004372EF" w:rsidRPr="008D1193" w:rsidRDefault="004372EF" w:rsidP="000F54E4">
            <w:pPr>
              <w:jc w:val="center"/>
              <w:rPr>
                <w:rFonts w:cs="Arial"/>
                <w:sz w:val="20"/>
                <w:szCs w:val="20"/>
                <w:lang w:val="fr-FR"/>
              </w:rPr>
            </w:pPr>
            <w:r w:rsidRPr="008D1193">
              <w:rPr>
                <w:rFonts w:cs="Arial"/>
                <w:sz w:val="20"/>
                <w:szCs w:val="20"/>
                <w:lang w:val="fr-FR"/>
              </w:rPr>
              <w:t>11</w:t>
            </w:r>
          </w:p>
          <w:p w:rsidR="004372EF" w:rsidRPr="008D1193" w:rsidRDefault="004372EF" w:rsidP="000F54E4">
            <w:pPr>
              <w:jc w:val="center"/>
              <w:rPr>
                <w:rFonts w:cs="Arial"/>
                <w:sz w:val="20"/>
                <w:szCs w:val="20"/>
                <w:lang w:val="fr-FR"/>
              </w:rPr>
            </w:pPr>
            <w:r w:rsidRPr="008D1193">
              <w:rPr>
                <w:rFonts w:cs="Arial"/>
                <w:sz w:val="20"/>
                <w:szCs w:val="20"/>
                <w:lang w:val="fr-FR"/>
              </w:rPr>
              <w:t>(2008 – 2014)</w:t>
            </w:r>
          </w:p>
        </w:tc>
        <w:tc>
          <w:tcPr>
            <w:tcW w:w="3142" w:type="dxa"/>
            <w:shd w:val="clear" w:color="auto" w:fill="F2F2F2" w:themeFill="background1" w:themeFillShade="F2"/>
          </w:tcPr>
          <w:p w:rsidR="004372EF" w:rsidRPr="008D1193" w:rsidRDefault="008F0CB2" w:rsidP="008F0CB2">
            <w:pPr>
              <w:ind w:right="-108"/>
              <w:rPr>
                <w:rFonts w:cs="Arial"/>
                <w:sz w:val="20"/>
                <w:szCs w:val="20"/>
                <w:lang w:val="fr-FR"/>
              </w:rPr>
            </w:pPr>
            <w:r w:rsidRPr="008D1193">
              <w:rPr>
                <w:rFonts w:cs="Arial"/>
                <w:sz w:val="20"/>
                <w:szCs w:val="20"/>
                <w:lang w:val="fr-FR"/>
              </w:rPr>
              <w:t>Rapports des comités de l</w:t>
            </w:r>
            <w:r w:rsidR="00426067" w:rsidRPr="008D1193">
              <w:rPr>
                <w:rFonts w:cs="Arial"/>
                <w:sz w:val="20"/>
                <w:szCs w:val="20"/>
                <w:lang w:val="fr-FR"/>
              </w:rPr>
              <w:t>’</w:t>
            </w:r>
            <w:r w:rsidRPr="008D1193">
              <w:rPr>
                <w:rFonts w:cs="Arial"/>
                <w:sz w:val="20"/>
                <w:szCs w:val="20"/>
                <w:lang w:val="fr-FR"/>
              </w:rPr>
              <w:t>OMPI sur le Plan d</w:t>
            </w:r>
            <w:r w:rsidR="00426067" w:rsidRPr="008D1193">
              <w:rPr>
                <w:rFonts w:cs="Arial"/>
                <w:sz w:val="20"/>
                <w:szCs w:val="20"/>
                <w:lang w:val="fr-FR"/>
              </w:rPr>
              <w:t>’</w:t>
            </w:r>
            <w:r w:rsidRPr="008D1193">
              <w:rPr>
                <w:rFonts w:cs="Arial"/>
                <w:sz w:val="20"/>
                <w:szCs w:val="20"/>
                <w:lang w:val="fr-FR"/>
              </w:rPr>
              <w:t>action pour le développement</w:t>
            </w:r>
            <w:r w:rsidR="009846D0" w:rsidRPr="008D1193">
              <w:rPr>
                <w:rFonts w:cs="Arial"/>
                <w:sz w:val="20"/>
                <w:szCs w:val="20"/>
                <w:lang w:val="fr-FR"/>
              </w:rPr>
              <w:t>.</w:t>
            </w:r>
          </w:p>
        </w:tc>
      </w:tr>
      <w:tr w:rsidR="00202EB9" w:rsidRPr="00202EB9" w:rsidTr="004546DF">
        <w:trPr>
          <w:cantSplit/>
        </w:trPr>
        <w:tc>
          <w:tcPr>
            <w:tcW w:w="3217" w:type="dxa"/>
            <w:shd w:val="clear" w:color="auto" w:fill="F2F2F2" w:themeFill="background1" w:themeFillShade="F2"/>
          </w:tcPr>
          <w:p w:rsidR="004372EF" w:rsidRPr="008D1193" w:rsidRDefault="00E523EB" w:rsidP="00502A6F">
            <w:pPr>
              <w:pStyle w:val="ListParagraph"/>
              <w:numPr>
                <w:ilvl w:val="0"/>
                <w:numId w:val="1"/>
              </w:numPr>
              <w:ind w:left="416" w:hanging="457"/>
              <w:rPr>
                <w:rFonts w:cs="Arial"/>
                <w:sz w:val="20"/>
                <w:szCs w:val="20"/>
                <w:lang w:val="fr-FR"/>
              </w:rPr>
            </w:pPr>
            <w:r w:rsidRPr="008D1193">
              <w:rPr>
                <w:rFonts w:cs="Arial"/>
                <w:sz w:val="20"/>
                <w:szCs w:val="20"/>
                <w:lang w:val="fr-FR"/>
              </w:rPr>
              <w:t>Programme et budget</w:t>
            </w:r>
          </w:p>
        </w:tc>
        <w:tc>
          <w:tcPr>
            <w:tcW w:w="1276" w:type="dxa"/>
            <w:shd w:val="clear" w:color="auto" w:fill="F2F2F2" w:themeFill="background1" w:themeFillShade="F2"/>
          </w:tcPr>
          <w:p w:rsidR="004372EF" w:rsidRPr="008D1193" w:rsidRDefault="004372EF" w:rsidP="000F54E4">
            <w:pPr>
              <w:rPr>
                <w:rFonts w:cs="Arial"/>
                <w:sz w:val="20"/>
                <w:szCs w:val="20"/>
                <w:lang w:val="fr-FR"/>
              </w:rPr>
            </w:pPr>
            <w:proofErr w:type="spellStart"/>
            <w:r w:rsidRPr="008D1193">
              <w:rPr>
                <w:rFonts w:cs="Arial"/>
                <w:sz w:val="20"/>
                <w:szCs w:val="20"/>
                <w:lang w:val="fr-FR"/>
              </w:rPr>
              <w:t>CDIP</w:t>
            </w:r>
            <w:proofErr w:type="spellEnd"/>
            <w:r w:rsidRPr="008D1193">
              <w:rPr>
                <w:rFonts w:cs="Arial"/>
                <w:sz w:val="20"/>
                <w:szCs w:val="20"/>
                <w:lang w:val="fr-FR"/>
              </w:rPr>
              <w:t xml:space="preserve"> </w:t>
            </w:r>
            <w:r w:rsidR="00C05D5B" w:rsidRPr="008D1193">
              <w:rPr>
                <w:rFonts w:cs="Arial"/>
                <w:sz w:val="20"/>
                <w:szCs w:val="20"/>
                <w:lang w:val="fr-FR"/>
              </w:rPr>
              <w:t>et AG</w:t>
            </w:r>
          </w:p>
        </w:tc>
        <w:tc>
          <w:tcPr>
            <w:tcW w:w="1842" w:type="dxa"/>
            <w:shd w:val="clear" w:color="auto" w:fill="F2F2F2" w:themeFill="background1" w:themeFillShade="F2"/>
          </w:tcPr>
          <w:p w:rsidR="004372EF" w:rsidRPr="008D1193" w:rsidRDefault="004372EF" w:rsidP="000F54E4">
            <w:pPr>
              <w:jc w:val="center"/>
              <w:rPr>
                <w:rFonts w:cs="Arial"/>
                <w:sz w:val="20"/>
                <w:szCs w:val="20"/>
                <w:lang w:val="fr-FR"/>
              </w:rPr>
            </w:pPr>
            <w:r w:rsidRPr="008D1193">
              <w:rPr>
                <w:rFonts w:cs="Arial"/>
                <w:sz w:val="20"/>
                <w:szCs w:val="20"/>
                <w:lang w:val="fr-FR"/>
              </w:rPr>
              <w:t>4</w:t>
            </w:r>
          </w:p>
          <w:p w:rsidR="004372EF" w:rsidRPr="008D1193" w:rsidRDefault="004372EF" w:rsidP="000F54E4">
            <w:pPr>
              <w:jc w:val="center"/>
              <w:rPr>
                <w:rFonts w:cs="Arial"/>
                <w:sz w:val="20"/>
                <w:szCs w:val="20"/>
                <w:lang w:val="fr-FR"/>
              </w:rPr>
            </w:pPr>
            <w:r w:rsidRPr="008D1193">
              <w:rPr>
                <w:rFonts w:cs="Arial"/>
                <w:sz w:val="20"/>
                <w:szCs w:val="20"/>
                <w:lang w:val="fr-FR"/>
              </w:rPr>
              <w:t>(2008</w:t>
            </w:r>
            <w:r w:rsidR="001E787E" w:rsidRPr="008D1193">
              <w:rPr>
                <w:rFonts w:cs="Arial"/>
                <w:sz w:val="20"/>
                <w:szCs w:val="20"/>
                <w:lang w:val="fr-FR"/>
              </w:rPr>
              <w:noBreakHyphen/>
            </w:r>
            <w:r w:rsidRPr="008D1193">
              <w:rPr>
                <w:rFonts w:cs="Arial"/>
                <w:sz w:val="20"/>
                <w:szCs w:val="20"/>
                <w:lang w:val="fr-FR"/>
              </w:rPr>
              <w:t>2009, 2010</w:t>
            </w:r>
            <w:r w:rsidR="001E787E" w:rsidRPr="008D1193">
              <w:rPr>
                <w:rFonts w:cs="Arial"/>
                <w:sz w:val="20"/>
                <w:szCs w:val="20"/>
                <w:lang w:val="fr-FR"/>
              </w:rPr>
              <w:noBreakHyphen/>
            </w:r>
            <w:r w:rsidRPr="008D1193">
              <w:rPr>
                <w:rFonts w:cs="Arial"/>
                <w:sz w:val="20"/>
                <w:szCs w:val="20"/>
                <w:lang w:val="fr-FR"/>
              </w:rPr>
              <w:t>2011, 2012</w:t>
            </w:r>
            <w:r w:rsidR="001E787E" w:rsidRPr="008D1193">
              <w:rPr>
                <w:rFonts w:cs="Arial"/>
                <w:sz w:val="20"/>
                <w:szCs w:val="20"/>
                <w:lang w:val="fr-FR"/>
              </w:rPr>
              <w:noBreakHyphen/>
            </w:r>
            <w:r w:rsidRPr="008D1193">
              <w:rPr>
                <w:rFonts w:cs="Arial"/>
                <w:sz w:val="20"/>
                <w:szCs w:val="20"/>
                <w:lang w:val="fr-FR"/>
              </w:rPr>
              <w:t>2013, 2014</w:t>
            </w:r>
            <w:r w:rsidR="001E787E" w:rsidRPr="008D1193">
              <w:rPr>
                <w:rFonts w:cs="Arial"/>
                <w:sz w:val="20"/>
                <w:szCs w:val="20"/>
                <w:lang w:val="fr-FR"/>
              </w:rPr>
              <w:noBreakHyphen/>
            </w:r>
            <w:r w:rsidRPr="008D1193">
              <w:rPr>
                <w:rFonts w:cs="Arial"/>
                <w:sz w:val="20"/>
                <w:szCs w:val="20"/>
                <w:lang w:val="fr-FR"/>
              </w:rPr>
              <w:t>2015)</w:t>
            </w:r>
          </w:p>
        </w:tc>
        <w:tc>
          <w:tcPr>
            <w:tcW w:w="3142" w:type="dxa"/>
            <w:shd w:val="clear" w:color="auto" w:fill="F2F2F2" w:themeFill="background1" w:themeFillShade="F2"/>
          </w:tcPr>
          <w:p w:rsidR="004372EF" w:rsidRPr="008D1193" w:rsidRDefault="00E523EB" w:rsidP="00E523EB">
            <w:pPr>
              <w:ind w:right="-108"/>
              <w:rPr>
                <w:rFonts w:cs="Arial"/>
                <w:sz w:val="20"/>
                <w:szCs w:val="20"/>
                <w:lang w:val="fr-FR"/>
              </w:rPr>
            </w:pPr>
            <w:r w:rsidRPr="008D1193">
              <w:rPr>
                <w:rFonts w:cs="Arial"/>
                <w:sz w:val="20"/>
                <w:szCs w:val="20"/>
                <w:lang w:val="fr-FR"/>
              </w:rPr>
              <w:t>Programmes et budgets relatifs aux recommandations du Plan d</w:t>
            </w:r>
            <w:r w:rsidR="00426067" w:rsidRPr="008D1193">
              <w:rPr>
                <w:rFonts w:cs="Arial"/>
                <w:sz w:val="20"/>
                <w:szCs w:val="20"/>
                <w:lang w:val="fr-FR"/>
              </w:rPr>
              <w:t>’</w:t>
            </w:r>
            <w:r w:rsidRPr="008D1193">
              <w:rPr>
                <w:rFonts w:cs="Arial"/>
                <w:sz w:val="20"/>
                <w:szCs w:val="20"/>
                <w:lang w:val="fr-FR"/>
              </w:rPr>
              <w:t>action pour le développement</w:t>
            </w:r>
            <w:r w:rsidR="009846D0" w:rsidRPr="008D1193">
              <w:rPr>
                <w:rFonts w:cs="Arial"/>
                <w:sz w:val="20"/>
                <w:szCs w:val="20"/>
                <w:lang w:val="fr-FR"/>
              </w:rPr>
              <w:t>.</w:t>
            </w:r>
          </w:p>
        </w:tc>
      </w:tr>
      <w:tr w:rsidR="00202EB9" w:rsidRPr="00202EB9" w:rsidTr="004546DF">
        <w:trPr>
          <w:cantSplit/>
        </w:trPr>
        <w:tc>
          <w:tcPr>
            <w:tcW w:w="3217" w:type="dxa"/>
            <w:shd w:val="clear" w:color="auto" w:fill="F2F2F2" w:themeFill="background1" w:themeFillShade="F2"/>
          </w:tcPr>
          <w:p w:rsidR="004372EF" w:rsidRPr="008D1193" w:rsidRDefault="00E523EB" w:rsidP="00502A6F">
            <w:pPr>
              <w:pStyle w:val="ListParagraph"/>
              <w:numPr>
                <w:ilvl w:val="0"/>
                <w:numId w:val="1"/>
              </w:numPr>
              <w:ind w:left="416" w:hanging="457"/>
              <w:rPr>
                <w:rFonts w:cs="Arial"/>
                <w:sz w:val="20"/>
                <w:szCs w:val="20"/>
                <w:lang w:val="fr-FR"/>
              </w:rPr>
            </w:pPr>
            <w:r w:rsidRPr="008D1193">
              <w:rPr>
                <w:rFonts w:cs="Arial"/>
                <w:sz w:val="20"/>
                <w:szCs w:val="20"/>
                <w:lang w:val="fr-FR"/>
              </w:rPr>
              <w:t>Rapports sur l</w:t>
            </w:r>
            <w:r w:rsidR="00426067" w:rsidRPr="008D1193">
              <w:rPr>
                <w:rFonts w:cs="Arial"/>
                <w:sz w:val="20"/>
                <w:szCs w:val="20"/>
                <w:lang w:val="fr-FR"/>
              </w:rPr>
              <w:t>’</w:t>
            </w:r>
            <w:r w:rsidRPr="008D1193">
              <w:rPr>
                <w:rFonts w:cs="Arial"/>
                <w:sz w:val="20"/>
                <w:szCs w:val="20"/>
                <w:lang w:val="fr-FR"/>
              </w:rPr>
              <w:t>exécution du programme</w:t>
            </w:r>
          </w:p>
        </w:tc>
        <w:tc>
          <w:tcPr>
            <w:tcW w:w="1276" w:type="dxa"/>
            <w:shd w:val="clear" w:color="auto" w:fill="F2F2F2" w:themeFill="background1" w:themeFillShade="F2"/>
          </w:tcPr>
          <w:p w:rsidR="004372EF" w:rsidRPr="008D1193" w:rsidRDefault="004372EF" w:rsidP="000F54E4">
            <w:pPr>
              <w:rPr>
                <w:rFonts w:cs="Arial"/>
                <w:sz w:val="20"/>
                <w:szCs w:val="20"/>
                <w:lang w:val="fr-FR"/>
              </w:rPr>
            </w:pPr>
            <w:proofErr w:type="spellStart"/>
            <w:r w:rsidRPr="008D1193">
              <w:rPr>
                <w:rFonts w:cs="Arial"/>
                <w:sz w:val="20"/>
                <w:szCs w:val="20"/>
                <w:lang w:val="fr-FR"/>
              </w:rPr>
              <w:t>CDIP</w:t>
            </w:r>
            <w:proofErr w:type="spellEnd"/>
          </w:p>
        </w:tc>
        <w:tc>
          <w:tcPr>
            <w:tcW w:w="1842" w:type="dxa"/>
            <w:shd w:val="clear" w:color="auto" w:fill="F2F2F2" w:themeFill="background1" w:themeFillShade="F2"/>
          </w:tcPr>
          <w:p w:rsidR="004372EF" w:rsidRPr="008D1193" w:rsidRDefault="004372EF" w:rsidP="000F54E4">
            <w:pPr>
              <w:jc w:val="center"/>
              <w:rPr>
                <w:rFonts w:cs="Arial"/>
                <w:sz w:val="20"/>
                <w:szCs w:val="20"/>
                <w:lang w:val="fr-FR"/>
              </w:rPr>
            </w:pPr>
            <w:r w:rsidRPr="008D1193">
              <w:rPr>
                <w:rFonts w:cs="Arial"/>
                <w:sz w:val="20"/>
                <w:szCs w:val="20"/>
                <w:lang w:val="fr-FR"/>
              </w:rPr>
              <w:t>5</w:t>
            </w:r>
          </w:p>
          <w:p w:rsidR="004372EF" w:rsidRPr="008D1193" w:rsidRDefault="004372EF" w:rsidP="000F54E4">
            <w:pPr>
              <w:jc w:val="center"/>
              <w:rPr>
                <w:rFonts w:cs="Arial"/>
                <w:sz w:val="20"/>
                <w:szCs w:val="20"/>
                <w:lang w:val="fr-FR"/>
              </w:rPr>
            </w:pPr>
            <w:r w:rsidRPr="008D1193">
              <w:rPr>
                <w:rFonts w:cs="Arial"/>
                <w:sz w:val="20"/>
                <w:szCs w:val="20"/>
                <w:lang w:val="fr-FR"/>
              </w:rPr>
              <w:t>(2008</w:t>
            </w:r>
            <w:r w:rsidR="001E787E" w:rsidRPr="008D1193">
              <w:rPr>
                <w:rFonts w:cs="Arial"/>
                <w:sz w:val="20"/>
                <w:szCs w:val="20"/>
                <w:lang w:val="fr-FR"/>
              </w:rPr>
              <w:noBreakHyphen/>
            </w:r>
            <w:r w:rsidRPr="008D1193">
              <w:rPr>
                <w:rFonts w:cs="Arial"/>
                <w:sz w:val="20"/>
                <w:szCs w:val="20"/>
                <w:lang w:val="fr-FR"/>
              </w:rPr>
              <w:t>2009, 2010</w:t>
            </w:r>
            <w:r w:rsidR="001E787E" w:rsidRPr="008D1193">
              <w:rPr>
                <w:rFonts w:cs="Arial"/>
                <w:sz w:val="20"/>
                <w:szCs w:val="20"/>
                <w:lang w:val="fr-FR"/>
              </w:rPr>
              <w:noBreakHyphen/>
            </w:r>
            <w:r w:rsidRPr="008D1193">
              <w:rPr>
                <w:rFonts w:cs="Arial"/>
                <w:sz w:val="20"/>
                <w:szCs w:val="20"/>
                <w:lang w:val="fr-FR"/>
              </w:rPr>
              <w:t>2011, 2012</w:t>
            </w:r>
            <w:r w:rsidR="001E787E" w:rsidRPr="008D1193">
              <w:rPr>
                <w:rFonts w:cs="Arial"/>
                <w:sz w:val="20"/>
                <w:szCs w:val="20"/>
                <w:lang w:val="fr-FR"/>
              </w:rPr>
              <w:noBreakHyphen/>
            </w:r>
            <w:r w:rsidRPr="008D1193">
              <w:rPr>
                <w:rFonts w:cs="Arial"/>
                <w:sz w:val="20"/>
                <w:szCs w:val="20"/>
                <w:lang w:val="fr-FR"/>
              </w:rPr>
              <w:t>2013)</w:t>
            </w:r>
          </w:p>
        </w:tc>
        <w:tc>
          <w:tcPr>
            <w:tcW w:w="3142" w:type="dxa"/>
            <w:shd w:val="clear" w:color="auto" w:fill="F2F2F2" w:themeFill="background1" w:themeFillShade="F2"/>
          </w:tcPr>
          <w:p w:rsidR="004372EF" w:rsidRPr="008D1193" w:rsidRDefault="004661EF" w:rsidP="004661EF">
            <w:pPr>
              <w:ind w:right="-108"/>
              <w:rPr>
                <w:rFonts w:cs="Arial"/>
                <w:sz w:val="20"/>
                <w:szCs w:val="20"/>
                <w:lang w:val="fr-FR"/>
              </w:rPr>
            </w:pPr>
            <w:r w:rsidRPr="008D1193">
              <w:rPr>
                <w:rFonts w:cs="Arial"/>
                <w:sz w:val="20"/>
                <w:szCs w:val="20"/>
                <w:lang w:val="fr-FR"/>
              </w:rPr>
              <w:t>Rap</w:t>
            </w:r>
            <w:r w:rsidR="004372EF" w:rsidRPr="008D1193">
              <w:rPr>
                <w:rFonts w:cs="Arial"/>
                <w:sz w:val="20"/>
                <w:szCs w:val="20"/>
                <w:lang w:val="fr-FR"/>
              </w:rPr>
              <w:t xml:space="preserve">ports </w:t>
            </w:r>
            <w:r w:rsidRPr="008D1193">
              <w:rPr>
                <w:rFonts w:cs="Arial"/>
                <w:sz w:val="20"/>
                <w:szCs w:val="20"/>
                <w:lang w:val="fr-FR"/>
              </w:rPr>
              <w:t>sur divers programmes et leur exécution.</w:t>
            </w:r>
          </w:p>
        </w:tc>
      </w:tr>
      <w:tr w:rsidR="00202EB9" w:rsidRPr="00202EB9" w:rsidTr="004546DF">
        <w:trPr>
          <w:cantSplit/>
        </w:trPr>
        <w:tc>
          <w:tcPr>
            <w:tcW w:w="3217" w:type="dxa"/>
            <w:shd w:val="clear" w:color="auto" w:fill="F2F2F2" w:themeFill="background1" w:themeFillShade="F2"/>
          </w:tcPr>
          <w:p w:rsidR="004372EF" w:rsidRPr="008D1193" w:rsidRDefault="002645FC" w:rsidP="00502A6F">
            <w:pPr>
              <w:pStyle w:val="ListParagraph"/>
              <w:numPr>
                <w:ilvl w:val="0"/>
                <w:numId w:val="1"/>
              </w:numPr>
              <w:ind w:left="416" w:hanging="457"/>
              <w:rPr>
                <w:rFonts w:cs="Arial"/>
                <w:sz w:val="20"/>
                <w:szCs w:val="20"/>
                <w:lang w:val="fr-FR"/>
              </w:rPr>
            </w:pPr>
            <w:r w:rsidRPr="008D1193">
              <w:rPr>
                <w:rFonts w:cs="Arial"/>
                <w:sz w:val="20"/>
                <w:szCs w:val="20"/>
                <w:lang w:val="fr-FR"/>
              </w:rPr>
              <w:t>Procédures budgétaires appliquées et proposées par</w:t>
            </w:r>
            <w:r w:rsidR="00426067" w:rsidRPr="008D1193">
              <w:rPr>
                <w:rFonts w:cs="Arial"/>
                <w:sz w:val="20"/>
                <w:szCs w:val="20"/>
                <w:lang w:val="fr-FR"/>
              </w:rPr>
              <w:t xml:space="preserve"> le </w:t>
            </w:r>
            <w:proofErr w:type="spellStart"/>
            <w:r w:rsidR="00426067" w:rsidRPr="008D1193">
              <w:rPr>
                <w:rFonts w:cs="Arial"/>
                <w:sz w:val="20"/>
                <w:szCs w:val="20"/>
                <w:lang w:val="fr-FR"/>
              </w:rPr>
              <w:t>CDI</w:t>
            </w:r>
            <w:r w:rsidRPr="008D1193">
              <w:rPr>
                <w:rFonts w:cs="Arial"/>
                <w:sz w:val="20"/>
                <w:szCs w:val="20"/>
                <w:lang w:val="fr-FR"/>
              </w:rPr>
              <w:t>P</w:t>
            </w:r>
            <w:proofErr w:type="spellEnd"/>
            <w:r w:rsidRPr="008D1193">
              <w:rPr>
                <w:rFonts w:cs="Arial"/>
                <w:sz w:val="20"/>
                <w:szCs w:val="20"/>
                <w:lang w:val="fr-FR"/>
              </w:rPr>
              <w:t xml:space="preserve"> aux fins de la mise en œuvre des recommandations du Plan d</w:t>
            </w:r>
            <w:r w:rsidR="00426067" w:rsidRPr="008D1193">
              <w:rPr>
                <w:rFonts w:cs="Arial"/>
                <w:sz w:val="20"/>
                <w:szCs w:val="20"/>
                <w:lang w:val="fr-FR"/>
              </w:rPr>
              <w:t>’</w:t>
            </w:r>
            <w:r w:rsidRPr="008D1193">
              <w:rPr>
                <w:rFonts w:cs="Arial"/>
                <w:sz w:val="20"/>
                <w:szCs w:val="20"/>
                <w:lang w:val="fr-FR"/>
              </w:rPr>
              <w:t>action pour le développement</w:t>
            </w:r>
          </w:p>
        </w:tc>
        <w:tc>
          <w:tcPr>
            <w:tcW w:w="1276" w:type="dxa"/>
            <w:shd w:val="clear" w:color="auto" w:fill="F2F2F2" w:themeFill="background1" w:themeFillShade="F2"/>
          </w:tcPr>
          <w:p w:rsidR="004372EF" w:rsidRPr="008D1193" w:rsidRDefault="004372EF" w:rsidP="000F54E4">
            <w:pPr>
              <w:rPr>
                <w:rFonts w:cs="Arial"/>
                <w:sz w:val="20"/>
                <w:szCs w:val="20"/>
                <w:lang w:val="fr-FR"/>
              </w:rPr>
            </w:pPr>
            <w:proofErr w:type="spellStart"/>
            <w:r w:rsidRPr="008D1193">
              <w:rPr>
                <w:rFonts w:cs="Arial"/>
                <w:sz w:val="20"/>
                <w:szCs w:val="20"/>
                <w:lang w:val="fr-FR"/>
              </w:rPr>
              <w:t>CDIP</w:t>
            </w:r>
            <w:proofErr w:type="spellEnd"/>
            <w:r w:rsidRPr="008D1193">
              <w:rPr>
                <w:rFonts w:cs="Arial"/>
                <w:sz w:val="20"/>
                <w:szCs w:val="20"/>
                <w:lang w:val="fr-FR"/>
              </w:rPr>
              <w:t xml:space="preserve"> </w:t>
            </w:r>
            <w:r w:rsidR="00C05D5B" w:rsidRPr="008D1193">
              <w:rPr>
                <w:rFonts w:cs="Arial"/>
                <w:sz w:val="20"/>
                <w:szCs w:val="20"/>
                <w:lang w:val="fr-FR"/>
              </w:rPr>
              <w:t>et AG</w:t>
            </w:r>
          </w:p>
        </w:tc>
        <w:tc>
          <w:tcPr>
            <w:tcW w:w="1842" w:type="dxa"/>
            <w:shd w:val="clear" w:color="auto" w:fill="F2F2F2" w:themeFill="background1" w:themeFillShade="F2"/>
          </w:tcPr>
          <w:p w:rsidR="004372EF" w:rsidRPr="008D1193" w:rsidRDefault="004372EF" w:rsidP="000F54E4">
            <w:pPr>
              <w:jc w:val="center"/>
              <w:rPr>
                <w:rFonts w:cs="Arial"/>
                <w:sz w:val="20"/>
                <w:szCs w:val="20"/>
                <w:lang w:val="fr-FR"/>
              </w:rPr>
            </w:pPr>
            <w:r w:rsidRPr="008D1193">
              <w:rPr>
                <w:rFonts w:cs="Arial"/>
                <w:sz w:val="20"/>
                <w:szCs w:val="20"/>
                <w:lang w:val="fr-FR"/>
              </w:rPr>
              <w:t>1</w:t>
            </w:r>
          </w:p>
          <w:p w:rsidR="004372EF" w:rsidRPr="008D1193" w:rsidRDefault="004372EF" w:rsidP="000F54E4">
            <w:pPr>
              <w:jc w:val="center"/>
              <w:rPr>
                <w:rFonts w:cs="Arial"/>
                <w:sz w:val="20"/>
                <w:szCs w:val="20"/>
                <w:lang w:val="fr-FR"/>
              </w:rPr>
            </w:pPr>
            <w:r w:rsidRPr="008D1193">
              <w:rPr>
                <w:rFonts w:cs="Arial"/>
                <w:sz w:val="20"/>
                <w:szCs w:val="20"/>
                <w:lang w:val="fr-FR"/>
              </w:rPr>
              <w:t>(2008</w:t>
            </w:r>
            <w:r w:rsidR="001E787E" w:rsidRPr="008D1193">
              <w:rPr>
                <w:rFonts w:cs="Arial"/>
                <w:sz w:val="20"/>
                <w:szCs w:val="20"/>
                <w:lang w:val="fr-FR"/>
              </w:rPr>
              <w:noBreakHyphen/>
            </w:r>
            <w:r w:rsidRPr="008D1193">
              <w:rPr>
                <w:rFonts w:cs="Arial"/>
                <w:sz w:val="20"/>
                <w:szCs w:val="20"/>
                <w:lang w:val="fr-FR"/>
              </w:rPr>
              <w:t>2009, 2010</w:t>
            </w:r>
            <w:r w:rsidR="001E787E" w:rsidRPr="008D1193">
              <w:rPr>
                <w:rFonts w:cs="Arial"/>
                <w:sz w:val="20"/>
                <w:szCs w:val="20"/>
                <w:lang w:val="fr-FR"/>
              </w:rPr>
              <w:noBreakHyphen/>
            </w:r>
            <w:r w:rsidRPr="008D1193">
              <w:rPr>
                <w:rFonts w:cs="Arial"/>
                <w:sz w:val="20"/>
                <w:szCs w:val="20"/>
                <w:lang w:val="fr-FR"/>
              </w:rPr>
              <w:t>2011, 2012</w:t>
            </w:r>
            <w:r w:rsidR="001E787E" w:rsidRPr="008D1193">
              <w:rPr>
                <w:rFonts w:cs="Arial"/>
                <w:sz w:val="20"/>
                <w:szCs w:val="20"/>
                <w:lang w:val="fr-FR"/>
              </w:rPr>
              <w:noBreakHyphen/>
            </w:r>
            <w:r w:rsidRPr="008D1193">
              <w:rPr>
                <w:rFonts w:cs="Arial"/>
                <w:sz w:val="20"/>
                <w:szCs w:val="20"/>
                <w:lang w:val="fr-FR"/>
              </w:rPr>
              <w:t>2013, 2014</w:t>
            </w:r>
            <w:r w:rsidR="001E787E" w:rsidRPr="008D1193">
              <w:rPr>
                <w:rFonts w:cs="Arial"/>
                <w:sz w:val="20"/>
                <w:szCs w:val="20"/>
                <w:lang w:val="fr-FR"/>
              </w:rPr>
              <w:noBreakHyphen/>
            </w:r>
            <w:r w:rsidRPr="008D1193">
              <w:rPr>
                <w:rFonts w:cs="Arial"/>
                <w:sz w:val="20"/>
                <w:szCs w:val="20"/>
                <w:lang w:val="fr-FR"/>
              </w:rPr>
              <w:t>2015)</w:t>
            </w:r>
          </w:p>
        </w:tc>
        <w:tc>
          <w:tcPr>
            <w:tcW w:w="3142" w:type="dxa"/>
            <w:shd w:val="clear" w:color="auto" w:fill="F2F2F2" w:themeFill="background1" w:themeFillShade="F2"/>
          </w:tcPr>
          <w:p w:rsidR="004372EF" w:rsidRPr="008D1193" w:rsidRDefault="002645FC" w:rsidP="002645FC">
            <w:pPr>
              <w:ind w:right="-108"/>
              <w:rPr>
                <w:rFonts w:cs="Arial"/>
                <w:sz w:val="20"/>
                <w:szCs w:val="20"/>
                <w:lang w:val="fr-FR"/>
              </w:rPr>
            </w:pPr>
            <w:r w:rsidRPr="008D1193">
              <w:rPr>
                <w:rFonts w:cs="Arial"/>
                <w:sz w:val="20"/>
                <w:szCs w:val="20"/>
                <w:lang w:val="fr-FR"/>
              </w:rPr>
              <w:t>Procédures proposées par</w:t>
            </w:r>
            <w:r w:rsidR="00426067" w:rsidRPr="008D1193">
              <w:rPr>
                <w:rFonts w:cs="Arial"/>
                <w:sz w:val="20"/>
                <w:szCs w:val="20"/>
                <w:lang w:val="fr-FR"/>
              </w:rPr>
              <w:t xml:space="preserve"> le </w:t>
            </w:r>
            <w:proofErr w:type="spellStart"/>
            <w:r w:rsidR="00426067" w:rsidRPr="008D1193">
              <w:rPr>
                <w:rFonts w:cs="Arial"/>
                <w:sz w:val="20"/>
                <w:szCs w:val="20"/>
                <w:lang w:val="fr-FR"/>
              </w:rPr>
              <w:t>CDI</w:t>
            </w:r>
            <w:r w:rsidR="004372EF" w:rsidRPr="008D1193">
              <w:rPr>
                <w:rFonts w:cs="Arial"/>
                <w:sz w:val="20"/>
                <w:szCs w:val="20"/>
                <w:lang w:val="fr-FR"/>
              </w:rPr>
              <w:t>P</w:t>
            </w:r>
            <w:proofErr w:type="spellEnd"/>
            <w:r w:rsidRPr="008D1193">
              <w:rPr>
                <w:rFonts w:cs="Arial"/>
                <w:sz w:val="20"/>
                <w:szCs w:val="20"/>
                <w:lang w:val="fr-FR"/>
              </w:rPr>
              <w:t>.</w:t>
            </w:r>
          </w:p>
        </w:tc>
      </w:tr>
      <w:tr w:rsidR="00202EB9" w:rsidRPr="00202EB9" w:rsidTr="004546DF">
        <w:trPr>
          <w:cantSplit/>
        </w:trPr>
        <w:tc>
          <w:tcPr>
            <w:tcW w:w="3217" w:type="dxa"/>
            <w:shd w:val="clear" w:color="auto" w:fill="F2F2F2" w:themeFill="background1" w:themeFillShade="F2"/>
          </w:tcPr>
          <w:p w:rsidR="004372EF" w:rsidRPr="008D1193" w:rsidRDefault="000C7C02" w:rsidP="00502A6F">
            <w:pPr>
              <w:pStyle w:val="ListParagraph"/>
              <w:numPr>
                <w:ilvl w:val="0"/>
                <w:numId w:val="1"/>
              </w:numPr>
              <w:ind w:left="416" w:hanging="457"/>
              <w:rPr>
                <w:rFonts w:cs="Arial"/>
                <w:sz w:val="20"/>
                <w:szCs w:val="20"/>
                <w:lang w:val="fr-FR"/>
              </w:rPr>
            </w:pPr>
            <w:r w:rsidRPr="008D1193">
              <w:rPr>
                <w:rFonts w:cs="Arial"/>
                <w:sz w:val="20"/>
                <w:szCs w:val="20"/>
                <w:lang w:val="fr-FR"/>
              </w:rPr>
              <w:t>Mécanisme de coordination et modalités de suivi, d</w:t>
            </w:r>
            <w:r w:rsidR="00426067" w:rsidRPr="008D1193">
              <w:rPr>
                <w:rFonts w:cs="Arial"/>
                <w:sz w:val="20"/>
                <w:szCs w:val="20"/>
                <w:lang w:val="fr-FR"/>
              </w:rPr>
              <w:t>’</w:t>
            </w:r>
            <w:r w:rsidRPr="008D1193">
              <w:rPr>
                <w:rFonts w:cs="Arial"/>
                <w:sz w:val="20"/>
                <w:szCs w:val="20"/>
                <w:lang w:val="fr-FR"/>
              </w:rPr>
              <w:t>évaluation et d</w:t>
            </w:r>
            <w:r w:rsidR="00426067" w:rsidRPr="008D1193">
              <w:rPr>
                <w:rFonts w:cs="Arial"/>
                <w:sz w:val="20"/>
                <w:szCs w:val="20"/>
                <w:lang w:val="fr-FR"/>
              </w:rPr>
              <w:t>’</w:t>
            </w:r>
            <w:r w:rsidRPr="008D1193">
              <w:rPr>
                <w:rFonts w:cs="Arial"/>
                <w:sz w:val="20"/>
                <w:szCs w:val="20"/>
                <w:lang w:val="fr-FR"/>
              </w:rPr>
              <w:t>établissement de rapports</w:t>
            </w:r>
          </w:p>
        </w:tc>
        <w:tc>
          <w:tcPr>
            <w:tcW w:w="1276" w:type="dxa"/>
            <w:shd w:val="clear" w:color="auto" w:fill="F2F2F2" w:themeFill="background1" w:themeFillShade="F2"/>
          </w:tcPr>
          <w:p w:rsidR="004372EF" w:rsidRPr="008D1193" w:rsidRDefault="00C05D5B" w:rsidP="000F54E4">
            <w:pPr>
              <w:rPr>
                <w:rFonts w:cs="Arial"/>
                <w:sz w:val="20"/>
                <w:szCs w:val="20"/>
                <w:lang w:val="fr-FR"/>
              </w:rPr>
            </w:pPr>
            <w:r w:rsidRPr="008D1193">
              <w:rPr>
                <w:rFonts w:cs="Arial"/>
                <w:sz w:val="20"/>
                <w:szCs w:val="20"/>
                <w:lang w:val="fr-FR"/>
              </w:rPr>
              <w:t>AG</w:t>
            </w:r>
          </w:p>
        </w:tc>
        <w:tc>
          <w:tcPr>
            <w:tcW w:w="1842" w:type="dxa"/>
            <w:shd w:val="clear" w:color="auto" w:fill="F2F2F2" w:themeFill="background1" w:themeFillShade="F2"/>
          </w:tcPr>
          <w:p w:rsidR="004372EF" w:rsidRPr="008D1193" w:rsidRDefault="004372EF" w:rsidP="000F54E4">
            <w:pPr>
              <w:jc w:val="center"/>
              <w:rPr>
                <w:rFonts w:cs="Arial"/>
                <w:sz w:val="20"/>
                <w:szCs w:val="20"/>
                <w:lang w:val="fr-FR"/>
              </w:rPr>
            </w:pPr>
            <w:r w:rsidRPr="008D1193">
              <w:rPr>
                <w:rFonts w:cs="Arial"/>
                <w:sz w:val="20"/>
                <w:szCs w:val="20"/>
                <w:lang w:val="fr-FR"/>
              </w:rPr>
              <w:t>1</w:t>
            </w:r>
          </w:p>
          <w:p w:rsidR="004372EF" w:rsidRPr="008D1193" w:rsidRDefault="004372EF" w:rsidP="000F54E4">
            <w:pPr>
              <w:jc w:val="center"/>
              <w:rPr>
                <w:rFonts w:cs="Arial"/>
                <w:sz w:val="20"/>
                <w:szCs w:val="20"/>
                <w:lang w:val="fr-FR"/>
              </w:rPr>
            </w:pPr>
            <w:r w:rsidRPr="008D1193">
              <w:rPr>
                <w:rFonts w:cs="Arial"/>
                <w:sz w:val="20"/>
                <w:szCs w:val="20"/>
                <w:lang w:val="fr-FR"/>
              </w:rPr>
              <w:t>(2007)</w:t>
            </w:r>
          </w:p>
        </w:tc>
        <w:tc>
          <w:tcPr>
            <w:tcW w:w="3142" w:type="dxa"/>
            <w:shd w:val="clear" w:color="auto" w:fill="F2F2F2" w:themeFill="background1" w:themeFillShade="F2"/>
          </w:tcPr>
          <w:p w:rsidR="004372EF" w:rsidRPr="008D1193" w:rsidRDefault="000C7C02" w:rsidP="00E73F60">
            <w:pPr>
              <w:ind w:right="-108"/>
              <w:rPr>
                <w:rFonts w:cs="Arial"/>
                <w:sz w:val="20"/>
                <w:szCs w:val="20"/>
                <w:lang w:val="fr-FR"/>
              </w:rPr>
            </w:pPr>
            <w:r w:rsidRPr="008D1193">
              <w:rPr>
                <w:rFonts w:cs="Arial"/>
                <w:sz w:val="20"/>
                <w:szCs w:val="20"/>
                <w:lang w:val="fr-FR"/>
              </w:rPr>
              <w:t>Dé</w:t>
            </w:r>
            <w:r w:rsidR="004372EF" w:rsidRPr="008D1193">
              <w:rPr>
                <w:rFonts w:cs="Arial"/>
                <w:sz w:val="20"/>
                <w:szCs w:val="20"/>
                <w:lang w:val="fr-FR"/>
              </w:rPr>
              <w:t xml:space="preserve">cision </w:t>
            </w:r>
            <w:r w:rsidRPr="008D1193">
              <w:rPr>
                <w:rFonts w:cs="Arial"/>
                <w:sz w:val="20"/>
                <w:szCs w:val="20"/>
                <w:lang w:val="fr-FR"/>
              </w:rPr>
              <w:t>de l</w:t>
            </w:r>
            <w:r w:rsidR="00426067" w:rsidRPr="008D1193">
              <w:rPr>
                <w:rFonts w:cs="Arial"/>
                <w:sz w:val="20"/>
                <w:szCs w:val="20"/>
                <w:lang w:val="fr-FR"/>
              </w:rPr>
              <w:t>’</w:t>
            </w:r>
            <w:r w:rsidRPr="008D1193">
              <w:rPr>
                <w:rFonts w:cs="Arial"/>
                <w:sz w:val="20"/>
                <w:szCs w:val="20"/>
                <w:lang w:val="fr-FR"/>
              </w:rPr>
              <w:t>A</w:t>
            </w:r>
            <w:r w:rsidR="00E73F60" w:rsidRPr="008D1193">
              <w:rPr>
                <w:rFonts w:cs="Arial"/>
                <w:sz w:val="20"/>
                <w:szCs w:val="20"/>
                <w:lang w:val="fr-FR"/>
              </w:rPr>
              <w:t>ssemblée générale</w:t>
            </w:r>
            <w:r w:rsidRPr="008D1193">
              <w:rPr>
                <w:rFonts w:cs="Arial"/>
                <w:sz w:val="20"/>
                <w:szCs w:val="20"/>
                <w:lang w:val="fr-FR"/>
              </w:rPr>
              <w:t>.</w:t>
            </w:r>
          </w:p>
        </w:tc>
      </w:tr>
    </w:tbl>
    <w:p w:rsidR="004372EF" w:rsidRPr="00202EB9" w:rsidRDefault="004372EF" w:rsidP="00F3224E">
      <w:pPr>
        <w:rPr>
          <w:rFonts w:cs="Arial"/>
          <w:lang w:val="fr-FR"/>
        </w:rPr>
      </w:pPr>
    </w:p>
    <w:p w:rsidR="00D661A2" w:rsidRPr="00202EB9" w:rsidRDefault="001B4D79" w:rsidP="00F3224E">
      <w:pPr>
        <w:pStyle w:val="Heading4"/>
        <w:rPr>
          <w:szCs w:val="22"/>
          <w:lang w:val="fr-FR"/>
        </w:rPr>
      </w:pPr>
      <w:r w:rsidRPr="00202EB9">
        <w:rPr>
          <w:szCs w:val="22"/>
          <w:lang w:val="fr-FR"/>
        </w:rPr>
        <w:t>Données primaires</w:t>
      </w:r>
    </w:p>
    <w:p w:rsidR="004372EF" w:rsidRPr="00202EB9" w:rsidRDefault="005D764C" w:rsidP="00F3224E">
      <w:pPr>
        <w:pStyle w:val="Heading4"/>
        <w:rPr>
          <w:szCs w:val="22"/>
          <w:lang w:val="fr-FR"/>
        </w:rPr>
      </w:pPr>
      <w:r w:rsidRPr="00202EB9">
        <w:rPr>
          <w:szCs w:val="22"/>
          <w:lang w:val="fr-FR"/>
        </w:rPr>
        <w:t>Entretiens avec des fonctionnaires de l</w:t>
      </w:r>
      <w:r w:rsidR="00426067" w:rsidRPr="00202EB9">
        <w:rPr>
          <w:szCs w:val="22"/>
          <w:lang w:val="fr-FR"/>
        </w:rPr>
        <w:t>’</w:t>
      </w:r>
      <w:r w:rsidRPr="00202EB9">
        <w:rPr>
          <w:szCs w:val="22"/>
          <w:lang w:val="fr-FR"/>
        </w:rPr>
        <w:t>OMPI et certains chefs de projet</w:t>
      </w:r>
    </w:p>
    <w:p w:rsidR="00F3224E" w:rsidRPr="00202EB9" w:rsidRDefault="00F3224E" w:rsidP="00F3224E">
      <w:pPr>
        <w:rPr>
          <w:rFonts w:cs="Arial"/>
          <w:lang w:val="fr-FR" w:eastAsia="zh-CN" w:bidi="ar-SA"/>
        </w:rPr>
      </w:pPr>
    </w:p>
    <w:p w:rsidR="004372EF" w:rsidRPr="00202EB9" w:rsidRDefault="005D764C" w:rsidP="00F3224E">
      <w:pPr>
        <w:pStyle w:val="ONUMFS"/>
        <w:rPr>
          <w:szCs w:val="22"/>
          <w:lang w:val="fr-FR"/>
        </w:rPr>
      </w:pPr>
      <w:r w:rsidRPr="00202EB9">
        <w:rPr>
          <w:szCs w:val="22"/>
          <w:lang w:val="fr-FR"/>
        </w:rPr>
        <w:t xml:space="preserve">En mai, septembre et </w:t>
      </w:r>
      <w:r w:rsidR="00426067" w:rsidRPr="00202EB9">
        <w:rPr>
          <w:szCs w:val="22"/>
          <w:lang w:val="fr-FR"/>
        </w:rPr>
        <w:t>novembre 20</w:t>
      </w:r>
      <w:r w:rsidRPr="00202EB9">
        <w:rPr>
          <w:szCs w:val="22"/>
          <w:lang w:val="fr-FR"/>
        </w:rPr>
        <w:t>15</w:t>
      </w:r>
      <w:r w:rsidR="00BC0443" w:rsidRPr="00202EB9">
        <w:rPr>
          <w:szCs w:val="22"/>
          <w:lang w:val="fr-FR"/>
        </w:rPr>
        <w:t>, l</w:t>
      </w:r>
      <w:r w:rsidR="00426067" w:rsidRPr="00202EB9">
        <w:rPr>
          <w:szCs w:val="22"/>
          <w:lang w:val="fr-FR"/>
        </w:rPr>
        <w:t>’</w:t>
      </w:r>
      <w:r w:rsidRPr="00202EB9">
        <w:rPr>
          <w:szCs w:val="22"/>
          <w:lang w:val="fr-FR"/>
        </w:rPr>
        <w:t>équipe chargée de l</w:t>
      </w:r>
      <w:r w:rsidR="00426067" w:rsidRPr="00202EB9">
        <w:rPr>
          <w:szCs w:val="22"/>
          <w:lang w:val="fr-FR"/>
        </w:rPr>
        <w:t>’</w:t>
      </w:r>
      <w:r w:rsidRPr="00202EB9">
        <w:rPr>
          <w:szCs w:val="22"/>
          <w:lang w:val="fr-FR"/>
        </w:rPr>
        <w:t>étude s</w:t>
      </w:r>
      <w:r w:rsidR="00426067" w:rsidRPr="00202EB9">
        <w:rPr>
          <w:szCs w:val="22"/>
          <w:lang w:val="fr-FR"/>
        </w:rPr>
        <w:t>’</w:t>
      </w:r>
      <w:r w:rsidRPr="00202EB9">
        <w:rPr>
          <w:szCs w:val="22"/>
          <w:lang w:val="fr-FR"/>
        </w:rPr>
        <w:t>est rendue à Genève</w:t>
      </w:r>
      <w:r w:rsidR="00BC0443" w:rsidRPr="00202EB9">
        <w:rPr>
          <w:szCs w:val="22"/>
          <w:lang w:val="fr-FR"/>
        </w:rPr>
        <w:t>, où elle a eu des entretiens et des échanges de vues avec</w:t>
      </w:r>
      <w:r w:rsidR="0089592E" w:rsidRPr="00202EB9">
        <w:rPr>
          <w:szCs w:val="22"/>
          <w:lang w:val="fr-FR"/>
        </w:rPr>
        <w:t xml:space="preserve"> des </w:t>
      </w:r>
      <w:r w:rsidR="00E94D4F" w:rsidRPr="00202EB9">
        <w:rPr>
          <w:szCs w:val="22"/>
          <w:lang w:val="fr-FR"/>
        </w:rPr>
        <w:t xml:space="preserve">fonctionnaires </w:t>
      </w:r>
      <w:r w:rsidR="008E0449" w:rsidRPr="00202EB9">
        <w:rPr>
          <w:szCs w:val="22"/>
          <w:lang w:val="fr-FR"/>
        </w:rPr>
        <w:t>concernés par la mise en œuvre des recommandations du Plan d</w:t>
      </w:r>
      <w:r w:rsidR="00426067" w:rsidRPr="00202EB9">
        <w:rPr>
          <w:szCs w:val="22"/>
          <w:lang w:val="fr-FR"/>
        </w:rPr>
        <w:t>’</w:t>
      </w:r>
      <w:r w:rsidR="008E0449" w:rsidRPr="00202EB9">
        <w:rPr>
          <w:szCs w:val="22"/>
          <w:lang w:val="fr-FR"/>
        </w:rPr>
        <w:t>action pour le développeme</w:t>
      </w:r>
      <w:r w:rsidR="001E787E" w:rsidRPr="00202EB9">
        <w:rPr>
          <w:szCs w:val="22"/>
          <w:lang w:val="fr-FR"/>
        </w:rPr>
        <w:t>nt.  Ce</w:t>
      </w:r>
      <w:r w:rsidR="0089592E" w:rsidRPr="00202EB9">
        <w:rPr>
          <w:szCs w:val="22"/>
          <w:lang w:val="fr-FR"/>
        </w:rPr>
        <w:t>s derniers représentaient un échantillon largement diversifié</w:t>
      </w:r>
      <w:r w:rsidR="0070037F" w:rsidRPr="00202EB9">
        <w:rPr>
          <w:szCs w:val="22"/>
          <w:lang w:val="fr-FR"/>
        </w:rPr>
        <w:t>,</w:t>
      </w:r>
      <w:r w:rsidR="0089592E" w:rsidRPr="00202EB9">
        <w:rPr>
          <w:szCs w:val="22"/>
          <w:lang w:val="fr-FR"/>
        </w:rPr>
        <w:t xml:space="preserve"> comprenant notamment des fonctionnaires ayant contribué à la préparation de l</w:t>
      </w:r>
      <w:r w:rsidR="00426067" w:rsidRPr="00202EB9">
        <w:rPr>
          <w:szCs w:val="22"/>
          <w:lang w:val="fr-FR"/>
        </w:rPr>
        <w:t>’</w:t>
      </w:r>
      <w:r w:rsidR="0089592E" w:rsidRPr="00202EB9">
        <w:rPr>
          <w:szCs w:val="22"/>
          <w:lang w:val="fr-FR"/>
        </w:rPr>
        <w:t xml:space="preserve">étude, </w:t>
      </w:r>
      <w:r w:rsidR="00512CF4" w:rsidRPr="00202EB9">
        <w:rPr>
          <w:szCs w:val="22"/>
          <w:lang w:val="fr-FR"/>
        </w:rPr>
        <w:t>des directeurs de projet et des fonctionnaires impliqués dans la mise en œuvre de projets entrepris dans le contexte</w:t>
      </w:r>
      <w:r w:rsidR="00426067" w:rsidRPr="00202EB9">
        <w:rPr>
          <w:szCs w:val="22"/>
          <w:lang w:val="fr-FR"/>
        </w:rPr>
        <w:t xml:space="preserve"> du </w:t>
      </w:r>
      <w:proofErr w:type="spellStart"/>
      <w:r w:rsidR="00426067" w:rsidRPr="00202EB9">
        <w:rPr>
          <w:szCs w:val="22"/>
          <w:lang w:val="fr-FR"/>
        </w:rPr>
        <w:t>C</w:t>
      </w:r>
      <w:r w:rsidR="001E787E" w:rsidRPr="00202EB9">
        <w:rPr>
          <w:szCs w:val="22"/>
          <w:lang w:val="fr-FR"/>
        </w:rPr>
        <w:t>DIP</w:t>
      </w:r>
      <w:proofErr w:type="spellEnd"/>
      <w:r w:rsidR="001E787E" w:rsidRPr="00202EB9">
        <w:rPr>
          <w:szCs w:val="22"/>
          <w:lang w:val="fr-FR"/>
        </w:rPr>
        <w:t>.  Un</w:t>
      </w:r>
      <w:r w:rsidR="003A33D1" w:rsidRPr="00202EB9">
        <w:rPr>
          <w:szCs w:val="22"/>
          <w:lang w:val="fr-FR"/>
        </w:rPr>
        <w:t xml:space="preserve"> certain nombre de</w:t>
      </w:r>
      <w:r w:rsidR="004A5EAE" w:rsidRPr="00202EB9">
        <w:rPr>
          <w:szCs w:val="22"/>
          <w:lang w:val="fr-FR"/>
        </w:rPr>
        <w:t xml:space="preserve"> ces entrevues </w:t>
      </w:r>
      <w:r w:rsidR="003A33D1" w:rsidRPr="00202EB9">
        <w:rPr>
          <w:szCs w:val="22"/>
          <w:lang w:val="fr-FR"/>
        </w:rPr>
        <w:t>se sont tenues en présence des trois</w:t>
      </w:r>
      <w:r w:rsidR="00E15713" w:rsidRPr="00202EB9">
        <w:rPr>
          <w:szCs w:val="22"/>
          <w:lang w:val="fr-FR"/>
        </w:rPr>
        <w:t> </w:t>
      </w:r>
      <w:r w:rsidR="003A33D1" w:rsidRPr="00202EB9">
        <w:rPr>
          <w:szCs w:val="22"/>
          <w:lang w:val="fr-FR"/>
        </w:rPr>
        <w:t>membres de l</w:t>
      </w:r>
      <w:r w:rsidR="00426067" w:rsidRPr="00202EB9">
        <w:rPr>
          <w:szCs w:val="22"/>
          <w:lang w:val="fr-FR"/>
        </w:rPr>
        <w:t>’</w:t>
      </w:r>
      <w:r w:rsidR="003A33D1" w:rsidRPr="00202EB9">
        <w:rPr>
          <w:szCs w:val="22"/>
          <w:lang w:val="fr-FR"/>
        </w:rPr>
        <w:t>équipe</w:t>
      </w:r>
      <w:r w:rsidR="00512CF4" w:rsidRPr="00202EB9">
        <w:rPr>
          <w:szCs w:val="22"/>
          <w:lang w:val="fr-FR"/>
        </w:rPr>
        <w:t xml:space="preserve"> </w:t>
      </w:r>
      <w:r w:rsidR="003A33D1" w:rsidRPr="00202EB9">
        <w:rPr>
          <w:szCs w:val="22"/>
          <w:lang w:val="fr-FR"/>
        </w:rPr>
        <w:t>chargée de l</w:t>
      </w:r>
      <w:r w:rsidR="00426067" w:rsidRPr="00202EB9">
        <w:rPr>
          <w:szCs w:val="22"/>
          <w:lang w:val="fr-FR"/>
        </w:rPr>
        <w:t>’</w:t>
      </w:r>
      <w:r w:rsidR="003A33D1" w:rsidRPr="00202EB9">
        <w:rPr>
          <w:szCs w:val="22"/>
          <w:lang w:val="fr-FR"/>
        </w:rPr>
        <w:t>étude, tandis que d</w:t>
      </w:r>
      <w:r w:rsidR="00426067" w:rsidRPr="00202EB9">
        <w:rPr>
          <w:szCs w:val="22"/>
          <w:lang w:val="fr-FR"/>
        </w:rPr>
        <w:t>’</w:t>
      </w:r>
      <w:r w:rsidR="003A33D1" w:rsidRPr="00202EB9">
        <w:rPr>
          <w:szCs w:val="22"/>
          <w:lang w:val="fr-FR"/>
        </w:rPr>
        <w:t>autres</w:t>
      </w:r>
      <w:r w:rsidR="004A5EAE" w:rsidRPr="00202EB9">
        <w:rPr>
          <w:szCs w:val="22"/>
          <w:lang w:val="fr-FR"/>
        </w:rPr>
        <w:t xml:space="preserve"> ont pris la forme d</w:t>
      </w:r>
      <w:r w:rsidR="00426067" w:rsidRPr="00202EB9">
        <w:rPr>
          <w:szCs w:val="22"/>
          <w:lang w:val="fr-FR"/>
        </w:rPr>
        <w:t>’</w:t>
      </w:r>
      <w:r w:rsidR="004A5EAE" w:rsidRPr="00202EB9">
        <w:rPr>
          <w:szCs w:val="22"/>
          <w:lang w:val="fr-FR"/>
        </w:rPr>
        <w:t>entretiens en tête</w:t>
      </w:r>
      <w:r w:rsidR="001E787E" w:rsidRPr="00202EB9">
        <w:rPr>
          <w:szCs w:val="22"/>
          <w:lang w:val="fr-FR"/>
        </w:rPr>
        <w:noBreakHyphen/>
      </w:r>
      <w:r w:rsidR="004A5EAE" w:rsidRPr="00202EB9">
        <w:rPr>
          <w:szCs w:val="22"/>
          <w:lang w:val="fr-FR"/>
        </w:rPr>
        <w:t>à</w:t>
      </w:r>
      <w:r w:rsidR="001E787E" w:rsidRPr="00202EB9">
        <w:rPr>
          <w:szCs w:val="22"/>
          <w:lang w:val="fr-FR"/>
        </w:rPr>
        <w:noBreakHyphen/>
      </w:r>
      <w:r w:rsidR="004A5EAE" w:rsidRPr="00202EB9">
        <w:rPr>
          <w:szCs w:val="22"/>
          <w:lang w:val="fr-FR"/>
        </w:rPr>
        <w:t>tê</w:t>
      </w:r>
      <w:r w:rsidR="001E787E" w:rsidRPr="00202EB9">
        <w:rPr>
          <w:szCs w:val="22"/>
          <w:lang w:val="fr-FR"/>
        </w:rPr>
        <w:t>te.  To</w:t>
      </w:r>
      <w:r w:rsidR="00A0672A" w:rsidRPr="00202EB9">
        <w:rPr>
          <w:szCs w:val="22"/>
          <w:lang w:val="fr-FR"/>
        </w:rPr>
        <w:t>utes ont porté sur les questions clés de l</w:t>
      </w:r>
      <w:r w:rsidR="00426067" w:rsidRPr="00202EB9">
        <w:rPr>
          <w:szCs w:val="22"/>
          <w:lang w:val="fr-FR"/>
        </w:rPr>
        <w:t>’</w:t>
      </w:r>
      <w:r w:rsidR="00A0672A" w:rsidRPr="00202EB9">
        <w:rPr>
          <w:szCs w:val="22"/>
          <w:lang w:val="fr-FR"/>
        </w:rPr>
        <w:t xml:space="preserve">étude, </w:t>
      </w:r>
      <w:r w:rsidR="00426067" w:rsidRPr="00202EB9">
        <w:rPr>
          <w:szCs w:val="22"/>
          <w:lang w:val="fr-FR"/>
        </w:rPr>
        <w:t>à savoir</w:t>
      </w:r>
      <w:r w:rsidR="00A0672A" w:rsidRPr="00202EB9">
        <w:rPr>
          <w:szCs w:val="22"/>
          <w:lang w:val="fr-FR"/>
        </w:rPr>
        <w:t xml:space="preserve"> la pertinence, l</w:t>
      </w:r>
      <w:r w:rsidR="00426067" w:rsidRPr="00202EB9">
        <w:rPr>
          <w:szCs w:val="22"/>
          <w:lang w:val="fr-FR"/>
        </w:rPr>
        <w:t>’</w:t>
      </w:r>
      <w:r w:rsidR="00A0672A" w:rsidRPr="00202EB9">
        <w:rPr>
          <w:szCs w:val="22"/>
          <w:lang w:val="fr-FR"/>
        </w:rPr>
        <w:t>efficacité, l</w:t>
      </w:r>
      <w:r w:rsidR="00426067" w:rsidRPr="00202EB9">
        <w:rPr>
          <w:szCs w:val="22"/>
          <w:lang w:val="fr-FR"/>
        </w:rPr>
        <w:t>’</w:t>
      </w:r>
      <w:r w:rsidR="00A0672A" w:rsidRPr="00202EB9">
        <w:rPr>
          <w:szCs w:val="22"/>
          <w:lang w:val="fr-FR"/>
        </w:rPr>
        <w:t>efficience, l</w:t>
      </w:r>
      <w:r w:rsidR="00426067" w:rsidRPr="00202EB9">
        <w:rPr>
          <w:szCs w:val="22"/>
          <w:lang w:val="fr-FR"/>
        </w:rPr>
        <w:t>’</w:t>
      </w:r>
      <w:r w:rsidR="00A0672A" w:rsidRPr="00202EB9">
        <w:rPr>
          <w:szCs w:val="22"/>
          <w:lang w:val="fr-FR"/>
        </w:rPr>
        <w:t>impact et la durabili</w:t>
      </w:r>
      <w:r w:rsidR="001E787E" w:rsidRPr="00202EB9">
        <w:rPr>
          <w:szCs w:val="22"/>
          <w:lang w:val="fr-FR"/>
        </w:rPr>
        <w:t>té.  La</w:t>
      </w:r>
      <w:r w:rsidR="00A0672A" w:rsidRPr="00202EB9">
        <w:rPr>
          <w:szCs w:val="22"/>
          <w:lang w:val="fr-FR"/>
        </w:rPr>
        <w:t xml:space="preserve"> liste complète des personnes interrogées par l</w:t>
      </w:r>
      <w:r w:rsidR="00426067" w:rsidRPr="00202EB9">
        <w:rPr>
          <w:szCs w:val="22"/>
          <w:lang w:val="fr-FR"/>
        </w:rPr>
        <w:t>’</w:t>
      </w:r>
      <w:r w:rsidR="00A0672A" w:rsidRPr="00202EB9">
        <w:rPr>
          <w:szCs w:val="22"/>
          <w:lang w:val="fr-FR"/>
        </w:rPr>
        <w:t>équipe chargée de l</w:t>
      </w:r>
      <w:r w:rsidR="00426067" w:rsidRPr="00202EB9">
        <w:rPr>
          <w:szCs w:val="22"/>
          <w:lang w:val="fr-FR"/>
        </w:rPr>
        <w:t>’</w:t>
      </w:r>
      <w:r w:rsidR="00A0672A" w:rsidRPr="00202EB9">
        <w:rPr>
          <w:szCs w:val="22"/>
          <w:lang w:val="fr-FR"/>
        </w:rPr>
        <w:t>étude</w:t>
      </w:r>
      <w:r w:rsidR="00E34FEB" w:rsidRPr="00202EB9">
        <w:rPr>
          <w:szCs w:val="22"/>
          <w:lang w:val="fr-FR"/>
        </w:rPr>
        <w:t xml:space="preserve"> – </w:t>
      </w:r>
      <w:r w:rsidR="00426067" w:rsidRPr="00202EB9">
        <w:rPr>
          <w:szCs w:val="22"/>
          <w:lang w:val="fr-FR"/>
        </w:rPr>
        <w:t>y compris</w:t>
      </w:r>
      <w:r w:rsidR="00E34FEB" w:rsidRPr="00202EB9">
        <w:rPr>
          <w:szCs w:val="22"/>
          <w:lang w:val="fr-FR"/>
        </w:rPr>
        <w:t xml:space="preserve"> les fonctionnaires de l</w:t>
      </w:r>
      <w:r w:rsidR="00426067" w:rsidRPr="00202EB9">
        <w:rPr>
          <w:szCs w:val="22"/>
          <w:lang w:val="fr-FR"/>
        </w:rPr>
        <w:t>’</w:t>
      </w:r>
      <w:r w:rsidR="00E34FEB" w:rsidRPr="00202EB9">
        <w:rPr>
          <w:szCs w:val="22"/>
          <w:lang w:val="fr-FR"/>
        </w:rPr>
        <w:t>OMPI –</w:t>
      </w:r>
      <w:r w:rsidR="00A0672A" w:rsidRPr="00202EB9">
        <w:rPr>
          <w:szCs w:val="22"/>
          <w:lang w:val="fr-FR"/>
        </w:rPr>
        <w:t xml:space="preserve"> </w:t>
      </w:r>
      <w:r w:rsidR="00E34FEB" w:rsidRPr="00202EB9">
        <w:rPr>
          <w:szCs w:val="22"/>
          <w:lang w:val="fr-FR"/>
        </w:rPr>
        <w:t>est reproduite à l</w:t>
      </w:r>
      <w:r w:rsidR="00426067" w:rsidRPr="00202EB9">
        <w:rPr>
          <w:szCs w:val="22"/>
          <w:lang w:val="fr-FR"/>
        </w:rPr>
        <w:t>’</w:t>
      </w:r>
      <w:r w:rsidR="00E34FEB" w:rsidRPr="00202EB9">
        <w:rPr>
          <w:szCs w:val="22"/>
          <w:lang w:val="fr-FR"/>
        </w:rPr>
        <w:t>annexe</w:t>
      </w:r>
      <w:r w:rsidR="00E15713" w:rsidRPr="00202EB9">
        <w:rPr>
          <w:szCs w:val="22"/>
          <w:lang w:val="fr-FR"/>
        </w:rPr>
        <w:t> </w:t>
      </w:r>
      <w:r w:rsidR="00E34FEB" w:rsidRPr="00202EB9">
        <w:rPr>
          <w:szCs w:val="22"/>
          <w:lang w:val="fr-FR"/>
        </w:rPr>
        <w:t>B.</w:t>
      </w:r>
    </w:p>
    <w:p w:rsidR="004372EF" w:rsidRPr="00202EB9" w:rsidRDefault="00CB0741" w:rsidP="00F3224E">
      <w:pPr>
        <w:pStyle w:val="ONUMFS"/>
        <w:rPr>
          <w:szCs w:val="22"/>
          <w:lang w:val="fr-FR"/>
        </w:rPr>
      </w:pPr>
      <w:r w:rsidRPr="00202EB9">
        <w:rPr>
          <w:szCs w:val="22"/>
          <w:lang w:val="fr-FR"/>
        </w:rPr>
        <w:t>D</w:t>
      </w:r>
      <w:r w:rsidR="00426067" w:rsidRPr="00202EB9">
        <w:rPr>
          <w:szCs w:val="22"/>
          <w:lang w:val="fr-FR"/>
        </w:rPr>
        <w:t>’</w:t>
      </w:r>
      <w:r w:rsidRPr="00202EB9">
        <w:rPr>
          <w:szCs w:val="22"/>
          <w:lang w:val="fr-FR"/>
        </w:rPr>
        <w:t>importantes informations ont pu être recueillies grâce à ces entretiens en ce qui concerne l</w:t>
      </w:r>
      <w:r w:rsidR="00426067" w:rsidRPr="00202EB9">
        <w:rPr>
          <w:szCs w:val="22"/>
          <w:lang w:val="fr-FR"/>
        </w:rPr>
        <w:t>’</w:t>
      </w:r>
      <w:r w:rsidRPr="00202EB9">
        <w:rPr>
          <w:szCs w:val="22"/>
          <w:lang w:val="fr-FR"/>
        </w:rPr>
        <w:t>importance des ressources humaines et financières consacrées à la mise en œuvre des recommandations du Plan d</w:t>
      </w:r>
      <w:r w:rsidR="00426067" w:rsidRPr="00202EB9">
        <w:rPr>
          <w:szCs w:val="22"/>
          <w:lang w:val="fr-FR"/>
        </w:rPr>
        <w:t>’</w:t>
      </w:r>
      <w:r w:rsidRPr="00202EB9">
        <w:rPr>
          <w:szCs w:val="22"/>
          <w:lang w:val="fr-FR"/>
        </w:rPr>
        <w:t>action pour le développement, les unités de l</w:t>
      </w:r>
      <w:r w:rsidR="00426067" w:rsidRPr="00202EB9">
        <w:rPr>
          <w:szCs w:val="22"/>
          <w:lang w:val="fr-FR"/>
        </w:rPr>
        <w:t>’</w:t>
      </w:r>
      <w:r w:rsidRPr="00202EB9">
        <w:rPr>
          <w:szCs w:val="22"/>
          <w:lang w:val="fr-FR"/>
        </w:rPr>
        <w:t>OMPI</w:t>
      </w:r>
      <w:r w:rsidR="002C2327" w:rsidRPr="00202EB9">
        <w:rPr>
          <w:szCs w:val="22"/>
          <w:lang w:val="fr-FR"/>
        </w:rPr>
        <w:t xml:space="preserve"> concernées par cette mise en œuvre, les incidences des recommandations du Plan d</w:t>
      </w:r>
      <w:r w:rsidR="00426067" w:rsidRPr="00202EB9">
        <w:rPr>
          <w:szCs w:val="22"/>
          <w:lang w:val="fr-FR"/>
        </w:rPr>
        <w:t>’</w:t>
      </w:r>
      <w:r w:rsidR="002C2327" w:rsidRPr="00202EB9">
        <w:rPr>
          <w:szCs w:val="22"/>
          <w:lang w:val="fr-FR"/>
        </w:rPr>
        <w:t>action pour le développement sur les programmes et activités de l</w:t>
      </w:r>
      <w:r w:rsidR="00426067" w:rsidRPr="00202EB9">
        <w:rPr>
          <w:szCs w:val="22"/>
          <w:lang w:val="fr-FR"/>
        </w:rPr>
        <w:t>’</w:t>
      </w:r>
      <w:r w:rsidR="002C2327" w:rsidRPr="00202EB9">
        <w:rPr>
          <w:szCs w:val="22"/>
          <w:lang w:val="fr-FR"/>
        </w:rPr>
        <w:t>OMPI et l</w:t>
      </w:r>
      <w:r w:rsidR="00426067" w:rsidRPr="00202EB9">
        <w:rPr>
          <w:szCs w:val="22"/>
          <w:lang w:val="fr-FR"/>
        </w:rPr>
        <w:t>’</w:t>
      </w:r>
      <w:r w:rsidR="002C2327" w:rsidRPr="00202EB9">
        <w:rPr>
          <w:szCs w:val="22"/>
          <w:lang w:val="fr-FR"/>
        </w:rPr>
        <w:t>efficacité de l</w:t>
      </w:r>
      <w:r w:rsidR="00426067" w:rsidRPr="00202EB9">
        <w:rPr>
          <w:szCs w:val="22"/>
          <w:lang w:val="fr-FR"/>
        </w:rPr>
        <w:t>’</w:t>
      </w:r>
      <w:r w:rsidR="002C2327" w:rsidRPr="00202EB9">
        <w:rPr>
          <w:szCs w:val="22"/>
          <w:lang w:val="fr-FR"/>
        </w:rPr>
        <w:t>approche thématique fondée sur des projets, etc.</w:t>
      </w:r>
    </w:p>
    <w:p w:rsidR="004372EF" w:rsidRPr="00202EB9" w:rsidRDefault="00335597" w:rsidP="00327572">
      <w:pPr>
        <w:pStyle w:val="Heading4"/>
        <w:keepNext w:val="0"/>
        <w:rPr>
          <w:szCs w:val="22"/>
          <w:lang w:val="fr-FR"/>
        </w:rPr>
      </w:pPr>
      <w:r w:rsidRPr="00202EB9">
        <w:rPr>
          <w:szCs w:val="22"/>
          <w:lang w:val="fr-FR"/>
        </w:rPr>
        <w:t>Visites sur le terrain</w:t>
      </w:r>
    </w:p>
    <w:p w:rsidR="00F3224E" w:rsidRPr="00202EB9" w:rsidRDefault="00F3224E" w:rsidP="00327572">
      <w:pPr>
        <w:rPr>
          <w:rFonts w:cs="Arial"/>
          <w:lang w:val="fr-FR" w:eastAsia="zh-CN" w:bidi="ar-SA"/>
        </w:rPr>
      </w:pPr>
    </w:p>
    <w:p w:rsidR="00D661A2" w:rsidRPr="00202EB9" w:rsidRDefault="0023626D" w:rsidP="00327572">
      <w:pPr>
        <w:pStyle w:val="ONUMFS"/>
        <w:rPr>
          <w:szCs w:val="22"/>
          <w:lang w:val="fr-FR"/>
        </w:rPr>
      </w:pPr>
      <w:r w:rsidRPr="00202EB9">
        <w:rPr>
          <w:szCs w:val="22"/>
          <w:lang w:val="fr-FR"/>
        </w:rPr>
        <w:t>Considéré comme une source d</w:t>
      </w:r>
      <w:r w:rsidR="00426067" w:rsidRPr="00202EB9">
        <w:rPr>
          <w:szCs w:val="22"/>
          <w:lang w:val="fr-FR"/>
        </w:rPr>
        <w:t>’</w:t>
      </w:r>
      <w:r w:rsidRPr="00202EB9">
        <w:rPr>
          <w:szCs w:val="22"/>
          <w:lang w:val="fr-FR"/>
        </w:rPr>
        <w:t>informations importantes par les États membres, l</w:t>
      </w:r>
      <w:r w:rsidR="00426067" w:rsidRPr="00202EB9">
        <w:rPr>
          <w:szCs w:val="22"/>
          <w:lang w:val="fr-FR"/>
        </w:rPr>
        <w:t>’</w:t>
      </w:r>
      <w:r w:rsidR="00F62BF2" w:rsidRPr="00202EB9">
        <w:rPr>
          <w:szCs w:val="22"/>
          <w:lang w:val="fr-FR"/>
        </w:rPr>
        <w:t xml:space="preserve">envoi de missions sur le terrain a été </w:t>
      </w:r>
      <w:proofErr w:type="gramStart"/>
      <w:r w:rsidRPr="00202EB9">
        <w:rPr>
          <w:szCs w:val="22"/>
          <w:lang w:val="fr-FR"/>
        </w:rPr>
        <w:t>approuvé</w:t>
      </w:r>
      <w:proofErr w:type="gramEnd"/>
      <w:r w:rsidRPr="00202EB9">
        <w:rPr>
          <w:szCs w:val="22"/>
          <w:lang w:val="fr-FR"/>
        </w:rPr>
        <w:t xml:space="preserve"> dans le cahier des charges et mentionné dans le </w:t>
      </w:r>
      <w:r w:rsidR="007E2C0B" w:rsidRPr="00202EB9">
        <w:rPr>
          <w:szCs w:val="22"/>
          <w:lang w:val="fr-FR"/>
        </w:rPr>
        <w:t>rapport initi</w:t>
      </w:r>
      <w:r w:rsidR="001E787E" w:rsidRPr="00202EB9">
        <w:rPr>
          <w:szCs w:val="22"/>
          <w:lang w:val="fr-FR"/>
        </w:rPr>
        <w:t>al.  De</w:t>
      </w:r>
      <w:r w:rsidRPr="00202EB9">
        <w:rPr>
          <w:szCs w:val="22"/>
          <w:lang w:val="fr-FR"/>
        </w:rPr>
        <w:t>s missions se sont ainsi rendues dans cinq</w:t>
      </w:r>
      <w:r w:rsidR="00E15713" w:rsidRPr="00202EB9">
        <w:rPr>
          <w:szCs w:val="22"/>
          <w:lang w:val="fr-FR"/>
        </w:rPr>
        <w:t> </w:t>
      </w:r>
      <w:r w:rsidRPr="00202EB9">
        <w:rPr>
          <w:szCs w:val="22"/>
          <w:lang w:val="fr-FR"/>
        </w:rPr>
        <w:t xml:space="preserve">pays, </w:t>
      </w:r>
      <w:r w:rsidR="00426067" w:rsidRPr="00202EB9">
        <w:rPr>
          <w:szCs w:val="22"/>
          <w:lang w:val="fr-FR"/>
        </w:rPr>
        <w:t>à savoir</w:t>
      </w:r>
      <w:r w:rsidRPr="00202EB9">
        <w:rPr>
          <w:szCs w:val="22"/>
          <w:lang w:val="fr-FR"/>
        </w:rPr>
        <w:t xml:space="preserve"> l</w:t>
      </w:r>
      <w:r w:rsidR="00426067" w:rsidRPr="00202EB9">
        <w:rPr>
          <w:szCs w:val="22"/>
          <w:lang w:val="fr-FR"/>
        </w:rPr>
        <w:t>’</w:t>
      </w:r>
      <w:r w:rsidRPr="00202EB9">
        <w:rPr>
          <w:szCs w:val="22"/>
          <w:lang w:val="fr-FR"/>
        </w:rPr>
        <w:t>Argentine, l</w:t>
      </w:r>
      <w:r w:rsidR="00426067" w:rsidRPr="00202EB9">
        <w:rPr>
          <w:szCs w:val="22"/>
          <w:lang w:val="fr-FR"/>
        </w:rPr>
        <w:t>’</w:t>
      </w:r>
      <w:r w:rsidRPr="00202EB9">
        <w:rPr>
          <w:szCs w:val="22"/>
          <w:lang w:val="fr-FR"/>
        </w:rPr>
        <w:t>Égypte, l</w:t>
      </w:r>
      <w:r w:rsidR="00426067" w:rsidRPr="00202EB9">
        <w:rPr>
          <w:szCs w:val="22"/>
          <w:lang w:val="fr-FR"/>
        </w:rPr>
        <w:t>’</w:t>
      </w:r>
      <w:r w:rsidRPr="00202EB9">
        <w:rPr>
          <w:szCs w:val="22"/>
          <w:lang w:val="fr-FR"/>
        </w:rPr>
        <w:t>Éthiopie, la République de Moldova et la Thaïlande.</w:t>
      </w:r>
    </w:p>
    <w:p w:rsidR="004372EF" w:rsidRPr="00202EB9" w:rsidRDefault="00720F1B" w:rsidP="00F3224E">
      <w:pPr>
        <w:pStyle w:val="ONUMFS"/>
        <w:rPr>
          <w:szCs w:val="22"/>
          <w:lang w:val="fr-FR"/>
        </w:rPr>
      </w:pPr>
      <w:r w:rsidRPr="00202EB9">
        <w:rPr>
          <w:szCs w:val="22"/>
          <w:lang w:val="fr-FR"/>
        </w:rPr>
        <w:t>Les principaux critères ayant présidé au choix des pays</w:t>
      </w:r>
      <w:r w:rsidR="00B84DD6" w:rsidRPr="00202EB9">
        <w:rPr>
          <w:szCs w:val="22"/>
          <w:lang w:val="fr-FR"/>
        </w:rPr>
        <w:t xml:space="preserve"> sont </w:t>
      </w:r>
      <w:r w:rsidR="004372EF" w:rsidRPr="00202EB9">
        <w:rPr>
          <w:szCs w:val="22"/>
          <w:lang w:val="fr-FR"/>
        </w:rPr>
        <w:t>i)</w:t>
      </w:r>
      <w:r w:rsidR="00D41E1C" w:rsidRPr="00202EB9">
        <w:rPr>
          <w:szCs w:val="22"/>
          <w:lang w:val="fr-FR"/>
        </w:rPr>
        <w:t> </w:t>
      </w:r>
      <w:r w:rsidR="00B84DD6" w:rsidRPr="00202EB9">
        <w:rPr>
          <w:szCs w:val="22"/>
          <w:lang w:val="fr-FR"/>
        </w:rPr>
        <w:t>l</w:t>
      </w:r>
      <w:r w:rsidR="00426067" w:rsidRPr="00202EB9">
        <w:rPr>
          <w:szCs w:val="22"/>
          <w:lang w:val="fr-FR"/>
        </w:rPr>
        <w:t>’</w:t>
      </w:r>
      <w:r w:rsidR="00B84DD6" w:rsidRPr="00202EB9">
        <w:rPr>
          <w:szCs w:val="22"/>
          <w:lang w:val="fr-FR"/>
        </w:rPr>
        <w:t xml:space="preserve">équilibre géographique, </w:t>
      </w:r>
      <w:r w:rsidR="004372EF" w:rsidRPr="00202EB9">
        <w:rPr>
          <w:szCs w:val="22"/>
          <w:lang w:val="fr-FR"/>
        </w:rPr>
        <w:t>ii)</w:t>
      </w:r>
      <w:r w:rsidR="00E15713" w:rsidRPr="00202EB9">
        <w:rPr>
          <w:szCs w:val="22"/>
          <w:lang w:val="fr-FR"/>
        </w:rPr>
        <w:t> </w:t>
      </w:r>
      <w:r w:rsidR="00B84DD6" w:rsidRPr="00202EB9">
        <w:rPr>
          <w:szCs w:val="22"/>
          <w:lang w:val="fr-FR"/>
        </w:rPr>
        <w:t xml:space="preserve">le niveau de développement </w:t>
      </w:r>
      <w:r w:rsidR="004372EF" w:rsidRPr="00202EB9">
        <w:rPr>
          <w:szCs w:val="22"/>
          <w:lang w:val="fr-FR"/>
        </w:rPr>
        <w:t>(</w:t>
      </w:r>
      <w:r w:rsidR="001E138F" w:rsidRPr="00202EB9">
        <w:rPr>
          <w:szCs w:val="22"/>
          <w:lang w:val="fr-FR"/>
        </w:rPr>
        <w:t>PMA, pays à revenu faible et intermédiaire et pays émergents compris),</w:t>
      </w:r>
      <w:r w:rsidR="004372EF" w:rsidRPr="00202EB9">
        <w:rPr>
          <w:szCs w:val="22"/>
          <w:lang w:val="fr-FR"/>
        </w:rPr>
        <w:t xml:space="preserve"> iii)</w:t>
      </w:r>
      <w:r w:rsidR="00E15713" w:rsidRPr="00202EB9">
        <w:rPr>
          <w:szCs w:val="22"/>
          <w:lang w:val="fr-FR"/>
        </w:rPr>
        <w:t> </w:t>
      </w:r>
      <w:r w:rsidR="00CC4526" w:rsidRPr="00202EB9">
        <w:rPr>
          <w:szCs w:val="22"/>
          <w:lang w:val="fr-FR"/>
        </w:rPr>
        <w:t>pays bénéficiant d</w:t>
      </w:r>
      <w:r w:rsidR="00426067" w:rsidRPr="00202EB9">
        <w:rPr>
          <w:szCs w:val="22"/>
          <w:lang w:val="fr-FR"/>
        </w:rPr>
        <w:t>’</w:t>
      </w:r>
      <w:r w:rsidR="00CC4526" w:rsidRPr="00202EB9">
        <w:rPr>
          <w:szCs w:val="22"/>
          <w:lang w:val="fr-FR"/>
        </w:rPr>
        <w:t>activités d</w:t>
      </w:r>
      <w:r w:rsidR="00426067" w:rsidRPr="00202EB9">
        <w:rPr>
          <w:szCs w:val="22"/>
          <w:lang w:val="fr-FR"/>
        </w:rPr>
        <w:t>’</w:t>
      </w:r>
      <w:r w:rsidR="00CC4526" w:rsidRPr="00202EB9">
        <w:rPr>
          <w:szCs w:val="22"/>
          <w:lang w:val="fr-FR"/>
        </w:rPr>
        <w:t>assistance technique relevant du Plan d</w:t>
      </w:r>
      <w:r w:rsidR="00426067" w:rsidRPr="00202EB9">
        <w:rPr>
          <w:szCs w:val="22"/>
          <w:lang w:val="fr-FR"/>
        </w:rPr>
        <w:t>’</w:t>
      </w:r>
      <w:r w:rsidR="00CC4526" w:rsidRPr="00202EB9">
        <w:rPr>
          <w:szCs w:val="22"/>
          <w:lang w:val="fr-FR"/>
        </w:rPr>
        <w:t>action pour le développement, ainsi que d</w:t>
      </w:r>
      <w:r w:rsidR="00426067" w:rsidRPr="00202EB9">
        <w:rPr>
          <w:szCs w:val="22"/>
          <w:lang w:val="fr-FR"/>
        </w:rPr>
        <w:t>’</w:t>
      </w:r>
      <w:r w:rsidR="00CC4526" w:rsidRPr="00202EB9">
        <w:rPr>
          <w:szCs w:val="22"/>
          <w:lang w:val="fr-FR"/>
        </w:rPr>
        <w:t>études économiques et stratégies nationales de propriété intellectuelle, et</w:t>
      </w:r>
      <w:r w:rsidR="001E787E" w:rsidRPr="00202EB9">
        <w:rPr>
          <w:szCs w:val="22"/>
          <w:lang w:val="fr-FR"/>
        </w:rPr>
        <w:t> </w:t>
      </w:r>
      <w:r w:rsidR="004372EF" w:rsidRPr="00202EB9">
        <w:rPr>
          <w:szCs w:val="22"/>
          <w:lang w:val="fr-FR"/>
        </w:rPr>
        <w:t>iv)</w:t>
      </w:r>
      <w:r w:rsidR="00E15713" w:rsidRPr="00202EB9">
        <w:rPr>
          <w:szCs w:val="22"/>
          <w:lang w:val="fr-FR"/>
        </w:rPr>
        <w:t> </w:t>
      </w:r>
      <w:r w:rsidR="00CC4526" w:rsidRPr="00202EB9">
        <w:rPr>
          <w:szCs w:val="22"/>
          <w:lang w:val="fr-FR"/>
        </w:rPr>
        <w:t>pays bénéficiant de l</w:t>
      </w:r>
      <w:r w:rsidR="00426067" w:rsidRPr="00202EB9">
        <w:rPr>
          <w:szCs w:val="22"/>
          <w:lang w:val="fr-FR"/>
        </w:rPr>
        <w:t>’</w:t>
      </w:r>
      <w:r w:rsidR="00CC4526" w:rsidRPr="00202EB9">
        <w:rPr>
          <w:szCs w:val="22"/>
          <w:lang w:val="fr-FR"/>
        </w:rPr>
        <w:t>appui de l</w:t>
      </w:r>
      <w:r w:rsidR="00426067" w:rsidRPr="00202EB9">
        <w:rPr>
          <w:szCs w:val="22"/>
          <w:lang w:val="fr-FR"/>
        </w:rPr>
        <w:t>’</w:t>
      </w:r>
      <w:r w:rsidR="00CC4526" w:rsidRPr="00202EB9">
        <w:rPr>
          <w:szCs w:val="22"/>
          <w:lang w:val="fr-FR"/>
        </w:rPr>
        <w:t>OMPI en matière de renforcement des capacités nationales.</w:t>
      </w:r>
    </w:p>
    <w:p w:rsidR="004372EF" w:rsidRPr="00202EB9" w:rsidRDefault="00166BC8" w:rsidP="00F3224E">
      <w:pPr>
        <w:pStyle w:val="ONUMFS"/>
        <w:rPr>
          <w:szCs w:val="22"/>
          <w:lang w:val="fr-FR"/>
        </w:rPr>
      </w:pPr>
      <w:r w:rsidRPr="00202EB9">
        <w:rPr>
          <w:szCs w:val="22"/>
          <w:lang w:val="fr-FR"/>
        </w:rPr>
        <w:t>Bien que peu nombreuses, ces visites sur le terrain ont permis à l</w:t>
      </w:r>
      <w:r w:rsidR="00426067" w:rsidRPr="00202EB9">
        <w:rPr>
          <w:szCs w:val="22"/>
          <w:lang w:val="fr-FR"/>
        </w:rPr>
        <w:t>’</w:t>
      </w:r>
      <w:r w:rsidRPr="00202EB9">
        <w:rPr>
          <w:szCs w:val="22"/>
          <w:lang w:val="fr-FR"/>
        </w:rPr>
        <w:t>équipe chargée de l</w:t>
      </w:r>
      <w:r w:rsidR="00426067" w:rsidRPr="00202EB9">
        <w:rPr>
          <w:szCs w:val="22"/>
          <w:lang w:val="fr-FR"/>
        </w:rPr>
        <w:t>’</w:t>
      </w:r>
      <w:r w:rsidRPr="00202EB9">
        <w:rPr>
          <w:szCs w:val="22"/>
          <w:lang w:val="fr-FR"/>
        </w:rPr>
        <w:t>étude de se faire une idée de l</w:t>
      </w:r>
      <w:r w:rsidR="00426067" w:rsidRPr="00202EB9">
        <w:rPr>
          <w:szCs w:val="22"/>
          <w:lang w:val="fr-FR"/>
        </w:rPr>
        <w:t>’</w:t>
      </w:r>
      <w:r w:rsidRPr="00202EB9">
        <w:rPr>
          <w:szCs w:val="22"/>
          <w:lang w:val="fr-FR"/>
        </w:rPr>
        <w:t>étendue de la mise en œuvre des recommandations du Plan d</w:t>
      </w:r>
      <w:r w:rsidR="00426067" w:rsidRPr="00202EB9">
        <w:rPr>
          <w:szCs w:val="22"/>
          <w:lang w:val="fr-FR"/>
        </w:rPr>
        <w:t>’</w:t>
      </w:r>
      <w:r w:rsidRPr="00202EB9">
        <w:rPr>
          <w:szCs w:val="22"/>
          <w:lang w:val="fr-FR"/>
        </w:rPr>
        <w:t xml:space="preserve">action pour le développement dans les pays visités, </w:t>
      </w:r>
      <w:r w:rsidR="00CB7ECC" w:rsidRPr="00202EB9">
        <w:rPr>
          <w:szCs w:val="22"/>
          <w:lang w:val="fr-FR"/>
        </w:rPr>
        <w:t>et surtout d</w:t>
      </w:r>
      <w:r w:rsidR="00426067" w:rsidRPr="00202EB9">
        <w:rPr>
          <w:szCs w:val="22"/>
          <w:lang w:val="fr-FR"/>
        </w:rPr>
        <w:t>’</w:t>
      </w:r>
      <w:r w:rsidR="00CB7ECC" w:rsidRPr="00202EB9">
        <w:rPr>
          <w:szCs w:val="22"/>
          <w:lang w:val="fr-FR"/>
        </w:rPr>
        <w:t>avoir des contacts directs avec les personnes travaillant sur place à cette mise en œuvre ainsi que de se rendre dans des institutions bénéficiaires.</w:t>
      </w:r>
    </w:p>
    <w:p w:rsidR="004372EF" w:rsidRPr="00202EB9" w:rsidRDefault="004372EF" w:rsidP="00F3224E">
      <w:pPr>
        <w:pStyle w:val="Heading4"/>
        <w:rPr>
          <w:szCs w:val="22"/>
          <w:lang w:val="fr-FR"/>
        </w:rPr>
      </w:pPr>
      <w:r w:rsidRPr="00202EB9">
        <w:rPr>
          <w:szCs w:val="22"/>
          <w:lang w:val="fr-FR"/>
        </w:rPr>
        <w:t xml:space="preserve">Discussions </w:t>
      </w:r>
      <w:r w:rsidR="005E7C66" w:rsidRPr="00202EB9">
        <w:rPr>
          <w:szCs w:val="22"/>
          <w:lang w:val="fr-FR"/>
        </w:rPr>
        <w:t>et entretiens avec les représentants des États membres à Genève</w:t>
      </w:r>
    </w:p>
    <w:p w:rsidR="00F3224E" w:rsidRPr="00202EB9" w:rsidRDefault="00F3224E" w:rsidP="00F3224E">
      <w:pPr>
        <w:keepNext/>
        <w:rPr>
          <w:rFonts w:cs="Arial"/>
          <w:lang w:val="fr-FR" w:eastAsia="zh-CN" w:bidi="ar-SA"/>
        </w:rPr>
      </w:pPr>
    </w:p>
    <w:p w:rsidR="00426067" w:rsidRPr="00202EB9" w:rsidRDefault="007E2C0B" w:rsidP="00F3224E">
      <w:pPr>
        <w:pStyle w:val="ONUMFS"/>
        <w:rPr>
          <w:szCs w:val="22"/>
          <w:lang w:val="fr-FR"/>
        </w:rPr>
      </w:pPr>
      <w:r w:rsidRPr="00202EB9">
        <w:rPr>
          <w:szCs w:val="22"/>
          <w:lang w:val="fr-FR"/>
        </w:rPr>
        <w:t>Au cours</w:t>
      </w:r>
      <w:r w:rsidR="005E7C66" w:rsidRPr="00202EB9">
        <w:rPr>
          <w:szCs w:val="22"/>
          <w:lang w:val="fr-FR"/>
        </w:rPr>
        <w:t xml:space="preserve"> de la visite qu</w:t>
      </w:r>
      <w:r w:rsidR="00426067" w:rsidRPr="00202EB9">
        <w:rPr>
          <w:szCs w:val="22"/>
          <w:lang w:val="fr-FR"/>
        </w:rPr>
        <w:t>’</w:t>
      </w:r>
      <w:r w:rsidR="005E7C66" w:rsidRPr="00202EB9">
        <w:rPr>
          <w:szCs w:val="22"/>
          <w:lang w:val="fr-FR"/>
        </w:rPr>
        <w:t xml:space="preserve">elle a effectuée à Genève </w:t>
      </w:r>
      <w:r w:rsidR="005464A9" w:rsidRPr="00202EB9">
        <w:rPr>
          <w:szCs w:val="22"/>
          <w:lang w:val="fr-FR"/>
        </w:rPr>
        <w:t>lors</w:t>
      </w:r>
      <w:r w:rsidR="005E7C66" w:rsidRPr="00202EB9">
        <w:rPr>
          <w:szCs w:val="22"/>
          <w:lang w:val="fr-FR"/>
        </w:rPr>
        <w:t xml:space="preserve"> de la présentation du </w:t>
      </w:r>
      <w:r w:rsidRPr="00202EB9">
        <w:rPr>
          <w:szCs w:val="22"/>
          <w:lang w:val="fr-FR"/>
        </w:rPr>
        <w:t>rapport initial</w:t>
      </w:r>
      <w:r w:rsidR="00133E1E">
        <w:rPr>
          <w:szCs w:val="22"/>
          <w:lang w:val="fr-FR"/>
        </w:rPr>
        <w:t xml:space="preserve"> en septembre 2015</w:t>
      </w:r>
      <w:r w:rsidR="005E7C66" w:rsidRPr="00202EB9">
        <w:rPr>
          <w:szCs w:val="22"/>
          <w:lang w:val="fr-FR"/>
        </w:rPr>
        <w:t>, l</w:t>
      </w:r>
      <w:r w:rsidR="00426067" w:rsidRPr="00202EB9">
        <w:rPr>
          <w:szCs w:val="22"/>
          <w:lang w:val="fr-FR"/>
        </w:rPr>
        <w:t>’</w:t>
      </w:r>
      <w:r w:rsidR="005E7C66" w:rsidRPr="00202EB9">
        <w:rPr>
          <w:szCs w:val="22"/>
          <w:lang w:val="fr-FR"/>
        </w:rPr>
        <w:t>équipe chargé</w:t>
      </w:r>
      <w:bookmarkStart w:id="17" w:name="_GoBack"/>
      <w:bookmarkEnd w:id="17"/>
      <w:r w:rsidR="005E7C66" w:rsidRPr="00202EB9">
        <w:rPr>
          <w:szCs w:val="22"/>
          <w:lang w:val="fr-FR"/>
        </w:rPr>
        <w:t>e de l</w:t>
      </w:r>
      <w:r w:rsidR="00426067" w:rsidRPr="00202EB9">
        <w:rPr>
          <w:szCs w:val="22"/>
          <w:lang w:val="fr-FR"/>
        </w:rPr>
        <w:t>’</w:t>
      </w:r>
      <w:r w:rsidR="005E7C66" w:rsidRPr="00202EB9">
        <w:rPr>
          <w:szCs w:val="22"/>
          <w:lang w:val="fr-FR"/>
        </w:rPr>
        <w:t xml:space="preserve">étude a pu rencontrer </w:t>
      </w:r>
      <w:r w:rsidR="00F30EB9" w:rsidRPr="00202EB9">
        <w:rPr>
          <w:szCs w:val="22"/>
          <w:lang w:val="fr-FR"/>
        </w:rPr>
        <w:t xml:space="preserve">un nombre </w:t>
      </w:r>
      <w:r w:rsidR="006C5972" w:rsidRPr="00202EB9">
        <w:rPr>
          <w:szCs w:val="22"/>
          <w:lang w:val="fr-FR"/>
        </w:rPr>
        <w:t>relativement</w:t>
      </w:r>
      <w:r w:rsidR="00F30EB9" w:rsidRPr="00202EB9">
        <w:rPr>
          <w:szCs w:val="22"/>
          <w:lang w:val="fr-FR"/>
        </w:rPr>
        <w:t xml:space="preserve"> important de représentants des États membres, </w:t>
      </w:r>
      <w:r w:rsidR="00426067" w:rsidRPr="00202EB9">
        <w:rPr>
          <w:szCs w:val="22"/>
          <w:lang w:val="fr-FR"/>
        </w:rPr>
        <w:t>y compris</w:t>
      </w:r>
      <w:r w:rsidR="00F30EB9" w:rsidRPr="00202EB9">
        <w:rPr>
          <w:szCs w:val="22"/>
          <w:lang w:val="fr-FR"/>
        </w:rPr>
        <w:t xml:space="preserve"> les coordonnateurs des groupes régionaux et des diplomates en poste à Genè</w:t>
      </w:r>
      <w:r w:rsidR="001E787E" w:rsidRPr="00202EB9">
        <w:rPr>
          <w:szCs w:val="22"/>
          <w:lang w:val="fr-FR"/>
        </w:rPr>
        <w:t>ve.  Le</w:t>
      </w:r>
      <w:r w:rsidR="00F30EB9" w:rsidRPr="00202EB9">
        <w:rPr>
          <w:szCs w:val="22"/>
          <w:lang w:val="fr-FR"/>
        </w:rPr>
        <w:t>s discussions ont porté en grande partie sur les attentes liées au rapport final de l</w:t>
      </w:r>
      <w:r w:rsidR="00426067" w:rsidRPr="00202EB9">
        <w:rPr>
          <w:szCs w:val="22"/>
          <w:lang w:val="fr-FR"/>
        </w:rPr>
        <w:t>’</w:t>
      </w:r>
      <w:r w:rsidR="00F30EB9" w:rsidRPr="00202EB9">
        <w:rPr>
          <w:szCs w:val="22"/>
          <w:lang w:val="fr-FR"/>
        </w:rPr>
        <w:t>étude indépendan</w:t>
      </w:r>
      <w:r w:rsidR="001E787E" w:rsidRPr="00202EB9">
        <w:rPr>
          <w:szCs w:val="22"/>
          <w:lang w:val="fr-FR"/>
        </w:rPr>
        <w:t>te.  Un</w:t>
      </w:r>
      <w:r w:rsidR="00F30EB9" w:rsidRPr="00202EB9">
        <w:rPr>
          <w:szCs w:val="22"/>
          <w:lang w:val="fr-FR"/>
        </w:rPr>
        <w:t xml:space="preserve"> certain nombre de représentants ont mis l</w:t>
      </w:r>
      <w:r w:rsidR="00426067" w:rsidRPr="00202EB9">
        <w:rPr>
          <w:szCs w:val="22"/>
          <w:lang w:val="fr-FR"/>
        </w:rPr>
        <w:t>’</w:t>
      </w:r>
      <w:r w:rsidR="00F30EB9" w:rsidRPr="00202EB9">
        <w:rPr>
          <w:szCs w:val="22"/>
          <w:lang w:val="fr-FR"/>
        </w:rPr>
        <w:t>accent sur la nécessité de respecter</w:t>
      </w:r>
      <w:r w:rsidR="005464A9" w:rsidRPr="00202EB9">
        <w:rPr>
          <w:szCs w:val="22"/>
          <w:lang w:val="fr-FR"/>
        </w:rPr>
        <w:t xml:space="preserve"> le cahier des charges</w:t>
      </w:r>
      <w:r w:rsidR="00F30EB9" w:rsidRPr="00202EB9">
        <w:rPr>
          <w:szCs w:val="22"/>
          <w:lang w:val="fr-FR"/>
        </w:rPr>
        <w:t xml:space="preserve"> de la manière la plus stricte, en rappelant le caractère </w:t>
      </w:r>
      <w:r w:rsidR="00E16912" w:rsidRPr="00202EB9">
        <w:rPr>
          <w:szCs w:val="22"/>
          <w:lang w:val="fr-FR"/>
        </w:rPr>
        <w:t xml:space="preserve">délicat </w:t>
      </w:r>
      <w:r w:rsidR="00F30EB9" w:rsidRPr="00202EB9">
        <w:rPr>
          <w:szCs w:val="22"/>
          <w:lang w:val="fr-FR"/>
        </w:rPr>
        <w:t>de l</w:t>
      </w:r>
      <w:r w:rsidR="00426067" w:rsidRPr="00202EB9">
        <w:rPr>
          <w:szCs w:val="22"/>
          <w:lang w:val="fr-FR"/>
        </w:rPr>
        <w:t>’</w:t>
      </w:r>
      <w:r w:rsidR="00F30EB9" w:rsidRPr="00202EB9">
        <w:rPr>
          <w:szCs w:val="22"/>
          <w:lang w:val="fr-FR"/>
        </w:rPr>
        <w:t>équilibre réalisé dans le processus de négociation ayant conduit à son adoption.</w:t>
      </w:r>
    </w:p>
    <w:p w:rsidR="004372EF" w:rsidRPr="00202EB9" w:rsidRDefault="00E16912" w:rsidP="00F3224E">
      <w:pPr>
        <w:pStyle w:val="ONUMFS"/>
        <w:rPr>
          <w:szCs w:val="22"/>
          <w:lang w:val="fr-FR"/>
        </w:rPr>
      </w:pPr>
      <w:r w:rsidRPr="00202EB9">
        <w:rPr>
          <w:szCs w:val="22"/>
          <w:lang w:val="fr-FR"/>
        </w:rPr>
        <w:t xml:space="preserve">Une visite </w:t>
      </w:r>
      <w:r w:rsidR="00A30A78" w:rsidRPr="00202EB9">
        <w:rPr>
          <w:szCs w:val="22"/>
          <w:lang w:val="fr-FR"/>
        </w:rPr>
        <w:t xml:space="preserve">ultérieure </w:t>
      </w:r>
      <w:r w:rsidRPr="00202EB9">
        <w:rPr>
          <w:szCs w:val="22"/>
          <w:lang w:val="fr-FR"/>
        </w:rPr>
        <w:t xml:space="preserve">à Genève, effectuée en </w:t>
      </w:r>
      <w:r w:rsidR="00426067" w:rsidRPr="00202EB9">
        <w:rPr>
          <w:szCs w:val="22"/>
          <w:lang w:val="fr-FR"/>
        </w:rPr>
        <w:t>novembre 20</w:t>
      </w:r>
      <w:r w:rsidRPr="00202EB9">
        <w:rPr>
          <w:szCs w:val="22"/>
          <w:lang w:val="fr-FR"/>
        </w:rPr>
        <w:t xml:space="preserve">15, a </w:t>
      </w:r>
      <w:r w:rsidR="00A30A78" w:rsidRPr="00202EB9">
        <w:rPr>
          <w:szCs w:val="22"/>
          <w:lang w:val="fr-FR"/>
        </w:rPr>
        <w:t>été l</w:t>
      </w:r>
      <w:r w:rsidR="00426067" w:rsidRPr="00202EB9">
        <w:rPr>
          <w:szCs w:val="22"/>
          <w:lang w:val="fr-FR"/>
        </w:rPr>
        <w:t>’</w:t>
      </w:r>
      <w:r w:rsidR="00A30A78" w:rsidRPr="00202EB9">
        <w:rPr>
          <w:szCs w:val="22"/>
          <w:lang w:val="fr-FR"/>
        </w:rPr>
        <w:t>occasion pour</w:t>
      </w:r>
      <w:r w:rsidRPr="00202EB9">
        <w:rPr>
          <w:szCs w:val="22"/>
          <w:lang w:val="fr-FR"/>
        </w:rPr>
        <w:t xml:space="preserve"> l</w:t>
      </w:r>
      <w:r w:rsidR="00426067" w:rsidRPr="00202EB9">
        <w:rPr>
          <w:szCs w:val="22"/>
          <w:lang w:val="fr-FR"/>
        </w:rPr>
        <w:t>’</w:t>
      </w:r>
      <w:r w:rsidRPr="00202EB9">
        <w:rPr>
          <w:szCs w:val="22"/>
          <w:lang w:val="fr-FR"/>
        </w:rPr>
        <w:t>équipe chargée de l</w:t>
      </w:r>
      <w:r w:rsidR="00426067" w:rsidRPr="00202EB9">
        <w:rPr>
          <w:szCs w:val="22"/>
          <w:lang w:val="fr-FR"/>
        </w:rPr>
        <w:t>’</w:t>
      </w:r>
      <w:r w:rsidRPr="00202EB9">
        <w:rPr>
          <w:szCs w:val="22"/>
          <w:lang w:val="fr-FR"/>
        </w:rPr>
        <w:t>étude de rencontrer et d</w:t>
      </w:r>
      <w:r w:rsidR="00426067" w:rsidRPr="00202EB9">
        <w:rPr>
          <w:szCs w:val="22"/>
          <w:lang w:val="fr-FR"/>
        </w:rPr>
        <w:t>’</w:t>
      </w:r>
      <w:r w:rsidRPr="00202EB9">
        <w:rPr>
          <w:szCs w:val="22"/>
          <w:lang w:val="fr-FR"/>
        </w:rPr>
        <w:t xml:space="preserve">interroger des délégués </w:t>
      </w:r>
      <w:r w:rsidR="00A30A78" w:rsidRPr="00202EB9">
        <w:rPr>
          <w:szCs w:val="22"/>
          <w:lang w:val="fr-FR"/>
        </w:rPr>
        <w:t>d</w:t>
      </w:r>
      <w:r w:rsidR="00426067" w:rsidRPr="00202EB9">
        <w:rPr>
          <w:szCs w:val="22"/>
          <w:lang w:val="fr-FR"/>
        </w:rPr>
        <w:t>’</w:t>
      </w:r>
      <w:r w:rsidR="00A30A78" w:rsidRPr="00202EB9">
        <w:rPr>
          <w:szCs w:val="22"/>
          <w:lang w:val="fr-FR"/>
        </w:rPr>
        <w:t>autres</w:t>
      </w:r>
      <w:r w:rsidRPr="00202EB9">
        <w:rPr>
          <w:szCs w:val="22"/>
          <w:lang w:val="fr-FR"/>
        </w:rPr>
        <w:t xml:space="preserve"> groupes régiona</w:t>
      </w:r>
      <w:r w:rsidR="001E787E" w:rsidRPr="00202EB9">
        <w:rPr>
          <w:szCs w:val="22"/>
          <w:lang w:val="fr-FR"/>
        </w:rPr>
        <w:t>ux.  Ce</w:t>
      </w:r>
      <w:r w:rsidR="00A30A78" w:rsidRPr="00202EB9">
        <w:rPr>
          <w:szCs w:val="22"/>
          <w:lang w:val="fr-FR"/>
        </w:rPr>
        <w:t>s entretiens lui ont permis d</w:t>
      </w:r>
      <w:r w:rsidR="00426067" w:rsidRPr="00202EB9">
        <w:rPr>
          <w:szCs w:val="22"/>
          <w:lang w:val="fr-FR"/>
        </w:rPr>
        <w:t>’</w:t>
      </w:r>
      <w:r w:rsidR="00A30A78" w:rsidRPr="00202EB9">
        <w:rPr>
          <w:szCs w:val="22"/>
          <w:lang w:val="fr-FR"/>
        </w:rPr>
        <w:t>apprendre un certain nombre d</w:t>
      </w:r>
      <w:r w:rsidR="00426067" w:rsidRPr="00202EB9">
        <w:rPr>
          <w:szCs w:val="22"/>
          <w:lang w:val="fr-FR"/>
        </w:rPr>
        <w:t>’</w:t>
      </w:r>
      <w:r w:rsidR="00A30A78" w:rsidRPr="00202EB9">
        <w:rPr>
          <w:szCs w:val="22"/>
          <w:lang w:val="fr-FR"/>
        </w:rPr>
        <w:t>éléments importants se rapportant à la mise en œuvre des recommandations du Plan d</w:t>
      </w:r>
      <w:r w:rsidR="00426067" w:rsidRPr="00202EB9">
        <w:rPr>
          <w:szCs w:val="22"/>
          <w:lang w:val="fr-FR"/>
        </w:rPr>
        <w:t>’</w:t>
      </w:r>
      <w:r w:rsidR="00A30A78" w:rsidRPr="00202EB9">
        <w:rPr>
          <w:szCs w:val="22"/>
          <w:lang w:val="fr-FR"/>
        </w:rPr>
        <w:t>action pour le développement, et cela particulièrement en ce qui concerne les questions clés de l</w:t>
      </w:r>
      <w:r w:rsidR="00426067" w:rsidRPr="00202EB9">
        <w:rPr>
          <w:szCs w:val="22"/>
          <w:lang w:val="fr-FR"/>
        </w:rPr>
        <w:t>’</w:t>
      </w:r>
      <w:r w:rsidR="00A30A78" w:rsidRPr="00202EB9">
        <w:rPr>
          <w:szCs w:val="22"/>
          <w:lang w:val="fr-FR"/>
        </w:rPr>
        <w:t>étu</w:t>
      </w:r>
      <w:r w:rsidR="001E787E" w:rsidRPr="00202EB9">
        <w:rPr>
          <w:szCs w:val="22"/>
          <w:lang w:val="fr-FR"/>
        </w:rPr>
        <w:t>de.  L’é</w:t>
      </w:r>
      <w:r w:rsidR="00B03D57" w:rsidRPr="00202EB9">
        <w:rPr>
          <w:szCs w:val="22"/>
          <w:lang w:val="fr-FR"/>
        </w:rPr>
        <w:t>quipe en a également tiré une meilleure compréhension de la direction prévisible du Plan d</w:t>
      </w:r>
      <w:r w:rsidR="00426067" w:rsidRPr="00202EB9">
        <w:rPr>
          <w:szCs w:val="22"/>
          <w:lang w:val="fr-FR"/>
        </w:rPr>
        <w:t>’</w:t>
      </w:r>
      <w:r w:rsidR="00B03D57" w:rsidRPr="00202EB9">
        <w:rPr>
          <w:szCs w:val="22"/>
          <w:lang w:val="fr-FR"/>
        </w:rPr>
        <w:t>action pour le développement, ainsi que de l</w:t>
      </w:r>
      <w:r w:rsidR="00426067" w:rsidRPr="00202EB9">
        <w:rPr>
          <w:szCs w:val="22"/>
          <w:lang w:val="fr-FR"/>
        </w:rPr>
        <w:t>’</w:t>
      </w:r>
      <w:r w:rsidR="00B03D57" w:rsidRPr="00202EB9">
        <w:rPr>
          <w:szCs w:val="22"/>
          <w:lang w:val="fr-FR"/>
        </w:rPr>
        <w:t>étendue de la mise en œuvre des recommandations du Plan d</w:t>
      </w:r>
      <w:r w:rsidR="00426067" w:rsidRPr="00202EB9">
        <w:rPr>
          <w:szCs w:val="22"/>
          <w:lang w:val="fr-FR"/>
        </w:rPr>
        <w:t>’</w:t>
      </w:r>
      <w:r w:rsidR="00B03D57" w:rsidRPr="00202EB9">
        <w:rPr>
          <w:szCs w:val="22"/>
          <w:lang w:val="fr-FR"/>
        </w:rPr>
        <w:t>action pour le développement et des succès et échecs susceptibles d</w:t>
      </w:r>
      <w:r w:rsidR="00426067" w:rsidRPr="00202EB9">
        <w:rPr>
          <w:szCs w:val="22"/>
          <w:lang w:val="fr-FR"/>
        </w:rPr>
        <w:t>’</w:t>
      </w:r>
      <w:r w:rsidR="00B03D57" w:rsidRPr="00202EB9">
        <w:rPr>
          <w:szCs w:val="22"/>
          <w:lang w:val="fr-FR"/>
        </w:rPr>
        <w:t>en découl</w:t>
      </w:r>
      <w:r w:rsidR="001E787E" w:rsidRPr="00202EB9">
        <w:rPr>
          <w:szCs w:val="22"/>
          <w:lang w:val="fr-FR"/>
        </w:rPr>
        <w:t>er.  De</w:t>
      </w:r>
      <w:r w:rsidR="00B03D57" w:rsidRPr="00202EB9">
        <w:rPr>
          <w:szCs w:val="22"/>
          <w:lang w:val="fr-FR"/>
        </w:rPr>
        <w:t>s difficultés à obtenir un consensus sur certaines questions clés au sein</w:t>
      </w:r>
      <w:r w:rsidR="00426067" w:rsidRPr="00202EB9">
        <w:rPr>
          <w:szCs w:val="22"/>
          <w:lang w:val="fr-FR"/>
        </w:rPr>
        <w:t xml:space="preserve"> du </w:t>
      </w:r>
      <w:proofErr w:type="spellStart"/>
      <w:r w:rsidR="00426067" w:rsidRPr="00202EB9">
        <w:rPr>
          <w:szCs w:val="22"/>
          <w:lang w:val="fr-FR"/>
        </w:rPr>
        <w:t>CDI</w:t>
      </w:r>
      <w:r w:rsidR="00B03D57" w:rsidRPr="00202EB9">
        <w:rPr>
          <w:szCs w:val="22"/>
          <w:lang w:val="fr-FR"/>
        </w:rPr>
        <w:t>P</w:t>
      </w:r>
      <w:proofErr w:type="spellEnd"/>
      <w:r w:rsidR="00B03D57" w:rsidRPr="00202EB9">
        <w:rPr>
          <w:szCs w:val="22"/>
          <w:lang w:val="fr-FR"/>
        </w:rPr>
        <w:t xml:space="preserve"> ont en outre été mises en évidence.</w:t>
      </w:r>
    </w:p>
    <w:p w:rsidR="004372EF" w:rsidRPr="00202EB9" w:rsidRDefault="00590E9F" w:rsidP="00F3224E">
      <w:pPr>
        <w:pStyle w:val="ONUMFS"/>
        <w:rPr>
          <w:szCs w:val="22"/>
          <w:lang w:val="fr-FR"/>
        </w:rPr>
      </w:pPr>
      <w:r w:rsidRPr="00202EB9">
        <w:rPr>
          <w:szCs w:val="22"/>
          <w:lang w:val="fr-FR"/>
        </w:rPr>
        <w:t>Les réunions tenues à Genève ont grandement contribué</w:t>
      </w:r>
      <w:r w:rsidR="00B227E2" w:rsidRPr="00202EB9">
        <w:rPr>
          <w:szCs w:val="22"/>
          <w:lang w:val="fr-FR"/>
        </w:rPr>
        <w:t>, dans leur ensemble, au processus de l</w:t>
      </w:r>
      <w:r w:rsidR="00426067" w:rsidRPr="00202EB9">
        <w:rPr>
          <w:szCs w:val="22"/>
          <w:lang w:val="fr-FR"/>
        </w:rPr>
        <w:t>’</w:t>
      </w:r>
      <w:r w:rsidR="00B227E2" w:rsidRPr="00202EB9">
        <w:rPr>
          <w:szCs w:val="22"/>
          <w:lang w:val="fr-FR"/>
        </w:rPr>
        <w:t>étude, en particulier parce qu</w:t>
      </w:r>
      <w:r w:rsidR="00426067" w:rsidRPr="00202EB9">
        <w:rPr>
          <w:szCs w:val="22"/>
          <w:lang w:val="fr-FR"/>
        </w:rPr>
        <w:t>’</w:t>
      </w:r>
      <w:r w:rsidR="00B227E2" w:rsidRPr="00202EB9">
        <w:rPr>
          <w:szCs w:val="22"/>
          <w:lang w:val="fr-FR"/>
        </w:rPr>
        <w:t>elles ont permis de mieux comprendre les différences de perception des divers groupes d</w:t>
      </w:r>
      <w:r w:rsidR="00426067" w:rsidRPr="00202EB9">
        <w:rPr>
          <w:szCs w:val="22"/>
          <w:lang w:val="fr-FR"/>
        </w:rPr>
        <w:t>’</w:t>
      </w:r>
      <w:r w:rsidR="00B227E2" w:rsidRPr="00202EB9">
        <w:rPr>
          <w:szCs w:val="22"/>
          <w:lang w:val="fr-FR"/>
        </w:rPr>
        <w:t>États membres en ce qui concerne la mise en œuvre des recommandations du Plan d</w:t>
      </w:r>
      <w:r w:rsidR="00426067" w:rsidRPr="00202EB9">
        <w:rPr>
          <w:szCs w:val="22"/>
          <w:lang w:val="fr-FR"/>
        </w:rPr>
        <w:t>’</w:t>
      </w:r>
      <w:r w:rsidR="00B227E2" w:rsidRPr="00202EB9">
        <w:rPr>
          <w:szCs w:val="22"/>
          <w:lang w:val="fr-FR"/>
        </w:rPr>
        <w:t>action pour le développeme</w:t>
      </w:r>
      <w:r w:rsidR="001E787E" w:rsidRPr="00202EB9">
        <w:rPr>
          <w:szCs w:val="22"/>
          <w:lang w:val="fr-FR"/>
        </w:rPr>
        <w:t>nt.  Le</w:t>
      </w:r>
      <w:r w:rsidR="00953933" w:rsidRPr="00202EB9">
        <w:rPr>
          <w:szCs w:val="22"/>
          <w:lang w:val="fr-FR"/>
        </w:rPr>
        <w:t>s réunions de Genève ont fourni en outre une excellente base d</w:t>
      </w:r>
      <w:r w:rsidR="00426067" w:rsidRPr="00202EB9">
        <w:rPr>
          <w:szCs w:val="22"/>
          <w:lang w:val="fr-FR"/>
        </w:rPr>
        <w:t>’</w:t>
      </w:r>
      <w:r w:rsidR="00953933" w:rsidRPr="00202EB9">
        <w:rPr>
          <w:szCs w:val="22"/>
          <w:lang w:val="fr-FR"/>
        </w:rPr>
        <w:t>appréciation</w:t>
      </w:r>
      <w:r w:rsidR="00B227E2" w:rsidRPr="00202EB9">
        <w:rPr>
          <w:szCs w:val="22"/>
          <w:lang w:val="fr-FR"/>
        </w:rPr>
        <w:t xml:space="preserve"> </w:t>
      </w:r>
      <w:r w:rsidR="00953933" w:rsidRPr="00202EB9">
        <w:rPr>
          <w:szCs w:val="22"/>
          <w:lang w:val="fr-FR"/>
        </w:rPr>
        <w:t>des leçons apprises, du degré de diffusion et d</w:t>
      </w:r>
      <w:r w:rsidR="00426067" w:rsidRPr="00202EB9">
        <w:rPr>
          <w:szCs w:val="22"/>
          <w:lang w:val="fr-FR"/>
        </w:rPr>
        <w:t>’</w:t>
      </w:r>
      <w:r w:rsidR="00953933" w:rsidRPr="00202EB9">
        <w:rPr>
          <w:szCs w:val="22"/>
          <w:lang w:val="fr-FR"/>
        </w:rPr>
        <w:t>utilisation des éléments produits dans le cadre de la mise en œuvre des projets, ainsi que de l</w:t>
      </w:r>
      <w:r w:rsidR="00426067" w:rsidRPr="00202EB9">
        <w:rPr>
          <w:szCs w:val="22"/>
          <w:lang w:val="fr-FR"/>
        </w:rPr>
        <w:t>’</w:t>
      </w:r>
      <w:r w:rsidR="00953933" w:rsidRPr="00202EB9">
        <w:rPr>
          <w:szCs w:val="22"/>
          <w:lang w:val="fr-FR"/>
        </w:rPr>
        <w:t>efficacité de l</w:t>
      </w:r>
      <w:r w:rsidR="00426067" w:rsidRPr="00202EB9">
        <w:rPr>
          <w:szCs w:val="22"/>
          <w:lang w:val="fr-FR"/>
        </w:rPr>
        <w:t>’</w:t>
      </w:r>
      <w:r w:rsidR="00953933" w:rsidRPr="00202EB9">
        <w:rPr>
          <w:szCs w:val="22"/>
          <w:lang w:val="fr-FR"/>
        </w:rPr>
        <w:t>approche thématique basée sur des proje</w:t>
      </w:r>
      <w:r w:rsidR="001E787E" w:rsidRPr="00202EB9">
        <w:rPr>
          <w:szCs w:val="22"/>
          <w:lang w:val="fr-FR"/>
        </w:rPr>
        <w:t>ts.  La</w:t>
      </w:r>
      <w:r w:rsidR="006C0418" w:rsidRPr="00202EB9">
        <w:rPr>
          <w:szCs w:val="22"/>
          <w:lang w:val="fr-FR"/>
        </w:rPr>
        <w:t xml:space="preserve"> liste complète des représentants interrogés figure à l</w:t>
      </w:r>
      <w:r w:rsidR="00426067" w:rsidRPr="00202EB9">
        <w:rPr>
          <w:szCs w:val="22"/>
          <w:lang w:val="fr-FR"/>
        </w:rPr>
        <w:t>’</w:t>
      </w:r>
      <w:r w:rsidR="006C0418" w:rsidRPr="00202EB9">
        <w:rPr>
          <w:szCs w:val="22"/>
          <w:lang w:val="fr-FR"/>
        </w:rPr>
        <w:t>annexe</w:t>
      </w:r>
      <w:r w:rsidR="00E15713" w:rsidRPr="00202EB9">
        <w:rPr>
          <w:szCs w:val="22"/>
          <w:lang w:val="fr-FR"/>
        </w:rPr>
        <w:t> </w:t>
      </w:r>
      <w:r w:rsidR="00820D9C" w:rsidRPr="00202EB9">
        <w:rPr>
          <w:szCs w:val="22"/>
          <w:lang w:val="fr-FR"/>
        </w:rPr>
        <w:t>B</w:t>
      </w:r>
      <w:r w:rsidR="00706FFB" w:rsidRPr="00202EB9">
        <w:rPr>
          <w:szCs w:val="22"/>
          <w:lang w:val="fr-FR"/>
        </w:rPr>
        <w:t>.</w:t>
      </w:r>
    </w:p>
    <w:p w:rsidR="004372EF" w:rsidRPr="00202EB9" w:rsidRDefault="003126F2" w:rsidP="00F3224E">
      <w:pPr>
        <w:pStyle w:val="Heading4"/>
        <w:rPr>
          <w:szCs w:val="22"/>
          <w:lang w:val="fr-FR"/>
        </w:rPr>
      </w:pPr>
      <w:r w:rsidRPr="00202EB9">
        <w:rPr>
          <w:szCs w:val="22"/>
          <w:lang w:val="fr-FR"/>
        </w:rPr>
        <w:t>Entretiens avec le président et d</w:t>
      </w:r>
      <w:r w:rsidR="00426067" w:rsidRPr="00202EB9">
        <w:rPr>
          <w:szCs w:val="22"/>
          <w:lang w:val="fr-FR"/>
        </w:rPr>
        <w:t>’</w:t>
      </w:r>
      <w:r w:rsidRPr="00202EB9">
        <w:rPr>
          <w:szCs w:val="22"/>
          <w:lang w:val="fr-FR"/>
        </w:rPr>
        <w:t>anciens présidents</w:t>
      </w:r>
      <w:r w:rsidR="00426067" w:rsidRPr="00202EB9">
        <w:rPr>
          <w:szCs w:val="22"/>
          <w:lang w:val="fr-FR"/>
        </w:rPr>
        <w:t xml:space="preserve"> du </w:t>
      </w:r>
      <w:proofErr w:type="spellStart"/>
      <w:r w:rsidR="00426067" w:rsidRPr="00202EB9">
        <w:rPr>
          <w:szCs w:val="22"/>
          <w:lang w:val="fr-FR"/>
        </w:rPr>
        <w:t>CDI</w:t>
      </w:r>
      <w:r w:rsidR="004372EF" w:rsidRPr="00202EB9">
        <w:rPr>
          <w:szCs w:val="22"/>
          <w:lang w:val="fr-FR"/>
        </w:rPr>
        <w:t>P</w:t>
      </w:r>
      <w:proofErr w:type="spellEnd"/>
    </w:p>
    <w:p w:rsidR="00F3224E" w:rsidRPr="00202EB9" w:rsidRDefault="00F3224E" w:rsidP="00F3224E">
      <w:pPr>
        <w:rPr>
          <w:rFonts w:cs="Arial"/>
          <w:lang w:val="fr-FR" w:eastAsia="zh-CN" w:bidi="ar-SA"/>
        </w:rPr>
      </w:pPr>
    </w:p>
    <w:p w:rsidR="00426067" w:rsidRPr="00202EB9" w:rsidRDefault="003126F2" w:rsidP="00F3224E">
      <w:pPr>
        <w:pStyle w:val="ONUMFS"/>
        <w:rPr>
          <w:szCs w:val="22"/>
          <w:lang w:val="fr-FR"/>
        </w:rPr>
      </w:pPr>
      <w:r w:rsidRPr="00202EB9">
        <w:rPr>
          <w:szCs w:val="22"/>
          <w:lang w:val="fr-FR"/>
        </w:rPr>
        <w:t>À l</w:t>
      </w:r>
      <w:r w:rsidR="00426067" w:rsidRPr="00202EB9">
        <w:rPr>
          <w:szCs w:val="22"/>
          <w:lang w:val="fr-FR"/>
        </w:rPr>
        <w:t>’</w:t>
      </w:r>
      <w:r w:rsidRPr="00202EB9">
        <w:rPr>
          <w:szCs w:val="22"/>
          <w:lang w:val="fr-FR"/>
        </w:rPr>
        <w:t xml:space="preserve">occasion de sa première visite à Genève, en </w:t>
      </w:r>
      <w:r w:rsidR="00426067" w:rsidRPr="00202EB9">
        <w:rPr>
          <w:szCs w:val="22"/>
          <w:lang w:val="fr-FR"/>
        </w:rPr>
        <w:t>mai 20</w:t>
      </w:r>
      <w:r w:rsidRPr="00202EB9">
        <w:rPr>
          <w:szCs w:val="22"/>
          <w:lang w:val="fr-FR"/>
        </w:rPr>
        <w:t>15, l</w:t>
      </w:r>
      <w:r w:rsidR="00426067" w:rsidRPr="00202EB9">
        <w:rPr>
          <w:szCs w:val="22"/>
          <w:lang w:val="fr-FR"/>
        </w:rPr>
        <w:t>’</w:t>
      </w:r>
      <w:r w:rsidRPr="00202EB9">
        <w:rPr>
          <w:szCs w:val="22"/>
          <w:lang w:val="fr-FR"/>
        </w:rPr>
        <w:t>équipe chargée de l</w:t>
      </w:r>
      <w:r w:rsidR="00426067" w:rsidRPr="00202EB9">
        <w:rPr>
          <w:szCs w:val="22"/>
          <w:lang w:val="fr-FR"/>
        </w:rPr>
        <w:t>’</w:t>
      </w:r>
      <w:r w:rsidRPr="00202EB9">
        <w:rPr>
          <w:szCs w:val="22"/>
          <w:lang w:val="fr-FR"/>
        </w:rPr>
        <w:t>étude a eu l</w:t>
      </w:r>
      <w:r w:rsidR="00426067" w:rsidRPr="00202EB9">
        <w:rPr>
          <w:szCs w:val="22"/>
          <w:lang w:val="fr-FR"/>
        </w:rPr>
        <w:t>’</w:t>
      </w:r>
      <w:r w:rsidRPr="00202EB9">
        <w:rPr>
          <w:szCs w:val="22"/>
          <w:lang w:val="fr-FR"/>
        </w:rPr>
        <w:t>occasion de rencontrer deux</w:t>
      </w:r>
      <w:r w:rsidR="00E15713" w:rsidRPr="00202EB9">
        <w:rPr>
          <w:szCs w:val="22"/>
          <w:lang w:val="fr-FR"/>
        </w:rPr>
        <w:t> </w:t>
      </w:r>
      <w:r w:rsidRPr="00202EB9">
        <w:rPr>
          <w:szCs w:val="22"/>
          <w:lang w:val="fr-FR"/>
        </w:rPr>
        <w:t>anciens présidents</w:t>
      </w:r>
      <w:r w:rsidR="00426067" w:rsidRPr="00202EB9">
        <w:rPr>
          <w:szCs w:val="22"/>
          <w:lang w:val="fr-FR"/>
        </w:rPr>
        <w:t xml:space="preserve"> du </w:t>
      </w:r>
      <w:proofErr w:type="spellStart"/>
      <w:r w:rsidR="00426067" w:rsidRPr="00202EB9">
        <w:rPr>
          <w:szCs w:val="22"/>
          <w:lang w:val="fr-FR"/>
        </w:rPr>
        <w:t>CDI</w:t>
      </w:r>
      <w:r w:rsidR="004372EF" w:rsidRPr="00202EB9">
        <w:rPr>
          <w:szCs w:val="22"/>
          <w:lang w:val="fr-FR"/>
        </w:rPr>
        <w:t>P</w:t>
      </w:r>
      <w:proofErr w:type="spellEnd"/>
      <w:r w:rsidR="004372EF" w:rsidRPr="00202EB9">
        <w:rPr>
          <w:szCs w:val="22"/>
          <w:lang w:val="fr-FR"/>
        </w:rPr>
        <w:t xml:space="preserve">, </w:t>
      </w:r>
      <w:r w:rsidRPr="00202EB9">
        <w:rPr>
          <w:szCs w:val="22"/>
          <w:lang w:val="fr-FR"/>
        </w:rPr>
        <w:t>M.</w:t>
      </w:r>
      <w:r w:rsidR="00E15713" w:rsidRPr="00202EB9">
        <w:rPr>
          <w:szCs w:val="22"/>
          <w:lang w:val="fr-FR"/>
        </w:rPr>
        <w:t> </w:t>
      </w:r>
      <w:r w:rsidRPr="00202EB9">
        <w:rPr>
          <w:szCs w:val="22"/>
          <w:lang w:val="fr-FR"/>
        </w:rPr>
        <w:t>l</w:t>
      </w:r>
      <w:r w:rsidR="00426067" w:rsidRPr="00202EB9">
        <w:rPr>
          <w:szCs w:val="22"/>
          <w:lang w:val="fr-FR"/>
        </w:rPr>
        <w:t>’</w:t>
      </w:r>
      <w:r w:rsidRPr="00202EB9">
        <w:rPr>
          <w:szCs w:val="22"/>
          <w:lang w:val="fr-FR"/>
        </w:rPr>
        <w:t xml:space="preserve">Ambassadeur </w:t>
      </w:r>
      <w:r w:rsidR="001E787E" w:rsidRPr="00202EB9">
        <w:rPr>
          <w:szCs w:val="22"/>
          <w:lang w:val="fr-FR"/>
        </w:rPr>
        <w:t>Mohamed </w:t>
      </w:r>
      <w:r w:rsidR="004372EF" w:rsidRPr="00202EB9">
        <w:rPr>
          <w:szCs w:val="22"/>
          <w:lang w:val="fr-FR"/>
        </w:rPr>
        <w:t>Siad</w:t>
      </w:r>
      <w:r w:rsidR="001E787E" w:rsidRPr="00202EB9">
        <w:rPr>
          <w:szCs w:val="22"/>
          <w:lang w:val="fr-FR"/>
        </w:rPr>
        <w:t> </w:t>
      </w:r>
      <w:proofErr w:type="spellStart"/>
      <w:r w:rsidR="004372EF" w:rsidRPr="00202EB9">
        <w:rPr>
          <w:szCs w:val="22"/>
          <w:lang w:val="fr-FR"/>
        </w:rPr>
        <w:t>Doualeh</w:t>
      </w:r>
      <w:proofErr w:type="spellEnd"/>
      <w:r w:rsidR="00DE2EFC" w:rsidRPr="00202EB9">
        <w:rPr>
          <w:szCs w:val="22"/>
          <w:lang w:val="fr-FR"/>
        </w:rPr>
        <w:t xml:space="preserve">, </w:t>
      </w:r>
      <w:r w:rsidRPr="00202EB9">
        <w:rPr>
          <w:szCs w:val="22"/>
          <w:lang w:val="fr-FR"/>
        </w:rPr>
        <w:t>représentant permanent de Djibouti, et M.</w:t>
      </w:r>
      <w:r w:rsidR="00E15713" w:rsidRPr="00202EB9">
        <w:rPr>
          <w:szCs w:val="22"/>
          <w:lang w:val="fr-FR"/>
        </w:rPr>
        <w:t> </w:t>
      </w:r>
      <w:r w:rsidRPr="00202EB9">
        <w:rPr>
          <w:szCs w:val="22"/>
          <w:lang w:val="fr-FR"/>
        </w:rPr>
        <w:t>l</w:t>
      </w:r>
      <w:r w:rsidR="00426067" w:rsidRPr="00202EB9">
        <w:rPr>
          <w:szCs w:val="22"/>
          <w:lang w:val="fr-FR"/>
        </w:rPr>
        <w:t>’</w:t>
      </w:r>
      <w:r w:rsidRPr="00202EB9">
        <w:rPr>
          <w:szCs w:val="22"/>
          <w:lang w:val="fr-FR"/>
        </w:rPr>
        <w:t xml:space="preserve">Ambassadeur </w:t>
      </w:r>
      <w:r w:rsidR="00706FFB" w:rsidRPr="00202EB9">
        <w:rPr>
          <w:szCs w:val="22"/>
          <w:lang w:val="fr-FR"/>
        </w:rPr>
        <w:t>Alberto</w:t>
      </w:r>
      <w:r w:rsidR="001E787E" w:rsidRPr="00202EB9">
        <w:rPr>
          <w:szCs w:val="22"/>
          <w:lang w:val="fr-FR"/>
        </w:rPr>
        <w:t> Pedro </w:t>
      </w:r>
      <w:r w:rsidR="00DE2EFC" w:rsidRPr="00202EB9">
        <w:rPr>
          <w:szCs w:val="22"/>
          <w:lang w:val="fr-FR"/>
        </w:rPr>
        <w:t>D</w:t>
      </w:r>
      <w:r w:rsidR="00426067" w:rsidRPr="00202EB9">
        <w:rPr>
          <w:szCs w:val="22"/>
          <w:lang w:val="fr-FR"/>
        </w:rPr>
        <w:t>’</w:t>
      </w:r>
      <w:proofErr w:type="spellStart"/>
      <w:r w:rsidR="00DE2EFC" w:rsidRPr="00202EB9">
        <w:rPr>
          <w:szCs w:val="22"/>
          <w:lang w:val="fr-FR"/>
        </w:rPr>
        <w:t>Alotto</w:t>
      </w:r>
      <w:proofErr w:type="spellEnd"/>
      <w:r w:rsidR="00DE2EFC" w:rsidRPr="00202EB9">
        <w:rPr>
          <w:szCs w:val="22"/>
          <w:lang w:val="fr-FR"/>
        </w:rPr>
        <w:t xml:space="preserve">, </w:t>
      </w:r>
      <w:r w:rsidRPr="00202EB9">
        <w:rPr>
          <w:szCs w:val="22"/>
          <w:lang w:val="fr-FR"/>
        </w:rPr>
        <w:t>représentant permanent de l</w:t>
      </w:r>
      <w:r w:rsidR="00426067" w:rsidRPr="00202EB9">
        <w:rPr>
          <w:szCs w:val="22"/>
          <w:lang w:val="fr-FR"/>
        </w:rPr>
        <w:t>’</w:t>
      </w:r>
      <w:r w:rsidRPr="00202EB9">
        <w:rPr>
          <w:szCs w:val="22"/>
          <w:lang w:val="fr-FR"/>
        </w:rPr>
        <w:t>Argenti</w:t>
      </w:r>
      <w:r w:rsidR="001E787E" w:rsidRPr="00202EB9">
        <w:rPr>
          <w:szCs w:val="22"/>
          <w:lang w:val="fr-FR"/>
        </w:rPr>
        <w:t>ne.  Ce</w:t>
      </w:r>
      <w:r w:rsidR="00595009" w:rsidRPr="00202EB9">
        <w:rPr>
          <w:szCs w:val="22"/>
          <w:lang w:val="fr-FR"/>
        </w:rPr>
        <w:t>s rencontres ont permis à l</w:t>
      </w:r>
      <w:r w:rsidR="00426067" w:rsidRPr="00202EB9">
        <w:rPr>
          <w:szCs w:val="22"/>
          <w:lang w:val="fr-FR"/>
        </w:rPr>
        <w:t>’</w:t>
      </w:r>
      <w:r w:rsidR="00595009" w:rsidRPr="00202EB9">
        <w:rPr>
          <w:szCs w:val="22"/>
          <w:lang w:val="fr-FR"/>
        </w:rPr>
        <w:t>équipe chargée de l</w:t>
      </w:r>
      <w:r w:rsidR="00426067" w:rsidRPr="00202EB9">
        <w:rPr>
          <w:szCs w:val="22"/>
          <w:lang w:val="fr-FR"/>
        </w:rPr>
        <w:t>’</w:t>
      </w:r>
      <w:r w:rsidR="00595009" w:rsidRPr="00202EB9">
        <w:rPr>
          <w:szCs w:val="22"/>
          <w:lang w:val="fr-FR"/>
        </w:rPr>
        <w:t>étude de mieux saisir les subtilités du cahier des charges de l</w:t>
      </w:r>
      <w:r w:rsidR="00426067" w:rsidRPr="00202EB9">
        <w:rPr>
          <w:szCs w:val="22"/>
          <w:lang w:val="fr-FR"/>
        </w:rPr>
        <w:t>’</w:t>
      </w:r>
      <w:r w:rsidR="00595009" w:rsidRPr="00202EB9">
        <w:rPr>
          <w:szCs w:val="22"/>
          <w:lang w:val="fr-FR"/>
        </w:rPr>
        <w:t>étude indépendante, ainsi que les complexités et la nature des travaux</w:t>
      </w:r>
      <w:r w:rsidR="00426067" w:rsidRPr="00202EB9">
        <w:rPr>
          <w:szCs w:val="22"/>
          <w:lang w:val="fr-FR"/>
        </w:rPr>
        <w:t xml:space="preserve"> du </w:t>
      </w:r>
      <w:proofErr w:type="spellStart"/>
      <w:r w:rsidR="00426067" w:rsidRPr="00202EB9">
        <w:rPr>
          <w:szCs w:val="22"/>
          <w:lang w:val="fr-FR"/>
        </w:rPr>
        <w:t>CDI</w:t>
      </w:r>
      <w:r w:rsidR="00595009" w:rsidRPr="00202EB9">
        <w:rPr>
          <w:szCs w:val="22"/>
          <w:lang w:val="fr-FR"/>
        </w:rPr>
        <w:t>P</w:t>
      </w:r>
      <w:proofErr w:type="spellEnd"/>
      <w:r w:rsidR="00595009" w:rsidRPr="00202EB9">
        <w:rPr>
          <w:szCs w:val="22"/>
          <w:lang w:val="fr-FR"/>
        </w:rPr>
        <w:t>, en particulier en ce qui concerne le degré d</w:t>
      </w:r>
      <w:r w:rsidR="00426067" w:rsidRPr="00202EB9">
        <w:rPr>
          <w:szCs w:val="22"/>
          <w:lang w:val="fr-FR"/>
        </w:rPr>
        <w:t>’</w:t>
      </w:r>
      <w:r w:rsidR="00595009" w:rsidRPr="00202EB9">
        <w:rPr>
          <w:szCs w:val="22"/>
          <w:lang w:val="fr-FR"/>
        </w:rPr>
        <w:t>efficacité de l</w:t>
      </w:r>
      <w:r w:rsidR="00426067" w:rsidRPr="00202EB9">
        <w:rPr>
          <w:szCs w:val="22"/>
          <w:lang w:val="fr-FR"/>
        </w:rPr>
        <w:t>’</w:t>
      </w:r>
      <w:r w:rsidR="00595009" w:rsidRPr="00202EB9">
        <w:rPr>
          <w:szCs w:val="22"/>
          <w:lang w:val="fr-FR"/>
        </w:rPr>
        <w:t>approche thématique basée sur des projets.</w:t>
      </w:r>
    </w:p>
    <w:p w:rsidR="004372EF" w:rsidRPr="00202EB9" w:rsidRDefault="00FE33D0" w:rsidP="00F3224E">
      <w:pPr>
        <w:pStyle w:val="Heading4"/>
        <w:rPr>
          <w:szCs w:val="22"/>
          <w:lang w:val="fr-FR"/>
        </w:rPr>
      </w:pPr>
      <w:r w:rsidRPr="00202EB9">
        <w:rPr>
          <w:szCs w:val="22"/>
          <w:lang w:val="fr-FR"/>
        </w:rPr>
        <w:t>Entretiens avec des bénéficiaires et des fonctionnaires des capitales</w:t>
      </w:r>
    </w:p>
    <w:p w:rsidR="00F3224E" w:rsidRPr="00202EB9" w:rsidRDefault="00F3224E" w:rsidP="00F3224E">
      <w:pPr>
        <w:rPr>
          <w:rFonts w:cs="Arial"/>
          <w:lang w:val="fr-FR" w:eastAsia="zh-CN" w:bidi="ar-SA"/>
        </w:rPr>
      </w:pPr>
    </w:p>
    <w:p w:rsidR="00426067" w:rsidRPr="00202EB9" w:rsidRDefault="00ED0063" w:rsidP="00F3224E">
      <w:pPr>
        <w:pStyle w:val="ONUMFS"/>
        <w:rPr>
          <w:szCs w:val="22"/>
          <w:lang w:val="fr-FR"/>
        </w:rPr>
      </w:pPr>
      <w:r w:rsidRPr="00202EB9">
        <w:rPr>
          <w:szCs w:val="22"/>
          <w:lang w:val="fr-FR"/>
        </w:rPr>
        <w:t>Les visites sur le terrain mentionnées ci</w:t>
      </w:r>
      <w:r w:rsidR="001E787E" w:rsidRPr="00202EB9">
        <w:rPr>
          <w:szCs w:val="22"/>
          <w:lang w:val="fr-FR"/>
        </w:rPr>
        <w:noBreakHyphen/>
      </w:r>
      <w:r w:rsidRPr="00202EB9">
        <w:rPr>
          <w:szCs w:val="22"/>
          <w:lang w:val="fr-FR"/>
        </w:rPr>
        <w:t xml:space="preserve">dessus </w:t>
      </w:r>
      <w:r w:rsidR="00245E80" w:rsidRPr="00202EB9">
        <w:rPr>
          <w:szCs w:val="22"/>
          <w:lang w:val="fr-FR"/>
        </w:rPr>
        <w:t>ont fourni l</w:t>
      </w:r>
      <w:r w:rsidR="00426067" w:rsidRPr="00202EB9">
        <w:rPr>
          <w:szCs w:val="22"/>
          <w:lang w:val="fr-FR"/>
        </w:rPr>
        <w:t>’</w:t>
      </w:r>
      <w:r w:rsidR="00245E80" w:rsidRPr="00202EB9">
        <w:rPr>
          <w:szCs w:val="22"/>
          <w:lang w:val="fr-FR"/>
        </w:rPr>
        <w:t>occasion de rencontrer des fonctionnaires et des bénéficiaires dans les capital</w:t>
      </w:r>
      <w:r w:rsidR="001E787E" w:rsidRPr="00202EB9">
        <w:rPr>
          <w:szCs w:val="22"/>
          <w:lang w:val="fr-FR"/>
        </w:rPr>
        <w:t>es.  Un</w:t>
      </w:r>
      <w:r w:rsidR="00245E80" w:rsidRPr="00202EB9">
        <w:rPr>
          <w:szCs w:val="22"/>
          <w:lang w:val="fr-FR"/>
        </w:rPr>
        <w:t xml:space="preserve"> certain nombre d</w:t>
      </w:r>
      <w:r w:rsidR="00426067" w:rsidRPr="00202EB9">
        <w:rPr>
          <w:szCs w:val="22"/>
          <w:lang w:val="fr-FR"/>
        </w:rPr>
        <w:t>’</w:t>
      </w:r>
      <w:r w:rsidR="00245E80" w:rsidRPr="00202EB9">
        <w:rPr>
          <w:szCs w:val="22"/>
          <w:lang w:val="fr-FR"/>
        </w:rPr>
        <w:t>entretiens ont été tenus en outre par voie de conférence téléphonique à partir de Genève, avec des fonctionnaires basés dans les capitales et des bénéficiaires de la mise en œuvre des recommandatio</w:t>
      </w:r>
      <w:r w:rsidR="001E787E" w:rsidRPr="00202EB9">
        <w:rPr>
          <w:szCs w:val="22"/>
          <w:lang w:val="fr-FR"/>
        </w:rPr>
        <w:t>ns.  L’é</w:t>
      </w:r>
      <w:r w:rsidR="00164C69" w:rsidRPr="00202EB9">
        <w:rPr>
          <w:szCs w:val="22"/>
          <w:lang w:val="fr-FR"/>
        </w:rPr>
        <w:t>quipe chargée de l</w:t>
      </w:r>
      <w:r w:rsidR="00426067" w:rsidRPr="00202EB9">
        <w:rPr>
          <w:szCs w:val="22"/>
          <w:lang w:val="fr-FR"/>
        </w:rPr>
        <w:t>’</w:t>
      </w:r>
      <w:r w:rsidR="00164C69" w:rsidRPr="00202EB9">
        <w:rPr>
          <w:szCs w:val="22"/>
          <w:lang w:val="fr-FR"/>
        </w:rPr>
        <w:t xml:space="preserve">étude a eu en outre des entretiens, lors de sa visite à Genève en </w:t>
      </w:r>
      <w:r w:rsidR="00426067" w:rsidRPr="00202EB9">
        <w:rPr>
          <w:szCs w:val="22"/>
          <w:lang w:val="fr-FR"/>
        </w:rPr>
        <w:t>novembre 20</w:t>
      </w:r>
      <w:r w:rsidR="00164C69" w:rsidRPr="00202EB9">
        <w:rPr>
          <w:szCs w:val="22"/>
          <w:lang w:val="fr-FR"/>
        </w:rPr>
        <w:t>15, avec des hauts fonctionnaires d</w:t>
      </w:r>
      <w:r w:rsidR="00426067" w:rsidRPr="00202EB9">
        <w:rPr>
          <w:szCs w:val="22"/>
          <w:lang w:val="fr-FR"/>
        </w:rPr>
        <w:t>’</w:t>
      </w:r>
      <w:r w:rsidR="00164C69" w:rsidRPr="00202EB9">
        <w:rPr>
          <w:szCs w:val="22"/>
          <w:lang w:val="fr-FR"/>
        </w:rPr>
        <w:t>offices de propriété intellectuelle de différentes régions ainsi que des fonctionnaires impliqués dans la mise en œuvre de projets d</w:t>
      </w:r>
      <w:r w:rsidR="00426067" w:rsidRPr="00202EB9">
        <w:rPr>
          <w:szCs w:val="22"/>
          <w:lang w:val="fr-FR"/>
        </w:rPr>
        <w:t>’</w:t>
      </w:r>
      <w:r w:rsidR="00164C69" w:rsidRPr="00202EB9">
        <w:rPr>
          <w:szCs w:val="22"/>
          <w:lang w:val="fr-FR"/>
        </w:rPr>
        <w:t>assistance technique lancés par</w:t>
      </w:r>
      <w:r w:rsidR="00426067" w:rsidRPr="00202EB9">
        <w:rPr>
          <w:szCs w:val="22"/>
          <w:lang w:val="fr-FR"/>
        </w:rPr>
        <w:t xml:space="preserve"> le </w:t>
      </w:r>
      <w:proofErr w:type="spellStart"/>
      <w:r w:rsidR="00426067" w:rsidRPr="00202EB9">
        <w:rPr>
          <w:szCs w:val="22"/>
          <w:lang w:val="fr-FR"/>
        </w:rPr>
        <w:t>C</w:t>
      </w:r>
      <w:r w:rsidR="001E787E" w:rsidRPr="00202EB9">
        <w:rPr>
          <w:szCs w:val="22"/>
          <w:lang w:val="fr-FR"/>
        </w:rPr>
        <w:t>DIP</w:t>
      </w:r>
      <w:proofErr w:type="spellEnd"/>
      <w:r w:rsidR="001E787E" w:rsidRPr="00202EB9">
        <w:rPr>
          <w:szCs w:val="22"/>
          <w:lang w:val="fr-FR"/>
        </w:rPr>
        <w:t>.  Le</w:t>
      </w:r>
      <w:r w:rsidR="00513EA3" w:rsidRPr="00202EB9">
        <w:rPr>
          <w:szCs w:val="22"/>
          <w:lang w:val="fr-FR"/>
        </w:rPr>
        <w:t xml:space="preserve">s personnes interrogées </w:t>
      </w:r>
      <w:r w:rsidR="005443C7" w:rsidRPr="00202EB9">
        <w:rPr>
          <w:szCs w:val="22"/>
          <w:lang w:val="fr-FR"/>
        </w:rPr>
        <w:t>contribu</w:t>
      </w:r>
      <w:r w:rsidR="00513EA3" w:rsidRPr="00202EB9">
        <w:rPr>
          <w:szCs w:val="22"/>
          <w:lang w:val="fr-FR"/>
        </w:rPr>
        <w:t>aient par leur</w:t>
      </w:r>
      <w:r w:rsidR="005443C7" w:rsidRPr="00202EB9">
        <w:rPr>
          <w:szCs w:val="22"/>
          <w:lang w:val="fr-FR"/>
        </w:rPr>
        <w:t xml:space="preserve">s </w:t>
      </w:r>
      <w:r w:rsidR="00831157" w:rsidRPr="00202EB9">
        <w:rPr>
          <w:szCs w:val="22"/>
          <w:lang w:val="fr-FR"/>
        </w:rPr>
        <w:t>perceptions</w:t>
      </w:r>
      <w:r w:rsidR="005443C7" w:rsidRPr="00202EB9">
        <w:rPr>
          <w:szCs w:val="22"/>
          <w:lang w:val="fr-FR"/>
        </w:rPr>
        <w:t xml:space="preserve"> </w:t>
      </w:r>
      <w:r w:rsidR="00513EA3" w:rsidRPr="00202EB9">
        <w:rPr>
          <w:szCs w:val="22"/>
          <w:lang w:val="fr-FR"/>
        </w:rPr>
        <w:t>et leur expérience à la mise en œuvre des recommandations du Plan d</w:t>
      </w:r>
      <w:r w:rsidR="00426067" w:rsidRPr="00202EB9">
        <w:rPr>
          <w:szCs w:val="22"/>
          <w:lang w:val="fr-FR"/>
        </w:rPr>
        <w:t>’</w:t>
      </w:r>
      <w:r w:rsidR="00513EA3" w:rsidRPr="00202EB9">
        <w:rPr>
          <w:szCs w:val="22"/>
          <w:lang w:val="fr-FR"/>
        </w:rPr>
        <w:t>action pour le développement.</w:t>
      </w:r>
    </w:p>
    <w:p w:rsidR="0091666A" w:rsidRPr="00202EB9" w:rsidRDefault="00E669D8" w:rsidP="00F3224E">
      <w:pPr>
        <w:pStyle w:val="ONUMFS"/>
        <w:rPr>
          <w:szCs w:val="22"/>
          <w:lang w:val="fr-FR"/>
        </w:rPr>
      </w:pPr>
      <w:r w:rsidRPr="00202EB9">
        <w:rPr>
          <w:szCs w:val="22"/>
          <w:lang w:val="fr-FR"/>
        </w:rPr>
        <w:t>Ces entretiens ont constitué un moyen complémentaire de vérification</w:t>
      </w:r>
      <w:r w:rsidR="00977A17" w:rsidRPr="00202EB9">
        <w:rPr>
          <w:szCs w:val="22"/>
          <w:lang w:val="fr-FR"/>
        </w:rPr>
        <w:t xml:space="preserve"> des informations existantes, et ont permis de mieux répondre aux questions clés</w:t>
      </w:r>
      <w:r w:rsidR="00E16E59" w:rsidRPr="00202EB9">
        <w:rPr>
          <w:szCs w:val="22"/>
          <w:lang w:val="fr-FR"/>
        </w:rPr>
        <w:t xml:space="preserve"> de l</w:t>
      </w:r>
      <w:r w:rsidR="00426067" w:rsidRPr="00202EB9">
        <w:rPr>
          <w:szCs w:val="22"/>
          <w:lang w:val="fr-FR"/>
        </w:rPr>
        <w:t>’</w:t>
      </w:r>
      <w:r w:rsidR="00E16E59" w:rsidRPr="00202EB9">
        <w:rPr>
          <w:szCs w:val="22"/>
          <w:lang w:val="fr-FR"/>
        </w:rPr>
        <w:t>étude, notamment en ce qui concerne l</w:t>
      </w:r>
      <w:r w:rsidR="00426067" w:rsidRPr="00202EB9">
        <w:rPr>
          <w:szCs w:val="22"/>
          <w:lang w:val="fr-FR"/>
        </w:rPr>
        <w:t>’</w:t>
      </w:r>
      <w:r w:rsidR="00E16E59" w:rsidRPr="00202EB9">
        <w:rPr>
          <w:szCs w:val="22"/>
          <w:lang w:val="fr-FR"/>
        </w:rPr>
        <w:t>utilité des travaux de l</w:t>
      </w:r>
      <w:r w:rsidR="00426067" w:rsidRPr="00202EB9">
        <w:rPr>
          <w:szCs w:val="22"/>
          <w:lang w:val="fr-FR"/>
        </w:rPr>
        <w:t>’</w:t>
      </w:r>
      <w:r w:rsidR="00E16E59" w:rsidRPr="00202EB9">
        <w:rPr>
          <w:szCs w:val="22"/>
          <w:lang w:val="fr-FR"/>
        </w:rPr>
        <w:t>OMPI relatifs à la mise en œuvre des recommandations du Plan d</w:t>
      </w:r>
      <w:r w:rsidR="00426067" w:rsidRPr="00202EB9">
        <w:rPr>
          <w:szCs w:val="22"/>
          <w:lang w:val="fr-FR"/>
        </w:rPr>
        <w:t>’</w:t>
      </w:r>
      <w:r w:rsidR="00E16E59" w:rsidRPr="00202EB9">
        <w:rPr>
          <w:szCs w:val="22"/>
          <w:lang w:val="fr-FR"/>
        </w:rPr>
        <w:t xml:space="preserve">action pour le développement, </w:t>
      </w:r>
      <w:r w:rsidR="00A729AA" w:rsidRPr="00202EB9">
        <w:rPr>
          <w:szCs w:val="22"/>
          <w:lang w:val="fr-FR"/>
        </w:rPr>
        <w:t>le degré de diffusion et d</w:t>
      </w:r>
      <w:r w:rsidR="00426067" w:rsidRPr="00202EB9">
        <w:rPr>
          <w:szCs w:val="22"/>
          <w:lang w:val="fr-FR"/>
        </w:rPr>
        <w:t>’</w:t>
      </w:r>
      <w:r w:rsidR="00A729AA" w:rsidRPr="00202EB9">
        <w:rPr>
          <w:szCs w:val="22"/>
          <w:lang w:val="fr-FR"/>
        </w:rPr>
        <w:t>utilisation des éléments produits dans le cadre de la mise en œuvre des projets, l</w:t>
      </w:r>
      <w:r w:rsidR="00426067" w:rsidRPr="00202EB9">
        <w:rPr>
          <w:szCs w:val="22"/>
          <w:lang w:val="fr-FR"/>
        </w:rPr>
        <w:t>’</w:t>
      </w:r>
      <w:r w:rsidR="00A729AA" w:rsidRPr="00202EB9">
        <w:rPr>
          <w:szCs w:val="22"/>
          <w:lang w:val="fr-FR"/>
        </w:rPr>
        <w:t>efficacité de l</w:t>
      </w:r>
      <w:r w:rsidR="00426067" w:rsidRPr="00202EB9">
        <w:rPr>
          <w:szCs w:val="22"/>
          <w:lang w:val="fr-FR"/>
        </w:rPr>
        <w:t>’</w:t>
      </w:r>
      <w:r w:rsidR="00A729AA" w:rsidRPr="00202EB9">
        <w:rPr>
          <w:szCs w:val="22"/>
          <w:lang w:val="fr-FR"/>
        </w:rPr>
        <w:t>approche thématique fondée sur des projets et le type d</w:t>
      </w:r>
      <w:r w:rsidR="00426067" w:rsidRPr="00202EB9">
        <w:rPr>
          <w:szCs w:val="22"/>
          <w:lang w:val="fr-FR"/>
        </w:rPr>
        <w:t>’</w:t>
      </w:r>
      <w:r w:rsidR="00A729AA" w:rsidRPr="00202EB9">
        <w:rPr>
          <w:szCs w:val="22"/>
          <w:lang w:val="fr-FR"/>
        </w:rPr>
        <w:t xml:space="preserve">enseignements tirés de la mise en </w:t>
      </w:r>
      <w:r w:rsidR="006C50B9" w:rsidRPr="00202EB9">
        <w:rPr>
          <w:szCs w:val="22"/>
          <w:lang w:val="fr-FR"/>
        </w:rPr>
        <w:t>œuvre</w:t>
      </w:r>
      <w:r w:rsidR="00A729AA" w:rsidRPr="00202EB9">
        <w:rPr>
          <w:szCs w:val="22"/>
          <w:lang w:val="fr-FR"/>
        </w:rPr>
        <w:t xml:space="preserve"> des recommandations</w:t>
      </w:r>
      <w:r w:rsidR="0091666A" w:rsidRPr="00202EB9">
        <w:rPr>
          <w:rStyle w:val="FootnoteReference"/>
          <w:szCs w:val="22"/>
          <w:lang w:val="fr-FR"/>
        </w:rPr>
        <w:footnoteReference w:id="16"/>
      </w:r>
      <w:r w:rsidR="00A729AA" w:rsidRPr="00202EB9">
        <w:rPr>
          <w:szCs w:val="22"/>
          <w:lang w:val="fr-FR"/>
        </w:rPr>
        <w:t>.</w:t>
      </w:r>
    </w:p>
    <w:p w:rsidR="004372EF" w:rsidRPr="00202EB9" w:rsidRDefault="001B5858" w:rsidP="00F3224E">
      <w:pPr>
        <w:pStyle w:val="Heading4"/>
        <w:rPr>
          <w:szCs w:val="22"/>
          <w:lang w:val="fr-FR"/>
        </w:rPr>
      </w:pPr>
      <w:r w:rsidRPr="00202EB9">
        <w:rPr>
          <w:szCs w:val="22"/>
          <w:lang w:val="fr-FR"/>
        </w:rPr>
        <w:t xml:space="preserve">Entretiens avec </w:t>
      </w:r>
      <w:r w:rsidR="00A53E71" w:rsidRPr="00202EB9">
        <w:rPr>
          <w:szCs w:val="22"/>
          <w:lang w:val="fr-FR"/>
        </w:rPr>
        <w:t>des représentants d</w:t>
      </w:r>
      <w:r w:rsidR="00426067" w:rsidRPr="00202EB9">
        <w:rPr>
          <w:szCs w:val="22"/>
          <w:lang w:val="fr-FR"/>
        </w:rPr>
        <w:t>’</w:t>
      </w:r>
      <w:r w:rsidR="00A53E71" w:rsidRPr="00202EB9">
        <w:rPr>
          <w:szCs w:val="22"/>
          <w:lang w:val="fr-FR"/>
        </w:rPr>
        <w:t xml:space="preserve">organisations </w:t>
      </w:r>
      <w:proofErr w:type="spellStart"/>
      <w:r w:rsidR="00A53E71" w:rsidRPr="00202EB9">
        <w:rPr>
          <w:szCs w:val="22"/>
          <w:lang w:val="fr-FR"/>
        </w:rPr>
        <w:t>intergouvernementales</w:t>
      </w:r>
      <w:proofErr w:type="spellEnd"/>
      <w:r w:rsidR="00A53E71" w:rsidRPr="00202EB9">
        <w:rPr>
          <w:szCs w:val="22"/>
          <w:lang w:val="fr-FR"/>
        </w:rPr>
        <w:t xml:space="preserve"> et non gouvernementales, anciens diplomates, évaluateurs </w:t>
      </w:r>
      <w:r w:rsidR="00B24644" w:rsidRPr="00202EB9">
        <w:rPr>
          <w:szCs w:val="22"/>
          <w:lang w:val="fr-FR"/>
        </w:rPr>
        <w:t>et</w:t>
      </w:r>
      <w:r w:rsidR="00A53E71" w:rsidRPr="00202EB9">
        <w:rPr>
          <w:szCs w:val="22"/>
          <w:lang w:val="fr-FR"/>
        </w:rPr>
        <w:t xml:space="preserve"> membres du monde universitaire et de l</w:t>
      </w:r>
      <w:r w:rsidR="00426067" w:rsidRPr="00202EB9">
        <w:rPr>
          <w:szCs w:val="22"/>
          <w:lang w:val="fr-FR"/>
        </w:rPr>
        <w:t>’</w:t>
      </w:r>
      <w:r w:rsidR="00A53E71" w:rsidRPr="00202EB9">
        <w:rPr>
          <w:szCs w:val="22"/>
          <w:lang w:val="fr-FR"/>
        </w:rPr>
        <w:t>industrie</w:t>
      </w:r>
    </w:p>
    <w:p w:rsidR="00F3224E" w:rsidRPr="00202EB9" w:rsidRDefault="00F3224E" w:rsidP="00F3224E">
      <w:pPr>
        <w:rPr>
          <w:rFonts w:cs="Arial"/>
          <w:lang w:val="fr-FR" w:eastAsia="zh-CN" w:bidi="ar-SA"/>
        </w:rPr>
      </w:pPr>
    </w:p>
    <w:p w:rsidR="004372EF" w:rsidRPr="00202EB9" w:rsidRDefault="00EA45B7" w:rsidP="00F3224E">
      <w:pPr>
        <w:pStyle w:val="ONUMFS"/>
        <w:rPr>
          <w:szCs w:val="22"/>
          <w:lang w:val="fr-FR"/>
        </w:rPr>
      </w:pPr>
      <w:r w:rsidRPr="00202EB9">
        <w:rPr>
          <w:szCs w:val="22"/>
          <w:lang w:val="fr-FR"/>
        </w:rPr>
        <w:t>Des entretiens ont également été tenus avec d</w:t>
      </w:r>
      <w:r w:rsidR="00426067" w:rsidRPr="00202EB9">
        <w:rPr>
          <w:szCs w:val="22"/>
          <w:lang w:val="fr-FR"/>
        </w:rPr>
        <w:t>’</w:t>
      </w:r>
      <w:r w:rsidRPr="00202EB9">
        <w:rPr>
          <w:szCs w:val="22"/>
          <w:lang w:val="fr-FR"/>
        </w:rPr>
        <w:t>autres parties prenantes, dont notamment des représentants d</w:t>
      </w:r>
      <w:r w:rsidR="00426067" w:rsidRPr="00202EB9">
        <w:rPr>
          <w:szCs w:val="22"/>
          <w:lang w:val="fr-FR"/>
        </w:rPr>
        <w:t>’</w:t>
      </w:r>
      <w:r w:rsidRPr="00202EB9">
        <w:rPr>
          <w:szCs w:val="22"/>
          <w:lang w:val="fr-FR"/>
        </w:rPr>
        <w:t xml:space="preserve">organisations </w:t>
      </w:r>
      <w:proofErr w:type="spellStart"/>
      <w:r w:rsidRPr="00202EB9">
        <w:rPr>
          <w:szCs w:val="22"/>
          <w:lang w:val="fr-FR"/>
        </w:rPr>
        <w:t>intergouvernementales</w:t>
      </w:r>
      <w:proofErr w:type="spellEnd"/>
      <w:r w:rsidRPr="00202EB9">
        <w:rPr>
          <w:szCs w:val="22"/>
          <w:lang w:val="fr-FR"/>
        </w:rPr>
        <w:t xml:space="preserve"> et non gouvernementales, d</w:t>
      </w:r>
      <w:r w:rsidR="00426067" w:rsidRPr="00202EB9">
        <w:rPr>
          <w:szCs w:val="22"/>
          <w:lang w:val="fr-FR"/>
        </w:rPr>
        <w:t>’</w:t>
      </w:r>
      <w:r w:rsidRPr="00202EB9">
        <w:rPr>
          <w:szCs w:val="22"/>
          <w:lang w:val="fr-FR"/>
        </w:rPr>
        <w:t>anciens diplomates, des évaluateurs, des membres du monde universitaire et de l</w:t>
      </w:r>
      <w:r w:rsidR="00426067" w:rsidRPr="00202EB9">
        <w:rPr>
          <w:szCs w:val="22"/>
          <w:lang w:val="fr-FR"/>
        </w:rPr>
        <w:t>’</w:t>
      </w:r>
      <w:r w:rsidRPr="00202EB9">
        <w:rPr>
          <w:szCs w:val="22"/>
          <w:lang w:val="fr-FR"/>
        </w:rPr>
        <w:t xml:space="preserve">industrie, </w:t>
      </w:r>
      <w:r w:rsidR="000737CC" w:rsidRPr="00202EB9">
        <w:rPr>
          <w:szCs w:val="22"/>
          <w:lang w:val="fr-FR"/>
        </w:rPr>
        <w:t>afin de compléter les informations recueillies au moyen des outils méthodologiques</w:t>
      </w:r>
      <w:r w:rsidR="00B7157B" w:rsidRPr="00202EB9">
        <w:rPr>
          <w:szCs w:val="22"/>
          <w:lang w:val="fr-FR"/>
        </w:rPr>
        <w:t xml:space="preserve"> précédemment décri</w:t>
      </w:r>
      <w:r w:rsidR="001E787E" w:rsidRPr="00202EB9">
        <w:rPr>
          <w:szCs w:val="22"/>
          <w:lang w:val="fr-FR"/>
        </w:rPr>
        <w:t>ts.  Ce</w:t>
      </w:r>
      <w:r w:rsidR="00826609" w:rsidRPr="00202EB9">
        <w:rPr>
          <w:szCs w:val="22"/>
          <w:lang w:val="fr-FR"/>
        </w:rPr>
        <w:t>s interlocuteurs</w:t>
      </w:r>
      <w:r w:rsidR="000737CC" w:rsidRPr="00202EB9">
        <w:rPr>
          <w:szCs w:val="22"/>
          <w:lang w:val="fr-FR"/>
        </w:rPr>
        <w:t xml:space="preserve"> </w:t>
      </w:r>
      <w:r w:rsidR="00B24644" w:rsidRPr="00202EB9">
        <w:rPr>
          <w:szCs w:val="22"/>
          <w:lang w:val="fr-FR"/>
        </w:rPr>
        <w:t>ont été choisis sur la base de leur</w:t>
      </w:r>
      <w:r w:rsidR="003B718E" w:rsidRPr="00202EB9">
        <w:rPr>
          <w:szCs w:val="22"/>
          <w:lang w:val="fr-FR"/>
        </w:rPr>
        <w:t xml:space="preserve"> participation aux délibérations</w:t>
      </w:r>
      <w:r w:rsidR="00426067" w:rsidRPr="00202EB9">
        <w:rPr>
          <w:szCs w:val="22"/>
          <w:lang w:val="fr-FR"/>
        </w:rPr>
        <w:t xml:space="preserve"> du </w:t>
      </w:r>
      <w:proofErr w:type="spellStart"/>
      <w:r w:rsidR="00426067" w:rsidRPr="00202EB9">
        <w:rPr>
          <w:szCs w:val="22"/>
          <w:lang w:val="fr-FR"/>
        </w:rPr>
        <w:t>CDI</w:t>
      </w:r>
      <w:r w:rsidR="003B718E" w:rsidRPr="00202EB9">
        <w:rPr>
          <w:szCs w:val="22"/>
          <w:lang w:val="fr-FR"/>
        </w:rPr>
        <w:t>P</w:t>
      </w:r>
      <w:proofErr w:type="spellEnd"/>
      <w:r w:rsidR="003B718E" w:rsidRPr="00202EB9">
        <w:rPr>
          <w:szCs w:val="22"/>
          <w:lang w:val="fr-FR"/>
        </w:rPr>
        <w:t xml:space="preserve">, </w:t>
      </w:r>
      <w:r w:rsidR="00B62E82" w:rsidRPr="00202EB9">
        <w:rPr>
          <w:szCs w:val="22"/>
          <w:lang w:val="fr-FR"/>
        </w:rPr>
        <w:t>à l</w:t>
      </w:r>
      <w:r w:rsidR="00426067" w:rsidRPr="00202EB9">
        <w:rPr>
          <w:szCs w:val="22"/>
          <w:lang w:val="fr-FR"/>
        </w:rPr>
        <w:t>’</w:t>
      </w:r>
      <w:r w:rsidR="00B62E82" w:rsidRPr="00202EB9">
        <w:rPr>
          <w:szCs w:val="22"/>
          <w:lang w:val="fr-FR"/>
        </w:rPr>
        <w:t>évaluation externe d</w:t>
      </w:r>
      <w:r w:rsidR="00426067" w:rsidRPr="00202EB9">
        <w:rPr>
          <w:szCs w:val="22"/>
          <w:lang w:val="fr-FR"/>
        </w:rPr>
        <w:t>’</w:t>
      </w:r>
      <w:r w:rsidR="00B62E82" w:rsidRPr="00202EB9">
        <w:rPr>
          <w:szCs w:val="22"/>
          <w:lang w:val="fr-FR"/>
        </w:rPr>
        <w:t>un projet lié aux recommandations du Plan d</w:t>
      </w:r>
      <w:r w:rsidR="00426067" w:rsidRPr="00202EB9">
        <w:rPr>
          <w:szCs w:val="22"/>
          <w:lang w:val="fr-FR"/>
        </w:rPr>
        <w:t>’</w:t>
      </w:r>
      <w:r w:rsidR="00B62E82" w:rsidRPr="00202EB9">
        <w:rPr>
          <w:szCs w:val="22"/>
          <w:lang w:val="fr-FR"/>
        </w:rPr>
        <w:t>action pour le développement, à des travaux relatifs à ces recommandations en tant qu</w:t>
      </w:r>
      <w:r w:rsidR="00426067" w:rsidRPr="00202EB9">
        <w:rPr>
          <w:szCs w:val="22"/>
          <w:lang w:val="fr-FR"/>
        </w:rPr>
        <w:t>’</w:t>
      </w:r>
      <w:r w:rsidR="00B62E82" w:rsidRPr="00202EB9">
        <w:rPr>
          <w:szCs w:val="22"/>
          <w:lang w:val="fr-FR"/>
        </w:rPr>
        <w:t>universitaire ou à la diffusion d</w:t>
      </w:r>
      <w:r w:rsidR="00426067" w:rsidRPr="00202EB9">
        <w:rPr>
          <w:szCs w:val="22"/>
          <w:lang w:val="fr-FR"/>
        </w:rPr>
        <w:t>’</w:t>
      </w:r>
      <w:r w:rsidR="00B62E82" w:rsidRPr="00202EB9">
        <w:rPr>
          <w:szCs w:val="22"/>
          <w:lang w:val="fr-FR"/>
        </w:rPr>
        <w:t>informations sur le Plan d</w:t>
      </w:r>
      <w:r w:rsidR="00426067" w:rsidRPr="00202EB9">
        <w:rPr>
          <w:szCs w:val="22"/>
          <w:lang w:val="fr-FR"/>
        </w:rPr>
        <w:t>’</w:t>
      </w:r>
      <w:r w:rsidR="00B62E82" w:rsidRPr="00202EB9">
        <w:rPr>
          <w:szCs w:val="22"/>
          <w:lang w:val="fr-FR"/>
        </w:rPr>
        <w:t>action pour le développement et, dans le cas des anciens diplomates,</w:t>
      </w:r>
      <w:r w:rsidR="00B7157B" w:rsidRPr="00202EB9">
        <w:rPr>
          <w:szCs w:val="22"/>
          <w:lang w:val="fr-FR"/>
        </w:rPr>
        <w:t xml:space="preserve"> </w:t>
      </w:r>
      <w:r w:rsidR="00B62E82" w:rsidRPr="00202EB9">
        <w:rPr>
          <w:szCs w:val="22"/>
          <w:lang w:val="fr-FR"/>
        </w:rPr>
        <w:t>à la première phase des négociations sur les recommandations du Plan d</w:t>
      </w:r>
      <w:r w:rsidR="00426067" w:rsidRPr="00202EB9">
        <w:rPr>
          <w:szCs w:val="22"/>
          <w:lang w:val="fr-FR"/>
        </w:rPr>
        <w:t>’</w:t>
      </w:r>
      <w:r w:rsidR="00B62E82" w:rsidRPr="00202EB9">
        <w:rPr>
          <w:szCs w:val="22"/>
          <w:lang w:val="fr-FR"/>
        </w:rPr>
        <w:t>action pour le développement (voir l</w:t>
      </w:r>
      <w:r w:rsidR="00426067" w:rsidRPr="00202EB9">
        <w:rPr>
          <w:szCs w:val="22"/>
          <w:lang w:val="fr-FR"/>
        </w:rPr>
        <w:t>’</w:t>
      </w:r>
      <w:r w:rsidR="00B62E82" w:rsidRPr="00202EB9">
        <w:rPr>
          <w:szCs w:val="22"/>
          <w:lang w:val="fr-FR"/>
        </w:rPr>
        <w:t>annexe</w:t>
      </w:r>
      <w:r w:rsidR="00E15713" w:rsidRPr="00202EB9">
        <w:rPr>
          <w:szCs w:val="22"/>
          <w:lang w:val="fr-FR"/>
        </w:rPr>
        <w:t> </w:t>
      </w:r>
      <w:r w:rsidR="00B62E82" w:rsidRPr="00202EB9">
        <w:rPr>
          <w:szCs w:val="22"/>
          <w:lang w:val="fr-FR"/>
        </w:rPr>
        <w:t>B).</w:t>
      </w:r>
    </w:p>
    <w:p w:rsidR="004372EF" w:rsidRPr="00202EB9" w:rsidRDefault="003D0777" w:rsidP="00F3224E">
      <w:pPr>
        <w:pStyle w:val="ONUMFS"/>
        <w:rPr>
          <w:szCs w:val="22"/>
          <w:lang w:val="fr-FR"/>
        </w:rPr>
      </w:pPr>
      <w:r w:rsidRPr="00202EB9">
        <w:rPr>
          <w:szCs w:val="22"/>
          <w:lang w:val="fr-FR"/>
        </w:rPr>
        <w:t>L</w:t>
      </w:r>
      <w:r w:rsidR="00426067" w:rsidRPr="00202EB9">
        <w:rPr>
          <w:szCs w:val="22"/>
          <w:lang w:val="fr-FR"/>
        </w:rPr>
        <w:t>’</w:t>
      </w:r>
      <w:r w:rsidRPr="00202EB9">
        <w:rPr>
          <w:szCs w:val="22"/>
          <w:lang w:val="fr-FR"/>
        </w:rPr>
        <w:t>encadr</w:t>
      </w:r>
      <w:r w:rsidR="00107521" w:rsidRPr="00202EB9">
        <w:rPr>
          <w:szCs w:val="22"/>
          <w:lang w:val="fr-FR"/>
        </w:rPr>
        <w:t>é</w:t>
      </w:r>
      <w:r w:rsidR="00D41E1C" w:rsidRPr="00202EB9">
        <w:rPr>
          <w:szCs w:val="22"/>
          <w:lang w:val="fr-FR"/>
        </w:rPr>
        <w:t> </w:t>
      </w:r>
      <w:r w:rsidR="00107521" w:rsidRPr="00202EB9">
        <w:rPr>
          <w:szCs w:val="22"/>
          <w:lang w:val="fr-FR"/>
        </w:rPr>
        <w:t>4 ci</w:t>
      </w:r>
      <w:r w:rsidR="001E787E" w:rsidRPr="00202EB9">
        <w:rPr>
          <w:szCs w:val="22"/>
          <w:lang w:val="fr-FR"/>
        </w:rPr>
        <w:noBreakHyphen/>
      </w:r>
      <w:r w:rsidR="00107521" w:rsidRPr="00202EB9">
        <w:rPr>
          <w:szCs w:val="22"/>
          <w:lang w:val="fr-FR"/>
        </w:rPr>
        <w:t>dessous résume la répartition du nombre de personnes interrogées au cours de l</w:t>
      </w:r>
      <w:r w:rsidR="00426067" w:rsidRPr="00202EB9">
        <w:rPr>
          <w:szCs w:val="22"/>
          <w:lang w:val="fr-FR"/>
        </w:rPr>
        <w:t>’</w:t>
      </w:r>
      <w:r w:rsidR="00107521" w:rsidRPr="00202EB9">
        <w:rPr>
          <w:szCs w:val="22"/>
          <w:lang w:val="fr-FR"/>
        </w:rPr>
        <w:t>étude indépendante, respectivement dans les catégories des États membres, des fonctionnaires de l</w:t>
      </w:r>
      <w:r w:rsidR="00426067" w:rsidRPr="00202EB9">
        <w:rPr>
          <w:szCs w:val="22"/>
          <w:lang w:val="fr-FR"/>
        </w:rPr>
        <w:t>’</w:t>
      </w:r>
      <w:r w:rsidR="00107521" w:rsidRPr="00202EB9">
        <w:rPr>
          <w:szCs w:val="22"/>
          <w:lang w:val="fr-FR"/>
        </w:rPr>
        <w:t>OMPI et des autres parties prenantes.</w:t>
      </w:r>
    </w:p>
    <w:tbl>
      <w:tblPr>
        <w:tblStyle w:val="TableGrid"/>
        <w:tblW w:w="0" w:type="auto"/>
        <w:shd w:val="clear" w:color="auto" w:fill="F2F2F2" w:themeFill="background1" w:themeFillShade="F2"/>
        <w:tblCellMar>
          <w:top w:w="28" w:type="dxa"/>
          <w:bottom w:w="28" w:type="dxa"/>
        </w:tblCellMar>
        <w:tblLook w:val="04A0" w:firstRow="1" w:lastRow="0" w:firstColumn="1" w:lastColumn="0" w:noHBand="0" w:noVBand="1"/>
      </w:tblPr>
      <w:tblGrid>
        <w:gridCol w:w="1188"/>
        <w:gridCol w:w="5109"/>
        <w:gridCol w:w="3190"/>
      </w:tblGrid>
      <w:tr w:rsidR="004372EF" w:rsidRPr="00202EB9" w:rsidTr="004546DF">
        <w:trPr>
          <w:trHeight w:val="287"/>
        </w:trPr>
        <w:tc>
          <w:tcPr>
            <w:tcW w:w="9487" w:type="dxa"/>
            <w:gridSpan w:val="3"/>
            <w:shd w:val="clear" w:color="auto" w:fill="F2F2F2" w:themeFill="background1" w:themeFillShade="F2"/>
          </w:tcPr>
          <w:p w:rsidR="004372EF" w:rsidRPr="00202EB9" w:rsidRDefault="00670749" w:rsidP="004546DF">
            <w:pPr>
              <w:rPr>
                <w:rFonts w:cs="Arial"/>
                <w:lang w:val="fr-FR"/>
              </w:rPr>
            </w:pPr>
            <w:r w:rsidRPr="00202EB9">
              <w:rPr>
                <w:rFonts w:cs="Arial"/>
                <w:lang w:val="fr-FR"/>
              </w:rPr>
              <w:t>Encadré</w:t>
            </w:r>
            <w:r w:rsidR="00D41E1C" w:rsidRPr="00202EB9">
              <w:rPr>
                <w:rFonts w:cs="Arial"/>
                <w:lang w:val="fr-FR"/>
              </w:rPr>
              <w:t> </w:t>
            </w:r>
            <w:r w:rsidR="004372EF" w:rsidRPr="00202EB9">
              <w:rPr>
                <w:rFonts w:cs="Arial"/>
                <w:lang w:val="fr-FR"/>
              </w:rPr>
              <w:t>4</w:t>
            </w:r>
            <w:r w:rsidR="00E15713" w:rsidRPr="00202EB9">
              <w:rPr>
                <w:rFonts w:cs="Arial"/>
                <w:lang w:val="fr-FR"/>
              </w:rPr>
              <w:t> </w:t>
            </w:r>
            <w:proofErr w:type="gramStart"/>
            <w:r w:rsidR="004372EF" w:rsidRPr="00202EB9">
              <w:rPr>
                <w:rFonts w:cs="Arial"/>
                <w:lang w:val="fr-FR"/>
              </w:rPr>
              <w:t xml:space="preserve">: </w:t>
            </w:r>
            <w:r w:rsidR="00107521" w:rsidRPr="00202EB9">
              <w:rPr>
                <w:rFonts w:cs="Arial"/>
                <w:lang w:val="fr-FR"/>
              </w:rPr>
              <w:t>Catégories</w:t>
            </w:r>
            <w:proofErr w:type="gramEnd"/>
            <w:r w:rsidR="00107521" w:rsidRPr="00202EB9">
              <w:rPr>
                <w:rFonts w:cs="Arial"/>
                <w:lang w:val="fr-FR"/>
              </w:rPr>
              <w:t xml:space="preserve"> des personnes interrogées</w:t>
            </w:r>
          </w:p>
        </w:tc>
      </w:tr>
      <w:tr w:rsidR="004372EF" w:rsidRPr="00202EB9" w:rsidTr="004546DF">
        <w:tc>
          <w:tcPr>
            <w:tcW w:w="1188" w:type="dxa"/>
            <w:shd w:val="clear" w:color="auto" w:fill="F2F2F2" w:themeFill="background1" w:themeFillShade="F2"/>
          </w:tcPr>
          <w:p w:rsidR="004372EF" w:rsidRPr="00202EB9" w:rsidRDefault="004372EF" w:rsidP="0005269F">
            <w:pPr>
              <w:rPr>
                <w:rFonts w:cs="Arial"/>
                <w:lang w:val="fr-FR"/>
              </w:rPr>
            </w:pPr>
          </w:p>
        </w:tc>
        <w:tc>
          <w:tcPr>
            <w:tcW w:w="5109" w:type="dxa"/>
            <w:shd w:val="clear" w:color="auto" w:fill="F2F2F2" w:themeFill="background1" w:themeFillShade="F2"/>
          </w:tcPr>
          <w:p w:rsidR="004372EF" w:rsidRPr="00202EB9" w:rsidRDefault="004372EF" w:rsidP="00107521">
            <w:pPr>
              <w:rPr>
                <w:rFonts w:cs="Arial"/>
                <w:lang w:val="fr-FR"/>
              </w:rPr>
            </w:pPr>
            <w:r w:rsidRPr="00202EB9">
              <w:rPr>
                <w:rFonts w:cs="Arial"/>
                <w:lang w:val="fr-FR"/>
              </w:rPr>
              <w:t>Cat</w:t>
            </w:r>
            <w:r w:rsidR="00107521" w:rsidRPr="00202EB9">
              <w:rPr>
                <w:rFonts w:cs="Arial"/>
                <w:lang w:val="fr-FR"/>
              </w:rPr>
              <w:t>égorie</w:t>
            </w:r>
          </w:p>
        </w:tc>
        <w:tc>
          <w:tcPr>
            <w:tcW w:w="3190" w:type="dxa"/>
            <w:shd w:val="clear" w:color="auto" w:fill="F2F2F2" w:themeFill="background1" w:themeFillShade="F2"/>
          </w:tcPr>
          <w:p w:rsidR="004372EF" w:rsidRPr="00202EB9" w:rsidRDefault="00107521" w:rsidP="00107521">
            <w:pPr>
              <w:rPr>
                <w:rFonts w:cs="Arial"/>
                <w:lang w:val="fr-FR"/>
              </w:rPr>
            </w:pPr>
            <w:r w:rsidRPr="00202EB9">
              <w:rPr>
                <w:rFonts w:cs="Arial"/>
                <w:lang w:val="fr-FR"/>
              </w:rPr>
              <w:t>Nombre de personnes interrogées</w:t>
            </w:r>
            <w:r w:rsidR="004372EF" w:rsidRPr="00202EB9">
              <w:rPr>
                <w:rFonts w:cs="Arial"/>
                <w:lang w:val="fr-FR"/>
              </w:rPr>
              <w:t xml:space="preserve"> </w:t>
            </w:r>
          </w:p>
        </w:tc>
      </w:tr>
      <w:tr w:rsidR="004372EF" w:rsidRPr="00202EB9" w:rsidTr="004546DF">
        <w:tc>
          <w:tcPr>
            <w:tcW w:w="1188" w:type="dxa"/>
            <w:shd w:val="clear" w:color="auto" w:fill="F2F2F2" w:themeFill="background1" w:themeFillShade="F2"/>
          </w:tcPr>
          <w:p w:rsidR="004372EF" w:rsidRPr="00202EB9" w:rsidRDefault="004372EF" w:rsidP="000F54E4">
            <w:pPr>
              <w:rPr>
                <w:rFonts w:cs="Arial"/>
                <w:lang w:val="fr-FR"/>
              </w:rPr>
            </w:pPr>
            <w:r w:rsidRPr="00202EB9">
              <w:rPr>
                <w:rFonts w:cs="Arial"/>
                <w:lang w:val="fr-FR"/>
              </w:rPr>
              <w:t>1</w:t>
            </w:r>
          </w:p>
        </w:tc>
        <w:tc>
          <w:tcPr>
            <w:tcW w:w="5109" w:type="dxa"/>
            <w:shd w:val="clear" w:color="auto" w:fill="F2F2F2" w:themeFill="background1" w:themeFillShade="F2"/>
          </w:tcPr>
          <w:p w:rsidR="00327572" w:rsidRPr="00202EB9" w:rsidRDefault="00107521" w:rsidP="004546DF">
            <w:pPr>
              <w:rPr>
                <w:rFonts w:cs="Arial"/>
                <w:lang w:val="fr-FR"/>
              </w:rPr>
            </w:pPr>
            <w:r w:rsidRPr="00202EB9">
              <w:rPr>
                <w:rFonts w:cs="Arial"/>
                <w:lang w:val="fr-FR"/>
              </w:rPr>
              <w:t>États membres (</w:t>
            </w:r>
            <w:r w:rsidR="00426067" w:rsidRPr="00202EB9">
              <w:rPr>
                <w:rFonts w:cs="Arial"/>
                <w:lang w:val="fr-FR"/>
              </w:rPr>
              <w:t>y compris</w:t>
            </w:r>
            <w:r w:rsidR="0035581C" w:rsidRPr="00202EB9">
              <w:rPr>
                <w:rFonts w:cs="Arial"/>
                <w:lang w:val="fr-FR"/>
              </w:rPr>
              <w:t xml:space="preserve"> représentants à Genève, </w:t>
            </w:r>
            <w:r w:rsidR="00470316" w:rsidRPr="00202EB9">
              <w:rPr>
                <w:rFonts w:cs="Arial"/>
                <w:lang w:val="fr-FR"/>
              </w:rPr>
              <w:t>fonctionnaires du domaine de la propriété intellectuelle et personnes rencontrées lors des visites sur le terrain</w:t>
            </w:r>
            <w:r w:rsidR="004372EF" w:rsidRPr="00202EB9">
              <w:rPr>
                <w:rFonts w:cs="Arial"/>
                <w:lang w:val="fr-FR"/>
              </w:rPr>
              <w:t>)</w:t>
            </w:r>
          </w:p>
        </w:tc>
        <w:tc>
          <w:tcPr>
            <w:tcW w:w="3190" w:type="dxa"/>
            <w:shd w:val="clear" w:color="auto" w:fill="F2F2F2" w:themeFill="background1" w:themeFillShade="F2"/>
          </w:tcPr>
          <w:p w:rsidR="004372EF" w:rsidRPr="00202EB9" w:rsidRDefault="004372EF" w:rsidP="000F54E4">
            <w:pPr>
              <w:rPr>
                <w:rFonts w:cs="Arial"/>
                <w:lang w:val="fr-FR"/>
              </w:rPr>
            </w:pPr>
            <w:r w:rsidRPr="00202EB9">
              <w:rPr>
                <w:rFonts w:cs="Arial"/>
                <w:lang w:val="fr-FR"/>
              </w:rPr>
              <w:t>124</w:t>
            </w:r>
          </w:p>
        </w:tc>
      </w:tr>
      <w:tr w:rsidR="004372EF" w:rsidRPr="00202EB9" w:rsidTr="004546DF">
        <w:tc>
          <w:tcPr>
            <w:tcW w:w="1188" w:type="dxa"/>
            <w:shd w:val="clear" w:color="auto" w:fill="F2F2F2" w:themeFill="background1" w:themeFillShade="F2"/>
          </w:tcPr>
          <w:p w:rsidR="004372EF" w:rsidRPr="00202EB9" w:rsidRDefault="004372EF" w:rsidP="000F54E4">
            <w:pPr>
              <w:rPr>
                <w:rFonts w:cs="Arial"/>
                <w:lang w:val="fr-FR"/>
              </w:rPr>
            </w:pPr>
            <w:r w:rsidRPr="00202EB9">
              <w:rPr>
                <w:rFonts w:cs="Arial"/>
                <w:lang w:val="fr-FR"/>
              </w:rPr>
              <w:t>2</w:t>
            </w:r>
          </w:p>
        </w:tc>
        <w:tc>
          <w:tcPr>
            <w:tcW w:w="5109" w:type="dxa"/>
            <w:shd w:val="clear" w:color="auto" w:fill="F2F2F2" w:themeFill="background1" w:themeFillShade="F2"/>
          </w:tcPr>
          <w:p w:rsidR="00327572" w:rsidRPr="00202EB9" w:rsidRDefault="00470316" w:rsidP="004546DF">
            <w:pPr>
              <w:rPr>
                <w:rFonts w:cs="Arial"/>
                <w:lang w:val="fr-FR"/>
              </w:rPr>
            </w:pPr>
            <w:r w:rsidRPr="00202EB9">
              <w:rPr>
                <w:rFonts w:cs="Arial"/>
                <w:lang w:val="fr-FR"/>
              </w:rPr>
              <w:t>Fonctionnaires de l</w:t>
            </w:r>
            <w:r w:rsidR="00426067" w:rsidRPr="00202EB9">
              <w:rPr>
                <w:rFonts w:cs="Arial"/>
                <w:lang w:val="fr-FR"/>
              </w:rPr>
              <w:t>’</w:t>
            </w:r>
            <w:r w:rsidRPr="00202EB9">
              <w:rPr>
                <w:rFonts w:cs="Arial"/>
                <w:lang w:val="fr-FR"/>
              </w:rPr>
              <w:t>OMPI</w:t>
            </w:r>
          </w:p>
        </w:tc>
        <w:tc>
          <w:tcPr>
            <w:tcW w:w="3190" w:type="dxa"/>
            <w:shd w:val="clear" w:color="auto" w:fill="F2F2F2" w:themeFill="background1" w:themeFillShade="F2"/>
          </w:tcPr>
          <w:p w:rsidR="004372EF" w:rsidRPr="00202EB9" w:rsidRDefault="004372EF" w:rsidP="000F54E4">
            <w:pPr>
              <w:rPr>
                <w:rFonts w:cs="Arial"/>
                <w:lang w:val="fr-FR"/>
              </w:rPr>
            </w:pPr>
            <w:r w:rsidRPr="00202EB9">
              <w:rPr>
                <w:rFonts w:cs="Arial"/>
                <w:lang w:val="fr-FR"/>
              </w:rPr>
              <w:t>44</w:t>
            </w:r>
          </w:p>
        </w:tc>
      </w:tr>
      <w:tr w:rsidR="004372EF" w:rsidRPr="00202EB9" w:rsidTr="004546DF">
        <w:tc>
          <w:tcPr>
            <w:tcW w:w="1188" w:type="dxa"/>
            <w:shd w:val="clear" w:color="auto" w:fill="F2F2F2" w:themeFill="background1" w:themeFillShade="F2"/>
          </w:tcPr>
          <w:p w:rsidR="004372EF" w:rsidRPr="00202EB9" w:rsidRDefault="004372EF" w:rsidP="000F54E4">
            <w:pPr>
              <w:rPr>
                <w:rFonts w:cs="Arial"/>
                <w:lang w:val="fr-FR"/>
              </w:rPr>
            </w:pPr>
            <w:r w:rsidRPr="00202EB9">
              <w:rPr>
                <w:rFonts w:cs="Arial"/>
                <w:lang w:val="fr-FR"/>
              </w:rPr>
              <w:t>3</w:t>
            </w:r>
          </w:p>
        </w:tc>
        <w:tc>
          <w:tcPr>
            <w:tcW w:w="5109" w:type="dxa"/>
            <w:shd w:val="clear" w:color="auto" w:fill="F2F2F2" w:themeFill="background1" w:themeFillShade="F2"/>
          </w:tcPr>
          <w:p w:rsidR="00327572" w:rsidRPr="00202EB9" w:rsidRDefault="00470316" w:rsidP="004546DF">
            <w:pPr>
              <w:rPr>
                <w:rFonts w:cs="Arial"/>
                <w:lang w:val="fr-FR"/>
              </w:rPr>
            </w:pPr>
            <w:r w:rsidRPr="00202EB9">
              <w:rPr>
                <w:rFonts w:cs="Arial"/>
                <w:lang w:val="fr-FR"/>
              </w:rPr>
              <w:t xml:space="preserve">Autres parties prenantes (organisations </w:t>
            </w:r>
            <w:proofErr w:type="spellStart"/>
            <w:r w:rsidRPr="00202EB9">
              <w:rPr>
                <w:rFonts w:cs="Arial"/>
                <w:lang w:val="fr-FR"/>
              </w:rPr>
              <w:t>intergouvernementales</w:t>
            </w:r>
            <w:proofErr w:type="spellEnd"/>
            <w:r w:rsidRPr="00202EB9">
              <w:rPr>
                <w:rFonts w:cs="Arial"/>
                <w:lang w:val="fr-FR"/>
              </w:rPr>
              <w:t xml:space="preserve"> et non gouvernementales, anciens diplomates, évaluateurs, universitaires, industrie</w:t>
            </w:r>
            <w:r w:rsidR="004372EF" w:rsidRPr="00202EB9">
              <w:rPr>
                <w:rFonts w:cs="Arial"/>
                <w:lang w:val="fr-FR"/>
              </w:rPr>
              <w:t>)</w:t>
            </w:r>
          </w:p>
        </w:tc>
        <w:tc>
          <w:tcPr>
            <w:tcW w:w="3190" w:type="dxa"/>
            <w:shd w:val="clear" w:color="auto" w:fill="F2F2F2" w:themeFill="background1" w:themeFillShade="F2"/>
          </w:tcPr>
          <w:p w:rsidR="004372EF" w:rsidRPr="00202EB9" w:rsidRDefault="004372EF" w:rsidP="000F54E4">
            <w:pPr>
              <w:rPr>
                <w:rFonts w:cs="Arial"/>
                <w:lang w:val="fr-FR"/>
              </w:rPr>
            </w:pPr>
            <w:r w:rsidRPr="00202EB9">
              <w:rPr>
                <w:rFonts w:cs="Arial"/>
                <w:lang w:val="fr-FR"/>
              </w:rPr>
              <w:t>20</w:t>
            </w:r>
          </w:p>
        </w:tc>
      </w:tr>
      <w:tr w:rsidR="004372EF" w:rsidRPr="00202EB9" w:rsidTr="004546DF">
        <w:tc>
          <w:tcPr>
            <w:tcW w:w="1188" w:type="dxa"/>
            <w:shd w:val="clear" w:color="auto" w:fill="F2F2F2" w:themeFill="background1" w:themeFillShade="F2"/>
          </w:tcPr>
          <w:p w:rsidR="004372EF" w:rsidRPr="00202EB9" w:rsidRDefault="004372EF" w:rsidP="000F54E4">
            <w:pPr>
              <w:rPr>
                <w:rFonts w:cs="Arial"/>
                <w:lang w:val="fr-FR"/>
              </w:rPr>
            </w:pPr>
          </w:p>
        </w:tc>
        <w:tc>
          <w:tcPr>
            <w:tcW w:w="5109" w:type="dxa"/>
            <w:shd w:val="clear" w:color="auto" w:fill="F2F2F2" w:themeFill="background1" w:themeFillShade="F2"/>
          </w:tcPr>
          <w:p w:rsidR="00327572" w:rsidRPr="00202EB9" w:rsidRDefault="004372EF" w:rsidP="004546DF">
            <w:pPr>
              <w:rPr>
                <w:rFonts w:cs="Arial"/>
                <w:lang w:val="fr-FR"/>
              </w:rPr>
            </w:pPr>
            <w:r w:rsidRPr="00202EB9">
              <w:rPr>
                <w:rFonts w:cs="Arial"/>
                <w:lang w:val="fr-FR"/>
              </w:rPr>
              <w:t>Total</w:t>
            </w:r>
          </w:p>
        </w:tc>
        <w:tc>
          <w:tcPr>
            <w:tcW w:w="3190" w:type="dxa"/>
            <w:shd w:val="clear" w:color="auto" w:fill="F2F2F2" w:themeFill="background1" w:themeFillShade="F2"/>
          </w:tcPr>
          <w:p w:rsidR="004372EF" w:rsidRPr="00202EB9" w:rsidRDefault="004372EF" w:rsidP="000F54E4">
            <w:pPr>
              <w:rPr>
                <w:rFonts w:cs="Arial"/>
                <w:lang w:val="fr-FR"/>
              </w:rPr>
            </w:pPr>
            <w:r w:rsidRPr="00202EB9">
              <w:rPr>
                <w:rFonts w:cs="Arial"/>
                <w:lang w:val="fr-FR"/>
              </w:rPr>
              <w:t>188</w:t>
            </w:r>
          </w:p>
        </w:tc>
      </w:tr>
    </w:tbl>
    <w:p w:rsidR="00327572" w:rsidRPr="00327572" w:rsidRDefault="00327572" w:rsidP="00327572"/>
    <w:p w:rsidR="004372EF" w:rsidRPr="00202EB9" w:rsidRDefault="00A30FBE" w:rsidP="00F3224E">
      <w:pPr>
        <w:pStyle w:val="Heading4"/>
        <w:rPr>
          <w:lang w:val="fr-FR"/>
        </w:rPr>
      </w:pPr>
      <w:r w:rsidRPr="00202EB9">
        <w:rPr>
          <w:lang w:val="fr-FR"/>
        </w:rPr>
        <w:t>Collecte d</w:t>
      </w:r>
      <w:r w:rsidR="00426067" w:rsidRPr="00202EB9">
        <w:rPr>
          <w:lang w:val="fr-FR"/>
        </w:rPr>
        <w:t>’</w:t>
      </w:r>
      <w:r w:rsidRPr="00202EB9">
        <w:rPr>
          <w:lang w:val="fr-FR"/>
        </w:rPr>
        <w:t>informations au moyen d</w:t>
      </w:r>
      <w:r w:rsidR="00426067" w:rsidRPr="00202EB9">
        <w:rPr>
          <w:lang w:val="fr-FR"/>
        </w:rPr>
        <w:t>’</w:t>
      </w:r>
      <w:r w:rsidRPr="00202EB9">
        <w:rPr>
          <w:lang w:val="fr-FR"/>
        </w:rPr>
        <w:t>enquêtes</w:t>
      </w:r>
    </w:p>
    <w:p w:rsidR="00F3224E" w:rsidRPr="00202EB9" w:rsidRDefault="00F3224E" w:rsidP="00F3224E">
      <w:pPr>
        <w:rPr>
          <w:lang w:val="fr-FR" w:eastAsia="zh-CN" w:bidi="ar-SA"/>
        </w:rPr>
      </w:pPr>
    </w:p>
    <w:p w:rsidR="004372EF" w:rsidRPr="00202EB9" w:rsidRDefault="00A30FBE" w:rsidP="00F3224E">
      <w:pPr>
        <w:pStyle w:val="ONUMFS"/>
        <w:rPr>
          <w:lang w:val="fr-FR"/>
        </w:rPr>
      </w:pPr>
      <w:r w:rsidRPr="00202EB9">
        <w:rPr>
          <w:lang w:val="fr-FR"/>
        </w:rPr>
        <w:t xml:space="preserve">Des enquêtes structurées ont été </w:t>
      </w:r>
      <w:r w:rsidR="00621F35" w:rsidRPr="00202EB9">
        <w:rPr>
          <w:lang w:val="fr-FR"/>
        </w:rPr>
        <w:t>men</w:t>
      </w:r>
      <w:r w:rsidRPr="00202EB9">
        <w:rPr>
          <w:lang w:val="fr-FR"/>
        </w:rPr>
        <w:t>ées avec l</w:t>
      </w:r>
      <w:r w:rsidR="00426067" w:rsidRPr="00202EB9">
        <w:rPr>
          <w:lang w:val="fr-FR"/>
        </w:rPr>
        <w:t>’</w:t>
      </w:r>
      <w:r w:rsidRPr="00202EB9">
        <w:rPr>
          <w:lang w:val="fr-FR"/>
        </w:rPr>
        <w:t>assistance de la Division des communications Web de l</w:t>
      </w:r>
      <w:r w:rsidR="00426067" w:rsidRPr="00202EB9">
        <w:rPr>
          <w:lang w:val="fr-FR"/>
        </w:rPr>
        <w:t>’</w:t>
      </w:r>
      <w:r w:rsidRPr="00202EB9">
        <w:rPr>
          <w:lang w:val="fr-FR"/>
        </w:rPr>
        <w:t>O</w:t>
      </w:r>
      <w:r w:rsidR="001E787E" w:rsidRPr="00202EB9">
        <w:rPr>
          <w:lang w:val="fr-FR"/>
        </w:rPr>
        <w:t>MPI.  Un</w:t>
      </w:r>
      <w:r w:rsidR="00943335" w:rsidRPr="00202EB9">
        <w:rPr>
          <w:lang w:val="fr-FR"/>
        </w:rPr>
        <w:t xml:space="preserve"> </w:t>
      </w:r>
      <w:r w:rsidR="002272F2" w:rsidRPr="00202EB9">
        <w:rPr>
          <w:lang w:val="fr-FR"/>
        </w:rPr>
        <w:t>questionnaire</w:t>
      </w:r>
      <w:r w:rsidR="00943335" w:rsidRPr="00202EB9">
        <w:rPr>
          <w:lang w:val="fr-FR"/>
        </w:rPr>
        <w:t xml:space="preserve"> </w:t>
      </w:r>
      <w:r w:rsidR="008E6DC0" w:rsidRPr="00202EB9">
        <w:rPr>
          <w:lang w:val="fr-FR"/>
        </w:rPr>
        <w:t xml:space="preserve">sollicitant des réponses </w:t>
      </w:r>
      <w:r w:rsidR="00943335" w:rsidRPr="00202EB9">
        <w:rPr>
          <w:lang w:val="fr-FR"/>
        </w:rPr>
        <w:t>aux questions clés</w:t>
      </w:r>
      <w:r w:rsidR="00B53726" w:rsidRPr="00202EB9">
        <w:rPr>
          <w:rStyle w:val="FootnoteReference"/>
          <w:szCs w:val="22"/>
          <w:lang w:val="fr-FR"/>
        </w:rPr>
        <w:footnoteReference w:id="17"/>
      </w:r>
      <w:r w:rsidR="00943335" w:rsidRPr="00202EB9">
        <w:rPr>
          <w:lang w:val="fr-FR"/>
        </w:rPr>
        <w:t xml:space="preserve"> </w:t>
      </w:r>
      <w:r w:rsidR="00085129" w:rsidRPr="00202EB9">
        <w:rPr>
          <w:lang w:val="fr-FR"/>
        </w:rPr>
        <w:t>a</w:t>
      </w:r>
      <w:r w:rsidR="00943335" w:rsidRPr="00202EB9">
        <w:rPr>
          <w:lang w:val="fr-FR"/>
        </w:rPr>
        <w:t xml:space="preserve"> été adressé aux différentes parties prenantes, </w:t>
      </w:r>
      <w:r w:rsidR="00426067" w:rsidRPr="00202EB9">
        <w:rPr>
          <w:lang w:val="fr-FR"/>
        </w:rPr>
        <w:t>à savoir</w:t>
      </w:r>
      <w:r w:rsidR="00943335" w:rsidRPr="00202EB9">
        <w:rPr>
          <w:lang w:val="fr-FR"/>
        </w:rPr>
        <w:t xml:space="preserve"> représentants en poste à Genève, offices de propriété intellectuelle, organisations </w:t>
      </w:r>
      <w:proofErr w:type="spellStart"/>
      <w:r w:rsidR="00943335" w:rsidRPr="00202EB9">
        <w:rPr>
          <w:lang w:val="fr-FR"/>
        </w:rPr>
        <w:t>intergouvernementales</w:t>
      </w:r>
      <w:proofErr w:type="spellEnd"/>
      <w:r w:rsidR="00943335" w:rsidRPr="00202EB9">
        <w:rPr>
          <w:lang w:val="fr-FR"/>
        </w:rPr>
        <w:t xml:space="preserve"> et non gouvernementales ayant statut d</w:t>
      </w:r>
      <w:r w:rsidR="00426067" w:rsidRPr="00202EB9">
        <w:rPr>
          <w:lang w:val="fr-FR"/>
        </w:rPr>
        <w:t>’</w:t>
      </w:r>
      <w:r w:rsidR="00943335" w:rsidRPr="00202EB9">
        <w:rPr>
          <w:lang w:val="fr-FR"/>
        </w:rPr>
        <w:t>observateur</w:t>
      </w:r>
      <w:r w:rsidR="00426067" w:rsidRPr="00202EB9">
        <w:rPr>
          <w:lang w:val="fr-FR"/>
        </w:rPr>
        <w:t xml:space="preserve"> au </w:t>
      </w:r>
      <w:proofErr w:type="spellStart"/>
      <w:r w:rsidR="00426067" w:rsidRPr="00202EB9">
        <w:rPr>
          <w:lang w:val="fr-FR"/>
        </w:rPr>
        <w:t>CDI</w:t>
      </w:r>
      <w:r w:rsidR="00943335" w:rsidRPr="00202EB9">
        <w:rPr>
          <w:lang w:val="fr-FR"/>
        </w:rPr>
        <w:t>P</w:t>
      </w:r>
      <w:proofErr w:type="spellEnd"/>
      <w:r w:rsidR="00943335" w:rsidRPr="00202EB9">
        <w:rPr>
          <w:lang w:val="fr-FR"/>
        </w:rPr>
        <w:t xml:space="preserve"> et bénéficiaire</w:t>
      </w:r>
      <w:r w:rsidR="00EE37C3" w:rsidRPr="00202EB9">
        <w:rPr>
          <w:lang w:val="fr-FR"/>
        </w:rPr>
        <w:t>s</w:t>
      </w:r>
      <w:r w:rsidR="00943335" w:rsidRPr="00202EB9">
        <w:rPr>
          <w:lang w:val="fr-FR"/>
        </w:rPr>
        <w:t xml:space="preserve"> direct</w:t>
      </w:r>
      <w:r w:rsidR="00EE37C3" w:rsidRPr="00202EB9">
        <w:rPr>
          <w:lang w:val="fr-FR"/>
        </w:rPr>
        <w:t>s</w:t>
      </w:r>
      <w:r w:rsidR="00943335" w:rsidRPr="00202EB9">
        <w:rPr>
          <w:lang w:val="fr-FR"/>
        </w:rPr>
        <w:t xml:space="preserve"> de proje</w:t>
      </w:r>
      <w:r w:rsidR="001E787E" w:rsidRPr="00202EB9">
        <w:rPr>
          <w:lang w:val="fr-FR"/>
        </w:rPr>
        <w:t>ts.  La</w:t>
      </w:r>
      <w:r w:rsidR="00DB2FFA" w:rsidRPr="00202EB9">
        <w:rPr>
          <w:lang w:val="fr-FR"/>
        </w:rPr>
        <w:t xml:space="preserve"> possibilité de </w:t>
      </w:r>
      <w:r w:rsidR="004B6761" w:rsidRPr="00202EB9">
        <w:rPr>
          <w:lang w:val="fr-FR"/>
        </w:rPr>
        <w:t>répondre à ce questionnaire</w:t>
      </w:r>
      <w:r w:rsidR="00DB2FFA" w:rsidRPr="00202EB9">
        <w:rPr>
          <w:lang w:val="fr-FR"/>
        </w:rPr>
        <w:t xml:space="preserve"> était également offerte au grand public, </w:t>
      </w:r>
      <w:r w:rsidR="006B2D7B" w:rsidRPr="00202EB9">
        <w:rPr>
          <w:lang w:val="fr-FR"/>
        </w:rPr>
        <w:t>afin de rendre le processus aussi</w:t>
      </w:r>
      <w:r w:rsidR="00DF22B9" w:rsidRPr="00202EB9">
        <w:rPr>
          <w:lang w:val="fr-FR"/>
        </w:rPr>
        <w:t xml:space="preserve"> participatif </w:t>
      </w:r>
      <w:r w:rsidR="006B2D7B" w:rsidRPr="00202EB9">
        <w:rPr>
          <w:lang w:val="fr-FR"/>
        </w:rPr>
        <w:t>que possible.</w:t>
      </w:r>
    </w:p>
    <w:p w:rsidR="004372EF" w:rsidRPr="00202EB9" w:rsidRDefault="009E45FA" w:rsidP="00F3224E">
      <w:pPr>
        <w:pStyle w:val="ONUMFS"/>
        <w:rPr>
          <w:lang w:val="fr-FR"/>
        </w:rPr>
      </w:pPr>
      <w:r w:rsidRPr="00202EB9">
        <w:rPr>
          <w:lang w:val="fr-FR"/>
        </w:rPr>
        <w:t>Des invitations à participer à l</w:t>
      </w:r>
      <w:r w:rsidR="00426067" w:rsidRPr="00202EB9">
        <w:rPr>
          <w:lang w:val="fr-FR"/>
        </w:rPr>
        <w:t>’</w:t>
      </w:r>
      <w:r w:rsidRPr="00202EB9">
        <w:rPr>
          <w:lang w:val="fr-FR"/>
        </w:rPr>
        <w:t>enquête ont été adressées à 1742</w:t>
      </w:r>
      <w:r w:rsidR="00D41E1C" w:rsidRPr="00202EB9">
        <w:rPr>
          <w:lang w:val="fr-FR"/>
        </w:rPr>
        <w:t> </w:t>
      </w:r>
      <w:r w:rsidRPr="00202EB9">
        <w:rPr>
          <w:lang w:val="fr-FR"/>
        </w:rPr>
        <w:t>personnes dans les quatre</w:t>
      </w:r>
      <w:r w:rsidR="00E15713" w:rsidRPr="00202EB9">
        <w:rPr>
          <w:lang w:val="fr-FR"/>
        </w:rPr>
        <w:t> </w:t>
      </w:r>
      <w:r w:rsidRPr="00202EB9">
        <w:rPr>
          <w:lang w:val="fr-FR"/>
        </w:rPr>
        <w:t>catégories ci</w:t>
      </w:r>
      <w:r w:rsidR="001E787E" w:rsidRPr="00202EB9">
        <w:rPr>
          <w:lang w:val="fr-FR"/>
        </w:rPr>
        <w:noBreakHyphen/>
      </w:r>
      <w:r w:rsidRPr="00202EB9">
        <w:rPr>
          <w:lang w:val="fr-FR"/>
        </w:rPr>
        <w:t>desso</w:t>
      </w:r>
      <w:r w:rsidR="001E787E" w:rsidRPr="00202EB9">
        <w:rPr>
          <w:lang w:val="fr-FR"/>
        </w:rPr>
        <w:t>us.  L’a</w:t>
      </w:r>
      <w:r w:rsidR="00B82684" w:rsidRPr="00202EB9">
        <w:rPr>
          <w:lang w:val="fr-FR"/>
        </w:rPr>
        <w:t>ccès au questionnaire a été</w:t>
      </w:r>
      <w:r w:rsidR="00DF22B9" w:rsidRPr="00202EB9">
        <w:rPr>
          <w:lang w:val="fr-FR"/>
        </w:rPr>
        <w:t xml:space="preserve"> ouvert </w:t>
      </w:r>
      <w:r w:rsidR="00B82684" w:rsidRPr="00202EB9">
        <w:rPr>
          <w:lang w:val="fr-FR"/>
        </w:rPr>
        <w:t xml:space="preserve">parallèlement </w:t>
      </w:r>
      <w:r w:rsidR="00DF22B9" w:rsidRPr="00202EB9">
        <w:rPr>
          <w:lang w:val="fr-FR"/>
        </w:rPr>
        <w:t>au publ</w:t>
      </w:r>
      <w:r w:rsidR="001E787E" w:rsidRPr="00202EB9">
        <w:rPr>
          <w:lang w:val="fr-FR"/>
        </w:rPr>
        <w:t>ic.  Le</w:t>
      </w:r>
      <w:r w:rsidR="00DF22B9" w:rsidRPr="00202EB9">
        <w:rPr>
          <w:lang w:val="fr-FR"/>
        </w:rPr>
        <w:t xml:space="preserve"> nombre de réponses reçues s</w:t>
      </w:r>
      <w:r w:rsidR="00426067" w:rsidRPr="00202EB9">
        <w:rPr>
          <w:lang w:val="fr-FR"/>
        </w:rPr>
        <w:t>’</w:t>
      </w:r>
      <w:r w:rsidR="00DF22B9" w:rsidRPr="00202EB9">
        <w:rPr>
          <w:lang w:val="fr-FR"/>
        </w:rPr>
        <w:t>est élevé à</w:t>
      </w:r>
      <w:r w:rsidR="00D41E1C" w:rsidRPr="00202EB9">
        <w:rPr>
          <w:lang w:val="fr-FR"/>
        </w:rPr>
        <w:t> </w:t>
      </w:r>
      <w:r w:rsidR="00DF22B9" w:rsidRPr="00202EB9">
        <w:rPr>
          <w:lang w:val="fr-FR"/>
        </w:rPr>
        <w:t>373 au tot</w:t>
      </w:r>
      <w:r w:rsidR="001E787E" w:rsidRPr="00202EB9">
        <w:rPr>
          <w:lang w:val="fr-FR"/>
        </w:rPr>
        <w:t>al.  En</w:t>
      </w:r>
      <w:r w:rsidR="00A14E0E" w:rsidRPr="00202EB9">
        <w:rPr>
          <w:lang w:val="fr-FR"/>
        </w:rPr>
        <w:t xml:space="preserve"> excluant l</w:t>
      </w:r>
      <w:r w:rsidR="00426067" w:rsidRPr="00202EB9">
        <w:rPr>
          <w:lang w:val="fr-FR"/>
        </w:rPr>
        <w:t>’</w:t>
      </w:r>
      <w:r w:rsidR="00A14E0E" w:rsidRPr="00202EB9">
        <w:rPr>
          <w:lang w:val="fr-FR"/>
        </w:rPr>
        <w:t>enquête auprès du public, le pourcentage</w:t>
      </w:r>
      <w:r w:rsidR="00047A8B" w:rsidRPr="00202EB9">
        <w:rPr>
          <w:lang w:val="fr-FR"/>
        </w:rPr>
        <w:t xml:space="preserve"> de réponse</w:t>
      </w:r>
      <w:r w:rsidR="00A14E0E" w:rsidRPr="00202EB9">
        <w:rPr>
          <w:lang w:val="fr-FR"/>
        </w:rPr>
        <w:t xml:space="preserve"> moyen a été de 22,2%.  </w:t>
      </w:r>
      <w:r w:rsidR="00C5258F" w:rsidRPr="00202EB9">
        <w:rPr>
          <w:lang w:val="fr-FR"/>
        </w:rPr>
        <w:t>Pour</w:t>
      </w:r>
      <w:r w:rsidR="00A14E0E" w:rsidRPr="00202EB9">
        <w:rPr>
          <w:lang w:val="fr-FR"/>
        </w:rPr>
        <w:t xml:space="preserve"> ce qui concerne l</w:t>
      </w:r>
      <w:r w:rsidR="00264591" w:rsidRPr="00202EB9">
        <w:rPr>
          <w:lang w:val="fr-FR"/>
        </w:rPr>
        <w:t xml:space="preserve">e </w:t>
      </w:r>
      <w:r w:rsidR="00A14E0E" w:rsidRPr="00202EB9">
        <w:rPr>
          <w:lang w:val="fr-FR"/>
        </w:rPr>
        <w:t>public, le questionnaire a été rempli par 25</w:t>
      </w:r>
      <w:r w:rsidR="00D41E1C" w:rsidRPr="00202EB9">
        <w:rPr>
          <w:lang w:val="fr-FR"/>
        </w:rPr>
        <w:t> </w:t>
      </w:r>
      <w:r w:rsidR="00A14E0E" w:rsidRPr="00202EB9">
        <w:rPr>
          <w:lang w:val="fr-FR"/>
        </w:rPr>
        <w:t>personn</w:t>
      </w:r>
      <w:r w:rsidR="001E787E" w:rsidRPr="00202EB9">
        <w:rPr>
          <w:lang w:val="fr-FR"/>
        </w:rPr>
        <w:t>es.  Vo</w:t>
      </w:r>
      <w:r w:rsidR="00A14E0E" w:rsidRPr="00202EB9">
        <w:rPr>
          <w:lang w:val="fr-FR"/>
        </w:rPr>
        <w:t>ir les détails dans l</w:t>
      </w:r>
      <w:r w:rsidR="00426067" w:rsidRPr="00202EB9">
        <w:rPr>
          <w:lang w:val="fr-FR"/>
        </w:rPr>
        <w:t>’</w:t>
      </w:r>
      <w:r w:rsidR="00A14E0E" w:rsidRPr="00202EB9">
        <w:rPr>
          <w:lang w:val="fr-FR"/>
        </w:rPr>
        <w:t>encadré</w:t>
      </w:r>
      <w:r w:rsidR="00D41E1C" w:rsidRPr="00202EB9">
        <w:rPr>
          <w:lang w:val="fr-FR"/>
        </w:rPr>
        <w:t> </w:t>
      </w:r>
      <w:r w:rsidR="00A14E0E" w:rsidRPr="00202EB9">
        <w:rPr>
          <w:lang w:val="fr-FR"/>
        </w:rPr>
        <w:t>5.</w:t>
      </w:r>
    </w:p>
    <w:tbl>
      <w:tblPr>
        <w:tblStyle w:val="TableGrid"/>
        <w:tblW w:w="0" w:type="auto"/>
        <w:shd w:val="clear" w:color="auto" w:fill="F2F2F2" w:themeFill="background1" w:themeFillShade="F2"/>
        <w:tblCellMar>
          <w:top w:w="28" w:type="dxa"/>
          <w:bottom w:w="28" w:type="dxa"/>
        </w:tblCellMar>
        <w:tblLook w:val="04A0" w:firstRow="1" w:lastRow="0" w:firstColumn="1" w:lastColumn="0" w:noHBand="0" w:noVBand="1"/>
      </w:tblPr>
      <w:tblGrid>
        <w:gridCol w:w="339"/>
        <w:gridCol w:w="4057"/>
        <w:gridCol w:w="1547"/>
        <w:gridCol w:w="1742"/>
        <w:gridCol w:w="1880"/>
      </w:tblGrid>
      <w:tr w:rsidR="004372EF" w:rsidRPr="00202EB9" w:rsidTr="004546DF">
        <w:trPr>
          <w:trHeight w:val="350"/>
        </w:trPr>
        <w:tc>
          <w:tcPr>
            <w:tcW w:w="0" w:type="auto"/>
            <w:gridSpan w:val="5"/>
            <w:shd w:val="clear" w:color="auto" w:fill="F2F2F2" w:themeFill="background1" w:themeFillShade="F2"/>
          </w:tcPr>
          <w:p w:rsidR="004372EF" w:rsidRPr="00202EB9" w:rsidRDefault="00A14E0E" w:rsidP="00327572">
            <w:pPr>
              <w:rPr>
                <w:rFonts w:cs="Arial"/>
                <w:lang w:val="fr-FR"/>
              </w:rPr>
            </w:pPr>
            <w:r w:rsidRPr="00202EB9">
              <w:rPr>
                <w:rFonts w:cs="Arial"/>
                <w:lang w:val="fr-FR"/>
              </w:rPr>
              <w:t>Encadré</w:t>
            </w:r>
            <w:r w:rsidR="00D41E1C" w:rsidRPr="00202EB9">
              <w:rPr>
                <w:rFonts w:cs="Arial"/>
                <w:lang w:val="fr-FR"/>
              </w:rPr>
              <w:t> </w:t>
            </w:r>
            <w:r w:rsidR="004372EF" w:rsidRPr="00202EB9">
              <w:rPr>
                <w:rFonts w:cs="Arial"/>
                <w:lang w:val="fr-FR"/>
              </w:rPr>
              <w:t>5</w:t>
            </w:r>
            <w:r w:rsidRPr="00202EB9">
              <w:rPr>
                <w:rFonts w:cs="Arial"/>
                <w:lang w:val="fr-FR"/>
              </w:rPr>
              <w:t> </w:t>
            </w:r>
            <w:proofErr w:type="gramStart"/>
            <w:r w:rsidRPr="00202EB9">
              <w:rPr>
                <w:rFonts w:cs="Arial"/>
                <w:lang w:val="fr-FR"/>
              </w:rPr>
              <w:t xml:space="preserve">: </w:t>
            </w:r>
            <w:r w:rsidR="00264591" w:rsidRPr="00202EB9">
              <w:rPr>
                <w:rFonts w:cs="Arial"/>
                <w:lang w:val="fr-FR"/>
              </w:rPr>
              <w:t>Nombre</w:t>
            </w:r>
            <w:proofErr w:type="gramEnd"/>
            <w:r w:rsidR="00264591" w:rsidRPr="00202EB9">
              <w:rPr>
                <w:rFonts w:cs="Arial"/>
                <w:lang w:val="fr-FR"/>
              </w:rPr>
              <w:t xml:space="preserve"> de personnes ayant répondu au questionnaire</w:t>
            </w:r>
          </w:p>
        </w:tc>
      </w:tr>
      <w:tr w:rsidR="00264591" w:rsidRPr="00202EB9" w:rsidTr="004546DF">
        <w:trPr>
          <w:trHeight w:val="350"/>
        </w:trPr>
        <w:tc>
          <w:tcPr>
            <w:tcW w:w="0" w:type="auto"/>
            <w:shd w:val="clear" w:color="auto" w:fill="F2F2F2" w:themeFill="background1" w:themeFillShade="F2"/>
          </w:tcPr>
          <w:p w:rsidR="004372EF" w:rsidRPr="00202EB9" w:rsidRDefault="004372EF" w:rsidP="00327572">
            <w:pPr>
              <w:rPr>
                <w:rFonts w:cs="Arial"/>
                <w:lang w:val="fr-FR"/>
              </w:rPr>
            </w:pPr>
          </w:p>
        </w:tc>
        <w:tc>
          <w:tcPr>
            <w:tcW w:w="0" w:type="auto"/>
            <w:shd w:val="clear" w:color="auto" w:fill="F2F2F2" w:themeFill="background1" w:themeFillShade="F2"/>
          </w:tcPr>
          <w:p w:rsidR="004372EF" w:rsidRPr="00202EB9" w:rsidRDefault="00264591" w:rsidP="00327572">
            <w:pPr>
              <w:rPr>
                <w:rFonts w:cs="Arial"/>
                <w:lang w:val="fr-FR"/>
              </w:rPr>
            </w:pPr>
            <w:r w:rsidRPr="00202EB9">
              <w:rPr>
                <w:rFonts w:cs="Arial"/>
                <w:lang w:val="fr-FR"/>
              </w:rPr>
              <w:t>Caté</w:t>
            </w:r>
            <w:r w:rsidR="004372EF" w:rsidRPr="00202EB9">
              <w:rPr>
                <w:rFonts w:cs="Arial"/>
                <w:lang w:val="fr-FR"/>
              </w:rPr>
              <w:t>gor</w:t>
            </w:r>
            <w:r w:rsidR="00A14E0E" w:rsidRPr="00202EB9">
              <w:rPr>
                <w:rFonts w:cs="Arial"/>
                <w:lang w:val="fr-FR"/>
              </w:rPr>
              <w:t>ie</w:t>
            </w:r>
          </w:p>
        </w:tc>
        <w:tc>
          <w:tcPr>
            <w:tcW w:w="0" w:type="auto"/>
            <w:shd w:val="clear" w:color="auto" w:fill="F2F2F2" w:themeFill="background1" w:themeFillShade="F2"/>
          </w:tcPr>
          <w:p w:rsidR="004372EF" w:rsidRPr="00202EB9" w:rsidRDefault="00264591" w:rsidP="00327572">
            <w:pPr>
              <w:rPr>
                <w:rFonts w:cs="Arial"/>
                <w:lang w:val="fr-FR"/>
              </w:rPr>
            </w:pPr>
            <w:r w:rsidRPr="00202EB9">
              <w:rPr>
                <w:rFonts w:cs="Arial"/>
                <w:lang w:val="fr-FR"/>
              </w:rPr>
              <w:t>No</w:t>
            </w:r>
            <w:r w:rsidR="004372EF" w:rsidRPr="00202EB9">
              <w:rPr>
                <w:rFonts w:cs="Arial"/>
                <w:lang w:val="fr-FR"/>
              </w:rPr>
              <w:t>mb</w:t>
            </w:r>
            <w:r w:rsidRPr="00202EB9">
              <w:rPr>
                <w:rFonts w:cs="Arial"/>
                <w:lang w:val="fr-FR"/>
              </w:rPr>
              <w:t>re de destinataires</w:t>
            </w:r>
          </w:p>
        </w:tc>
        <w:tc>
          <w:tcPr>
            <w:tcW w:w="0" w:type="auto"/>
            <w:shd w:val="clear" w:color="auto" w:fill="F2F2F2" w:themeFill="background1" w:themeFillShade="F2"/>
          </w:tcPr>
          <w:p w:rsidR="004372EF" w:rsidRPr="00202EB9" w:rsidRDefault="00264591" w:rsidP="00327572">
            <w:pPr>
              <w:rPr>
                <w:rFonts w:cs="Arial"/>
                <w:lang w:val="fr-FR"/>
              </w:rPr>
            </w:pPr>
            <w:r w:rsidRPr="00202EB9">
              <w:rPr>
                <w:rFonts w:cs="Arial"/>
                <w:lang w:val="fr-FR"/>
              </w:rPr>
              <w:t>Destinataires ayant rempli le questionnaire</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P</w:t>
            </w:r>
            <w:r w:rsidR="00264591" w:rsidRPr="00202EB9">
              <w:rPr>
                <w:rFonts w:cs="Arial"/>
                <w:lang w:val="fr-FR"/>
              </w:rPr>
              <w:t>ou</w:t>
            </w:r>
            <w:r w:rsidRPr="00202EB9">
              <w:rPr>
                <w:rFonts w:cs="Arial"/>
                <w:lang w:val="fr-FR"/>
              </w:rPr>
              <w:t xml:space="preserve">rcentage </w:t>
            </w:r>
            <w:r w:rsidR="00264591" w:rsidRPr="00202EB9">
              <w:rPr>
                <w:rFonts w:cs="Arial"/>
                <w:lang w:val="fr-FR"/>
              </w:rPr>
              <w:t>de questionnaires remplis et reçus</w:t>
            </w:r>
          </w:p>
        </w:tc>
      </w:tr>
      <w:tr w:rsidR="00264591" w:rsidRPr="00202EB9" w:rsidTr="004546DF">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1</w:t>
            </w:r>
          </w:p>
        </w:tc>
        <w:tc>
          <w:tcPr>
            <w:tcW w:w="0" w:type="auto"/>
            <w:shd w:val="clear" w:color="auto" w:fill="F2F2F2" w:themeFill="background1" w:themeFillShade="F2"/>
          </w:tcPr>
          <w:p w:rsidR="004372EF" w:rsidRPr="00202EB9" w:rsidRDefault="00120C48" w:rsidP="00327572">
            <w:pPr>
              <w:rPr>
                <w:rFonts w:cs="Arial"/>
                <w:lang w:val="fr-FR"/>
              </w:rPr>
            </w:pPr>
            <w:r w:rsidRPr="00202EB9">
              <w:rPr>
                <w:rFonts w:cs="Arial"/>
                <w:lang w:val="fr-FR"/>
              </w:rPr>
              <w:t>Représentants en poste à Genève</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555</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109</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19</w:t>
            </w:r>
            <w:r w:rsidR="00A14E0E" w:rsidRPr="00202EB9">
              <w:rPr>
                <w:rFonts w:cs="Arial"/>
                <w:lang w:val="fr-FR"/>
              </w:rPr>
              <w:t>,</w:t>
            </w:r>
            <w:r w:rsidRPr="00202EB9">
              <w:rPr>
                <w:rFonts w:cs="Arial"/>
                <w:lang w:val="fr-FR"/>
              </w:rPr>
              <w:t>6</w:t>
            </w:r>
          </w:p>
        </w:tc>
      </w:tr>
      <w:tr w:rsidR="00264591" w:rsidRPr="00202EB9" w:rsidTr="004546DF">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2</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 xml:space="preserve">Offices </w:t>
            </w:r>
            <w:r w:rsidR="00120C48" w:rsidRPr="00202EB9">
              <w:rPr>
                <w:rFonts w:cs="Arial"/>
                <w:lang w:val="fr-FR"/>
              </w:rPr>
              <w:t>de propriété intellectuelle</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651</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138</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21</w:t>
            </w:r>
            <w:r w:rsidR="00A14E0E" w:rsidRPr="00202EB9">
              <w:rPr>
                <w:rFonts w:cs="Arial"/>
                <w:lang w:val="fr-FR"/>
              </w:rPr>
              <w:t>,</w:t>
            </w:r>
            <w:r w:rsidRPr="00202EB9">
              <w:rPr>
                <w:rFonts w:cs="Arial"/>
                <w:lang w:val="fr-FR"/>
              </w:rPr>
              <w:t>2</w:t>
            </w:r>
          </w:p>
        </w:tc>
      </w:tr>
      <w:tr w:rsidR="00264591" w:rsidRPr="00202EB9" w:rsidTr="004546DF">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3</w:t>
            </w:r>
          </w:p>
        </w:tc>
        <w:tc>
          <w:tcPr>
            <w:tcW w:w="0" w:type="auto"/>
            <w:shd w:val="clear" w:color="auto" w:fill="F2F2F2" w:themeFill="background1" w:themeFillShade="F2"/>
          </w:tcPr>
          <w:p w:rsidR="004372EF" w:rsidRPr="00202EB9" w:rsidRDefault="00120C48" w:rsidP="00327572">
            <w:pPr>
              <w:rPr>
                <w:rFonts w:cs="Arial"/>
                <w:lang w:val="fr-FR"/>
              </w:rPr>
            </w:pPr>
            <w:r w:rsidRPr="00202EB9">
              <w:rPr>
                <w:rFonts w:cs="Arial"/>
                <w:lang w:val="fr-FR"/>
              </w:rPr>
              <w:t xml:space="preserve">Organisations non gouvernementales et </w:t>
            </w:r>
            <w:proofErr w:type="spellStart"/>
            <w:r w:rsidRPr="00202EB9">
              <w:rPr>
                <w:rFonts w:cs="Arial"/>
                <w:lang w:val="fr-FR"/>
              </w:rPr>
              <w:t>intergouvernementales</w:t>
            </w:r>
            <w:proofErr w:type="spellEnd"/>
            <w:r w:rsidRPr="00202EB9">
              <w:rPr>
                <w:rFonts w:cs="Arial"/>
                <w:lang w:val="fr-FR"/>
              </w:rPr>
              <w:t xml:space="preserve"> ayant</w:t>
            </w:r>
            <w:r w:rsidR="00C4740B" w:rsidRPr="00202EB9">
              <w:rPr>
                <w:rFonts w:cs="Arial"/>
                <w:lang w:val="fr-FR"/>
              </w:rPr>
              <w:t xml:space="preserve"> le</w:t>
            </w:r>
            <w:r w:rsidRPr="00202EB9">
              <w:rPr>
                <w:rFonts w:cs="Arial"/>
                <w:lang w:val="fr-FR"/>
              </w:rPr>
              <w:t xml:space="preserve"> statut d</w:t>
            </w:r>
            <w:r w:rsidR="00426067" w:rsidRPr="00202EB9">
              <w:rPr>
                <w:rFonts w:cs="Arial"/>
                <w:lang w:val="fr-FR"/>
              </w:rPr>
              <w:t>’</w:t>
            </w:r>
            <w:r w:rsidRPr="00202EB9">
              <w:rPr>
                <w:rFonts w:cs="Arial"/>
                <w:lang w:val="fr-FR"/>
              </w:rPr>
              <w:t>observateur</w:t>
            </w:r>
            <w:r w:rsidR="00426067" w:rsidRPr="00202EB9">
              <w:rPr>
                <w:rFonts w:cs="Arial"/>
                <w:lang w:val="fr-FR"/>
              </w:rPr>
              <w:t xml:space="preserve"> au </w:t>
            </w:r>
            <w:proofErr w:type="spellStart"/>
            <w:r w:rsidR="00426067" w:rsidRPr="00202EB9">
              <w:rPr>
                <w:rFonts w:cs="Arial"/>
                <w:lang w:val="fr-FR"/>
              </w:rPr>
              <w:t>CDI</w:t>
            </w:r>
            <w:r w:rsidR="00327572">
              <w:rPr>
                <w:rFonts w:cs="Arial"/>
                <w:lang w:val="fr-FR"/>
              </w:rPr>
              <w:t>P</w:t>
            </w:r>
            <w:proofErr w:type="spellEnd"/>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133</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27</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20</w:t>
            </w:r>
            <w:r w:rsidR="00A14E0E" w:rsidRPr="00202EB9">
              <w:rPr>
                <w:rFonts w:cs="Arial"/>
                <w:lang w:val="fr-FR"/>
              </w:rPr>
              <w:t>,</w:t>
            </w:r>
            <w:r w:rsidRPr="00202EB9">
              <w:rPr>
                <w:rFonts w:cs="Arial"/>
                <w:lang w:val="fr-FR"/>
              </w:rPr>
              <w:t>3</w:t>
            </w:r>
          </w:p>
        </w:tc>
      </w:tr>
      <w:tr w:rsidR="00264591" w:rsidRPr="00202EB9" w:rsidTr="004546DF">
        <w:trPr>
          <w:trHeight w:val="2123"/>
        </w:trPr>
        <w:tc>
          <w:tcPr>
            <w:tcW w:w="0" w:type="auto"/>
            <w:shd w:val="clear" w:color="auto" w:fill="F2F2F2" w:themeFill="background1" w:themeFillShade="F2"/>
          </w:tcPr>
          <w:p w:rsidR="004372EF" w:rsidRPr="00202EB9" w:rsidRDefault="006264BE" w:rsidP="00327572">
            <w:pPr>
              <w:rPr>
                <w:rFonts w:cs="Arial"/>
                <w:lang w:val="fr-FR"/>
              </w:rPr>
            </w:pPr>
            <w:r w:rsidRPr="00202EB9">
              <w:rPr>
                <w:rFonts w:cs="Arial"/>
                <w:lang w:val="fr-FR"/>
              </w:rPr>
              <w:t>4</w:t>
            </w:r>
          </w:p>
        </w:tc>
        <w:tc>
          <w:tcPr>
            <w:tcW w:w="0" w:type="auto"/>
            <w:shd w:val="clear" w:color="auto" w:fill="F2F2F2" w:themeFill="background1" w:themeFillShade="F2"/>
          </w:tcPr>
          <w:p w:rsidR="004372EF" w:rsidRPr="00202EB9" w:rsidRDefault="0018622C" w:rsidP="00327572">
            <w:pPr>
              <w:rPr>
                <w:rFonts w:cs="Arial"/>
                <w:lang w:val="fr-FR"/>
              </w:rPr>
            </w:pPr>
            <w:r w:rsidRPr="00202EB9">
              <w:rPr>
                <w:rFonts w:cs="Arial"/>
                <w:lang w:val="fr-FR"/>
              </w:rPr>
              <w:t>Bénéficiaires directs de projets (</w:t>
            </w:r>
            <w:r w:rsidR="00DE2FB6" w:rsidRPr="00202EB9">
              <w:rPr>
                <w:rFonts w:cs="Arial"/>
                <w:lang w:val="fr-FR"/>
              </w:rPr>
              <w:t>très divers selon le projet </w:t>
            </w:r>
            <w:proofErr w:type="gramStart"/>
            <w:r w:rsidR="00DE2FB6" w:rsidRPr="00202EB9">
              <w:rPr>
                <w:rFonts w:cs="Arial"/>
                <w:lang w:val="fr-FR"/>
              </w:rPr>
              <w:t>: particuliers</w:t>
            </w:r>
            <w:proofErr w:type="gramEnd"/>
            <w:r w:rsidR="00DE2FB6" w:rsidRPr="00202EB9">
              <w:rPr>
                <w:rFonts w:cs="Arial"/>
                <w:lang w:val="fr-FR"/>
              </w:rPr>
              <w:t xml:space="preserve">, </w:t>
            </w:r>
            <w:r w:rsidR="000D7CE5" w:rsidRPr="00202EB9">
              <w:rPr>
                <w:rFonts w:cs="Arial"/>
                <w:lang w:val="fr-FR"/>
              </w:rPr>
              <w:t>coordonnateurs de projet au sein d</w:t>
            </w:r>
            <w:r w:rsidR="00426067" w:rsidRPr="00202EB9">
              <w:rPr>
                <w:rFonts w:cs="Arial"/>
                <w:lang w:val="fr-FR"/>
              </w:rPr>
              <w:t>’</w:t>
            </w:r>
            <w:r w:rsidR="000D7CE5" w:rsidRPr="00202EB9">
              <w:rPr>
                <w:rFonts w:cs="Arial"/>
                <w:lang w:val="fr-FR"/>
              </w:rPr>
              <w:t>un office de propriété intellectuelle, représentants d</w:t>
            </w:r>
            <w:r w:rsidR="00426067" w:rsidRPr="00202EB9">
              <w:rPr>
                <w:rFonts w:cs="Arial"/>
                <w:lang w:val="fr-FR"/>
              </w:rPr>
              <w:t>’</w:t>
            </w:r>
            <w:r w:rsidR="000D7CE5" w:rsidRPr="00202EB9">
              <w:rPr>
                <w:rFonts w:cs="Arial"/>
                <w:lang w:val="fr-FR"/>
              </w:rPr>
              <w:t>associations ou organisations ayant bénéficié de projets</w:t>
            </w:r>
            <w:r w:rsidR="004372EF" w:rsidRPr="00202EB9">
              <w:rPr>
                <w:rFonts w:cs="Arial"/>
                <w:lang w:val="fr-FR"/>
              </w:rPr>
              <w:t xml:space="preserve">, etc.), </w:t>
            </w:r>
            <w:r w:rsidR="000D7CE5" w:rsidRPr="00202EB9">
              <w:rPr>
                <w:rFonts w:cs="Arial"/>
                <w:lang w:val="fr-FR"/>
              </w:rPr>
              <w:t>évaluateurs et chefs de projet</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320</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99</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30</w:t>
            </w:r>
            <w:r w:rsidR="00A14E0E" w:rsidRPr="00202EB9">
              <w:rPr>
                <w:rFonts w:cs="Arial"/>
                <w:lang w:val="fr-FR"/>
              </w:rPr>
              <w:t>,</w:t>
            </w:r>
            <w:r w:rsidRPr="00202EB9">
              <w:rPr>
                <w:rFonts w:cs="Arial"/>
                <w:lang w:val="fr-FR"/>
              </w:rPr>
              <w:t>9</w:t>
            </w:r>
          </w:p>
        </w:tc>
      </w:tr>
      <w:tr w:rsidR="00264591" w:rsidRPr="00202EB9" w:rsidTr="004546DF">
        <w:tc>
          <w:tcPr>
            <w:tcW w:w="0" w:type="auto"/>
            <w:shd w:val="clear" w:color="auto" w:fill="F2F2F2" w:themeFill="background1" w:themeFillShade="F2"/>
          </w:tcPr>
          <w:p w:rsidR="004372EF" w:rsidRPr="00202EB9" w:rsidRDefault="006264BE" w:rsidP="00327572">
            <w:pPr>
              <w:rPr>
                <w:rFonts w:cs="Arial"/>
                <w:lang w:val="fr-FR"/>
              </w:rPr>
            </w:pPr>
            <w:r w:rsidRPr="00202EB9">
              <w:rPr>
                <w:rFonts w:cs="Arial"/>
                <w:lang w:val="fr-FR"/>
              </w:rPr>
              <w:t>5</w:t>
            </w:r>
          </w:p>
        </w:tc>
        <w:tc>
          <w:tcPr>
            <w:tcW w:w="0" w:type="auto"/>
            <w:shd w:val="clear" w:color="auto" w:fill="F2F2F2" w:themeFill="background1" w:themeFillShade="F2"/>
          </w:tcPr>
          <w:p w:rsidR="004372EF" w:rsidRPr="00202EB9" w:rsidRDefault="004251D6" w:rsidP="00327572">
            <w:pPr>
              <w:rPr>
                <w:rFonts w:cs="Arial"/>
                <w:lang w:val="fr-FR"/>
              </w:rPr>
            </w:pPr>
            <w:r w:rsidRPr="00202EB9">
              <w:rPr>
                <w:rFonts w:cs="Arial"/>
                <w:lang w:val="fr-FR"/>
              </w:rPr>
              <w:t>Enquête auprès du public</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O</w:t>
            </w:r>
            <w:r w:rsidR="004251D6" w:rsidRPr="00202EB9">
              <w:rPr>
                <w:rFonts w:cs="Arial"/>
                <w:lang w:val="fr-FR"/>
              </w:rPr>
              <w:t>uverte</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25</w:t>
            </w:r>
          </w:p>
        </w:tc>
        <w:tc>
          <w:tcPr>
            <w:tcW w:w="0" w:type="auto"/>
            <w:shd w:val="clear" w:color="auto" w:fill="F2F2F2" w:themeFill="background1" w:themeFillShade="F2"/>
          </w:tcPr>
          <w:p w:rsidR="004372EF" w:rsidRPr="00202EB9" w:rsidRDefault="004269DA" w:rsidP="00327572">
            <w:pPr>
              <w:rPr>
                <w:rFonts w:cs="Arial"/>
                <w:lang w:val="fr-FR"/>
              </w:rPr>
            </w:pPr>
            <w:proofErr w:type="spellStart"/>
            <w:r w:rsidRPr="00202EB9">
              <w:rPr>
                <w:rFonts w:cs="Arial"/>
                <w:lang w:val="fr-FR"/>
              </w:rPr>
              <w:t>n.d</w:t>
            </w:r>
            <w:proofErr w:type="spellEnd"/>
            <w:r w:rsidRPr="00202EB9">
              <w:rPr>
                <w:rFonts w:cs="Arial"/>
                <w:lang w:val="fr-FR"/>
              </w:rPr>
              <w:t>.</w:t>
            </w:r>
          </w:p>
        </w:tc>
      </w:tr>
      <w:tr w:rsidR="00264591" w:rsidRPr="00202EB9" w:rsidTr="004546DF">
        <w:tc>
          <w:tcPr>
            <w:tcW w:w="0" w:type="auto"/>
            <w:shd w:val="clear" w:color="auto" w:fill="F2F2F2" w:themeFill="background1" w:themeFillShade="F2"/>
          </w:tcPr>
          <w:p w:rsidR="004372EF" w:rsidRPr="00202EB9" w:rsidRDefault="004372EF" w:rsidP="00327572">
            <w:pPr>
              <w:jc w:val="right"/>
              <w:rPr>
                <w:rFonts w:cs="Arial"/>
                <w:lang w:val="fr-FR"/>
              </w:rPr>
            </w:pPr>
          </w:p>
        </w:tc>
        <w:tc>
          <w:tcPr>
            <w:tcW w:w="0" w:type="auto"/>
            <w:shd w:val="clear" w:color="auto" w:fill="F2F2F2" w:themeFill="background1" w:themeFillShade="F2"/>
          </w:tcPr>
          <w:p w:rsidR="004372EF" w:rsidRPr="00202EB9" w:rsidRDefault="004372EF" w:rsidP="00327572">
            <w:pPr>
              <w:jc w:val="right"/>
              <w:rPr>
                <w:rFonts w:cs="Arial"/>
                <w:lang w:val="fr-FR"/>
              </w:rPr>
            </w:pPr>
            <w:r w:rsidRPr="00202EB9">
              <w:rPr>
                <w:rFonts w:cs="Arial"/>
                <w:lang w:val="fr-FR"/>
              </w:rPr>
              <w:t>Total</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1742</w:t>
            </w:r>
          </w:p>
        </w:tc>
        <w:tc>
          <w:tcPr>
            <w:tcW w:w="0" w:type="auto"/>
            <w:shd w:val="clear" w:color="auto" w:fill="F2F2F2" w:themeFill="background1" w:themeFillShade="F2"/>
          </w:tcPr>
          <w:p w:rsidR="004372EF" w:rsidRPr="00202EB9" w:rsidRDefault="004372EF" w:rsidP="00327572">
            <w:pPr>
              <w:rPr>
                <w:rFonts w:cs="Arial"/>
                <w:lang w:val="fr-FR"/>
              </w:rPr>
            </w:pPr>
            <w:r w:rsidRPr="00202EB9">
              <w:rPr>
                <w:rFonts w:cs="Arial"/>
                <w:lang w:val="fr-FR"/>
              </w:rPr>
              <w:t>373</w:t>
            </w:r>
          </w:p>
        </w:tc>
        <w:tc>
          <w:tcPr>
            <w:tcW w:w="0" w:type="auto"/>
            <w:shd w:val="clear" w:color="auto" w:fill="F2F2F2" w:themeFill="background1" w:themeFillShade="F2"/>
          </w:tcPr>
          <w:p w:rsidR="004372EF" w:rsidRPr="00202EB9" w:rsidRDefault="00A14E0E" w:rsidP="00327572">
            <w:pPr>
              <w:rPr>
                <w:rFonts w:cs="Arial"/>
                <w:lang w:val="fr-FR"/>
              </w:rPr>
            </w:pPr>
            <w:r w:rsidRPr="00202EB9">
              <w:rPr>
                <w:rFonts w:cs="Arial"/>
                <w:lang w:val="fr-FR"/>
              </w:rPr>
              <w:t>22,</w:t>
            </w:r>
            <w:r w:rsidR="004372EF" w:rsidRPr="00202EB9">
              <w:rPr>
                <w:rFonts w:cs="Arial"/>
                <w:lang w:val="fr-FR"/>
              </w:rPr>
              <w:t>4%</w:t>
            </w:r>
          </w:p>
        </w:tc>
      </w:tr>
    </w:tbl>
    <w:p w:rsidR="004372EF" w:rsidRPr="00202EB9" w:rsidRDefault="004372EF" w:rsidP="004372EF">
      <w:pPr>
        <w:rPr>
          <w:rFonts w:cs="Arial"/>
          <w:lang w:val="fr-FR"/>
        </w:rPr>
      </w:pPr>
    </w:p>
    <w:p w:rsidR="004372EF" w:rsidRPr="00202EB9" w:rsidRDefault="00EA6E0C" w:rsidP="00F3224E">
      <w:pPr>
        <w:pStyle w:val="ONUMFS"/>
        <w:rPr>
          <w:lang w:val="fr-FR"/>
        </w:rPr>
      </w:pPr>
      <w:r w:rsidRPr="00202EB9">
        <w:rPr>
          <w:lang w:val="fr-FR"/>
        </w:rPr>
        <w:t>Sur 324</w:t>
      </w:r>
      <w:r w:rsidR="00D41E1C" w:rsidRPr="00202EB9">
        <w:rPr>
          <w:lang w:val="fr-FR"/>
        </w:rPr>
        <w:t> </w:t>
      </w:r>
      <w:r w:rsidR="00000D95" w:rsidRPr="00202EB9">
        <w:rPr>
          <w:lang w:val="fr-FR"/>
        </w:rPr>
        <w:t xml:space="preserve">personnes qui ont répondu </w:t>
      </w:r>
      <w:r w:rsidR="00026484" w:rsidRPr="00202EB9">
        <w:rPr>
          <w:lang w:val="fr-FR"/>
        </w:rPr>
        <w:t>à l</w:t>
      </w:r>
      <w:r w:rsidR="00426067" w:rsidRPr="00202EB9">
        <w:rPr>
          <w:lang w:val="fr-FR"/>
        </w:rPr>
        <w:t>’</w:t>
      </w:r>
      <w:r w:rsidR="00026484" w:rsidRPr="00202EB9">
        <w:rPr>
          <w:lang w:val="fr-FR"/>
        </w:rPr>
        <w:t xml:space="preserve">enquête en exprimant </w:t>
      </w:r>
      <w:r w:rsidRPr="00202EB9">
        <w:rPr>
          <w:lang w:val="fr-FR"/>
        </w:rPr>
        <w:t>une opinion, 78%</w:t>
      </w:r>
      <w:r w:rsidR="00B56B2F" w:rsidRPr="00202EB9">
        <w:rPr>
          <w:lang w:val="fr-FR"/>
        </w:rPr>
        <w:t xml:space="preserve"> étaient d</w:t>
      </w:r>
      <w:r w:rsidR="00426067" w:rsidRPr="00202EB9">
        <w:rPr>
          <w:lang w:val="fr-FR"/>
        </w:rPr>
        <w:t>’</w:t>
      </w:r>
      <w:r w:rsidR="00B56B2F" w:rsidRPr="00202EB9">
        <w:rPr>
          <w:lang w:val="fr-FR"/>
        </w:rPr>
        <w:t>avis qu</w:t>
      </w:r>
      <w:r w:rsidR="00426067" w:rsidRPr="00202EB9">
        <w:rPr>
          <w:lang w:val="fr-FR"/>
        </w:rPr>
        <w:t>’</w:t>
      </w:r>
      <w:r w:rsidR="003E65DD" w:rsidRPr="00202EB9">
        <w:rPr>
          <w:lang w:val="fr-FR"/>
        </w:rPr>
        <w:t>un</w:t>
      </w:r>
      <w:r w:rsidR="00D72FFB" w:rsidRPr="00202EB9">
        <w:rPr>
          <w:lang w:val="fr-FR"/>
        </w:rPr>
        <w:t xml:space="preserve"> degré de </w:t>
      </w:r>
      <w:r w:rsidR="00B56B2F" w:rsidRPr="00202EB9">
        <w:rPr>
          <w:lang w:val="fr-FR"/>
        </w:rPr>
        <w:t>mise en œuvre</w:t>
      </w:r>
      <w:r w:rsidR="00D72FFB" w:rsidRPr="00202EB9">
        <w:rPr>
          <w:lang w:val="fr-FR"/>
        </w:rPr>
        <w:t xml:space="preserve"> modéré à </w:t>
      </w:r>
      <w:proofErr w:type="spellStart"/>
      <w:r w:rsidR="00D72FFB" w:rsidRPr="00202EB9">
        <w:rPr>
          <w:lang w:val="fr-FR"/>
        </w:rPr>
        <w:t>élevé</w:t>
      </w:r>
      <w:proofErr w:type="spellEnd"/>
      <w:r w:rsidR="00B56B2F" w:rsidRPr="00202EB9">
        <w:rPr>
          <w:lang w:val="fr-FR"/>
        </w:rPr>
        <w:t xml:space="preserve"> des recommandations du Plan d</w:t>
      </w:r>
      <w:r w:rsidR="00426067" w:rsidRPr="00202EB9">
        <w:rPr>
          <w:lang w:val="fr-FR"/>
        </w:rPr>
        <w:t>’</w:t>
      </w:r>
      <w:r w:rsidR="00B56B2F" w:rsidRPr="00202EB9">
        <w:rPr>
          <w:lang w:val="fr-FR"/>
        </w:rPr>
        <w:t>action pour le développement</w:t>
      </w:r>
      <w:r w:rsidR="00D72FFB" w:rsidRPr="00202EB9">
        <w:rPr>
          <w:lang w:val="fr-FR"/>
        </w:rPr>
        <w:t xml:space="preserve"> </w:t>
      </w:r>
      <w:r w:rsidR="00B56B2F" w:rsidRPr="00202EB9">
        <w:rPr>
          <w:lang w:val="fr-FR"/>
        </w:rPr>
        <w:t>était conforme à leurs attentes, tandis que 22% estimaient que ce n</w:t>
      </w:r>
      <w:r w:rsidR="00426067" w:rsidRPr="00202EB9">
        <w:rPr>
          <w:lang w:val="fr-FR"/>
        </w:rPr>
        <w:t>’</w:t>
      </w:r>
      <w:r w:rsidR="00B56B2F" w:rsidRPr="00202EB9">
        <w:rPr>
          <w:lang w:val="fr-FR"/>
        </w:rPr>
        <w:t>était pas le c</w:t>
      </w:r>
      <w:r w:rsidR="001E787E" w:rsidRPr="00202EB9">
        <w:rPr>
          <w:lang w:val="fr-FR"/>
        </w:rPr>
        <w:t>as.  Qu</w:t>
      </w:r>
      <w:r w:rsidR="00B56B2F" w:rsidRPr="00202EB9">
        <w:rPr>
          <w:lang w:val="fr-FR"/>
        </w:rPr>
        <w:t>arante</w:t>
      </w:r>
      <w:r w:rsidR="001E787E" w:rsidRPr="00202EB9">
        <w:rPr>
          <w:lang w:val="fr-FR"/>
        </w:rPr>
        <w:noBreakHyphen/>
      </w:r>
      <w:r w:rsidR="00B56B2F" w:rsidRPr="00202EB9">
        <w:rPr>
          <w:lang w:val="fr-FR"/>
        </w:rPr>
        <w:t xml:space="preserve">neuf </w:t>
      </w:r>
      <w:r w:rsidR="00026484" w:rsidRPr="00202EB9">
        <w:rPr>
          <w:lang w:val="fr-FR"/>
        </w:rPr>
        <w:t>personnes</w:t>
      </w:r>
      <w:r w:rsidR="00B56B2F" w:rsidRPr="00202EB9">
        <w:rPr>
          <w:lang w:val="fr-FR"/>
        </w:rPr>
        <w:t xml:space="preserve"> n</w:t>
      </w:r>
      <w:r w:rsidR="00426067" w:rsidRPr="00202EB9">
        <w:rPr>
          <w:lang w:val="fr-FR"/>
        </w:rPr>
        <w:t>’</w:t>
      </w:r>
      <w:r w:rsidR="00B56B2F" w:rsidRPr="00202EB9">
        <w:rPr>
          <w:lang w:val="fr-FR"/>
        </w:rPr>
        <w:t xml:space="preserve">ont pas </w:t>
      </w:r>
      <w:r w:rsidR="00432559" w:rsidRPr="00202EB9">
        <w:rPr>
          <w:lang w:val="fr-FR"/>
        </w:rPr>
        <w:t>exprimé d</w:t>
      </w:r>
      <w:r w:rsidR="00426067" w:rsidRPr="00202EB9">
        <w:rPr>
          <w:lang w:val="fr-FR"/>
        </w:rPr>
        <w:t>’</w:t>
      </w:r>
      <w:r w:rsidR="00432559" w:rsidRPr="00202EB9">
        <w:rPr>
          <w:lang w:val="fr-FR"/>
        </w:rPr>
        <w:t>opinion (voir le ré</w:t>
      </w:r>
      <w:r w:rsidR="00247844" w:rsidRPr="00202EB9">
        <w:rPr>
          <w:lang w:val="fr-FR"/>
        </w:rPr>
        <w:t>capitulatif</w:t>
      </w:r>
      <w:r w:rsidR="00432559" w:rsidRPr="00202EB9">
        <w:rPr>
          <w:lang w:val="fr-FR"/>
        </w:rPr>
        <w:t xml:space="preserve"> de l</w:t>
      </w:r>
      <w:r w:rsidR="00426067" w:rsidRPr="00202EB9">
        <w:rPr>
          <w:lang w:val="fr-FR"/>
        </w:rPr>
        <w:t>’</w:t>
      </w:r>
      <w:r w:rsidR="00432559" w:rsidRPr="00202EB9">
        <w:rPr>
          <w:lang w:val="fr-FR"/>
        </w:rPr>
        <w:t>encadré</w:t>
      </w:r>
      <w:r w:rsidR="00D41E1C" w:rsidRPr="00202EB9">
        <w:rPr>
          <w:lang w:val="fr-FR"/>
        </w:rPr>
        <w:t> </w:t>
      </w:r>
      <w:r w:rsidR="00432559" w:rsidRPr="00202EB9">
        <w:rPr>
          <w:lang w:val="fr-FR"/>
        </w:rPr>
        <w:t>6).  Les questionnaires ont été utilisés essentiellement pour valider les éléments résultant de l</w:t>
      </w:r>
      <w:r w:rsidR="00426067" w:rsidRPr="00202EB9">
        <w:rPr>
          <w:lang w:val="fr-FR"/>
        </w:rPr>
        <w:t>’</w:t>
      </w:r>
      <w:r w:rsidR="00432559" w:rsidRPr="00202EB9">
        <w:rPr>
          <w:lang w:val="fr-FR"/>
        </w:rPr>
        <w:t>étude préliminaire, des entretiens et des missions de terrain de l</w:t>
      </w:r>
      <w:r w:rsidR="00426067" w:rsidRPr="00202EB9">
        <w:rPr>
          <w:lang w:val="fr-FR"/>
        </w:rPr>
        <w:t>’</w:t>
      </w:r>
      <w:r w:rsidR="00432559" w:rsidRPr="00202EB9">
        <w:rPr>
          <w:lang w:val="fr-FR"/>
        </w:rPr>
        <w:t>équipe chargée de l</w:t>
      </w:r>
      <w:r w:rsidR="00426067" w:rsidRPr="00202EB9">
        <w:rPr>
          <w:lang w:val="fr-FR"/>
        </w:rPr>
        <w:t>’</w:t>
      </w:r>
      <w:r w:rsidR="00432559" w:rsidRPr="00202EB9">
        <w:rPr>
          <w:lang w:val="fr-FR"/>
        </w:rPr>
        <w:t>étude.</w:t>
      </w:r>
    </w:p>
    <w:tbl>
      <w:tblPr>
        <w:tblStyle w:val="TableGrid"/>
        <w:tblW w:w="0" w:type="auto"/>
        <w:shd w:val="clear" w:color="auto" w:fill="F2F2F2" w:themeFill="background1" w:themeFillShade="F2"/>
        <w:tblCellMar>
          <w:top w:w="28" w:type="dxa"/>
          <w:bottom w:w="28" w:type="dxa"/>
        </w:tblCellMar>
        <w:tblLook w:val="04A0" w:firstRow="1" w:lastRow="0" w:firstColumn="1" w:lastColumn="0" w:noHBand="0" w:noVBand="1"/>
      </w:tblPr>
      <w:tblGrid>
        <w:gridCol w:w="2928"/>
        <w:gridCol w:w="1162"/>
        <w:gridCol w:w="2227"/>
        <w:gridCol w:w="1664"/>
        <w:gridCol w:w="1584"/>
      </w:tblGrid>
      <w:tr w:rsidR="004372EF" w:rsidRPr="00202EB9" w:rsidTr="004546DF">
        <w:trPr>
          <w:cantSplit/>
          <w:trHeight w:val="350"/>
        </w:trPr>
        <w:tc>
          <w:tcPr>
            <w:tcW w:w="0" w:type="auto"/>
            <w:gridSpan w:val="5"/>
            <w:shd w:val="clear" w:color="auto" w:fill="F2F2F2" w:themeFill="background1" w:themeFillShade="F2"/>
          </w:tcPr>
          <w:p w:rsidR="004372EF" w:rsidRPr="00202EB9" w:rsidRDefault="00724734" w:rsidP="00327572">
            <w:pPr>
              <w:rPr>
                <w:rFonts w:cs="Arial"/>
                <w:lang w:val="fr-FR"/>
              </w:rPr>
            </w:pPr>
            <w:r w:rsidRPr="00202EB9">
              <w:rPr>
                <w:rFonts w:cs="Arial"/>
                <w:lang w:val="fr-FR"/>
              </w:rPr>
              <w:t>Encadré</w:t>
            </w:r>
            <w:r w:rsidR="00D41E1C" w:rsidRPr="00202EB9">
              <w:rPr>
                <w:rFonts w:cs="Arial"/>
                <w:lang w:val="fr-FR"/>
              </w:rPr>
              <w:t> </w:t>
            </w:r>
            <w:r w:rsidR="004372EF" w:rsidRPr="00202EB9">
              <w:rPr>
                <w:rFonts w:cs="Arial"/>
                <w:lang w:val="fr-FR"/>
              </w:rPr>
              <w:t>6</w:t>
            </w:r>
            <w:r w:rsidR="00B56B2F" w:rsidRPr="00202EB9">
              <w:rPr>
                <w:rFonts w:cs="Arial"/>
                <w:lang w:val="fr-FR"/>
              </w:rPr>
              <w:t> </w:t>
            </w:r>
            <w:proofErr w:type="gramStart"/>
            <w:r w:rsidR="00B56B2F" w:rsidRPr="00202EB9">
              <w:rPr>
                <w:rFonts w:cs="Arial"/>
                <w:lang w:val="fr-FR"/>
              </w:rPr>
              <w:t xml:space="preserve">: </w:t>
            </w:r>
            <w:r w:rsidR="00247844" w:rsidRPr="00202EB9">
              <w:rPr>
                <w:rFonts w:cs="Arial"/>
                <w:lang w:val="fr-FR"/>
              </w:rPr>
              <w:t>Récapitulatif</w:t>
            </w:r>
            <w:proofErr w:type="gramEnd"/>
            <w:r w:rsidR="00247844" w:rsidRPr="00202EB9">
              <w:rPr>
                <w:rFonts w:cs="Arial"/>
                <w:lang w:val="fr-FR"/>
              </w:rPr>
              <w:t xml:space="preserve"> </w:t>
            </w:r>
            <w:r w:rsidR="00B31927" w:rsidRPr="00202EB9">
              <w:rPr>
                <w:rFonts w:cs="Arial"/>
                <w:lang w:val="fr-FR"/>
              </w:rPr>
              <w:t>des résultats de l</w:t>
            </w:r>
            <w:r w:rsidR="00426067" w:rsidRPr="00202EB9">
              <w:rPr>
                <w:rFonts w:cs="Arial"/>
                <w:lang w:val="fr-FR"/>
              </w:rPr>
              <w:t>’</w:t>
            </w:r>
            <w:r w:rsidR="00B31927" w:rsidRPr="00202EB9">
              <w:rPr>
                <w:rFonts w:cs="Arial"/>
                <w:lang w:val="fr-FR"/>
              </w:rPr>
              <w:t>enquête de satisfaction concernant la conformité aux attentes de la mise en œuvre des recommandations</w:t>
            </w:r>
          </w:p>
        </w:tc>
      </w:tr>
      <w:tr w:rsidR="00D37A5D" w:rsidRPr="00202EB9" w:rsidTr="004546DF">
        <w:trPr>
          <w:cantSplit/>
          <w:trHeight w:val="350"/>
        </w:trPr>
        <w:tc>
          <w:tcPr>
            <w:tcW w:w="0" w:type="auto"/>
            <w:shd w:val="clear" w:color="auto" w:fill="F2F2F2" w:themeFill="background1" w:themeFillShade="F2"/>
          </w:tcPr>
          <w:p w:rsidR="004372EF" w:rsidRPr="00202EB9" w:rsidRDefault="004372EF" w:rsidP="00327572">
            <w:pPr>
              <w:rPr>
                <w:rFonts w:eastAsiaTheme="minorEastAsia" w:cs="Arial"/>
                <w:lang w:val="fr-FR"/>
              </w:rPr>
            </w:pP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N</w:t>
            </w:r>
            <w:r w:rsidR="00215A12" w:rsidRPr="00202EB9">
              <w:rPr>
                <w:rFonts w:eastAsiaTheme="minorEastAsia" w:cs="Arial"/>
                <w:lang w:val="fr-FR"/>
              </w:rPr>
              <w:t xml:space="preserve">ombre de </w:t>
            </w:r>
            <w:r w:rsidR="00026484" w:rsidRPr="00202EB9">
              <w:rPr>
                <w:rFonts w:eastAsiaTheme="minorEastAsia" w:cs="Arial"/>
                <w:lang w:val="fr-FR"/>
              </w:rPr>
              <w:t>réponses reçues</w:t>
            </w:r>
          </w:p>
        </w:tc>
        <w:tc>
          <w:tcPr>
            <w:tcW w:w="0" w:type="auto"/>
            <w:shd w:val="clear" w:color="auto" w:fill="F2F2F2" w:themeFill="background1" w:themeFillShade="F2"/>
          </w:tcPr>
          <w:p w:rsidR="004372EF" w:rsidRPr="00202EB9" w:rsidRDefault="00215A12" w:rsidP="00327572">
            <w:pPr>
              <w:rPr>
                <w:rFonts w:eastAsiaTheme="minorEastAsia" w:cs="Arial"/>
                <w:lang w:val="fr-FR"/>
              </w:rPr>
            </w:pPr>
            <w:r w:rsidRPr="00202EB9">
              <w:rPr>
                <w:rFonts w:eastAsiaTheme="minorEastAsia" w:cs="Arial"/>
                <w:lang w:val="fr-FR"/>
              </w:rPr>
              <w:t>Pou</w:t>
            </w:r>
            <w:r w:rsidR="004372EF" w:rsidRPr="00202EB9">
              <w:rPr>
                <w:rFonts w:eastAsiaTheme="minorEastAsia" w:cs="Arial"/>
                <w:lang w:val="fr-FR"/>
              </w:rPr>
              <w:t xml:space="preserve">rcentage </w:t>
            </w:r>
            <w:r w:rsidRPr="00202EB9">
              <w:rPr>
                <w:rFonts w:eastAsiaTheme="minorEastAsia" w:cs="Arial"/>
                <w:lang w:val="fr-FR"/>
              </w:rPr>
              <w:t>de répon</w:t>
            </w:r>
            <w:r w:rsidR="00026484" w:rsidRPr="00202EB9">
              <w:rPr>
                <w:rFonts w:eastAsiaTheme="minorEastAsia" w:cs="Arial"/>
                <w:lang w:val="fr-FR"/>
              </w:rPr>
              <w:t>se</w:t>
            </w:r>
            <w:r w:rsidRPr="00202EB9">
              <w:rPr>
                <w:rFonts w:eastAsiaTheme="minorEastAsia" w:cs="Arial"/>
                <w:lang w:val="fr-FR"/>
              </w:rPr>
              <w:t xml:space="preserve">s </w:t>
            </w:r>
            <w:r w:rsidR="00026484" w:rsidRPr="00202EB9">
              <w:rPr>
                <w:rFonts w:eastAsiaTheme="minorEastAsia" w:cs="Arial"/>
                <w:lang w:val="fr-FR"/>
              </w:rPr>
              <w:t>dont les auteurs</w:t>
            </w:r>
            <w:r w:rsidR="00D37A5D" w:rsidRPr="00202EB9">
              <w:rPr>
                <w:rFonts w:eastAsiaTheme="minorEastAsia" w:cs="Arial"/>
                <w:lang w:val="fr-FR"/>
              </w:rPr>
              <w:t xml:space="preserve"> ont</w:t>
            </w:r>
            <w:r w:rsidR="00026484" w:rsidRPr="00202EB9">
              <w:rPr>
                <w:rFonts w:eastAsiaTheme="minorEastAsia" w:cs="Arial"/>
                <w:lang w:val="fr-FR"/>
              </w:rPr>
              <w:t xml:space="preserve"> </w:t>
            </w:r>
            <w:r w:rsidR="00DE2642" w:rsidRPr="00202EB9">
              <w:rPr>
                <w:rFonts w:eastAsiaTheme="minorEastAsia" w:cs="Arial"/>
                <w:lang w:val="fr-FR"/>
              </w:rPr>
              <w:t>jug</w:t>
            </w:r>
            <w:r w:rsidR="00D37A5D" w:rsidRPr="00202EB9">
              <w:rPr>
                <w:rFonts w:eastAsiaTheme="minorEastAsia" w:cs="Arial"/>
                <w:lang w:val="fr-FR"/>
              </w:rPr>
              <w:t>é</w:t>
            </w:r>
            <w:r w:rsidR="00D72FFB" w:rsidRPr="00202EB9">
              <w:rPr>
                <w:rFonts w:eastAsiaTheme="minorEastAsia" w:cs="Arial"/>
                <w:lang w:val="fr-FR"/>
              </w:rPr>
              <w:t xml:space="preserve"> </w:t>
            </w:r>
            <w:r w:rsidR="00D37A5D" w:rsidRPr="00202EB9">
              <w:rPr>
                <w:rFonts w:eastAsiaTheme="minorEastAsia" w:cs="Arial"/>
                <w:lang w:val="fr-FR"/>
              </w:rPr>
              <w:t>le</w:t>
            </w:r>
            <w:r w:rsidR="00D72FFB" w:rsidRPr="00202EB9">
              <w:rPr>
                <w:rFonts w:eastAsiaTheme="minorEastAsia" w:cs="Arial"/>
                <w:lang w:val="fr-FR"/>
              </w:rPr>
              <w:t xml:space="preserve"> degré de</w:t>
            </w:r>
            <w:r w:rsidRPr="00202EB9">
              <w:rPr>
                <w:rFonts w:eastAsiaTheme="minorEastAsia" w:cs="Arial"/>
                <w:lang w:val="fr-FR"/>
              </w:rPr>
              <w:t xml:space="preserve"> mise en œuvre </w:t>
            </w:r>
            <w:r w:rsidR="00D72FFB" w:rsidRPr="00202EB9">
              <w:rPr>
                <w:rFonts w:eastAsiaTheme="minorEastAsia" w:cs="Arial"/>
                <w:lang w:val="fr-FR"/>
              </w:rPr>
              <w:t>élevé à modéré</w:t>
            </w:r>
            <w:r w:rsidR="00137D62" w:rsidRPr="00202EB9">
              <w:rPr>
                <w:rFonts w:eastAsiaTheme="minorEastAsia" w:cs="Arial"/>
                <w:lang w:val="fr-FR"/>
              </w:rPr>
              <w:t xml:space="preserve"> </w:t>
            </w:r>
            <w:r w:rsidR="00D37A5D" w:rsidRPr="00202EB9">
              <w:rPr>
                <w:rFonts w:eastAsiaTheme="minorEastAsia" w:cs="Arial"/>
                <w:lang w:val="fr-FR"/>
              </w:rPr>
              <w:t xml:space="preserve">des recommandations </w:t>
            </w:r>
            <w:r w:rsidRPr="00202EB9">
              <w:rPr>
                <w:rFonts w:eastAsiaTheme="minorEastAsia" w:cs="Arial"/>
                <w:lang w:val="fr-FR"/>
              </w:rPr>
              <w:t>conforme à leurs attentes</w:t>
            </w:r>
          </w:p>
        </w:tc>
        <w:tc>
          <w:tcPr>
            <w:tcW w:w="0" w:type="auto"/>
            <w:shd w:val="clear" w:color="auto" w:fill="F2F2F2" w:themeFill="background1" w:themeFillShade="F2"/>
          </w:tcPr>
          <w:p w:rsidR="004372EF" w:rsidRPr="00202EB9" w:rsidRDefault="00215A12" w:rsidP="00327572">
            <w:pPr>
              <w:rPr>
                <w:rFonts w:eastAsiaTheme="minorEastAsia" w:cs="Arial"/>
                <w:lang w:val="fr-FR"/>
              </w:rPr>
            </w:pPr>
            <w:r w:rsidRPr="00202EB9">
              <w:rPr>
                <w:rFonts w:eastAsiaTheme="minorEastAsia" w:cs="Arial"/>
                <w:lang w:val="fr-FR"/>
              </w:rPr>
              <w:t xml:space="preserve">Pourcentage de </w:t>
            </w:r>
            <w:r w:rsidR="00DE2642" w:rsidRPr="00202EB9">
              <w:rPr>
                <w:rFonts w:eastAsiaTheme="minorEastAsia" w:cs="Arial"/>
                <w:lang w:val="fr-FR"/>
              </w:rPr>
              <w:t xml:space="preserve">réponses dont les auteurs </w:t>
            </w:r>
            <w:r w:rsidR="00D37A5D" w:rsidRPr="00202EB9">
              <w:rPr>
                <w:rFonts w:eastAsiaTheme="minorEastAsia" w:cs="Arial"/>
                <w:lang w:val="fr-FR"/>
              </w:rPr>
              <w:t xml:space="preserve">ont </w:t>
            </w:r>
            <w:r w:rsidR="00DE2642" w:rsidRPr="00202EB9">
              <w:rPr>
                <w:rFonts w:eastAsiaTheme="minorEastAsia" w:cs="Arial"/>
                <w:lang w:val="fr-FR"/>
              </w:rPr>
              <w:t>jug</w:t>
            </w:r>
            <w:r w:rsidR="00D37A5D" w:rsidRPr="00202EB9">
              <w:rPr>
                <w:rFonts w:eastAsiaTheme="minorEastAsia" w:cs="Arial"/>
                <w:lang w:val="fr-FR"/>
              </w:rPr>
              <w:t>é</w:t>
            </w:r>
            <w:r w:rsidR="00DE2642" w:rsidRPr="00202EB9">
              <w:rPr>
                <w:rFonts w:eastAsiaTheme="minorEastAsia" w:cs="Arial"/>
                <w:lang w:val="fr-FR"/>
              </w:rPr>
              <w:t xml:space="preserve"> </w:t>
            </w:r>
            <w:r w:rsidR="00D37A5D" w:rsidRPr="00202EB9">
              <w:rPr>
                <w:rFonts w:eastAsiaTheme="minorEastAsia" w:cs="Arial"/>
                <w:lang w:val="fr-FR"/>
              </w:rPr>
              <w:t>le</w:t>
            </w:r>
            <w:r w:rsidR="00DE2642" w:rsidRPr="00202EB9">
              <w:rPr>
                <w:rFonts w:eastAsiaTheme="minorEastAsia" w:cs="Arial"/>
                <w:lang w:val="fr-FR"/>
              </w:rPr>
              <w:t xml:space="preserve"> degré de mise</w:t>
            </w:r>
            <w:r w:rsidRPr="00202EB9">
              <w:rPr>
                <w:rFonts w:eastAsiaTheme="minorEastAsia" w:cs="Arial"/>
                <w:lang w:val="fr-FR"/>
              </w:rPr>
              <w:t xml:space="preserve"> en œuvre non conforme à leurs attentes</w:t>
            </w:r>
          </w:p>
        </w:tc>
        <w:tc>
          <w:tcPr>
            <w:tcW w:w="0" w:type="auto"/>
            <w:shd w:val="clear" w:color="auto" w:fill="F2F2F2" w:themeFill="background1" w:themeFillShade="F2"/>
          </w:tcPr>
          <w:p w:rsidR="004372EF" w:rsidRPr="00202EB9" w:rsidRDefault="00215A12" w:rsidP="00327572">
            <w:pPr>
              <w:rPr>
                <w:rFonts w:eastAsiaTheme="minorEastAsia" w:cs="Arial"/>
                <w:lang w:val="fr-FR"/>
              </w:rPr>
            </w:pPr>
            <w:r w:rsidRPr="00202EB9">
              <w:rPr>
                <w:rFonts w:eastAsiaTheme="minorEastAsia" w:cs="Arial"/>
                <w:lang w:val="fr-FR"/>
              </w:rPr>
              <w:t>Pou</w:t>
            </w:r>
            <w:r w:rsidR="004372EF" w:rsidRPr="00202EB9">
              <w:rPr>
                <w:rFonts w:eastAsiaTheme="minorEastAsia" w:cs="Arial"/>
                <w:lang w:val="fr-FR"/>
              </w:rPr>
              <w:t xml:space="preserve">rcentage </w:t>
            </w:r>
            <w:r w:rsidRPr="00202EB9">
              <w:rPr>
                <w:rFonts w:eastAsiaTheme="minorEastAsia" w:cs="Arial"/>
                <w:lang w:val="fr-FR"/>
              </w:rPr>
              <w:t>de</w:t>
            </w:r>
            <w:r w:rsidR="004372EF" w:rsidRPr="00202EB9">
              <w:rPr>
                <w:rFonts w:eastAsiaTheme="minorEastAsia" w:cs="Arial"/>
                <w:lang w:val="fr-FR"/>
              </w:rPr>
              <w:t xml:space="preserve"> r</w:t>
            </w:r>
            <w:r w:rsidRPr="00202EB9">
              <w:rPr>
                <w:rFonts w:eastAsiaTheme="minorEastAsia" w:cs="Arial"/>
                <w:lang w:val="fr-FR"/>
              </w:rPr>
              <w:t>é</w:t>
            </w:r>
            <w:r w:rsidR="004372EF" w:rsidRPr="00202EB9">
              <w:rPr>
                <w:rFonts w:eastAsiaTheme="minorEastAsia" w:cs="Arial"/>
                <w:lang w:val="fr-FR"/>
              </w:rPr>
              <w:t>pon</w:t>
            </w:r>
            <w:r w:rsidR="00DE2642" w:rsidRPr="00202EB9">
              <w:rPr>
                <w:rFonts w:eastAsiaTheme="minorEastAsia" w:cs="Arial"/>
                <w:lang w:val="fr-FR"/>
              </w:rPr>
              <w:t>se</w:t>
            </w:r>
            <w:r w:rsidR="004372EF" w:rsidRPr="00202EB9">
              <w:rPr>
                <w:rFonts w:eastAsiaTheme="minorEastAsia" w:cs="Arial"/>
                <w:lang w:val="fr-FR"/>
              </w:rPr>
              <w:t xml:space="preserve">s </w:t>
            </w:r>
            <w:r w:rsidR="00DE2642" w:rsidRPr="00202EB9">
              <w:rPr>
                <w:rFonts w:eastAsiaTheme="minorEastAsia" w:cs="Arial"/>
                <w:lang w:val="fr-FR"/>
              </w:rPr>
              <w:t>dont les auteurs n</w:t>
            </w:r>
            <w:r w:rsidR="00426067" w:rsidRPr="00202EB9">
              <w:rPr>
                <w:rFonts w:eastAsiaTheme="minorEastAsia" w:cs="Arial"/>
                <w:lang w:val="fr-FR"/>
              </w:rPr>
              <w:t>’</w:t>
            </w:r>
            <w:r w:rsidR="00DE2642" w:rsidRPr="00202EB9">
              <w:rPr>
                <w:rFonts w:eastAsiaTheme="minorEastAsia" w:cs="Arial"/>
                <w:lang w:val="fr-FR"/>
              </w:rPr>
              <w:t>ont pas exprimé d</w:t>
            </w:r>
            <w:r w:rsidR="00426067" w:rsidRPr="00202EB9">
              <w:rPr>
                <w:rFonts w:eastAsiaTheme="minorEastAsia" w:cs="Arial"/>
                <w:lang w:val="fr-FR"/>
              </w:rPr>
              <w:t>’</w:t>
            </w:r>
            <w:r w:rsidR="004372EF" w:rsidRPr="00202EB9">
              <w:rPr>
                <w:rFonts w:eastAsiaTheme="minorEastAsia" w:cs="Arial"/>
                <w:lang w:val="fr-FR"/>
              </w:rPr>
              <w:t>opinion</w:t>
            </w:r>
          </w:p>
        </w:tc>
      </w:tr>
      <w:tr w:rsidR="00D37A5D" w:rsidRPr="00202EB9" w:rsidTr="004546DF">
        <w:trPr>
          <w:cantSplit/>
        </w:trPr>
        <w:tc>
          <w:tcPr>
            <w:tcW w:w="0" w:type="auto"/>
            <w:shd w:val="clear" w:color="auto" w:fill="F2F2F2" w:themeFill="background1" w:themeFillShade="F2"/>
          </w:tcPr>
          <w:p w:rsidR="004372EF" w:rsidRPr="00202EB9" w:rsidRDefault="002C1364" w:rsidP="00327572">
            <w:pPr>
              <w:rPr>
                <w:rFonts w:eastAsiaTheme="minorEastAsia" w:cs="Arial"/>
                <w:lang w:val="fr-FR"/>
              </w:rPr>
            </w:pPr>
            <w:r w:rsidRPr="00202EB9">
              <w:rPr>
                <w:rFonts w:cs="Arial"/>
                <w:lang w:val="fr-FR"/>
              </w:rPr>
              <w:t>Représentants en poste à Genève</w:t>
            </w:r>
            <w:r w:rsidR="004372EF" w:rsidRPr="00202EB9">
              <w:rPr>
                <w:rFonts w:eastAsiaTheme="minorEastAsia" w:cs="Arial"/>
                <w:lang w:val="fr-FR"/>
              </w:rPr>
              <w:t xml:space="preserve"> </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109</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65</w:t>
            </w:r>
            <w:r w:rsidR="00B56B2F" w:rsidRPr="00202EB9">
              <w:rPr>
                <w:rFonts w:eastAsiaTheme="minorEastAsia" w:cs="Arial"/>
                <w:lang w:val="fr-FR"/>
              </w:rPr>
              <w:t>,</w:t>
            </w:r>
            <w:r w:rsidRPr="00202EB9">
              <w:rPr>
                <w:rFonts w:eastAsiaTheme="minorEastAsia" w:cs="Arial"/>
                <w:lang w:val="fr-FR"/>
              </w:rPr>
              <w:t>7</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13</w:t>
            </w:r>
            <w:r w:rsidR="00B56B2F" w:rsidRPr="00202EB9">
              <w:rPr>
                <w:rFonts w:eastAsiaTheme="minorEastAsia" w:cs="Arial"/>
                <w:lang w:val="fr-FR"/>
              </w:rPr>
              <w:t>,</w:t>
            </w:r>
            <w:r w:rsidRPr="00202EB9">
              <w:rPr>
                <w:rFonts w:eastAsiaTheme="minorEastAsia" w:cs="Arial"/>
                <w:lang w:val="fr-FR"/>
              </w:rPr>
              <w:t>6</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20</w:t>
            </w:r>
            <w:r w:rsidR="00B56B2F" w:rsidRPr="00202EB9">
              <w:rPr>
                <w:rFonts w:eastAsiaTheme="minorEastAsia" w:cs="Arial"/>
                <w:lang w:val="fr-FR"/>
              </w:rPr>
              <w:t>,</w:t>
            </w:r>
            <w:r w:rsidRPr="00202EB9">
              <w:rPr>
                <w:rFonts w:eastAsiaTheme="minorEastAsia" w:cs="Arial"/>
                <w:lang w:val="fr-FR"/>
              </w:rPr>
              <w:t>7</w:t>
            </w:r>
          </w:p>
        </w:tc>
      </w:tr>
      <w:tr w:rsidR="00D37A5D" w:rsidRPr="00202EB9" w:rsidTr="004546DF">
        <w:trPr>
          <w:cantSplit/>
        </w:trPr>
        <w:tc>
          <w:tcPr>
            <w:tcW w:w="0" w:type="auto"/>
            <w:shd w:val="clear" w:color="auto" w:fill="F2F2F2" w:themeFill="background1" w:themeFillShade="F2"/>
          </w:tcPr>
          <w:p w:rsidR="004372EF" w:rsidRPr="00202EB9" w:rsidRDefault="002C1364" w:rsidP="00327572">
            <w:pPr>
              <w:rPr>
                <w:rFonts w:eastAsiaTheme="minorEastAsia" w:cs="Arial"/>
                <w:lang w:val="fr-FR"/>
              </w:rPr>
            </w:pPr>
            <w:r w:rsidRPr="00202EB9">
              <w:rPr>
                <w:rFonts w:cs="Arial"/>
                <w:lang w:val="fr-FR"/>
              </w:rPr>
              <w:t>Offices de propriété intellectuelle</w:t>
            </w:r>
            <w:r w:rsidR="004372EF" w:rsidRPr="00202EB9">
              <w:rPr>
                <w:rFonts w:eastAsiaTheme="minorEastAsia" w:cs="Arial"/>
                <w:lang w:val="fr-FR"/>
              </w:rPr>
              <w:t xml:space="preserve"> </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138</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69</w:t>
            </w:r>
            <w:r w:rsidR="00B56B2F" w:rsidRPr="00202EB9">
              <w:rPr>
                <w:rFonts w:eastAsiaTheme="minorEastAsia" w:cs="Arial"/>
                <w:lang w:val="fr-FR"/>
              </w:rPr>
              <w:t>,</w:t>
            </w:r>
            <w:r w:rsidRPr="00202EB9">
              <w:rPr>
                <w:rFonts w:eastAsiaTheme="minorEastAsia" w:cs="Arial"/>
                <w:lang w:val="fr-FR"/>
              </w:rPr>
              <w:t>3</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15</w:t>
            </w:r>
            <w:r w:rsidR="00B56B2F" w:rsidRPr="00202EB9">
              <w:rPr>
                <w:rFonts w:eastAsiaTheme="minorEastAsia" w:cs="Arial"/>
                <w:lang w:val="fr-FR"/>
              </w:rPr>
              <w:t>,</w:t>
            </w:r>
            <w:r w:rsidRPr="00202EB9">
              <w:rPr>
                <w:rFonts w:eastAsiaTheme="minorEastAsia" w:cs="Arial"/>
                <w:lang w:val="fr-FR"/>
              </w:rPr>
              <w:t>8</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14</w:t>
            </w:r>
            <w:r w:rsidR="00B56B2F" w:rsidRPr="00202EB9">
              <w:rPr>
                <w:rFonts w:eastAsiaTheme="minorEastAsia" w:cs="Arial"/>
                <w:lang w:val="fr-FR"/>
              </w:rPr>
              <w:t>,</w:t>
            </w:r>
            <w:r w:rsidRPr="00202EB9">
              <w:rPr>
                <w:rFonts w:eastAsiaTheme="minorEastAsia" w:cs="Arial"/>
                <w:lang w:val="fr-FR"/>
              </w:rPr>
              <w:t>8</w:t>
            </w:r>
          </w:p>
        </w:tc>
      </w:tr>
      <w:tr w:rsidR="00D37A5D" w:rsidRPr="00202EB9" w:rsidTr="004546DF">
        <w:trPr>
          <w:cantSplit/>
        </w:trPr>
        <w:tc>
          <w:tcPr>
            <w:tcW w:w="0" w:type="auto"/>
            <w:shd w:val="clear" w:color="auto" w:fill="F2F2F2" w:themeFill="background1" w:themeFillShade="F2"/>
          </w:tcPr>
          <w:p w:rsidR="004372EF" w:rsidRPr="00202EB9" w:rsidRDefault="00F91540" w:rsidP="00327572">
            <w:pPr>
              <w:rPr>
                <w:rFonts w:eastAsiaTheme="minorEastAsia" w:cs="Arial"/>
                <w:lang w:val="fr-FR"/>
              </w:rPr>
            </w:pPr>
            <w:r w:rsidRPr="00202EB9">
              <w:rPr>
                <w:rFonts w:cs="Arial"/>
                <w:lang w:val="fr-FR"/>
              </w:rPr>
              <w:t xml:space="preserve">Organisations non gouvernementales et </w:t>
            </w:r>
            <w:proofErr w:type="spellStart"/>
            <w:r w:rsidRPr="00202EB9">
              <w:rPr>
                <w:rFonts w:cs="Arial"/>
                <w:lang w:val="fr-FR"/>
              </w:rPr>
              <w:t>intergouvernementales</w:t>
            </w:r>
            <w:proofErr w:type="spellEnd"/>
            <w:r w:rsidRPr="00202EB9">
              <w:rPr>
                <w:rFonts w:cs="Arial"/>
                <w:lang w:val="fr-FR"/>
              </w:rPr>
              <w:t xml:space="preserve"> ayant </w:t>
            </w:r>
            <w:r w:rsidR="00C4740B" w:rsidRPr="00202EB9">
              <w:rPr>
                <w:rFonts w:cs="Arial"/>
                <w:lang w:val="fr-FR"/>
              </w:rPr>
              <w:t xml:space="preserve">le </w:t>
            </w:r>
            <w:r w:rsidRPr="00202EB9">
              <w:rPr>
                <w:rFonts w:cs="Arial"/>
                <w:lang w:val="fr-FR"/>
              </w:rPr>
              <w:t>statut d</w:t>
            </w:r>
            <w:r w:rsidR="00426067" w:rsidRPr="00202EB9">
              <w:rPr>
                <w:rFonts w:cs="Arial"/>
                <w:lang w:val="fr-FR"/>
              </w:rPr>
              <w:t>’</w:t>
            </w:r>
            <w:r w:rsidRPr="00202EB9">
              <w:rPr>
                <w:rFonts w:cs="Arial"/>
                <w:lang w:val="fr-FR"/>
              </w:rPr>
              <w:t>observateur</w:t>
            </w:r>
            <w:r w:rsidR="00426067" w:rsidRPr="00202EB9">
              <w:rPr>
                <w:rFonts w:cs="Arial"/>
                <w:lang w:val="fr-FR"/>
              </w:rPr>
              <w:t xml:space="preserve"> au </w:t>
            </w:r>
            <w:proofErr w:type="spellStart"/>
            <w:r w:rsidR="00426067" w:rsidRPr="00202EB9">
              <w:rPr>
                <w:rFonts w:cs="Arial"/>
                <w:lang w:val="fr-FR"/>
              </w:rPr>
              <w:t>CDI</w:t>
            </w:r>
            <w:r w:rsidRPr="00202EB9">
              <w:rPr>
                <w:rFonts w:cs="Arial"/>
                <w:lang w:val="fr-FR"/>
              </w:rPr>
              <w:t>P</w:t>
            </w:r>
            <w:proofErr w:type="spellEnd"/>
            <w:r w:rsidR="004372EF" w:rsidRPr="00202EB9">
              <w:rPr>
                <w:rFonts w:eastAsiaTheme="minorEastAsia" w:cs="Arial"/>
                <w:lang w:val="fr-FR"/>
              </w:rPr>
              <w:t xml:space="preserve"> </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27</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47</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36</w:t>
            </w:r>
            <w:r w:rsidR="00B56B2F" w:rsidRPr="00202EB9">
              <w:rPr>
                <w:rFonts w:eastAsiaTheme="minorEastAsia" w:cs="Arial"/>
                <w:lang w:val="fr-FR"/>
              </w:rPr>
              <w:t>,</w:t>
            </w:r>
            <w:r w:rsidRPr="00202EB9">
              <w:rPr>
                <w:rFonts w:eastAsiaTheme="minorEastAsia" w:cs="Arial"/>
                <w:lang w:val="fr-FR"/>
              </w:rPr>
              <w:t>3</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16</w:t>
            </w:r>
            <w:r w:rsidR="00B56B2F" w:rsidRPr="00202EB9">
              <w:rPr>
                <w:rFonts w:eastAsiaTheme="minorEastAsia" w:cs="Arial"/>
                <w:lang w:val="fr-FR"/>
              </w:rPr>
              <w:t>,</w:t>
            </w:r>
            <w:r w:rsidRPr="00202EB9">
              <w:rPr>
                <w:rFonts w:eastAsiaTheme="minorEastAsia" w:cs="Arial"/>
                <w:lang w:val="fr-FR"/>
              </w:rPr>
              <w:t>7</w:t>
            </w:r>
          </w:p>
        </w:tc>
      </w:tr>
      <w:tr w:rsidR="00D37A5D" w:rsidRPr="00202EB9" w:rsidTr="004546DF">
        <w:trPr>
          <w:cantSplit/>
        </w:trPr>
        <w:tc>
          <w:tcPr>
            <w:tcW w:w="0" w:type="auto"/>
            <w:shd w:val="clear" w:color="auto" w:fill="F2F2F2" w:themeFill="background1" w:themeFillShade="F2"/>
          </w:tcPr>
          <w:p w:rsidR="004372EF" w:rsidRPr="00202EB9" w:rsidRDefault="00F91540" w:rsidP="00327572">
            <w:pPr>
              <w:rPr>
                <w:rFonts w:cs="Arial"/>
                <w:lang w:val="fr-FR"/>
              </w:rPr>
            </w:pPr>
            <w:r w:rsidRPr="00202EB9">
              <w:rPr>
                <w:rFonts w:cs="Arial"/>
                <w:lang w:val="fr-FR"/>
              </w:rPr>
              <w:t>Bénéficiaires directs de projets (très divers selon le projet </w:t>
            </w:r>
            <w:proofErr w:type="gramStart"/>
            <w:r w:rsidRPr="00202EB9">
              <w:rPr>
                <w:rFonts w:cs="Arial"/>
                <w:lang w:val="fr-FR"/>
              </w:rPr>
              <w:t>: particuliers</w:t>
            </w:r>
            <w:proofErr w:type="gramEnd"/>
            <w:r w:rsidRPr="00202EB9">
              <w:rPr>
                <w:rFonts w:cs="Arial"/>
                <w:lang w:val="fr-FR"/>
              </w:rPr>
              <w:t>, coordonnateurs de projet au sein d</w:t>
            </w:r>
            <w:r w:rsidR="00426067" w:rsidRPr="00202EB9">
              <w:rPr>
                <w:rFonts w:cs="Arial"/>
                <w:lang w:val="fr-FR"/>
              </w:rPr>
              <w:t>’</w:t>
            </w:r>
            <w:r w:rsidRPr="00202EB9">
              <w:rPr>
                <w:rFonts w:cs="Arial"/>
                <w:lang w:val="fr-FR"/>
              </w:rPr>
              <w:t>un office de propriété intellectuelle, représentants d</w:t>
            </w:r>
            <w:r w:rsidR="00426067" w:rsidRPr="00202EB9">
              <w:rPr>
                <w:rFonts w:cs="Arial"/>
                <w:lang w:val="fr-FR"/>
              </w:rPr>
              <w:t>’</w:t>
            </w:r>
            <w:r w:rsidRPr="00202EB9">
              <w:rPr>
                <w:rFonts w:cs="Arial"/>
                <w:lang w:val="fr-FR"/>
              </w:rPr>
              <w:t>associations ou organisations ayant bénéficié de projets, etc.), évaluateurs et chefs de projet</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99</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62</w:t>
            </w:r>
            <w:r w:rsidR="00B56B2F" w:rsidRPr="00202EB9">
              <w:rPr>
                <w:rFonts w:eastAsiaTheme="minorEastAsia" w:cs="Arial"/>
                <w:lang w:val="fr-FR"/>
              </w:rPr>
              <w:t>,</w:t>
            </w:r>
            <w:r w:rsidRPr="00202EB9">
              <w:rPr>
                <w:rFonts w:eastAsiaTheme="minorEastAsia" w:cs="Arial"/>
                <w:lang w:val="fr-FR"/>
              </w:rPr>
              <w:t>8</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16</w:t>
            </w:r>
            <w:r w:rsidR="00B56B2F" w:rsidRPr="00202EB9">
              <w:rPr>
                <w:rFonts w:eastAsiaTheme="minorEastAsia" w:cs="Arial"/>
                <w:lang w:val="fr-FR"/>
              </w:rPr>
              <w:t>,</w:t>
            </w:r>
            <w:r w:rsidRPr="00202EB9">
              <w:rPr>
                <w:rFonts w:eastAsiaTheme="minorEastAsia" w:cs="Arial"/>
                <w:lang w:val="fr-FR"/>
              </w:rPr>
              <w:t>3</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20</w:t>
            </w:r>
            <w:r w:rsidR="00B56B2F" w:rsidRPr="00202EB9">
              <w:rPr>
                <w:rFonts w:eastAsiaTheme="minorEastAsia" w:cs="Arial"/>
                <w:lang w:val="fr-FR"/>
              </w:rPr>
              <w:t>,</w:t>
            </w:r>
            <w:r w:rsidRPr="00202EB9">
              <w:rPr>
                <w:rFonts w:eastAsiaTheme="minorEastAsia" w:cs="Arial"/>
                <w:lang w:val="fr-FR"/>
              </w:rPr>
              <w:t>9</w:t>
            </w:r>
          </w:p>
        </w:tc>
      </w:tr>
      <w:tr w:rsidR="00D37A5D" w:rsidRPr="00202EB9" w:rsidTr="004546DF">
        <w:trPr>
          <w:cantSplit/>
        </w:trPr>
        <w:tc>
          <w:tcPr>
            <w:tcW w:w="0" w:type="auto"/>
            <w:shd w:val="clear" w:color="auto" w:fill="F2F2F2" w:themeFill="background1" w:themeFillShade="F2"/>
          </w:tcPr>
          <w:p w:rsidR="004372EF" w:rsidRPr="00202EB9" w:rsidRDefault="00F91540" w:rsidP="00327572">
            <w:pPr>
              <w:rPr>
                <w:rFonts w:eastAsiaTheme="minorEastAsia" w:cs="Arial"/>
                <w:lang w:val="fr-FR"/>
              </w:rPr>
            </w:pPr>
            <w:r w:rsidRPr="00202EB9">
              <w:rPr>
                <w:rFonts w:cs="Arial"/>
                <w:lang w:val="fr-FR"/>
              </w:rPr>
              <w:t>Enquête auprès du public</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25</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50</w:t>
            </w:r>
            <w:r w:rsidR="00B56B2F" w:rsidRPr="00202EB9">
              <w:rPr>
                <w:rFonts w:eastAsiaTheme="minorEastAsia" w:cs="Arial"/>
                <w:lang w:val="fr-FR"/>
              </w:rPr>
              <w:t>,</w:t>
            </w:r>
            <w:r w:rsidRPr="00202EB9">
              <w:rPr>
                <w:rFonts w:eastAsiaTheme="minorEastAsia" w:cs="Arial"/>
                <w:lang w:val="fr-FR"/>
              </w:rPr>
              <w:t>7</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30</w:t>
            </w:r>
            <w:r w:rsidR="00B56B2F" w:rsidRPr="00202EB9">
              <w:rPr>
                <w:rFonts w:eastAsiaTheme="minorEastAsia" w:cs="Arial"/>
                <w:lang w:val="fr-FR"/>
              </w:rPr>
              <w:t>,</w:t>
            </w:r>
            <w:r w:rsidRPr="00202EB9">
              <w:rPr>
                <w:rFonts w:eastAsiaTheme="minorEastAsia" w:cs="Arial"/>
                <w:lang w:val="fr-FR"/>
              </w:rPr>
              <w:t>5</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18</w:t>
            </w:r>
            <w:r w:rsidR="00B56B2F" w:rsidRPr="00202EB9">
              <w:rPr>
                <w:rFonts w:eastAsiaTheme="minorEastAsia" w:cs="Arial"/>
                <w:lang w:val="fr-FR"/>
              </w:rPr>
              <w:t>,</w:t>
            </w:r>
            <w:r w:rsidRPr="00202EB9">
              <w:rPr>
                <w:rFonts w:eastAsiaTheme="minorEastAsia" w:cs="Arial"/>
                <w:lang w:val="fr-FR"/>
              </w:rPr>
              <w:t>2</w:t>
            </w:r>
          </w:p>
        </w:tc>
      </w:tr>
      <w:tr w:rsidR="00D37A5D" w:rsidRPr="00202EB9" w:rsidTr="004546DF">
        <w:trPr>
          <w:cantSplit/>
        </w:trPr>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Total</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373</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68</w:t>
            </w:r>
            <w:r w:rsidR="00B56B2F" w:rsidRPr="00202EB9">
              <w:rPr>
                <w:rFonts w:eastAsiaTheme="minorEastAsia" w:cs="Arial"/>
                <w:lang w:val="fr-FR"/>
              </w:rPr>
              <w:t>,</w:t>
            </w:r>
            <w:r w:rsidRPr="00202EB9">
              <w:rPr>
                <w:rFonts w:eastAsiaTheme="minorEastAsia" w:cs="Arial"/>
                <w:lang w:val="fr-FR"/>
              </w:rPr>
              <w:t>3</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18</w:t>
            </w:r>
            <w:r w:rsidR="00B56B2F" w:rsidRPr="00202EB9">
              <w:rPr>
                <w:rFonts w:eastAsiaTheme="minorEastAsia" w:cs="Arial"/>
                <w:lang w:val="fr-FR"/>
              </w:rPr>
              <w:t>,</w:t>
            </w:r>
            <w:r w:rsidRPr="00202EB9">
              <w:rPr>
                <w:rFonts w:eastAsiaTheme="minorEastAsia" w:cs="Arial"/>
                <w:lang w:val="fr-FR"/>
              </w:rPr>
              <w:t>8</w:t>
            </w:r>
          </w:p>
        </w:tc>
        <w:tc>
          <w:tcPr>
            <w:tcW w:w="0" w:type="auto"/>
            <w:shd w:val="clear" w:color="auto" w:fill="F2F2F2" w:themeFill="background1" w:themeFillShade="F2"/>
          </w:tcPr>
          <w:p w:rsidR="004372EF" w:rsidRPr="00202EB9" w:rsidRDefault="004372EF" w:rsidP="00327572">
            <w:pPr>
              <w:rPr>
                <w:rFonts w:eastAsiaTheme="minorEastAsia" w:cs="Arial"/>
                <w:lang w:val="fr-FR"/>
              </w:rPr>
            </w:pPr>
            <w:r w:rsidRPr="00202EB9">
              <w:rPr>
                <w:rFonts w:eastAsiaTheme="minorEastAsia" w:cs="Arial"/>
                <w:lang w:val="fr-FR"/>
              </w:rPr>
              <w:t>12</w:t>
            </w:r>
            <w:r w:rsidR="00B56B2F" w:rsidRPr="00202EB9">
              <w:rPr>
                <w:rFonts w:eastAsiaTheme="minorEastAsia" w:cs="Arial"/>
                <w:lang w:val="fr-FR"/>
              </w:rPr>
              <w:t>,</w:t>
            </w:r>
            <w:r w:rsidRPr="00202EB9">
              <w:rPr>
                <w:rFonts w:eastAsiaTheme="minorEastAsia" w:cs="Arial"/>
                <w:lang w:val="fr-FR"/>
              </w:rPr>
              <w:t>8</w:t>
            </w:r>
          </w:p>
        </w:tc>
      </w:tr>
    </w:tbl>
    <w:p w:rsidR="004372EF" w:rsidRPr="00202EB9" w:rsidRDefault="004372EF" w:rsidP="004372EF">
      <w:pPr>
        <w:shd w:val="clear" w:color="auto" w:fill="FFFFFF"/>
        <w:rPr>
          <w:rFonts w:eastAsia="Times New Roman" w:cs="Arial"/>
          <w:lang w:val="fr-FR"/>
        </w:rPr>
      </w:pPr>
    </w:p>
    <w:p w:rsidR="00BA463F" w:rsidRPr="00202EB9" w:rsidRDefault="00827080" w:rsidP="00F3224E">
      <w:pPr>
        <w:pStyle w:val="ONUMFS"/>
        <w:rPr>
          <w:lang w:val="fr-FR"/>
        </w:rPr>
      </w:pPr>
      <w:r w:rsidRPr="00202EB9">
        <w:rPr>
          <w:lang w:val="fr-FR"/>
        </w:rPr>
        <w:t>Les participants à l</w:t>
      </w:r>
      <w:r w:rsidR="00426067" w:rsidRPr="00202EB9">
        <w:rPr>
          <w:lang w:val="fr-FR"/>
        </w:rPr>
        <w:t>’</w:t>
      </w:r>
      <w:r w:rsidRPr="00202EB9">
        <w:rPr>
          <w:lang w:val="fr-FR"/>
        </w:rPr>
        <w:t xml:space="preserve">enquête étaient invités à </w:t>
      </w:r>
      <w:r w:rsidR="00482D0C" w:rsidRPr="00202EB9">
        <w:rPr>
          <w:lang w:val="fr-FR"/>
        </w:rPr>
        <w:t>faire part de</w:t>
      </w:r>
      <w:r w:rsidRPr="00202EB9">
        <w:rPr>
          <w:lang w:val="fr-FR"/>
        </w:rPr>
        <w:t xml:space="preserve"> leur opinion sur la manière dont se déroulait la mise en </w:t>
      </w:r>
      <w:r w:rsidR="00253E50" w:rsidRPr="00202EB9">
        <w:rPr>
          <w:lang w:val="fr-FR"/>
        </w:rPr>
        <w:t xml:space="preserve">œuvre </w:t>
      </w:r>
      <w:r w:rsidRPr="00202EB9">
        <w:rPr>
          <w:lang w:val="fr-FR"/>
        </w:rPr>
        <w:t>des recommandations et à</w:t>
      </w:r>
      <w:r w:rsidR="00253E50" w:rsidRPr="00202EB9">
        <w:rPr>
          <w:lang w:val="fr-FR"/>
        </w:rPr>
        <w:t xml:space="preserve"> proposer des moyens d</w:t>
      </w:r>
      <w:r w:rsidR="00426067" w:rsidRPr="00202EB9">
        <w:rPr>
          <w:lang w:val="fr-FR"/>
        </w:rPr>
        <w:t>’</w:t>
      </w:r>
      <w:r w:rsidR="00253E50" w:rsidRPr="00202EB9">
        <w:rPr>
          <w:lang w:val="fr-FR"/>
        </w:rPr>
        <w:t>améliorati</w:t>
      </w:r>
      <w:r w:rsidR="001E787E" w:rsidRPr="00202EB9">
        <w:rPr>
          <w:lang w:val="fr-FR"/>
        </w:rPr>
        <w:t>on.  De</w:t>
      </w:r>
      <w:r w:rsidR="00253E50" w:rsidRPr="00202EB9">
        <w:rPr>
          <w:lang w:val="fr-FR"/>
        </w:rPr>
        <w:t xml:space="preserve"> nombreuses suggestions ont ainsi été recueillies de la part de</w:t>
      </w:r>
      <w:r w:rsidR="00015299" w:rsidRPr="00202EB9">
        <w:rPr>
          <w:lang w:val="fr-FR"/>
        </w:rPr>
        <w:t>s</w:t>
      </w:r>
      <w:r w:rsidR="00253E50" w:rsidRPr="00202EB9">
        <w:rPr>
          <w:lang w:val="fr-FR"/>
        </w:rPr>
        <w:t xml:space="preserve"> différentes parties prenant</w:t>
      </w:r>
      <w:r w:rsidR="001E787E" w:rsidRPr="00202EB9">
        <w:rPr>
          <w:lang w:val="fr-FR"/>
        </w:rPr>
        <w:t>es.  Le</w:t>
      </w:r>
      <w:r w:rsidR="00015299" w:rsidRPr="00202EB9">
        <w:rPr>
          <w:lang w:val="fr-FR"/>
        </w:rPr>
        <w:t xml:space="preserve">s </w:t>
      </w:r>
      <w:r w:rsidR="00DE2642" w:rsidRPr="00202EB9">
        <w:rPr>
          <w:lang w:val="fr-FR"/>
        </w:rPr>
        <w:t>réponses reçues</w:t>
      </w:r>
      <w:r w:rsidR="00015299" w:rsidRPr="00202EB9">
        <w:rPr>
          <w:lang w:val="fr-FR"/>
        </w:rPr>
        <w:t xml:space="preserve"> exprim</w:t>
      </w:r>
      <w:r w:rsidR="00DE2642" w:rsidRPr="00202EB9">
        <w:rPr>
          <w:lang w:val="fr-FR"/>
        </w:rPr>
        <w:t>aient</w:t>
      </w:r>
      <w:r w:rsidR="00015299" w:rsidRPr="00202EB9">
        <w:rPr>
          <w:lang w:val="fr-FR"/>
        </w:rPr>
        <w:t xml:space="preserve"> aussi bien l</w:t>
      </w:r>
      <w:r w:rsidR="00DE2642" w:rsidRPr="00202EB9">
        <w:rPr>
          <w:lang w:val="fr-FR"/>
        </w:rPr>
        <w:t>a</w:t>
      </w:r>
      <w:r w:rsidR="00015299" w:rsidRPr="00202EB9">
        <w:rPr>
          <w:lang w:val="fr-FR"/>
        </w:rPr>
        <w:t xml:space="preserve"> satisfaction que des réserves concernant</w:t>
      </w:r>
      <w:r w:rsidR="00B043B2" w:rsidRPr="00202EB9">
        <w:rPr>
          <w:lang w:val="fr-FR"/>
        </w:rPr>
        <w:t xml:space="preserve"> </w:t>
      </w:r>
      <w:r w:rsidR="00BB7805" w:rsidRPr="00202EB9">
        <w:rPr>
          <w:lang w:val="fr-FR"/>
        </w:rPr>
        <w:t xml:space="preserve">la coopération technique ou </w:t>
      </w:r>
      <w:r w:rsidR="00B043B2" w:rsidRPr="00202EB9">
        <w:rPr>
          <w:lang w:val="fr-FR"/>
        </w:rPr>
        <w:t>“l</w:t>
      </w:r>
      <w:r w:rsidR="00426067" w:rsidRPr="00202EB9">
        <w:rPr>
          <w:lang w:val="fr-FR"/>
        </w:rPr>
        <w:t>’</w:t>
      </w:r>
      <w:r w:rsidR="00B043B2" w:rsidRPr="00202EB9">
        <w:rPr>
          <w:lang w:val="fr-FR"/>
        </w:rPr>
        <w:t>étroitesse” de l</w:t>
      </w:r>
      <w:r w:rsidR="00426067" w:rsidRPr="00202EB9">
        <w:rPr>
          <w:lang w:val="fr-FR"/>
        </w:rPr>
        <w:t>’</w:t>
      </w:r>
      <w:r w:rsidR="00B043B2" w:rsidRPr="00202EB9">
        <w:rPr>
          <w:lang w:val="fr-FR"/>
        </w:rPr>
        <w:t>approche thématique basée sur des projets</w:t>
      </w:r>
      <w:r w:rsidR="00015299" w:rsidRPr="00202EB9">
        <w:rPr>
          <w:lang w:val="fr-FR"/>
        </w:rPr>
        <w:t xml:space="preserve"> </w:t>
      </w:r>
      <w:r w:rsidR="00BB7805" w:rsidRPr="00202EB9">
        <w:rPr>
          <w:lang w:val="fr-FR"/>
        </w:rPr>
        <w:t>(voir les annexes</w:t>
      </w:r>
      <w:r w:rsidR="00E15713" w:rsidRPr="00202EB9">
        <w:rPr>
          <w:lang w:val="fr-FR"/>
        </w:rPr>
        <w:t> </w:t>
      </w:r>
      <w:r w:rsidR="00BA463F" w:rsidRPr="00202EB9">
        <w:rPr>
          <w:lang w:val="fr-FR"/>
        </w:rPr>
        <w:t xml:space="preserve">D, E, F, </w:t>
      </w:r>
      <w:r w:rsidR="00B53726" w:rsidRPr="00202EB9">
        <w:rPr>
          <w:lang w:val="fr-FR"/>
        </w:rPr>
        <w:t>G</w:t>
      </w:r>
      <w:r w:rsidR="00BA463F" w:rsidRPr="00202EB9">
        <w:rPr>
          <w:lang w:val="fr-FR"/>
        </w:rPr>
        <w:t xml:space="preserve"> </w:t>
      </w:r>
      <w:r w:rsidR="00BB7805" w:rsidRPr="00202EB9">
        <w:rPr>
          <w:lang w:val="fr-FR"/>
        </w:rPr>
        <w:t>et</w:t>
      </w:r>
      <w:r w:rsidR="001E787E" w:rsidRPr="00202EB9">
        <w:rPr>
          <w:lang w:val="fr-FR"/>
        </w:rPr>
        <w:t> </w:t>
      </w:r>
      <w:r w:rsidR="00B53726" w:rsidRPr="00202EB9">
        <w:rPr>
          <w:lang w:val="fr-FR"/>
        </w:rPr>
        <w:t>H</w:t>
      </w:r>
      <w:r w:rsidR="00BA463F" w:rsidRPr="00202EB9">
        <w:rPr>
          <w:lang w:val="fr-FR"/>
        </w:rPr>
        <w:t xml:space="preserve"> </w:t>
      </w:r>
      <w:r w:rsidR="00BB7805" w:rsidRPr="00202EB9">
        <w:rPr>
          <w:lang w:val="fr-FR"/>
        </w:rPr>
        <w:t xml:space="preserve">respectivement, pour les différentes catégories de </w:t>
      </w:r>
      <w:r w:rsidR="00DE2642" w:rsidRPr="00202EB9">
        <w:rPr>
          <w:lang w:val="fr-FR"/>
        </w:rPr>
        <w:t>réponse</w:t>
      </w:r>
      <w:r w:rsidR="00BB7805" w:rsidRPr="00202EB9">
        <w:rPr>
          <w:lang w:val="fr-FR"/>
        </w:rPr>
        <w:t>s ci</w:t>
      </w:r>
      <w:r w:rsidR="001E787E" w:rsidRPr="00202EB9">
        <w:rPr>
          <w:lang w:val="fr-FR"/>
        </w:rPr>
        <w:noBreakHyphen/>
      </w:r>
      <w:r w:rsidR="00BB7805" w:rsidRPr="00202EB9">
        <w:rPr>
          <w:lang w:val="fr-FR"/>
        </w:rPr>
        <w:t>dessus</w:t>
      </w:r>
      <w:r w:rsidR="00BA463F" w:rsidRPr="00202EB9">
        <w:rPr>
          <w:lang w:val="fr-FR"/>
        </w:rPr>
        <w:t>)</w:t>
      </w:r>
      <w:r w:rsidR="00BB5256" w:rsidRPr="00202EB9">
        <w:rPr>
          <w:lang w:val="fr-FR"/>
        </w:rPr>
        <w:t>.</w:t>
      </w:r>
    </w:p>
    <w:p w:rsidR="004372EF" w:rsidRPr="00202EB9" w:rsidRDefault="006A328D" w:rsidP="00F3224E">
      <w:pPr>
        <w:pStyle w:val="ONUMFS"/>
        <w:rPr>
          <w:lang w:val="fr-FR"/>
        </w:rPr>
      </w:pPr>
      <w:r w:rsidRPr="00202EB9">
        <w:rPr>
          <w:lang w:val="fr-FR"/>
        </w:rPr>
        <w:t>En bref, l</w:t>
      </w:r>
      <w:r w:rsidR="00426067" w:rsidRPr="00202EB9">
        <w:rPr>
          <w:lang w:val="fr-FR"/>
        </w:rPr>
        <w:t>’</w:t>
      </w:r>
      <w:r w:rsidR="008C21AD" w:rsidRPr="00202EB9">
        <w:rPr>
          <w:lang w:val="fr-FR"/>
        </w:rPr>
        <w:t>étude a</w:t>
      </w:r>
      <w:r w:rsidR="002944A1" w:rsidRPr="00202EB9">
        <w:rPr>
          <w:lang w:val="fr-FR"/>
        </w:rPr>
        <w:t xml:space="preserve"> pris en compte les principes méthodologiques fondamentaux</w:t>
      </w:r>
      <w:r w:rsidR="0045595F" w:rsidRPr="00202EB9">
        <w:rPr>
          <w:lang w:val="fr-FR"/>
        </w:rPr>
        <w:t>,</w:t>
      </w:r>
      <w:r w:rsidR="00E56EB0" w:rsidRPr="00202EB9">
        <w:rPr>
          <w:lang w:val="fr-FR"/>
        </w:rPr>
        <w:t xml:space="preserve"> </w:t>
      </w:r>
      <w:r w:rsidRPr="00202EB9">
        <w:rPr>
          <w:lang w:val="fr-FR"/>
        </w:rPr>
        <w:t>la participation</w:t>
      </w:r>
      <w:r w:rsidR="00802638" w:rsidRPr="00202EB9">
        <w:rPr>
          <w:lang w:val="fr-FR"/>
        </w:rPr>
        <w:t xml:space="preserve"> et l</w:t>
      </w:r>
      <w:r w:rsidR="00426067" w:rsidRPr="00202EB9">
        <w:rPr>
          <w:lang w:val="fr-FR"/>
        </w:rPr>
        <w:t>’</w:t>
      </w:r>
      <w:r w:rsidR="00802638" w:rsidRPr="00202EB9">
        <w:rPr>
          <w:lang w:val="fr-FR"/>
        </w:rPr>
        <w:t>intégration des principales parties prenantes</w:t>
      </w:r>
      <w:r w:rsidR="00E41C66" w:rsidRPr="00202EB9">
        <w:rPr>
          <w:lang w:val="fr-FR"/>
        </w:rPr>
        <w:t xml:space="preserve"> </w:t>
      </w:r>
      <w:r w:rsidR="0045595F" w:rsidRPr="00202EB9">
        <w:rPr>
          <w:lang w:val="fr-FR"/>
        </w:rPr>
        <w:t>de</w:t>
      </w:r>
      <w:r w:rsidR="00E41C66" w:rsidRPr="00202EB9">
        <w:rPr>
          <w:lang w:val="fr-FR"/>
        </w:rPr>
        <w:t xml:space="preserve"> la mise en œuvre des recommandations du Plan d</w:t>
      </w:r>
      <w:r w:rsidR="00426067" w:rsidRPr="00202EB9">
        <w:rPr>
          <w:lang w:val="fr-FR"/>
        </w:rPr>
        <w:t>’</w:t>
      </w:r>
      <w:r w:rsidR="00E41C66" w:rsidRPr="00202EB9">
        <w:rPr>
          <w:lang w:val="fr-FR"/>
        </w:rPr>
        <w:t>action pour le développeme</w:t>
      </w:r>
      <w:r w:rsidR="001E787E" w:rsidRPr="00202EB9">
        <w:rPr>
          <w:lang w:val="fr-FR"/>
        </w:rPr>
        <w:t>nt.  El</w:t>
      </w:r>
      <w:r w:rsidR="00863D6C" w:rsidRPr="00202EB9">
        <w:rPr>
          <w:lang w:val="fr-FR"/>
        </w:rPr>
        <w:t>le a utilisé une combinaison d</w:t>
      </w:r>
      <w:r w:rsidR="00426067" w:rsidRPr="00202EB9">
        <w:rPr>
          <w:lang w:val="fr-FR"/>
        </w:rPr>
        <w:t>’</w:t>
      </w:r>
      <w:r w:rsidR="00863D6C" w:rsidRPr="00202EB9">
        <w:rPr>
          <w:lang w:val="fr-FR"/>
        </w:rPr>
        <w:t xml:space="preserve">instruments </w:t>
      </w:r>
      <w:r w:rsidR="00E56EB0" w:rsidRPr="00202EB9">
        <w:rPr>
          <w:lang w:val="fr-FR"/>
        </w:rPr>
        <w:t>afin de</w:t>
      </w:r>
      <w:r w:rsidR="00863D6C" w:rsidRPr="00202EB9">
        <w:rPr>
          <w:lang w:val="fr-FR"/>
        </w:rPr>
        <w:t xml:space="preserve"> recueillir le plus possible d</w:t>
      </w:r>
      <w:r w:rsidR="00426067" w:rsidRPr="00202EB9">
        <w:rPr>
          <w:lang w:val="fr-FR"/>
        </w:rPr>
        <w:t>’</w:t>
      </w:r>
      <w:r w:rsidR="00863D6C" w:rsidRPr="00202EB9">
        <w:rPr>
          <w:lang w:val="fr-FR"/>
        </w:rPr>
        <w:t>informations</w:t>
      </w:r>
      <w:r w:rsidR="00106C91" w:rsidRPr="00202EB9">
        <w:rPr>
          <w:lang w:val="fr-FR"/>
        </w:rPr>
        <w:t xml:space="preserve"> qualitatives et quantitatives</w:t>
      </w:r>
      <w:r w:rsidR="00863D6C" w:rsidRPr="00202EB9">
        <w:rPr>
          <w:lang w:val="fr-FR"/>
        </w:rPr>
        <w:t xml:space="preserve"> </w:t>
      </w:r>
      <w:r w:rsidR="00106C91" w:rsidRPr="00202EB9">
        <w:rPr>
          <w:lang w:val="fr-FR"/>
        </w:rPr>
        <w:t>vérifiées</w:t>
      </w:r>
      <w:r w:rsidR="00E41C66" w:rsidRPr="00202EB9">
        <w:rPr>
          <w:lang w:val="fr-FR"/>
        </w:rPr>
        <w:t xml:space="preserve"> </w:t>
      </w:r>
      <w:r w:rsidR="004A47E5" w:rsidRPr="00202EB9">
        <w:rPr>
          <w:lang w:val="fr-FR"/>
        </w:rPr>
        <w:t>pour appuyer les conclusions et recommandations du présent rappo</w:t>
      </w:r>
      <w:r w:rsidR="001E787E" w:rsidRPr="00202EB9">
        <w:rPr>
          <w:lang w:val="fr-FR"/>
        </w:rPr>
        <w:t>rt.  Le</w:t>
      </w:r>
      <w:r w:rsidR="00723702" w:rsidRPr="00202EB9">
        <w:rPr>
          <w:lang w:val="fr-FR"/>
        </w:rPr>
        <w:t>s principaux résultats obtenus par l</w:t>
      </w:r>
      <w:r w:rsidR="00426067" w:rsidRPr="00202EB9">
        <w:rPr>
          <w:lang w:val="fr-FR"/>
        </w:rPr>
        <w:t>’</w:t>
      </w:r>
      <w:r w:rsidR="00723702" w:rsidRPr="00202EB9">
        <w:rPr>
          <w:lang w:val="fr-FR"/>
        </w:rPr>
        <w:t>équipe chargée de l</w:t>
      </w:r>
      <w:r w:rsidR="00426067" w:rsidRPr="00202EB9">
        <w:rPr>
          <w:lang w:val="fr-FR"/>
        </w:rPr>
        <w:t>’</w:t>
      </w:r>
      <w:r w:rsidR="00723702" w:rsidRPr="00202EB9">
        <w:rPr>
          <w:lang w:val="fr-FR"/>
        </w:rPr>
        <w:t>étude</w:t>
      </w:r>
      <w:r w:rsidR="00AA3D37" w:rsidRPr="00202EB9">
        <w:rPr>
          <w:lang w:val="fr-FR"/>
        </w:rPr>
        <w:t xml:space="preserve"> ont une in</w:t>
      </w:r>
      <w:r w:rsidR="00471996" w:rsidRPr="00202EB9">
        <w:rPr>
          <w:lang w:val="fr-FR"/>
        </w:rPr>
        <w:t>cid</w:t>
      </w:r>
      <w:r w:rsidR="00AA3D37" w:rsidRPr="00202EB9">
        <w:rPr>
          <w:lang w:val="fr-FR"/>
        </w:rPr>
        <w:t>ence sur le poids des informations reçues</w:t>
      </w:r>
      <w:r w:rsidR="002A6AFB" w:rsidRPr="00202EB9">
        <w:rPr>
          <w:lang w:val="fr-FR"/>
        </w:rPr>
        <w:t>, compte tenu de la nécessité de procéder à une validation croisée des sources de données et à une évaluation de la plausibilité des résultats obtenus.</w:t>
      </w:r>
    </w:p>
    <w:p w:rsidR="004372EF" w:rsidRPr="00202EB9" w:rsidRDefault="004372EF" w:rsidP="00F3224E">
      <w:pPr>
        <w:pStyle w:val="Heading3"/>
        <w:rPr>
          <w:lang w:val="fr-FR"/>
        </w:rPr>
      </w:pPr>
      <w:bookmarkStart w:id="18" w:name="_Toc460492859"/>
      <w:r w:rsidRPr="00327572">
        <w:rPr>
          <w:u w:val="none"/>
          <w:lang w:val="fr-FR"/>
        </w:rPr>
        <w:t>d.</w:t>
      </w:r>
      <w:r w:rsidR="00F3224E" w:rsidRPr="00327572">
        <w:rPr>
          <w:u w:val="none"/>
          <w:lang w:val="fr-FR"/>
        </w:rPr>
        <w:tab/>
      </w:r>
      <w:r w:rsidR="00017288" w:rsidRPr="00202EB9">
        <w:rPr>
          <w:lang w:val="fr-FR"/>
        </w:rPr>
        <w:t xml:space="preserve">Principales </w:t>
      </w:r>
      <w:r w:rsidR="00F3224E" w:rsidRPr="00202EB9">
        <w:rPr>
          <w:lang w:val="fr-FR"/>
        </w:rPr>
        <w:t>limitations</w:t>
      </w:r>
      <w:bookmarkEnd w:id="18"/>
    </w:p>
    <w:p w:rsidR="00F3224E" w:rsidRPr="00202EB9" w:rsidRDefault="00F3224E" w:rsidP="00F3224E">
      <w:pPr>
        <w:rPr>
          <w:lang w:val="fr-FR" w:eastAsia="zh-CN" w:bidi="ar-SA"/>
        </w:rPr>
      </w:pPr>
    </w:p>
    <w:p w:rsidR="004372EF" w:rsidRPr="00202EB9" w:rsidRDefault="00B565DE" w:rsidP="00F3224E">
      <w:pPr>
        <w:pStyle w:val="ONUMFS"/>
        <w:rPr>
          <w:lang w:val="fr-FR"/>
        </w:rPr>
      </w:pPr>
      <w:r w:rsidRPr="00202EB9">
        <w:rPr>
          <w:lang w:val="fr-FR"/>
        </w:rPr>
        <w:t>L</w:t>
      </w:r>
      <w:r w:rsidR="00800E47" w:rsidRPr="00202EB9">
        <w:rPr>
          <w:lang w:val="fr-FR"/>
        </w:rPr>
        <w:t>a</w:t>
      </w:r>
      <w:r w:rsidRPr="00202EB9">
        <w:rPr>
          <w:lang w:val="fr-FR"/>
        </w:rPr>
        <w:t xml:space="preserve"> mise en œuvre des recommandations du Plan d</w:t>
      </w:r>
      <w:r w:rsidR="00426067" w:rsidRPr="00202EB9">
        <w:rPr>
          <w:lang w:val="fr-FR"/>
        </w:rPr>
        <w:t>’</w:t>
      </w:r>
      <w:r w:rsidRPr="00202EB9">
        <w:rPr>
          <w:lang w:val="fr-FR"/>
        </w:rPr>
        <w:t xml:space="preserve">action pour le développement est </w:t>
      </w:r>
      <w:r w:rsidR="00800E47" w:rsidRPr="00202EB9">
        <w:rPr>
          <w:lang w:val="fr-FR"/>
        </w:rPr>
        <w:t>un processus</w:t>
      </w:r>
      <w:r w:rsidRPr="00202EB9">
        <w:rPr>
          <w:lang w:val="fr-FR"/>
        </w:rPr>
        <w:t xml:space="preserve"> en</w:t>
      </w:r>
      <w:r w:rsidR="00270B90" w:rsidRPr="00202EB9">
        <w:rPr>
          <w:lang w:val="fr-FR"/>
        </w:rPr>
        <w:t xml:space="preserve"> cours</w:t>
      </w:r>
      <w:r w:rsidR="00334DC4" w:rsidRPr="00202EB9">
        <w:rPr>
          <w:lang w:val="fr-FR"/>
        </w:rPr>
        <w:t>, et il s</w:t>
      </w:r>
      <w:r w:rsidR="00426067" w:rsidRPr="00202EB9">
        <w:rPr>
          <w:lang w:val="fr-FR"/>
        </w:rPr>
        <w:t>’</w:t>
      </w:r>
      <w:r w:rsidR="00334DC4" w:rsidRPr="00202EB9">
        <w:rPr>
          <w:lang w:val="fr-FR"/>
        </w:rPr>
        <w:t>est écoulé trop peu de temps</w:t>
      </w:r>
      <w:r w:rsidR="00591DE3" w:rsidRPr="00202EB9">
        <w:rPr>
          <w:lang w:val="fr-FR"/>
        </w:rPr>
        <w:t xml:space="preserve"> depuis son adoption, en</w:t>
      </w:r>
      <w:r w:rsidR="00E15713" w:rsidRPr="00202EB9">
        <w:rPr>
          <w:lang w:val="fr-FR"/>
        </w:rPr>
        <w:t> </w:t>
      </w:r>
      <w:r w:rsidR="00591DE3" w:rsidRPr="00202EB9">
        <w:rPr>
          <w:lang w:val="fr-FR"/>
        </w:rPr>
        <w:t>2007,</w:t>
      </w:r>
      <w:r w:rsidRPr="00202EB9">
        <w:rPr>
          <w:lang w:val="fr-FR"/>
        </w:rPr>
        <w:t xml:space="preserve"> </w:t>
      </w:r>
      <w:r w:rsidR="00CB0359" w:rsidRPr="00202EB9">
        <w:rPr>
          <w:lang w:val="fr-FR"/>
        </w:rPr>
        <w:t xml:space="preserve">pour </w:t>
      </w:r>
      <w:r w:rsidR="004C0410" w:rsidRPr="00202EB9">
        <w:rPr>
          <w:lang w:val="fr-FR"/>
        </w:rPr>
        <w:t>influencer de manière fondamentale</w:t>
      </w:r>
      <w:r w:rsidR="00CB0359" w:rsidRPr="00202EB9">
        <w:rPr>
          <w:lang w:val="fr-FR"/>
        </w:rPr>
        <w:t xml:space="preserve"> les travaux de l</w:t>
      </w:r>
      <w:r w:rsidR="00426067" w:rsidRPr="00202EB9">
        <w:rPr>
          <w:lang w:val="fr-FR"/>
        </w:rPr>
        <w:t>’</w:t>
      </w:r>
      <w:r w:rsidR="00CB0359" w:rsidRPr="00202EB9">
        <w:rPr>
          <w:lang w:val="fr-FR"/>
        </w:rPr>
        <w:t>OMPI impliquant à la fois le Secrétariat et les États membres</w:t>
      </w:r>
      <w:r w:rsidR="00BF2008" w:rsidRPr="00202EB9">
        <w:rPr>
          <w:lang w:val="fr-FR"/>
        </w:rPr>
        <w:t>.</w:t>
      </w:r>
    </w:p>
    <w:p w:rsidR="004372EF" w:rsidRPr="00202EB9" w:rsidRDefault="00892621" w:rsidP="00F3224E">
      <w:pPr>
        <w:pStyle w:val="ONUMFS"/>
        <w:rPr>
          <w:lang w:val="fr-FR"/>
        </w:rPr>
      </w:pPr>
      <w:r w:rsidRPr="00202EB9">
        <w:rPr>
          <w:lang w:val="fr-FR"/>
        </w:rPr>
        <w:t>Il n</w:t>
      </w:r>
      <w:r w:rsidR="00426067" w:rsidRPr="00202EB9">
        <w:rPr>
          <w:lang w:val="fr-FR"/>
        </w:rPr>
        <w:t>’</w:t>
      </w:r>
      <w:r w:rsidRPr="00202EB9">
        <w:rPr>
          <w:lang w:val="fr-FR"/>
        </w:rPr>
        <w:t>a pas été possible, faute de temps, de mesurer l</w:t>
      </w:r>
      <w:r w:rsidR="00426067" w:rsidRPr="00202EB9">
        <w:rPr>
          <w:lang w:val="fr-FR"/>
        </w:rPr>
        <w:t>’</w:t>
      </w:r>
      <w:r w:rsidRPr="00202EB9">
        <w:rPr>
          <w:lang w:val="fr-FR"/>
        </w:rPr>
        <w:t>impact du travail réalisé dans le contexte des recommandations du Plan d</w:t>
      </w:r>
      <w:r w:rsidR="00426067" w:rsidRPr="00202EB9">
        <w:rPr>
          <w:lang w:val="fr-FR"/>
        </w:rPr>
        <w:t>’</w:t>
      </w:r>
      <w:r w:rsidRPr="00202EB9">
        <w:rPr>
          <w:lang w:val="fr-FR"/>
        </w:rPr>
        <w:t xml:space="preserve">action </w:t>
      </w:r>
      <w:r w:rsidR="00800E47" w:rsidRPr="00202EB9">
        <w:rPr>
          <w:lang w:val="fr-FR"/>
        </w:rPr>
        <w:t>en ce qui concerne</w:t>
      </w:r>
      <w:r w:rsidRPr="00202EB9">
        <w:rPr>
          <w:lang w:val="fr-FR"/>
        </w:rPr>
        <w:t xml:space="preserve"> le développement des États membres, en particulier dans les pays ne disposant que de faibles capacités</w:t>
      </w:r>
      <w:r w:rsidR="00FE1A6F" w:rsidRPr="00202EB9">
        <w:rPr>
          <w:lang w:val="fr-FR"/>
        </w:rPr>
        <w:t xml:space="preserve"> et</w:t>
      </w:r>
      <w:r w:rsidRPr="00202EB9">
        <w:rPr>
          <w:lang w:val="fr-FR"/>
        </w:rPr>
        <w:t xml:space="preserve"> </w:t>
      </w:r>
      <w:r w:rsidR="00FE1A6F" w:rsidRPr="00202EB9">
        <w:rPr>
          <w:lang w:val="fr-FR"/>
        </w:rPr>
        <w:t>d</w:t>
      </w:r>
      <w:r w:rsidR="00426067" w:rsidRPr="00202EB9">
        <w:rPr>
          <w:lang w:val="fr-FR"/>
        </w:rPr>
        <w:t>’</w:t>
      </w:r>
      <w:r w:rsidR="003331C0" w:rsidRPr="00202EB9">
        <w:rPr>
          <w:lang w:val="fr-FR"/>
        </w:rPr>
        <w:t xml:space="preserve">un </w:t>
      </w:r>
      <w:r w:rsidR="00FE1A6F" w:rsidRPr="00202EB9">
        <w:rPr>
          <w:lang w:val="fr-FR"/>
        </w:rPr>
        <w:t xml:space="preserve">environnement encore peu </w:t>
      </w:r>
      <w:r w:rsidR="00400F5B" w:rsidRPr="00202EB9">
        <w:rPr>
          <w:lang w:val="fr-FR"/>
        </w:rPr>
        <w:t>propice</w:t>
      </w:r>
      <w:r w:rsidR="00FE1A6F" w:rsidRPr="00202EB9">
        <w:rPr>
          <w:lang w:val="fr-FR"/>
        </w:rPr>
        <w:t xml:space="preserve"> à la créativité et à l</w:t>
      </w:r>
      <w:r w:rsidR="00426067" w:rsidRPr="00202EB9">
        <w:rPr>
          <w:lang w:val="fr-FR"/>
        </w:rPr>
        <w:t>’</w:t>
      </w:r>
      <w:r w:rsidR="00FE1A6F" w:rsidRPr="00202EB9">
        <w:rPr>
          <w:lang w:val="fr-FR"/>
        </w:rPr>
        <w:t>inventivi</w:t>
      </w:r>
      <w:r w:rsidR="001E787E" w:rsidRPr="00202EB9">
        <w:rPr>
          <w:lang w:val="fr-FR"/>
        </w:rPr>
        <w:t>té.  Il</w:t>
      </w:r>
      <w:r w:rsidR="00F03B96" w:rsidRPr="00202EB9">
        <w:rPr>
          <w:lang w:val="fr-FR"/>
        </w:rPr>
        <w:t xml:space="preserve"> </w:t>
      </w:r>
      <w:r w:rsidR="005C1B56" w:rsidRPr="00202EB9">
        <w:rPr>
          <w:lang w:val="fr-FR"/>
        </w:rPr>
        <w:t>serait nécessaire d</w:t>
      </w:r>
      <w:r w:rsidR="00426067" w:rsidRPr="00202EB9">
        <w:rPr>
          <w:lang w:val="fr-FR"/>
        </w:rPr>
        <w:t>’</w:t>
      </w:r>
      <w:r w:rsidR="00F03B96" w:rsidRPr="00202EB9">
        <w:rPr>
          <w:lang w:val="fr-FR"/>
        </w:rPr>
        <w:t xml:space="preserve">analyser </w:t>
      </w:r>
      <w:r w:rsidR="005C1B56" w:rsidRPr="00202EB9">
        <w:rPr>
          <w:lang w:val="fr-FR"/>
        </w:rPr>
        <w:t>un grand nombre d</w:t>
      </w:r>
      <w:r w:rsidR="00426067" w:rsidRPr="00202EB9">
        <w:rPr>
          <w:lang w:val="fr-FR"/>
        </w:rPr>
        <w:t>’</w:t>
      </w:r>
      <w:r w:rsidR="00F03B96" w:rsidRPr="00202EB9">
        <w:rPr>
          <w:lang w:val="fr-FR"/>
        </w:rPr>
        <w:t>études ainsi que les différentes activités menées sous l</w:t>
      </w:r>
      <w:r w:rsidR="00426067" w:rsidRPr="00202EB9">
        <w:rPr>
          <w:lang w:val="fr-FR"/>
        </w:rPr>
        <w:t>’</w:t>
      </w:r>
      <w:r w:rsidR="00F03B96" w:rsidRPr="00202EB9">
        <w:rPr>
          <w:lang w:val="fr-FR"/>
        </w:rPr>
        <w:t>égide</w:t>
      </w:r>
      <w:r w:rsidR="00426067" w:rsidRPr="00202EB9">
        <w:rPr>
          <w:lang w:val="fr-FR"/>
        </w:rPr>
        <w:t xml:space="preserve"> du </w:t>
      </w:r>
      <w:proofErr w:type="spellStart"/>
      <w:r w:rsidR="00426067" w:rsidRPr="00202EB9">
        <w:rPr>
          <w:lang w:val="fr-FR"/>
        </w:rPr>
        <w:t>CDI</w:t>
      </w:r>
      <w:r w:rsidR="00F03B96" w:rsidRPr="00202EB9">
        <w:rPr>
          <w:lang w:val="fr-FR"/>
        </w:rPr>
        <w:t>P</w:t>
      </w:r>
      <w:proofErr w:type="spellEnd"/>
      <w:r w:rsidR="00F20AEC" w:rsidRPr="00202EB9">
        <w:rPr>
          <w:lang w:val="fr-FR"/>
        </w:rPr>
        <w:t xml:space="preserve"> pour en</w:t>
      </w:r>
      <w:r w:rsidR="00F03B96" w:rsidRPr="00202EB9">
        <w:rPr>
          <w:lang w:val="fr-FR"/>
        </w:rPr>
        <w:t xml:space="preserve"> tirer des résultats concrets et mesurables</w:t>
      </w:r>
      <w:r w:rsidR="00F20AEC" w:rsidRPr="00202EB9">
        <w:rPr>
          <w:lang w:val="fr-FR"/>
        </w:rPr>
        <w:t>, et cela nécessite</w:t>
      </w:r>
      <w:r w:rsidR="00244185" w:rsidRPr="00202EB9">
        <w:rPr>
          <w:lang w:val="fr-FR"/>
        </w:rPr>
        <w:t>rait</w:t>
      </w:r>
      <w:r w:rsidR="00F20AEC" w:rsidRPr="00202EB9">
        <w:rPr>
          <w:lang w:val="fr-FR"/>
        </w:rPr>
        <w:t xml:space="preserve"> du tem</w:t>
      </w:r>
      <w:r w:rsidR="001E787E" w:rsidRPr="00202EB9">
        <w:rPr>
          <w:lang w:val="fr-FR"/>
        </w:rPr>
        <w:t>ps.  L’é</w:t>
      </w:r>
      <w:r w:rsidR="00AA6FE5" w:rsidRPr="00202EB9">
        <w:rPr>
          <w:lang w:val="fr-FR"/>
        </w:rPr>
        <w:t>quipe chargée de l</w:t>
      </w:r>
      <w:r w:rsidR="00426067" w:rsidRPr="00202EB9">
        <w:rPr>
          <w:lang w:val="fr-FR"/>
        </w:rPr>
        <w:t>’</w:t>
      </w:r>
      <w:r w:rsidR="00AA6FE5" w:rsidRPr="00202EB9">
        <w:rPr>
          <w:lang w:val="fr-FR"/>
        </w:rPr>
        <w:t>étude a conclu qu</w:t>
      </w:r>
      <w:r w:rsidR="00426067" w:rsidRPr="00202EB9">
        <w:rPr>
          <w:lang w:val="fr-FR"/>
        </w:rPr>
        <w:t>’</w:t>
      </w:r>
      <w:r w:rsidR="00EB4925" w:rsidRPr="00202EB9">
        <w:rPr>
          <w:lang w:val="fr-FR"/>
        </w:rPr>
        <w:t xml:space="preserve">il était trop tôt pour faire </w:t>
      </w:r>
      <w:r w:rsidR="00244185" w:rsidRPr="00202EB9">
        <w:rPr>
          <w:lang w:val="fr-FR"/>
        </w:rPr>
        <w:t>une évaluation d</w:t>
      </w:r>
      <w:r w:rsidR="00426067" w:rsidRPr="00202EB9">
        <w:rPr>
          <w:lang w:val="fr-FR"/>
        </w:rPr>
        <w:t>’</w:t>
      </w:r>
      <w:r w:rsidR="00244185" w:rsidRPr="00202EB9">
        <w:rPr>
          <w:lang w:val="fr-FR"/>
        </w:rPr>
        <w:t>impact</w:t>
      </w:r>
      <w:r w:rsidR="00AA6FE5" w:rsidRPr="00202EB9">
        <w:rPr>
          <w:lang w:val="fr-FR"/>
        </w:rPr>
        <w:t xml:space="preserve"> avec les </w:t>
      </w:r>
      <w:r w:rsidR="00244185" w:rsidRPr="00202EB9">
        <w:rPr>
          <w:lang w:val="fr-FR"/>
        </w:rPr>
        <w:t xml:space="preserve">instruments </w:t>
      </w:r>
      <w:r w:rsidR="00EB4925" w:rsidRPr="00202EB9">
        <w:rPr>
          <w:lang w:val="fr-FR"/>
        </w:rPr>
        <w:t>à sa disposition</w:t>
      </w:r>
      <w:r w:rsidR="00244185" w:rsidRPr="00202EB9">
        <w:rPr>
          <w:lang w:val="fr-FR"/>
        </w:rPr>
        <w:t>.</w:t>
      </w:r>
    </w:p>
    <w:p w:rsidR="00A82FC1" w:rsidRPr="00202EB9" w:rsidRDefault="00D83B10" w:rsidP="00F3224E">
      <w:pPr>
        <w:pStyle w:val="ONUMFS"/>
        <w:rPr>
          <w:lang w:val="fr-FR"/>
        </w:rPr>
      </w:pPr>
      <w:r w:rsidRPr="00202EB9">
        <w:rPr>
          <w:lang w:val="fr-FR"/>
        </w:rPr>
        <w:t>La plupart des questions examinées dans le cadre de l</w:t>
      </w:r>
      <w:r w:rsidR="00426067" w:rsidRPr="00202EB9">
        <w:rPr>
          <w:lang w:val="fr-FR"/>
        </w:rPr>
        <w:t>’</w:t>
      </w:r>
      <w:r w:rsidRPr="00202EB9">
        <w:rPr>
          <w:lang w:val="fr-FR"/>
        </w:rPr>
        <w:t>étude font</w:t>
      </w:r>
      <w:r w:rsidR="003523D5" w:rsidRPr="00202EB9">
        <w:rPr>
          <w:lang w:val="fr-FR"/>
        </w:rPr>
        <w:t xml:space="preserve"> l</w:t>
      </w:r>
      <w:r w:rsidR="00426067" w:rsidRPr="00202EB9">
        <w:rPr>
          <w:lang w:val="fr-FR"/>
        </w:rPr>
        <w:t>’</w:t>
      </w:r>
      <w:r w:rsidR="003523D5" w:rsidRPr="00202EB9">
        <w:rPr>
          <w:lang w:val="fr-FR"/>
        </w:rPr>
        <w:t>objet d</w:t>
      </w:r>
      <w:r w:rsidR="00426067" w:rsidRPr="00202EB9">
        <w:rPr>
          <w:lang w:val="fr-FR"/>
        </w:rPr>
        <w:t>’</w:t>
      </w:r>
      <w:r w:rsidR="003523D5" w:rsidRPr="00202EB9">
        <w:rPr>
          <w:lang w:val="fr-FR"/>
        </w:rPr>
        <w:t>un débat constant, sans que les États membres réussissent</w:t>
      </w:r>
      <w:r w:rsidR="003331C0" w:rsidRPr="00202EB9">
        <w:rPr>
          <w:lang w:val="fr-FR"/>
        </w:rPr>
        <w:t xml:space="preserve"> </w:t>
      </w:r>
      <w:r w:rsidR="003523D5" w:rsidRPr="00202EB9">
        <w:rPr>
          <w:lang w:val="fr-FR"/>
        </w:rPr>
        <w:t>à rapprocher leurs points de vue</w:t>
      </w:r>
      <w:r w:rsidR="003331C0" w:rsidRPr="00202EB9">
        <w:rPr>
          <w:lang w:val="fr-FR"/>
        </w:rPr>
        <w:t xml:space="preserve"> sur certaines d</w:t>
      </w:r>
      <w:r w:rsidR="00426067" w:rsidRPr="00202EB9">
        <w:rPr>
          <w:lang w:val="fr-FR"/>
        </w:rPr>
        <w:t>’</w:t>
      </w:r>
      <w:r w:rsidR="003331C0" w:rsidRPr="00202EB9">
        <w:rPr>
          <w:lang w:val="fr-FR"/>
        </w:rPr>
        <w:t>entre ell</w:t>
      </w:r>
      <w:r w:rsidR="001E787E" w:rsidRPr="00202EB9">
        <w:rPr>
          <w:lang w:val="fr-FR"/>
        </w:rPr>
        <w:t>es.  L’é</w:t>
      </w:r>
      <w:r w:rsidR="00FC1B21" w:rsidRPr="00202EB9">
        <w:rPr>
          <w:lang w:val="fr-FR"/>
        </w:rPr>
        <w:t>quipe chargée de l</w:t>
      </w:r>
      <w:r w:rsidR="00426067" w:rsidRPr="00202EB9">
        <w:rPr>
          <w:lang w:val="fr-FR"/>
        </w:rPr>
        <w:t>’</w:t>
      </w:r>
      <w:r w:rsidR="00FC1B21" w:rsidRPr="00202EB9">
        <w:rPr>
          <w:lang w:val="fr-FR"/>
        </w:rPr>
        <w:t>étude prend acte de ces divergences.</w:t>
      </w:r>
    </w:p>
    <w:p w:rsidR="00440221" w:rsidRPr="00202EB9" w:rsidRDefault="00D16563" w:rsidP="00F3224E">
      <w:pPr>
        <w:pStyle w:val="ONUMFS"/>
        <w:rPr>
          <w:lang w:val="fr-FR"/>
        </w:rPr>
      </w:pPr>
      <w:r w:rsidRPr="00202EB9">
        <w:rPr>
          <w:lang w:val="fr-FR"/>
        </w:rPr>
        <w:t>L</w:t>
      </w:r>
      <w:r w:rsidR="00426067" w:rsidRPr="00202EB9">
        <w:rPr>
          <w:lang w:val="fr-FR"/>
        </w:rPr>
        <w:t>’</w:t>
      </w:r>
      <w:r w:rsidRPr="00202EB9">
        <w:rPr>
          <w:lang w:val="fr-FR"/>
        </w:rPr>
        <w:t>ampleur du Plan d</w:t>
      </w:r>
      <w:r w:rsidR="00426067" w:rsidRPr="00202EB9">
        <w:rPr>
          <w:lang w:val="fr-FR"/>
        </w:rPr>
        <w:t>’</w:t>
      </w:r>
      <w:r w:rsidRPr="00202EB9">
        <w:rPr>
          <w:lang w:val="fr-FR"/>
        </w:rPr>
        <w:t>action pour le développement et</w:t>
      </w:r>
      <w:r w:rsidR="002C3546" w:rsidRPr="00202EB9">
        <w:rPr>
          <w:lang w:val="fr-FR"/>
        </w:rPr>
        <w:t xml:space="preserve"> la diversité des parties prenantes de sa mise en œuvre sont considérabl</w:t>
      </w:r>
      <w:r w:rsidR="001E787E" w:rsidRPr="00202EB9">
        <w:rPr>
          <w:lang w:val="fr-FR"/>
        </w:rPr>
        <w:t>es.  Il</w:t>
      </w:r>
      <w:r w:rsidR="008B5DF2" w:rsidRPr="00202EB9">
        <w:rPr>
          <w:lang w:val="fr-FR"/>
        </w:rPr>
        <w:t xml:space="preserve"> n</w:t>
      </w:r>
      <w:r w:rsidR="00426067" w:rsidRPr="00202EB9">
        <w:rPr>
          <w:lang w:val="fr-FR"/>
        </w:rPr>
        <w:t>’</w:t>
      </w:r>
      <w:r w:rsidR="008B5DF2" w:rsidRPr="00202EB9">
        <w:rPr>
          <w:lang w:val="fr-FR"/>
        </w:rPr>
        <w:t>a donc pas été possible</w:t>
      </w:r>
      <w:r w:rsidR="000074E4" w:rsidRPr="00202EB9">
        <w:rPr>
          <w:lang w:val="fr-FR"/>
        </w:rPr>
        <w:t xml:space="preserve"> d</w:t>
      </w:r>
      <w:r w:rsidR="00426067" w:rsidRPr="00202EB9">
        <w:rPr>
          <w:lang w:val="fr-FR"/>
        </w:rPr>
        <w:t>’</w:t>
      </w:r>
      <w:r w:rsidR="000074E4" w:rsidRPr="00202EB9">
        <w:rPr>
          <w:lang w:val="fr-FR"/>
        </w:rPr>
        <w:t>aller au</w:t>
      </w:r>
      <w:r w:rsidR="001E787E" w:rsidRPr="00202EB9">
        <w:rPr>
          <w:lang w:val="fr-FR"/>
        </w:rPr>
        <w:noBreakHyphen/>
      </w:r>
      <w:r w:rsidR="000074E4" w:rsidRPr="00202EB9">
        <w:rPr>
          <w:lang w:val="fr-FR"/>
        </w:rPr>
        <w:t>devant de toutes les parties prenantes, même si la participation et l</w:t>
      </w:r>
      <w:r w:rsidR="00426067" w:rsidRPr="00202EB9">
        <w:rPr>
          <w:lang w:val="fr-FR"/>
        </w:rPr>
        <w:t>’</w:t>
      </w:r>
      <w:r w:rsidR="000074E4" w:rsidRPr="00202EB9">
        <w:rPr>
          <w:lang w:val="fr-FR"/>
        </w:rPr>
        <w:t>intégration ont été privilégiées dans le process</w:t>
      </w:r>
      <w:r w:rsidR="001E787E" w:rsidRPr="00202EB9">
        <w:rPr>
          <w:lang w:val="fr-FR"/>
        </w:rPr>
        <w:t>us.  Ce</w:t>
      </w:r>
      <w:r w:rsidR="00562E82" w:rsidRPr="00202EB9">
        <w:rPr>
          <w:lang w:val="fr-FR"/>
        </w:rPr>
        <w:t>la a été le cas, en particulier, pour les visites sur le terrain, au cours desquelles il s</w:t>
      </w:r>
      <w:r w:rsidR="00426067" w:rsidRPr="00202EB9">
        <w:rPr>
          <w:lang w:val="fr-FR"/>
        </w:rPr>
        <w:t>’</w:t>
      </w:r>
      <w:r w:rsidR="00562E82" w:rsidRPr="00202EB9">
        <w:rPr>
          <w:lang w:val="fr-FR"/>
        </w:rPr>
        <w:t>est avéré pratiquement impossible de voir tous les bénéficiaires.</w:t>
      </w:r>
    </w:p>
    <w:p w:rsidR="004372EF" w:rsidRPr="00202EB9" w:rsidRDefault="00895344" w:rsidP="00F3224E">
      <w:pPr>
        <w:pStyle w:val="ONUMFS"/>
        <w:rPr>
          <w:lang w:val="fr-FR"/>
        </w:rPr>
      </w:pPr>
      <w:r w:rsidRPr="00202EB9">
        <w:rPr>
          <w:lang w:val="fr-FR"/>
        </w:rPr>
        <w:t>Les résultats, conclusions et recommandations des sections qui suivent doivent être interprétés à la lumière de ces contraintes, car</w:t>
      </w:r>
      <w:r w:rsidR="002160B8" w:rsidRPr="00202EB9">
        <w:rPr>
          <w:lang w:val="fr-FR"/>
        </w:rPr>
        <w:t xml:space="preserve"> ces dernières ont influencé dans une certaine mesure la portée et la profondeur de l</w:t>
      </w:r>
      <w:r w:rsidR="00426067" w:rsidRPr="00202EB9">
        <w:rPr>
          <w:lang w:val="fr-FR"/>
        </w:rPr>
        <w:t>’</w:t>
      </w:r>
      <w:r w:rsidR="002160B8" w:rsidRPr="00202EB9">
        <w:rPr>
          <w:lang w:val="fr-FR"/>
        </w:rPr>
        <w:t>étude.</w:t>
      </w:r>
    </w:p>
    <w:p w:rsidR="00F5509E" w:rsidRPr="00202EB9" w:rsidRDefault="00F5509E" w:rsidP="0026192C">
      <w:pPr>
        <w:pStyle w:val="Heading2"/>
        <w:rPr>
          <w:lang w:val="fr-FR"/>
        </w:rPr>
      </w:pPr>
      <w:bookmarkStart w:id="19" w:name="_Toc460492860"/>
      <w:r w:rsidRPr="00202EB9">
        <w:rPr>
          <w:lang w:val="fr-FR"/>
        </w:rPr>
        <w:t>4.</w:t>
      </w:r>
      <w:r w:rsidRPr="00202EB9">
        <w:rPr>
          <w:lang w:val="fr-FR"/>
        </w:rPr>
        <w:tab/>
      </w:r>
      <w:r w:rsidR="00875701" w:rsidRPr="00202EB9">
        <w:rPr>
          <w:lang w:val="fr-FR"/>
        </w:rPr>
        <w:t>Conclusions</w:t>
      </w:r>
      <w:bookmarkEnd w:id="19"/>
    </w:p>
    <w:p w:rsidR="0026192C" w:rsidRPr="00202EB9" w:rsidRDefault="0026192C" w:rsidP="0026192C">
      <w:pPr>
        <w:keepNext/>
        <w:rPr>
          <w:lang w:val="fr-FR" w:eastAsia="zh-CN" w:bidi="ar-SA"/>
        </w:rPr>
      </w:pPr>
    </w:p>
    <w:p w:rsidR="00F5509E" w:rsidRPr="00202EB9" w:rsidRDefault="007801B5" w:rsidP="0026192C">
      <w:pPr>
        <w:pStyle w:val="ONUMFS"/>
        <w:rPr>
          <w:lang w:val="fr-FR"/>
        </w:rPr>
      </w:pPr>
      <w:r w:rsidRPr="00202EB9">
        <w:rPr>
          <w:lang w:val="fr-FR"/>
        </w:rPr>
        <w:t>Cette section du rapport présente les principa</w:t>
      </w:r>
      <w:r w:rsidR="00BC04B4" w:rsidRPr="00202EB9">
        <w:rPr>
          <w:lang w:val="fr-FR"/>
        </w:rPr>
        <w:t>les conclusion</w:t>
      </w:r>
      <w:r w:rsidRPr="00202EB9">
        <w:rPr>
          <w:lang w:val="fr-FR"/>
        </w:rPr>
        <w:t>s de l</w:t>
      </w:r>
      <w:r w:rsidR="00426067" w:rsidRPr="00202EB9">
        <w:rPr>
          <w:lang w:val="fr-FR"/>
        </w:rPr>
        <w:t>’</w:t>
      </w:r>
      <w:r w:rsidRPr="00202EB9">
        <w:rPr>
          <w:lang w:val="fr-FR"/>
        </w:rPr>
        <w:t>étude sur la mise en œuvre des recommandations du Plan d</w:t>
      </w:r>
      <w:r w:rsidR="00426067" w:rsidRPr="00202EB9">
        <w:rPr>
          <w:lang w:val="fr-FR"/>
        </w:rPr>
        <w:t>’</w:t>
      </w:r>
      <w:r w:rsidRPr="00202EB9">
        <w:rPr>
          <w:lang w:val="fr-FR"/>
        </w:rPr>
        <w:t>action pour le développement, en ce qui concerne respectivement la pertinence, l</w:t>
      </w:r>
      <w:r w:rsidR="00426067" w:rsidRPr="00202EB9">
        <w:rPr>
          <w:lang w:val="fr-FR"/>
        </w:rPr>
        <w:t>’</w:t>
      </w:r>
      <w:r w:rsidRPr="00202EB9">
        <w:rPr>
          <w:lang w:val="fr-FR"/>
        </w:rPr>
        <w:t>efficacité, l</w:t>
      </w:r>
      <w:r w:rsidR="00426067" w:rsidRPr="00202EB9">
        <w:rPr>
          <w:lang w:val="fr-FR"/>
        </w:rPr>
        <w:t>’</w:t>
      </w:r>
      <w:r w:rsidRPr="00202EB9">
        <w:rPr>
          <w:lang w:val="fr-FR"/>
        </w:rPr>
        <w:t>efficience, l</w:t>
      </w:r>
      <w:r w:rsidR="00426067" w:rsidRPr="00202EB9">
        <w:rPr>
          <w:lang w:val="fr-FR"/>
        </w:rPr>
        <w:t>’</w:t>
      </w:r>
      <w:r w:rsidRPr="00202EB9">
        <w:rPr>
          <w:lang w:val="fr-FR"/>
        </w:rPr>
        <w:t>impact et la durabilité des travaux de l</w:t>
      </w:r>
      <w:r w:rsidR="00426067" w:rsidRPr="00202EB9">
        <w:rPr>
          <w:lang w:val="fr-FR"/>
        </w:rPr>
        <w:t>’</w:t>
      </w:r>
      <w:r w:rsidRPr="00202EB9">
        <w:rPr>
          <w:lang w:val="fr-FR"/>
        </w:rPr>
        <w:t>OMPI entre 2008 et</w:t>
      </w:r>
      <w:r w:rsidR="00D41E1C" w:rsidRPr="00202EB9">
        <w:rPr>
          <w:lang w:val="fr-FR"/>
        </w:rPr>
        <w:t> </w:t>
      </w:r>
      <w:r w:rsidRPr="00202EB9">
        <w:rPr>
          <w:lang w:val="fr-FR"/>
        </w:rPr>
        <w:t>2015.</w:t>
      </w:r>
    </w:p>
    <w:p w:rsidR="00F5509E" w:rsidRPr="00202EB9" w:rsidRDefault="0026192C" w:rsidP="0026192C">
      <w:pPr>
        <w:pStyle w:val="Heading3"/>
        <w:rPr>
          <w:lang w:val="fr-FR"/>
        </w:rPr>
      </w:pPr>
      <w:bookmarkStart w:id="20" w:name="_Toc460492861"/>
      <w:r w:rsidRPr="00327572">
        <w:rPr>
          <w:u w:val="none"/>
          <w:lang w:val="fr-FR"/>
        </w:rPr>
        <w:t>a.</w:t>
      </w:r>
      <w:r w:rsidRPr="00327572">
        <w:rPr>
          <w:u w:val="none"/>
          <w:lang w:val="fr-FR"/>
        </w:rPr>
        <w:tab/>
      </w:r>
      <w:r w:rsidR="004643A4" w:rsidRPr="00202EB9">
        <w:rPr>
          <w:lang w:val="fr-FR"/>
        </w:rPr>
        <w:t>Pertinence</w:t>
      </w:r>
      <w:bookmarkEnd w:id="20"/>
    </w:p>
    <w:p w:rsidR="0026192C" w:rsidRPr="00202EB9" w:rsidRDefault="0026192C" w:rsidP="0026192C">
      <w:pPr>
        <w:rPr>
          <w:lang w:val="fr-FR" w:eastAsia="zh-CN" w:bidi="ar-SA"/>
        </w:rPr>
      </w:pPr>
    </w:p>
    <w:p w:rsidR="00F5509E" w:rsidRPr="00202EB9" w:rsidRDefault="00E7799D" w:rsidP="00E7799D">
      <w:pPr>
        <w:pStyle w:val="ONUMFS"/>
        <w:rPr>
          <w:lang w:val="fr-FR"/>
        </w:rPr>
      </w:pPr>
      <w:r w:rsidRPr="00202EB9">
        <w:rPr>
          <w:lang w:val="fr-FR"/>
        </w:rPr>
        <w:t>Cette section examine la mesure dans laquelle les travaux de l</w:t>
      </w:r>
      <w:r w:rsidR="00426067" w:rsidRPr="00202EB9">
        <w:rPr>
          <w:lang w:val="fr-FR"/>
        </w:rPr>
        <w:t>’</w:t>
      </w:r>
      <w:r w:rsidRPr="00202EB9">
        <w:rPr>
          <w:lang w:val="fr-FR"/>
        </w:rPr>
        <w:t xml:space="preserve">OMPI et les résultats de ses activités </w:t>
      </w:r>
      <w:r w:rsidR="00BC04B4" w:rsidRPr="00202EB9">
        <w:rPr>
          <w:lang w:val="fr-FR"/>
        </w:rPr>
        <w:t>de</w:t>
      </w:r>
      <w:r w:rsidRPr="00202EB9">
        <w:rPr>
          <w:lang w:val="fr-FR"/>
        </w:rPr>
        <w:t xml:space="preserve"> mise en œuvre des recommandations du Plan d</w:t>
      </w:r>
      <w:r w:rsidR="00426067" w:rsidRPr="00202EB9">
        <w:rPr>
          <w:lang w:val="fr-FR"/>
        </w:rPr>
        <w:t>’</w:t>
      </w:r>
      <w:r w:rsidRPr="00202EB9">
        <w:rPr>
          <w:lang w:val="fr-FR"/>
        </w:rPr>
        <w:t>action pour le développement répondent aux besoins des États membres, parties prenantes et autres bénéficiaires visés.</w:t>
      </w:r>
    </w:p>
    <w:p w:rsidR="00F5509E" w:rsidRPr="00202EB9" w:rsidRDefault="00875701" w:rsidP="0026192C">
      <w:pPr>
        <w:pStyle w:val="ONUMFS"/>
        <w:numPr>
          <w:ilvl w:val="0"/>
          <w:numId w:val="0"/>
        </w:numPr>
        <w:rPr>
          <w:b/>
          <w:lang w:val="fr-FR"/>
        </w:rPr>
      </w:pPr>
      <w:r w:rsidRPr="00202EB9">
        <w:rPr>
          <w:b/>
          <w:lang w:val="fr-FR"/>
        </w:rPr>
        <w:t>Conclusion</w:t>
      </w:r>
      <w:r w:rsidR="00D41E1C" w:rsidRPr="00202EB9">
        <w:rPr>
          <w:b/>
          <w:lang w:val="fr-FR"/>
        </w:rPr>
        <w:t> </w:t>
      </w:r>
      <w:r w:rsidR="00F5509E" w:rsidRPr="00202EB9">
        <w:rPr>
          <w:b/>
          <w:lang w:val="fr-FR"/>
        </w:rPr>
        <w:t>1</w:t>
      </w:r>
      <w:r w:rsidR="00E15713" w:rsidRPr="00202EB9">
        <w:rPr>
          <w:b/>
          <w:lang w:val="fr-FR"/>
        </w:rPr>
        <w:t> </w:t>
      </w:r>
      <w:proofErr w:type="gramStart"/>
      <w:r w:rsidR="00F5509E" w:rsidRPr="00202EB9">
        <w:rPr>
          <w:b/>
          <w:lang w:val="fr-FR"/>
        </w:rPr>
        <w:t xml:space="preserve">: </w:t>
      </w:r>
      <w:r w:rsidRPr="00202EB9">
        <w:rPr>
          <w:b/>
          <w:lang w:val="fr-FR"/>
        </w:rPr>
        <w:t>La</w:t>
      </w:r>
      <w:proofErr w:type="gramEnd"/>
      <w:r w:rsidRPr="00202EB9">
        <w:rPr>
          <w:b/>
          <w:lang w:val="fr-FR"/>
        </w:rPr>
        <w:t xml:space="preserve"> mise en œuvre des recommandations du Plan d</w:t>
      </w:r>
      <w:r w:rsidR="00426067" w:rsidRPr="00202EB9">
        <w:rPr>
          <w:b/>
          <w:lang w:val="fr-FR"/>
        </w:rPr>
        <w:t>’</w:t>
      </w:r>
      <w:r w:rsidRPr="00202EB9">
        <w:rPr>
          <w:b/>
          <w:lang w:val="fr-FR"/>
        </w:rPr>
        <w:t>action pour le développement répond dans une large mesure aux attentes des États membres, des parties prenantes et des autres bénéficiaires</w:t>
      </w:r>
      <w:r w:rsidR="00F5509E" w:rsidRPr="00202EB9">
        <w:rPr>
          <w:b/>
          <w:lang w:val="fr-FR"/>
        </w:rPr>
        <w:t>.</w:t>
      </w:r>
    </w:p>
    <w:p w:rsidR="00F5509E" w:rsidRPr="00202EB9" w:rsidRDefault="008A2989" w:rsidP="0026192C">
      <w:pPr>
        <w:pStyle w:val="ONUMFS"/>
        <w:rPr>
          <w:lang w:val="fr-FR"/>
        </w:rPr>
      </w:pPr>
      <w:r w:rsidRPr="00202EB9">
        <w:rPr>
          <w:lang w:val="fr-FR"/>
        </w:rPr>
        <w:t>La mise en œuvre des recommandations du Plan d</w:t>
      </w:r>
      <w:r w:rsidR="00426067" w:rsidRPr="00202EB9">
        <w:rPr>
          <w:lang w:val="fr-FR"/>
        </w:rPr>
        <w:t>’</w:t>
      </w:r>
      <w:r w:rsidRPr="00202EB9">
        <w:rPr>
          <w:lang w:val="fr-FR"/>
        </w:rPr>
        <w:t>action pour le développement a progressé dans une large mesure d</w:t>
      </w:r>
      <w:r w:rsidR="00426067" w:rsidRPr="00202EB9">
        <w:rPr>
          <w:lang w:val="fr-FR"/>
        </w:rPr>
        <w:t>’</w:t>
      </w:r>
      <w:r w:rsidRPr="00202EB9">
        <w:rPr>
          <w:lang w:val="fr-FR"/>
        </w:rPr>
        <w:t>une manière conforme aux attentes des États membres, des parties prenantes et des autres bénéficiaires vis</w:t>
      </w:r>
      <w:r w:rsidR="001E787E" w:rsidRPr="00202EB9">
        <w:rPr>
          <w:lang w:val="fr-FR"/>
        </w:rPr>
        <w:t xml:space="preserve">és.  À </w:t>
      </w:r>
      <w:r w:rsidR="008D1744" w:rsidRPr="00202EB9">
        <w:rPr>
          <w:lang w:val="fr-FR"/>
        </w:rPr>
        <w:t>cet égard, il ressort entre autres de l</w:t>
      </w:r>
      <w:r w:rsidR="00426067" w:rsidRPr="00202EB9">
        <w:rPr>
          <w:lang w:val="fr-FR"/>
        </w:rPr>
        <w:t>’</w:t>
      </w:r>
      <w:r w:rsidR="008D1744" w:rsidRPr="00202EB9">
        <w:rPr>
          <w:lang w:val="fr-FR"/>
        </w:rPr>
        <w:t xml:space="preserve">enquête que 78% des </w:t>
      </w:r>
      <w:r w:rsidR="00DE2642" w:rsidRPr="00202EB9">
        <w:rPr>
          <w:lang w:val="fr-FR"/>
        </w:rPr>
        <w:t>personnes ayant répondu à l</w:t>
      </w:r>
      <w:r w:rsidR="00426067" w:rsidRPr="00202EB9">
        <w:rPr>
          <w:lang w:val="fr-FR"/>
        </w:rPr>
        <w:t>’</w:t>
      </w:r>
      <w:r w:rsidR="00DE2642" w:rsidRPr="00202EB9">
        <w:rPr>
          <w:lang w:val="fr-FR"/>
        </w:rPr>
        <w:t>enquête</w:t>
      </w:r>
      <w:r w:rsidR="008D1744" w:rsidRPr="00202EB9">
        <w:rPr>
          <w:lang w:val="fr-FR"/>
        </w:rPr>
        <w:t xml:space="preserve"> ont été d</w:t>
      </w:r>
      <w:r w:rsidR="00426067" w:rsidRPr="00202EB9">
        <w:rPr>
          <w:lang w:val="fr-FR"/>
        </w:rPr>
        <w:t>’</w:t>
      </w:r>
      <w:r w:rsidR="008D1744" w:rsidRPr="00202EB9">
        <w:rPr>
          <w:lang w:val="fr-FR"/>
        </w:rPr>
        <w:t>avis que le degré de mise en œuvre se situait entre modéré et élevé, et qu</w:t>
      </w:r>
      <w:r w:rsidR="00426067" w:rsidRPr="00202EB9">
        <w:rPr>
          <w:lang w:val="fr-FR"/>
        </w:rPr>
        <w:t>’</w:t>
      </w:r>
      <w:r w:rsidR="008D1744" w:rsidRPr="00202EB9">
        <w:rPr>
          <w:lang w:val="fr-FR"/>
        </w:rPr>
        <w:t>il répondait à leurs attentes.</w:t>
      </w:r>
    </w:p>
    <w:p w:rsidR="00F5509E" w:rsidRPr="00202EB9" w:rsidRDefault="003D11A3" w:rsidP="0026192C">
      <w:pPr>
        <w:pStyle w:val="ONUMFS"/>
        <w:rPr>
          <w:lang w:val="fr-FR"/>
        </w:rPr>
      </w:pPr>
      <w:r w:rsidRPr="00202EB9">
        <w:rPr>
          <w:lang w:val="fr-FR"/>
        </w:rPr>
        <w:t>Le Plan d</w:t>
      </w:r>
      <w:r w:rsidR="00426067" w:rsidRPr="00202EB9">
        <w:rPr>
          <w:lang w:val="fr-FR"/>
        </w:rPr>
        <w:t>’</w:t>
      </w:r>
      <w:r w:rsidRPr="00202EB9">
        <w:rPr>
          <w:lang w:val="fr-FR"/>
        </w:rPr>
        <w:t xml:space="preserve">action pour le développement </w:t>
      </w:r>
      <w:r w:rsidR="00224155" w:rsidRPr="00202EB9">
        <w:rPr>
          <w:lang w:val="fr-FR"/>
        </w:rPr>
        <w:t xml:space="preserve">a créé des attentes </w:t>
      </w:r>
      <w:r w:rsidR="004C445E" w:rsidRPr="00202EB9">
        <w:rPr>
          <w:lang w:val="fr-FR"/>
        </w:rPr>
        <w:t>difficiles à</w:t>
      </w:r>
      <w:r w:rsidR="002D498F" w:rsidRPr="00202EB9">
        <w:rPr>
          <w:lang w:val="fr-FR"/>
        </w:rPr>
        <w:t xml:space="preserve"> </w:t>
      </w:r>
      <w:r w:rsidRPr="00202EB9">
        <w:rPr>
          <w:lang w:val="fr-FR"/>
        </w:rPr>
        <w:t>satisfai</w:t>
      </w:r>
      <w:r w:rsidR="001E787E" w:rsidRPr="00202EB9">
        <w:rPr>
          <w:lang w:val="fr-FR"/>
        </w:rPr>
        <w:t>re.  Le</w:t>
      </w:r>
      <w:r w:rsidRPr="00202EB9">
        <w:rPr>
          <w:lang w:val="fr-FR"/>
        </w:rPr>
        <w:t xml:space="preserve"> Secrétariat a déployé des efforts considérables à cet effet.  L</w:t>
      </w:r>
      <w:r w:rsidR="00426067" w:rsidRPr="00202EB9">
        <w:rPr>
          <w:lang w:val="fr-FR"/>
        </w:rPr>
        <w:t>’</w:t>
      </w:r>
      <w:r w:rsidRPr="00202EB9">
        <w:rPr>
          <w:lang w:val="fr-FR"/>
        </w:rPr>
        <w:t xml:space="preserve">Organisation </w:t>
      </w:r>
      <w:r w:rsidR="003E41C8" w:rsidRPr="00202EB9">
        <w:rPr>
          <w:lang w:val="fr-FR"/>
        </w:rPr>
        <w:t>a pris d</w:t>
      </w:r>
      <w:r w:rsidR="00426067" w:rsidRPr="00202EB9">
        <w:rPr>
          <w:lang w:val="fr-FR"/>
        </w:rPr>
        <w:t>’</w:t>
      </w:r>
      <w:r w:rsidR="003E41C8" w:rsidRPr="00202EB9">
        <w:rPr>
          <w:lang w:val="fr-FR"/>
        </w:rPr>
        <w:t>importantes mesures institutionnelles comprenant notamment la création de la Division de la coordination du Plan d</w:t>
      </w:r>
      <w:r w:rsidR="00426067" w:rsidRPr="00202EB9">
        <w:rPr>
          <w:lang w:val="fr-FR"/>
        </w:rPr>
        <w:t>’</w:t>
      </w:r>
      <w:r w:rsidR="003E41C8" w:rsidRPr="00202EB9">
        <w:rPr>
          <w:lang w:val="fr-FR"/>
        </w:rPr>
        <w:t>action pour le développement, chargée de coordonner cette mise en œuvre à l</w:t>
      </w:r>
      <w:r w:rsidR="00426067" w:rsidRPr="00202EB9">
        <w:rPr>
          <w:lang w:val="fr-FR"/>
        </w:rPr>
        <w:t>’</w:t>
      </w:r>
      <w:r w:rsidR="003E41C8" w:rsidRPr="00202EB9">
        <w:rPr>
          <w:lang w:val="fr-FR"/>
        </w:rPr>
        <w:t>échelle de l</w:t>
      </w:r>
      <w:r w:rsidR="00426067" w:rsidRPr="00202EB9">
        <w:rPr>
          <w:lang w:val="fr-FR"/>
        </w:rPr>
        <w:t>’</w:t>
      </w:r>
      <w:r w:rsidR="003E41C8" w:rsidRPr="00202EB9">
        <w:rPr>
          <w:lang w:val="fr-FR"/>
        </w:rPr>
        <w:t>Organisation, l</w:t>
      </w:r>
      <w:r w:rsidR="00426067" w:rsidRPr="00202EB9">
        <w:rPr>
          <w:lang w:val="fr-FR"/>
        </w:rPr>
        <w:t>’</w:t>
      </w:r>
      <w:r w:rsidR="003E41C8" w:rsidRPr="00202EB9">
        <w:rPr>
          <w:lang w:val="fr-FR"/>
        </w:rPr>
        <w:t>insertion des principes et recommandations du Plan d</w:t>
      </w:r>
      <w:r w:rsidR="00426067" w:rsidRPr="00202EB9">
        <w:rPr>
          <w:lang w:val="fr-FR"/>
        </w:rPr>
        <w:t>’</w:t>
      </w:r>
      <w:r w:rsidR="003E41C8" w:rsidRPr="00202EB9">
        <w:rPr>
          <w:lang w:val="fr-FR"/>
        </w:rPr>
        <w:t>action pour le développement dans les travaux de l</w:t>
      </w:r>
      <w:r w:rsidR="00426067" w:rsidRPr="00202EB9">
        <w:rPr>
          <w:lang w:val="fr-FR"/>
        </w:rPr>
        <w:t>’</w:t>
      </w:r>
      <w:r w:rsidR="003E41C8" w:rsidRPr="00202EB9">
        <w:rPr>
          <w:lang w:val="fr-FR"/>
        </w:rPr>
        <w:t>Organisation, l</w:t>
      </w:r>
      <w:r w:rsidR="00426067" w:rsidRPr="00202EB9">
        <w:rPr>
          <w:lang w:val="fr-FR"/>
        </w:rPr>
        <w:t>’</w:t>
      </w:r>
      <w:r w:rsidR="003E41C8" w:rsidRPr="00202EB9">
        <w:rPr>
          <w:lang w:val="fr-FR"/>
        </w:rPr>
        <w:t>insertion de références au Plan d</w:t>
      </w:r>
      <w:r w:rsidR="00426067" w:rsidRPr="00202EB9">
        <w:rPr>
          <w:lang w:val="fr-FR"/>
        </w:rPr>
        <w:t>’</w:t>
      </w:r>
      <w:r w:rsidR="003E41C8" w:rsidRPr="00202EB9">
        <w:rPr>
          <w:lang w:val="fr-FR"/>
        </w:rPr>
        <w:t>action pour le développement dans les activités de chaque programme de l</w:t>
      </w:r>
      <w:r w:rsidR="00426067" w:rsidRPr="00202EB9">
        <w:rPr>
          <w:lang w:val="fr-FR"/>
        </w:rPr>
        <w:t>’</w:t>
      </w:r>
      <w:r w:rsidR="003E41C8" w:rsidRPr="00202EB9">
        <w:rPr>
          <w:lang w:val="fr-FR"/>
        </w:rPr>
        <w:t>OMPI de manière à les intégrer étroitement aux travaux de l</w:t>
      </w:r>
      <w:r w:rsidR="00426067" w:rsidRPr="00202EB9">
        <w:rPr>
          <w:lang w:val="fr-FR"/>
        </w:rPr>
        <w:t>’</w:t>
      </w:r>
      <w:r w:rsidR="003E41C8" w:rsidRPr="00202EB9">
        <w:rPr>
          <w:lang w:val="fr-FR"/>
        </w:rPr>
        <w:t>ensemble de l</w:t>
      </w:r>
      <w:r w:rsidR="00426067" w:rsidRPr="00202EB9">
        <w:rPr>
          <w:lang w:val="fr-FR"/>
        </w:rPr>
        <w:t>’</w:t>
      </w:r>
      <w:r w:rsidR="003E41C8" w:rsidRPr="00202EB9">
        <w:rPr>
          <w:lang w:val="fr-FR"/>
        </w:rPr>
        <w:t>Organisation et l</w:t>
      </w:r>
      <w:r w:rsidR="00426067" w:rsidRPr="00202EB9">
        <w:rPr>
          <w:lang w:val="fr-FR"/>
        </w:rPr>
        <w:t>’</w:t>
      </w:r>
      <w:r w:rsidR="003E41C8" w:rsidRPr="00202EB9">
        <w:rPr>
          <w:lang w:val="fr-FR"/>
        </w:rPr>
        <w:t>approche thématique fondée sur des projets, laquelle a remplacé l</w:t>
      </w:r>
      <w:r w:rsidR="00426067" w:rsidRPr="00202EB9">
        <w:rPr>
          <w:lang w:val="fr-FR"/>
        </w:rPr>
        <w:t>’</w:t>
      </w:r>
      <w:r w:rsidR="003E41C8" w:rsidRPr="00202EB9">
        <w:rPr>
          <w:lang w:val="fr-FR"/>
        </w:rPr>
        <w:t xml:space="preserve">approche axée sur </w:t>
      </w:r>
      <w:r w:rsidR="0062224A" w:rsidRPr="00202EB9">
        <w:rPr>
          <w:lang w:val="fr-FR"/>
        </w:rPr>
        <w:t>d</w:t>
      </w:r>
      <w:r w:rsidR="003E41C8" w:rsidRPr="00202EB9">
        <w:rPr>
          <w:lang w:val="fr-FR"/>
        </w:rPr>
        <w:t>es activités qui était en place lors des deux</w:t>
      </w:r>
      <w:r w:rsidR="00E15713" w:rsidRPr="00202EB9">
        <w:rPr>
          <w:lang w:val="fr-FR"/>
        </w:rPr>
        <w:t> </w:t>
      </w:r>
      <w:r w:rsidR="003E41C8" w:rsidRPr="00202EB9">
        <w:rPr>
          <w:lang w:val="fr-FR"/>
        </w:rPr>
        <w:t>premières sessions du comité, tenues en</w:t>
      </w:r>
      <w:r w:rsidR="00E15713" w:rsidRPr="00202EB9">
        <w:rPr>
          <w:lang w:val="fr-FR"/>
        </w:rPr>
        <w:t> </w:t>
      </w:r>
      <w:r w:rsidR="003E41C8" w:rsidRPr="00202EB9">
        <w:rPr>
          <w:lang w:val="fr-FR"/>
        </w:rPr>
        <w:t>2008.</w:t>
      </w:r>
    </w:p>
    <w:p w:rsidR="00F5509E" w:rsidRPr="00202EB9" w:rsidRDefault="0062474A" w:rsidP="0026192C">
      <w:pPr>
        <w:pStyle w:val="ONUMFS"/>
        <w:rPr>
          <w:lang w:val="fr-FR"/>
        </w:rPr>
      </w:pPr>
      <w:r w:rsidRPr="00202EB9">
        <w:rPr>
          <w:lang w:val="fr-FR"/>
        </w:rPr>
        <w:t>L</w:t>
      </w:r>
      <w:r w:rsidR="00426067" w:rsidRPr="00202EB9">
        <w:rPr>
          <w:lang w:val="fr-FR"/>
        </w:rPr>
        <w:t>’</w:t>
      </w:r>
      <w:r w:rsidRPr="00202EB9">
        <w:rPr>
          <w:lang w:val="fr-FR"/>
        </w:rPr>
        <w:t>approche thématique fondée sur des projets</w:t>
      </w:r>
      <w:r w:rsidR="00387ADC" w:rsidRPr="00202EB9">
        <w:rPr>
          <w:lang w:val="fr-FR"/>
        </w:rPr>
        <w:t xml:space="preserve"> </w:t>
      </w:r>
      <w:r w:rsidR="00796019" w:rsidRPr="00202EB9">
        <w:rPr>
          <w:lang w:val="fr-FR"/>
        </w:rPr>
        <w:t xml:space="preserve">a </w:t>
      </w:r>
      <w:r w:rsidR="005D3635" w:rsidRPr="00202EB9">
        <w:rPr>
          <w:lang w:val="fr-FR"/>
        </w:rPr>
        <w:t>représent</w:t>
      </w:r>
      <w:r w:rsidR="00A82699" w:rsidRPr="00202EB9">
        <w:rPr>
          <w:lang w:val="fr-FR"/>
        </w:rPr>
        <w:t>é une tentative innovante</w:t>
      </w:r>
      <w:r w:rsidR="00706F1E" w:rsidRPr="00202EB9">
        <w:rPr>
          <w:lang w:val="fr-FR"/>
        </w:rPr>
        <w:t xml:space="preserve"> de réponse à certaines de ces attent</w:t>
      </w:r>
      <w:r w:rsidR="001E787E" w:rsidRPr="00202EB9">
        <w:rPr>
          <w:lang w:val="fr-FR"/>
        </w:rPr>
        <w:t>es.  Il</w:t>
      </w:r>
      <w:r w:rsidR="000451E1" w:rsidRPr="00202EB9">
        <w:rPr>
          <w:lang w:val="fr-FR"/>
        </w:rPr>
        <w:t xml:space="preserve"> a été constaté que certains projets</w:t>
      </w:r>
      <w:r w:rsidR="000A7B17" w:rsidRPr="00202EB9">
        <w:rPr>
          <w:lang w:val="fr-FR"/>
        </w:rPr>
        <w:t xml:space="preserve"> –</w:t>
      </w:r>
      <w:r w:rsidR="000451E1" w:rsidRPr="00202EB9">
        <w:rPr>
          <w:lang w:val="fr-FR"/>
        </w:rPr>
        <w:t xml:space="preserve"> par exemple ceux</w:t>
      </w:r>
      <w:r w:rsidR="003042E6" w:rsidRPr="00202EB9">
        <w:rPr>
          <w:lang w:val="fr-FR"/>
        </w:rPr>
        <w:t xml:space="preserve"> relatifs aux activités de renforcement des capacités, à l</w:t>
      </w:r>
      <w:r w:rsidR="00426067" w:rsidRPr="00202EB9">
        <w:rPr>
          <w:lang w:val="fr-FR"/>
        </w:rPr>
        <w:t>’</w:t>
      </w:r>
      <w:r w:rsidR="003042E6" w:rsidRPr="00202EB9">
        <w:rPr>
          <w:lang w:val="fr-FR"/>
        </w:rPr>
        <w:t xml:space="preserve">accès aux bases de données, aux études sociales et économiques, à la numérisation des demandes de droits de propriété intellectuelle, aux mini académies de propriété intellectuelle et </w:t>
      </w:r>
      <w:r w:rsidR="00647E96" w:rsidRPr="00202EB9">
        <w:rPr>
          <w:lang w:val="fr-FR"/>
        </w:rPr>
        <w:t>à la gestion des dessins et modèles pour le développement des entreprises</w:t>
      </w:r>
      <w:r w:rsidR="000A7B17" w:rsidRPr="00202EB9">
        <w:rPr>
          <w:lang w:val="fr-FR"/>
        </w:rPr>
        <w:t xml:space="preserve"> –</w:t>
      </w:r>
      <w:r w:rsidR="0028242B" w:rsidRPr="00202EB9">
        <w:rPr>
          <w:lang w:val="fr-FR"/>
        </w:rPr>
        <w:t xml:space="preserve"> bénéficiaient d</w:t>
      </w:r>
      <w:r w:rsidR="00426067" w:rsidRPr="00202EB9">
        <w:rPr>
          <w:lang w:val="fr-FR"/>
        </w:rPr>
        <w:t>’</w:t>
      </w:r>
      <w:r w:rsidR="0028242B" w:rsidRPr="00202EB9">
        <w:rPr>
          <w:lang w:val="fr-FR"/>
        </w:rPr>
        <w:t>un accueil favorable auprès des États membres et autres bénéficiair</w:t>
      </w:r>
      <w:r w:rsidR="001E787E" w:rsidRPr="00202EB9">
        <w:rPr>
          <w:lang w:val="fr-FR"/>
        </w:rPr>
        <w:t>es.  Il</w:t>
      </w:r>
      <w:r w:rsidR="00647E96" w:rsidRPr="00202EB9">
        <w:rPr>
          <w:lang w:val="fr-FR"/>
        </w:rPr>
        <w:t xml:space="preserve"> s</w:t>
      </w:r>
      <w:r w:rsidR="00426067" w:rsidRPr="00202EB9">
        <w:rPr>
          <w:lang w:val="fr-FR"/>
        </w:rPr>
        <w:t>’</w:t>
      </w:r>
      <w:r w:rsidR="00647E96" w:rsidRPr="00202EB9">
        <w:rPr>
          <w:lang w:val="fr-FR"/>
        </w:rPr>
        <w:t>est également avéré</w:t>
      </w:r>
      <w:r w:rsidR="000A7B17" w:rsidRPr="00202EB9">
        <w:rPr>
          <w:lang w:val="fr-FR"/>
        </w:rPr>
        <w:t>, en revanche,</w:t>
      </w:r>
      <w:r w:rsidR="00647E96" w:rsidRPr="00202EB9">
        <w:rPr>
          <w:lang w:val="fr-FR"/>
        </w:rPr>
        <w:t xml:space="preserve"> que</w:t>
      </w:r>
      <w:r w:rsidR="00574940" w:rsidRPr="00202EB9">
        <w:rPr>
          <w:lang w:val="fr-FR"/>
        </w:rPr>
        <w:t xml:space="preserve"> certains autres projets</w:t>
      </w:r>
      <w:r w:rsidR="000A7B17" w:rsidRPr="00202EB9">
        <w:rPr>
          <w:lang w:val="fr-FR"/>
        </w:rPr>
        <w:t xml:space="preserve"> avaient une incidence </w:t>
      </w:r>
      <w:r w:rsidR="00574940" w:rsidRPr="00202EB9">
        <w:rPr>
          <w:lang w:val="fr-FR"/>
        </w:rPr>
        <w:t>limit</w:t>
      </w:r>
      <w:r w:rsidR="001E787E" w:rsidRPr="00202EB9">
        <w:rPr>
          <w:lang w:val="fr-FR"/>
        </w:rPr>
        <w:t>ée.  L’é</w:t>
      </w:r>
      <w:r w:rsidR="00574940" w:rsidRPr="00202EB9">
        <w:rPr>
          <w:lang w:val="fr-FR"/>
        </w:rPr>
        <w:t>valuateur du projet de base de données pour la mise en parallèle des besoins de développement liés à la propriété intellectuelle (IP</w:t>
      </w:r>
      <w:r w:rsidR="001E787E" w:rsidRPr="00202EB9">
        <w:rPr>
          <w:lang w:val="fr-FR"/>
        </w:rPr>
        <w:noBreakHyphen/>
      </w:r>
      <w:proofErr w:type="spellStart"/>
      <w:r w:rsidR="00574940" w:rsidRPr="00202EB9">
        <w:rPr>
          <w:lang w:val="fr-FR"/>
        </w:rPr>
        <w:t>DMD</w:t>
      </w:r>
      <w:proofErr w:type="spellEnd"/>
      <w:r w:rsidR="00574940" w:rsidRPr="00202EB9">
        <w:rPr>
          <w:lang w:val="fr-FR"/>
        </w:rPr>
        <w:t>) a, par exemple, observé dans le rapport d</w:t>
      </w:r>
      <w:r w:rsidR="00426067" w:rsidRPr="00202EB9">
        <w:rPr>
          <w:lang w:val="fr-FR"/>
        </w:rPr>
        <w:t>’</w:t>
      </w:r>
      <w:r w:rsidR="00574940" w:rsidRPr="00202EB9">
        <w:rPr>
          <w:lang w:val="fr-FR"/>
        </w:rPr>
        <w:t>évaluation qu</w:t>
      </w:r>
      <w:r w:rsidR="00426067" w:rsidRPr="00202EB9">
        <w:rPr>
          <w:lang w:val="fr-FR"/>
        </w:rPr>
        <w:t>’</w:t>
      </w:r>
      <w:r w:rsidR="00574940" w:rsidRPr="00202EB9">
        <w:rPr>
          <w:lang w:val="fr-FR"/>
        </w:rPr>
        <w:t>il a présenté au comité à sa dixième</w:t>
      </w:r>
      <w:r w:rsidR="00E15713" w:rsidRPr="00202EB9">
        <w:rPr>
          <w:lang w:val="fr-FR"/>
        </w:rPr>
        <w:t> </w:t>
      </w:r>
      <w:r w:rsidR="00574940" w:rsidRPr="00202EB9">
        <w:rPr>
          <w:lang w:val="fr-FR"/>
        </w:rPr>
        <w:t>session, que</w:t>
      </w:r>
      <w:r w:rsidR="00F5509E" w:rsidRPr="00202EB9">
        <w:rPr>
          <w:lang w:val="fr-FR"/>
        </w:rPr>
        <w:t xml:space="preserve"> “</w:t>
      </w:r>
      <w:r w:rsidR="00457F83" w:rsidRPr="00202EB9">
        <w:rPr>
          <w:lang w:val="fr-FR"/>
        </w:rPr>
        <w:t>la base de données n</w:t>
      </w:r>
      <w:r w:rsidR="00426067" w:rsidRPr="00202EB9">
        <w:rPr>
          <w:lang w:val="fr-FR"/>
        </w:rPr>
        <w:t>’</w:t>
      </w:r>
      <w:r w:rsidR="00457F83" w:rsidRPr="00202EB9">
        <w:rPr>
          <w:lang w:val="fr-FR"/>
        </w:rPr>
        <w:t>était utilisée de manière intensive ni par les demandeurs ni par les donateurs, puisqu</w:t>
      </w:r>
      <w:r w:rsidR="00426067" w:rsidRPr="00202EB9">
        <w:rPr>
          <w:lang w:val="fr-FR"/>
        </w:rPr>
        <w:t>’</w:t>
      </w:r>
      <w:r w:rsidR="00457F83" w:rsidRPr="00202EB9">
        <w:rPr>
          <w:lang w:val="fr-FR"/>
        </w:rPr>
        <w:t>elle affichait un total de six</w:t>
      </w:r>
      <w:r w:rsidR="00E15713" w:rsidRPr="00202EB9">
        <w:rPr>
          <w:lang w:val="fr-FR"/>
        </w:rPr>
        <w:t> </w:t>
      </w:r>
      <w:r w:rsidR="00457F83" w:rsidRPr="00202EB9">
        <w:rPr>
          <w:lang w:val="fr-FR"/>
        </w:rPr>
        <w:t>demandes et six</w:t>
      </w:r>
      <w:r w:rsidR="00E15713" w:rsidRPr="00202EB9">
        <w:rPr>
          <w:lang w:val="fr-FR"/>
        </w:rPr>
        <w:t> </w:t>
      </w:r>
      <w:r w:rsidR="00457F83" w:rsidRPr="00202EB9">
        <w:rPr>
          <w:lang w:val="fr-FR"/>
        </w:rPr>
        <w:t>offres</w:t>
      </w:r>
      <w:r w:rsidR="002B4DDA" w:rsidRPr="00202EB9">
        <w:rPr>
          <w:lang w:val="fr-FR"/>
        </w:rPr>
        <w:t>”</w:t>
      </w:r>
      <w:r w:rsidR="00AF00B6" w:rsidRPr="00202EB9">
        <w:rPr>
          <w:rStyle w:val="FootnoteReference"/>
          <w:szCs w:val="22"/>
          <w:lang w:val="fr-FR"/>
        </w:rPr>
        <w:footnoteReference w:id="18"/>
      </w:r>
      <w:r w:rsidR="00457F83" w:rsidRPr="00202EB9">
        <w:rPr>
          <w:lang w:val="fr-FR"/>
        </w:rPr>
        <w:t>.</w:t>
      </w:r>
      <w:r w:rsidR="00F5509E" w:rsidRPr="00202EB9">
        <w:rPr>
          <w:lang w:val="fr-FR"/>
        </w:rPr>
        <w:t xml:space="preserve"> </w:t>
      </w:r>
      <w:r w:rsidR="00457F83" w:rsidRPr="00202EB9">
        <w:rPr>
          <w:lang w:val="fr-FR"/>
        </w:rPr>
        <w:t xml:space="preserve"> </w:t>
      </w:r>
      <w:r w:rsidR="0002373A" w:rsidRPr="00202EB9">
        <w:rPr>
          <w:lang w:val="fr-FR"/>
        </w:rPr>
        <w:t>Il a en outre été souligné, à l</w:t>
      </w:r>
      <w:r w:rsidR="00426067" w:rsidRPr="00202EB9">
        <w:rPr>
          <w:lang w:val="fr-FR"/>
        </w:rPr>
        <w:t>’</w:t>
      </w:r>
      <w:r w:rsidR="0002373A" w:rsidRPr="00202EB9">
        <w:rPr>
          <w:lang w:val="fr-FR"/>
        </w:rPr>
        <w:t>occasion des entretiens menés par l</w:t>
      </w:r>
      <w:r w:rsidR="00426067" w:rsidRPr="00202EB9">
        <w:rPr>
          <w:lang w:val="fr-FR"/>
        </w:rPr>
        <w:t>’</w:t>
      </w:r>
      <w:r w:rsidR="0002373A" w:rsidRPr="00202EB9">
        <w:rPr>
          <w:lang w:val="fr-FR"/>
        </w:rPr>
        <w:t>équipe chargée de l</w:t>
      </w:r>
      <w:r w:rsidR="00426067" w:rsidRPr="00202EB9">
        <w:rPr>
          <w:lang w:val="fr-FR"/>
        </w:rPr>
        <w:t>’</w:t>
      </w:r>
      <w:r w:rsidR="0002373A" w:rsidRPr="00202EB9">
        <w:rPr>
          <w:lang w:val="fr-FR"/>
        </w:rPr>
        <w:t xml:space="preserve">étude, </w:t>
      </w:r>
      <w:r w:rsidR="000A733F" w:rsidRPr="00202EB9">
        <w:rPr>
          <w:lang w:val="fr-FR"/>
        </w:rPr>
        <w:t>que les bénéficiaires ne manifestaient apparemment qu</w:t>
      </w:r>
      <w:r w:rsidR="00426067" w:rsidRPr="00202EB9">
        <w:rPr>
          <w:lang w:val="fr-FR"/>
        </w:rPr>
        <w:t>’</w:t>
      </w:r>
      <w:r w:rsidR="000A733F" w:rsidRPr="00202EB9">
        <w:rPr>
          <w:lang w:val="fr-FR"/>
        </w:rPr>
        <w:t>un intérêt limité pour</w:t>
      </w:r>
      <w:r w:rsidR="0002373A" w:rsidRPr="00202EB9">
        <w:rPr>
          <w:lang w:val="fr-FR"/>
        </w:rPr>
        <w:t xml:space="preserve"> la base de données sur l</w:t>
      </w:r>
      <w:r w:rsidR="00426067" w:rsidRPr="00202EB9">
        <w:rPr>
          <w:lang w:val="fr-FR"/>
        </w:rPr>
        <w:t>’</w:t>
      </w:r>
      <w:r w:rsidR="0002373A" w:rsidRPr="00202EB9">
        <w:rPr>
          <w:lang w:val="fr-FR"/>
        </w:rPr>
        <w:t xml:space="preserve">assistance technique dans le domaine de la propriété intellectuelle </w:t>
      </w:r>
      <w:r w:rsidR="00F5509E" w:rsidRPr="00202EB9">
        <w:rPr>
          <w:lang w:val="fr-FR"/>
        </w:rPr>
        <w:t>(IP</w:t>
      </w:r>
      <w:r w:rsidR="001E787E" w:rsidRPr="00202EB9">
        <w:rPr>
          <w:lang w:val="fr-FR"/>
        </w:rPr>
        <w:noBreakHyphen/>
      </w:r>
      <w:proofErr w:type="spellStart"/>
      <w:r w:rsidR="00F5509E" w:rsidRPr="00202EB9">
        <w:rPr>
          <w:lang w:val="fr-FR"/>
        </w:rPr>
        <w:t>TAD</w:t>
      </w:r>
      <w:proofErr w:type="spellEnd"/>
      <w:r w:rsidR="00F5509E" w:rsidRPr="00202EB9">
        <w:rPr>
          <w:lang w:val="fr-FR"/>
        </w:rPr>
        <w:t>)</w:t>
      </w:r>
      <w:r w:rsidR="000A733F" w:rsidRPr="00202EB9">
        <w:rPr>
          <w:lang w:val="fr-FR"/>
        </w:rPr>
        <w:t>.</w:t>
      </w:r>
    </w:p>
    <w:p w:rsidR="00426067" w:rsidRPr="00202EB9" w:rsidRDefault="00F66980" w:rsidP="0026192C">
      <w:pPr>
        <w:pStyle w:val="ONUMFS"/>
        <w:rPr>
          <w:lang w:val="fr-FR"/>
        </w:rPr>
      </w:pPr>
      <w:r w:rsidRPr="00202EB9">
        <w:rPr>
          <w:lang w:val="fr-FR"/>
        </w:rPr>
        <w:t>Les recommandations du Plan d</w:t>
      </w:r>
      <w:r w:rsidR="00426067" w:rsidRPr="00202EB9">
        <w:rPr>
          <w:lang w:val="fr-FR"/>
        </w:rPr>
        <w:t>’</w:t>
      </w:r>
      <w:r w:rsidRPr="00202EB9">
        <w:rPr>
          <w:lang w:val="fr-FR"/>
        </w:rPr>
        <w:t xml:space="preserve">action pour le développement ont eu un effet de sensibilisation aux questions de propriété intellectuelle et de développement, entre autres </w:t>
      </w:r>
      <w:r w:rsidR="00213E55" w:rsidRPr="00202EB9">
        <w:rPr>
          <w:lang w:val="fr-FR"/>
        </w:rPr>
        <w:t xml:space="preserve">grâce aux études entreprises dans le cadre des projets sur la propriété intellectuelle et le développement </w:t>
      </w:r>
      <w:proofErr w:type="spellStart"/>
      <w:r w:rsidR="00213E55" w:rsidRPr="00202EB9">
        <w:rPr>
          <w:lang w:val="fr-FR"/>
        </w:rPr>
        <w:t>socioéconomique</w:t>
      </w:r>
      <w:proofErr w:type="spellEnd"/>
      <w:r w:rsidR="00213E55" w:rsidRPr="00202EB9">
        <w:rPr>
          <w:lang w:val="fr-FR"/>
        </w:rPr>
        <w:t xml:space="preserve">, </w:t>
      </w:r>
      <w:r w:rsidR="000F0EB6" w:rsidRPr="00202EB9">
        <w:rPr>
          <w:lang w:val="fr-FR"/>
        </w:rPr>
        <w:t>la propriété intellectuelle et la fuite des cerveaux ou la propriété intellectuelle et l</w:t>
      </w:r>
      <w:r w:rsidR="00426067" w:rsidRPr="00202EB9">
        <w:rPr>
          <w:lang w:val="fr-FR"/>
        </w:rPr>
        <w:t>’</w:t>
      </w:r>
      <w:r w:rsidR="000F0EB6" w:rsidRPr="00202EB9">
        <w:rPr>
          <w:lang w:val="fr-FR"/>
        </w:rPr>
        <w:t>économie informelle,</w:t>
      </w:r>
      <w:r w:rsidR="00B938C1" w:rsidRPr="00202EB9">
        <w:rPr>
          <w:lang w:val="fr-FR"/>
        </w:rPr>
        <w:t xml:space="preserve"> ainsi qu</w:t>
      </w:r>
      <w:r w:rsidR="00426067" w:rsidRPr="00202EB9">
        <w:rPr>
          <w:lang w:val="fr-FR"/>
        </w:rPr>
        <w:t>’</w:t>
      </w:r>
      <w:r w:rsidR="00B938C1" w:rsidRPr="00202EB9">
        <w:rPr>
          <w:lang w:val="fr-FR"/>
        </w:rPr>
        <w:t xml:space="preserve">au débat relatif aux </w:t>
      </w:r>
      <w:r w:rsidR="00E15713" w:rsidRPr="00202EB9">
        <w:rPr>
          <w:lang w:val="fr-FR"/>
        </w:rPr>
        <w:t>objectifs</w:t>
      </w:r>
      <w:r w:rsidR="00B938C1" w:rsidRPr="00202EB9">
        <w:rPr>
          <w:lang w:val="fr-FR"/>
        </w:rPr>
        <w:t xml:space="preserve"> du Millénaire pour le développeme</w:t>
      </w:r>
      <w:r w:rsidR="001E787E" w:rsidRPr="00202EB9">
        <w:rPr>
          <w:lang w:val="fr-FR"/>
        </w:rPr>
        <w:t>nt.  Le</w:t>
      </w:r>
      <w:r w:rsidR="00C368E6" w:rsidRPr="00202EB9">
        <w:rPr>
          <w:lang w:val="fr-FR"/>
        </w:rPr>
        <w:t>s visites sur le terrain ont permis de constater que certains bénéficiaires</w:t>
      </w:r>
      <w:r w:rsidR="001C58FD" w:rsidRPr="00202EB9">
        <w:rPr>
          <w:lang w:val="fr-FR"/>
        </w:rPr>
        <w:t>, s</w:t>
      </w:r>
      <w:r w:rsidR="00426067" w:rsidRPr="00202EB9">
        <w:rPr>
          <w:lang w:val="fr-FR"/>
        </w:rPr>
        <w:t>’</w:t>
      </w:r>
      <w:r w:rsidR="001C58FD" w:rsidRPr="00202EB9">
        <w:rPr>
          <w:lang w:val="fr-FR"/>
        </w:rPr>
        <w:t>ils n</w:t>
      </w:r>
      <w:r w:rsidR="00426067" w:rsidRPr="00202EB9">
        <w:rPr>
          <w:lang w:val="fr-FR"/>
        </w:rPr>
        <w:t>’</w:t>
      </w:r>
      <w:r w:rsidR="001C58FD" w:rsidRPr="00202EB9">
        <w:rPr>
          <w:lang w:val="fr-FR"/>
        </w:rPr>
        <w:t>étaient pas particulièrement informés concernant les recommandations du Plan d</w:t>
      </w:r>
      <w:r w:rsidR="00426067" w:rsidRPr="00202EB9">
        <w:rPr>
          <w:lang w:val="fr-FR"/>
        </w:rPr>
        <w:t>’</w:t>
      </w:r>
      <w:r w:rsidR="001C58FD" w:rsidRPr="00202EB9">
        <w:rPr>
          <w:lang w:val="fr-FR"/>
        </w:rPr>
        <w:t>action pour le développement, avaient conscience de l</w:t>
      </w:r>
      <w:r w:rsidR="00426067" w:rsidRPr="00202EB9">
        <w:rPr>
          <w:lang w:val="fr-FR"/>
        </w:rPr>
        <w:t>’</w:t>
      </w:r>
      <w:r w:rsidR="001C58FD" w:rsidRPr="00202EB9">
        <w:rPr>
          <w:lang w:val="fr-FR"/>
        </w:rPr>
        <w:t xml:space="preserve">importance des </w:t>
      </w:r>
      <w:r w:rsidR="0002120A" w:rsidRPr="00202EB9">
        <w:rPr>
          <w:lang w:val="fr-FR"/>
        </w:rPr>
        <w:t>incidences de ce dernier</w:t>
      </w:r>
      <w:r w:rsidR="001C58FD" w:rsidRPr="00202EB9">
        <w:rPr>
          <w:lang w:val="fr-FR"/>
        </w:rPr>
        <w:t xml:space="preserve"> et comprenaient mieux </w:t>
      </w:r>
      <w:r w:rsidR="00146CAF" w:rsidRPr="00202EB9">
        <w:rPr>
          <w:lang w:val="fr-FR"/>
        </w:rPr>
        <w:t xml:space="preserve">la complexité des questions </w:t>
      </w:r>
      <w:r w:rsidR="009F0211" w:rsidRPr="00202EB9">
        <w:rPr>
          <w:lang w:val="fr-FR"/>
        </w:rPr>
        <w:t xml:space="preserve">liées de manière </w:t>
      </w:r>
      <w:r w:rsidR="00146CAF" w:rsidRPr="00202EB9">
        <w:rPr>
          <w:lang w:val="fr-FR"/>
        </w:rPr>
        <w:t>indissociable</w:t>
      </w:r>
      <w:r w:rsidR="009F0211" w:rsidRPr="00202EB9">
        <w:rPr>
          <w:lang w:val="fr-FR"/>
        </w:rPr>
        <w:t xml:space="preserve"> </w:t>
      </w:r>
      <w:r w:rsidR="00146CAF" w:rsidRPr="00202EB9">
        <w:rPr>
          <w:lang w:val="fr-FR"/>
        </w:rPr>
        <w:t>au développement de la propriété intellectuel</w:t>
      </w:r>
      <w:r w:rsidR="001E787E" w:rsidRPr="00202EB9">
        <w:rPr>
          <w:lang w:val="fr-FR"/>
        </w:rPr>
        <w:t>le.  Pa</w:t>
      </w:r>
      <w:r w:rsidR="009F0211" w:rsidRPr="00202EB9">
        <w:rPr>
          <w:lang w:val="fr-FR"/>
        </w:rPr>
        <w:t>r conséquent, le concept de Plan d</w:t>
      </w:r>
      <w:r w:rsidR="00426067" w:rsidRPr="00202EB9">
        <w:rPr>
          <w:lang w:val="fr-FR"/>
        </w:rPr>
        <w:t>’</w:t>
      </w:r>
      <w:r w:rsidR="009F0211" w:rsidRPr="00202EB9">
        <w:rPr>
          <w:lang w:val="fr-FR"/>
        </w:rPr>
        <w:t>action pour le développement et son importance pour les pays suscitaient un vif intérêt, mais celui</w:t>
      </w:r>
      <w:r w:rsidR="001E787E" w:rsidRPr="00202EB9">
        <w:rPr>
          <w:lang w:val="fr-FR"/>
        </w:rPr>
        <w:noBreakHyphen/>
      </w:r>
      <w:r w:rsidR="009F0211" w:rsidRPr="00202EB9">
        <w:rPr>
          <w:lang w:val="fr-FR"/>
        </w:rPr>
        <w:t>ci ne traduisait pas nécessairement une connaissance réelle du débat</w:t>
      </w:r>
      <w:r w:rsidR="009B5BC4" w:rsidRPr="00202EB9">
        <w:rPr>
          <w:lang w:val="fr-FR"/>
        </w:rPr>
        <w:t xml:space="preserve"> relatif au Plan d</w:t>
      </w:r>
      <w:r w:rsidR="00426067" w:rsidRPr="00202EB9">
        <w:rPr>
          <w:lang w:val="fr-FR"/>
        </w:rPr>
        <w:t>’</w:t>
      </w:r>
      <w:r w:rsidR="009B5BC4" w:rsidRPr="00202EB9">
        <w:rPr>
          <w:lang w:val="fr-FR"/>
        </w:rPr>
        <w:t>action, tel qu</w:t>
      </w:r>
      <w:r w:rsidR="00426067" w:rsidRPr="00202EB9">
        <w:rPr>
          <w:lang w:val="fr-FR"/>
        </w:rPr>
        <w:t>’</w:t>
      </w:r>
      <w:r w:rsidR="009B5BC4" w:rsidRPr="00202EB9">
        <w:rPr>
          <w:lang w:val="fr-FR"/>
        </w:rPr>
        <w:t>il est tenu et perçu à Genève.</w:t>
      </w:r>
    </w:p>
    <w:p w:rsidR="00F5509E" w:rsidRPr="00202EB9" w:rsidRDefault="00BB0978" w:rsidP="0026192C">
      <w:pPr>
        <w:pStyle w:val="ONUMFS"/>
        <w:rPr>
          <w:lang w:val="fr-FR"/>
        </w:rPr>
      </w:pPr>
      <w:r w:rsidRPr="00202EB9">
        <w:rPr>
          <w:lang w:val="fr-FR"/>
        </w:rPr>
        <w:t>Dans les cinq</w:t>
      </w:r>
      <w:r w:rsidR="00E15713" w:rsidRPr="00202EB9">
        <w:rPr>
          <w:lang w:val="fr-FR"/>
        </w:rPr>
        <w:t> </w:t>
      </w:r>
      <w:r w:rsidRPr="00202EB9">
        <w:rPr>
          <w:lang w:val="fr-FR"/>
        </w:rPr>
        <w:t>pays qu</w:t>
      </w:r>
      <w:r w:rsidR="00426067" w:rsidRPr="00202EB9">
        <w:rPr>
          <w:lang w:val="fr-FR"/>
        </w:rPr>
        <w:t>’</w:t>
      </w:r>
      <w:r w:rsidRPr="00202EB9">
        <w:rPr>
          <w:lang w:val="fr-FR"/>
        </w:rPr>
        <w:t>elle a visités, l</w:t>
      </w:r>
      <w:r w:rsidR="00426067" w:rsidRPr="00202EB9">
        <w:rPr>
          <w:lang w:val="fr-FR"/>
        </w:rPr>
        <w:t>’</w:t>
      </w:r>
      <w:r w:rsidRPr="00202EB9">
        <w:rPr>
          <w:lang w:val="fr-FR"/>
        </w:rPr>
        <w:t>équipe chargée de l</w:t>
      </w:r>
      <w:r w:rsidR="00426067" w:rsidRPr="00202EB9">
        <w:rPr>
          <w:lang w:val="fr-FR"/>
        </w:rPr>
        <w:t>’</w:t>
      </w:r>
      <w:r w:rsidRPr="00202EB9">
        <w:rPr>
          <w:lang w:val="fr-FR"/>
        </w:rPr>
        <w:t>étude a</w:t>
      </w:r>
      <w:r w:rsidR="004431C6" w:rsidRPr="00202EB9">
        <w:rPr>
          <w:lang w:val="fr-FR"/>
        </w:rPr>
        <w:t xml:space="preserve"> reçu des bénéficiaires </w:t>
      </w:r>
      <w:r w:rsidR="00254B21" w:rsidRPr="00202EB9">
        <w:rPr>
          <w:lang w:val="fr-FR"/>
        </w:rPr>
        <w:t>un</w:t>
      </w:r>
      <w:r w:rsidR="004431C6" w:rsidRPr="00202EB9">
        <w:rPr>
          <w:lang w:val="fr-FR"/>
        </w:rPr>
        <w:t xml:space="preserve"> retour d</w:t>
      </w:r>
      <w:r w:rsidR="00426067" w:rsidRPr="00202EB9">
        <w:rPr>
          <w:lang w:val="fr-FR"/>
        </w:rPr>
        <w:t>’</w:t>
      </w:r>
      <w:r w:rsidR="004431C6" w:rsidRPr="00202EB9">
        <w:rPr>
          <w:lang w:val="fr-FR"/>
        </w:rPr>
        <w:t>information positif concernant les activités qui y avaient été entreprises, et a constaté une participation locale réelle aux différents projets en cours de mise en œuvre.</w:t>
      </w:r>
    </w:p>
    <w:p w:rsidR="00F5509E" w:rsidRPr="00202EB9" w:rsidRDefault="00173762" w:rsidP="0026192C">
      <w:pPr>
        <w:pStyle w:val="ONUMFS"/>
        <w:numPr>
          <w:ilvl w:val="0"/>
          <w:numId w:val="0"/>
        </w:numPr>
        <w:rPr>
          <w:b/>
          <w:lang w:val="fr-FR"/>
        </w:rPr>
      </w:pPr>
      <w:r w:rsidRPr="00202EB9">
        <w:rPr>
          <w:b/>
          <w:lang w:val="fr-FR"/>
        </w:rPr>
        <w:t>Conclusion</w:t>
      </w:r>
      <w:r w:rsidR="00D41E1C" w:rsidRPr="00202EB9">
        <w:rPr>
          <w:b/>
          <w:lang w:val="fr-FR"/>
        </w:rPr>
        <w:t> </w:t>
      </w:r>
      <w:r w:rsidR="00F5509E" w:rsidRPr="00202EB9">
        <w:rPr>
          <w:b/>
          <w:lang w:val="fr-FR"/>
        </w:rPr>
        <w:t>2</w:t>
      </w:r>
      <w:r w:rsidR="00E15713" w:rsidRPr="00202EB9">
        <w:rPr>
          <w:b/>
          <w:lang w:val="fr-FR"/>
        </w:rPr>
        <w:t> </w:t>
      </w:r>
      <w:proofErr w:type="gramStart"/>
      <w:r w:rsidR="00F5509E" w:rsidRPr="00202EB9">
        <w:rPr>
          <w:b/>
          <w:lang w:val="fr-FR"/>
        </w:rPr>
        <w:t>:</w:t>
      </w:r>
      <w:r w:rsidRPr="00202EB9">
        <w:rPr>
          <w:b/>
          <w:lang w:val="fr-FR"/>
        </w:rPr>
        <w:t xml:space="preserve"> </w:t>
      </w:r>
      <w:r w:rsidR="001A57CD" w:rsidRPr="00202EB9">
        <w:rPr>
          <w:b/>
          <w:lang w:val="fr-FR"/>
        </w:rPr>
        <w:t>L</w:t>
      </w:r>
      <w:r w:rsidR="00426067" w:rsidRPr="00202EB9">
        <w:rPr>
          <w:b/>
          <w:lang w:val="fr-FR"/>
        </w:rPr>
        <w:t>’</w:t>
      </w:r>
      <w:r w:rsidR="001A57CD" w:rsidRPr="00202EB9">
        <w:rPr>
          <w:b/>
          <w:lang w:val="fr-FR"/>
        </w:rPr>
        <w:t>approche</w:t>
      </w:r>
      <w:proofErr w:type="gramEnd"/>
      <w:r w:rsidR="001A57CD" w:rsidRPr="00202EB9">
        <w:rPr>
          <w:b/>
          <w:lang w:val="fr-FR"/>
        </w:rPr>
        <w:t xml:space="preserve"> fondée sur des projets</w:t>
      </w:r>
      <w:r w:rsidR="00B42517" w:rsidRPr="00202EB9">
        <w:rPr>
          <w:b/>
          <w:lang w:val="fr-FR"/>
        </w:rPr>
        <w:t xml:space="preserve"> </w:t>
      </w:r>
      <w:r w:rsidR="000D1AFF" w:rsidRPr="00202EB9">
        <w:rPr>
          <w:b/>
          <w:lang w:val="fr-FR"/>
        </w:rPr>
        <w:t>a constitué une démarche plus innovante, s</w:t>
      </w:r>
      <w:r w:rsidR="00426067" w:rsidRPr="00202EB9">
        <w:rPr>
          <w:b/>
          <w:lang w:val="fr-FR"/>
        </w:rPr>
        <w:t>’</w:t>
      </w:r>
      <w:r w:rsidR="000D1AFF" w:rsidRPr="00202EB9">
        <w:rPr>
          <w:b/>
          <w:lang w:val="fr-FR"/>
        </w:rPr>
        <w:t>agissant de répondre aux attentes des États membres, que l</w:t>
      </w:r>
      <w:r w:rsidR="00426067" w:rsidRPr="00202EB9">
        <w:rPr>
          <w:b/>
          <w:lang w:val="fr-FR"/>
        </w:rPr>
        <w:t>’</w:t>
      </w:r>
      <w:r w:rsidR="000D1AFF" w:rsidRPr="00202EB9">
        <w:rPr>
          <w:b/>
          <w:lang w:val="fr-FR"/>
        </w:rPr>
        <w:t>approche précédente, axée sur des activités.</w:t>
      </w:r>
    </w:p>
    <w:p w:rsidR="00F5509E" w:rsidRPr="00202EB9" w:rsidRDefault="000347F7" w:rsidP="0026192C">
      <w:pPr>
        <w:pStyle w:val="ONUMFS"/>
        <w:rPr>
          <w:lang w:val="fr-FR"/>
        </w:rPr>
      </w:pPr>
      <w:r w:rsidRPr="00202EB9">
        <w:rPr>
          <w:lang w:val="fr-FR"/>
        </w:rPr>
        <w:t>L</w:t>
      </w:r>
      <w:r w:rsidR="005B14B5" w:rsidRPr="00202EB9">
        <w:rPr>
          <w:lang w:val="fr-FR"/>
        </w:rPr>
        <w:t>e consensus politique dégagé sur l</w:t>
      </w:r>
      <w:r w:rsidR="00426067" w:rsidRPr="00202EB9">
        <w:rPr>
          <w:lang w:val="fr-FR"/>
        </w:rPr>
        <w:t>’</w:t>
      </w:r>
      <w:r w:rsidR="005B14B5" w:rsidRPr="00202EB9">
        <w:rPr>
          <w:lang w:val="fr-FR"/>
        </w:rPr>
        <w:t>adoption du Plan d</w:t>
      </w:r>
      <w:r w:rsidR="00426067" w:rsidRPr="00202EB9">
        <w:rPr>
          <w:lang w:val="fr-FR"/>
        </w:rPr>
        <w:t>’</w:t>
      </w:r>
      <w:r w:rsidR="005B14B5" w:rsidRPr="00202EB9">
        <w:rPr>
          <w:lang w:val="fr-FR"/>
        </w:rPr>
        <w:t>action</w:t>
      </w:r>
      <w:r w:rsidR="00E168EB" w:rsidRPr="00202EB9">
        <w:rPr>
          <w:lang w:val="fr-FR"/>
        </w:rPr>
        <w:t xml:space="preserve"> pour </w:t>
      </w:r>
      <w:r w:rsidR="005B14B5" w:rsidRPr="00202EB9">
        <w:rPr>
          <w:lang w:val="fr-FR"/>
        </w:rPr>
        <w:t>le développement en</w:t>
      </w:r>
      <w:r w:rsidR="00E15713" w:rsidRPr="00202EB9">
        <w:rPr>
          <w:lang w:val="fr-FR"/>
        </w:rPr>
        <w:t> </w:t>
      </w:r>
      <w:r w:rsidR="005B14B5" w:rsidRPr="00202EB9">
        <w:rPr>
          <w:lang w:val="fr-FR"/>
        </w:rPr>
        <w:t>2007</w:t>
      </w:r>
      <w:r w:rsidRPr="00202EB9">
        <w:rPr>
          <w:lang w:val="fr-FR"/>
        </w:rPr>
        <w:t xml:space="preserve"> avait conduit à l</w:t>
      </w:r>
      <w:r w:rsidR="00426067" w:rsidRPr="00202EB9">
        <w:rPr>
          <w:lang w:val="fr-FR"/>
        </w:rPr>
        <w:t>’</w:t>
      </w:r>
      <w:r w:rsidRPr="00202EB9">
        <w:rPr>
          <w:lang w:val="fr-FR"/>
        </w:rPr>
        <w:t>établissement par</w:t>
      </w:r>
      <w:r w:rsidR="003D5582" w:rsidRPr="00202EB9">
        <w:rPr>
          <w:lang w:val="fr-FR"/>
        </w:rPr>
        <w:t xml:space="preserve"> le président du comité de l</w:t>
      </w:r>
      <w:r w:rsidR="00426067" w:rsidRPr="00202EB9">
        <w:rPr>
          <w:lang w:val="fr-FR"/>
        </w:rPr>
        <w:t>’</w:t>
      </w:r>
      <w:r w:rsidR="003D5582" w:rsidRPr="00202EB9">
        <w:rPr>
          <w:lang w:val="fr-FR"/>
        </w:rPr>
        <w:t>époque</w:t>
      </w:r>
      <w:r w:rsidR="001859BD" w:rsidRPr="00202EB9">
        <w:rPr>
          <w:lang w:val="fr-FR"/>
        </w:rPr>
        <w:t xml:space="preserve"> </w:t>
      </w:r>
      <w:r w:rsidRPr="00202EB9">
        <w:rPr>
          <w:lang w:val="fr-FR"/>
        </w:rPr>
        <w:t>d</w:t>
      </w:r>
      <w:r w:rsidR="00426067" w:rsidRPr="00202EB9">
        <w:rPr>
          <w:lang w:val="fr-FR"/>
        </w:rPr>
        <w:t>’</w:t>
      </w:r>
      <w:r w:rsidR="001859BD" w:rsidRPr="00202EB9">
        <w:rPr>
          <w:lang w:val="fr-FR"/>
        </w:rPr>
        <w:t>un document de travail sur la mise en œuvre des 45</w:t>
      </w:r>
      <w:r w:rsidR="00D41E1C" w:rsidRPr="00202EB9">
        <w:rPr>
          <w:lang w:val="fr-FR"/>
        </w:rPr>
        <w:t> </w:t>
      </w:r>
      <w:r w:rsidR="001859BD" w:rsidRPr="00202EB9">
        <w:rPr>
          <w:lang w:val="fr-FR"/>
        </w:rPr>
        <w:t>recommandations approuvé</w:t>
      </w:r>
      <w:r w:rsidR="001E787E" w:rsidRPr="00202EB9">
        <w:rPr>
          <w:lang w:val="fr-FR"/>
        </w:rPr>
        <w:t>es.  L’e</w:t>
      </w:r>
      <w:r w:rsidRPr="00202EB9">
        <w:rPr>
          <w:lang w:val="fr-FR"/>
        </w:rPr>
        <w:t xml:space="preserve">xamen de ce document de travail a débuté à la première session du comité, en </w:t>
      </w:r>
      <w:r w:rsidR="00426067" w:rsidRPr="00202EB9">
        <w:rPr>
          <w:lang w:val="fr-FR"/>
        </w:rPr>
        <w:t>avril 20</w:t>
      </w:r>
      <w:r w:rsidR="00F5509E" w:rsidRPr="00202EB9">
        <w:rPr>
          <w:lang w:val="fr-FR"/>
        </w:rPr>
        <w:t xml:space="preserve">08.  </w:t>
      </w:r>
      <w:r w:rsidR="00E168EB" w:rsidRPr="00202EB9">
        <w:rPr>
          <w:lang w:val="fr-FR"/>
        </w:rPr>
        <w:t>À la troisième</w:t>
      </w:r>
      <w:r w:rsidR="00E15713" w:rsidRPr="00202EB9">
        <w:rPr>
          <w:lang w:val="fr-FR"/>
        </w:rPr>
        <w:t> </w:t>
      </w:r>
      <w:r w:rsidR="00E168EB" w:rsidRPr="00202EB9">
        <w:rPr>
          <w:lang w:val="fr-FR"/>
        </w:rPr>
        <w:t>session (</w:t>
      </w:r>
      <w:r w:rsidR="00426067" w:rsidRPr="00202EB9">
        <w:rPr>
          <w:lang w:val="fr-FR"/>
        </w:rPr>
        <w:t>avril 20</w:t>
      </w:r>
      <w:r w:rsidR="00E168EB" w:rsidRPr="00202EB9">
        <w:rPr>
          <w:lang w:val="fr-FR"/>
        </w:rPr>
        <w:t>09), cinq des recommandations du Plan d</w:t>
      </w:r>
      <w:r w:rsidR="00426067" w:rsidRPr="00202EB9">
        <w:rPr>
          <w:lang w:val="fr-FR"/>
        </w:rPr>
        <w:t>’</w:t>
      </w:r>
      <w:r w:rsidR="00E168EB" w:rsidRPr="00202EB9">
        <w:rPr>
          <w:lang w:val="fr-FR"/>
        </w:rPr>
        <w:t xml:space="preserve">action pour le développement (les recommandations </w:t>
      </w:r>
      <w:r w:rsidR="00E15713" w:rsidRPr="00202EB9">
        <w:rPr>
          <w:lang w:val="fr-FR"/>
        </w:rPr>
        <w:t>n</w:t>
      </w:r>
      <w:r w:rsidR="00E15713" w:rsidRPr="00202EB9">
        <w:rPr>
          <w:vertAlign w:val="superscript"/>
          <w:lang w:val="fr-FR"/>
        </w:rPr>
        <w:t>os</w:t>
      </w:r>
      <w:r w:rsidR="00E15713" w:rsidRPr="00202EB9">
        <w:rPr>
          <w:lang w:val="fr-FR"/>
        </w:rPr>
        <w:t> </w:t>
      </w:r>
      <w:r w:rsidR="00F5509E" w:rsidRPr="00202EB9">
        <w:rPr>
          <w:lang w:val="fr-FR"/>
        </w:rPr>
        <w:t xml:space="preserve">2, 5, 8, 9 </w:t>
      </w:r>
      <w:r w:rsidR="00E168EB" w:rsidRPr="00202EB9">
        <w:rPr>
          <w:lang w:val="fr-FR"/>
        </w:rPr>
        <w:t>et</w:t>
      </w:r>
      <w:r w:rsidR="001E787E" w:rsidRPr="00202EB9">
        <w:rPr>
          <w:lang w:val="fr-FR"/>
        </w:rPr>
        <w:t> </w:t>
      </w:r>
      <w:r w:rsidR="00F5509E" w:rsidRPr="00202EB9">
        <w:rPr>
          <w:lang w:val="fr-FR"/>
        </w:rPr>
        <w:t>10</w:t>
      </w:r>
      <w:r w:rsidR="00E168EB" w:rsidRPr="00202EB9">
        <w:rPr>
          <w:lang w:val="fr-FR"/>
        </w:rPr>
        <w:t>)</w:t>
      </w:r>
      <w:r w:rsidR="00F5509E" w:rsidRPr="00202EB9">
        <w:rPr>
          <w:lang w:val="fr-FR"/>
        </w:rPr>
        <w:t xml:space="preserve"> </w:t>
      </w:r>
      <w:r w:rsidR="00E168EB" w:rsidRPr="00202EB9">
        <w:rPr>
          <w:lang w:val="fr-FR"/>
        </w:rPr>
        <w:t>avaient été examinées et approuvées par les États membr</w:t>
      </w:r>
      <w:r w:rsidR="001E787E" w:rsidRPr="00202EB9">
        <w:rPr>
          <w:lang w:val="fr-FR"/>
        </w:rPr>
        <w:t>es.  Af</w:t>
      </w:r>
      <w:r w:rsidR="00695A6C" w:rsidRPr="00202EB9">
        <w:rPr>
          <w:lang w:val="fr-FR"/>
        </w:rPr>
        <w:t>in d</w:t>
      </w:r>
      <w:r w:rsidR="00426067" w:rsidRPr="00202EB9">
        <w:rPr>
          <w:lang w:val="fr-FR"/>
        </w:rPr>
        <w:t>’</w:t>
      </w:r>
      <w:r w:rsidR="00695A6C" w:rsidRPr="00202EB9">
        <w:rPr>
          <w:lang w:val="fr-FR"/>
        </w:rPr>
        <w:t>accélérer le processus de mise en œuvre et d</w:t>
      </w:r>
      <w:r w:rsidR="00426067" w:rsidRPr="00202EB9">
        <w:rPr>
          <w:lang w:val="fr-FR"/>
        </w:rPr>
        <w:t>’</w:t>
      </w:r>
      <w:r w:rsidR="00695A6C" w:rsidRPr="00202EB9">
        <w:rPr>
          <w:lang w:val="fr-FR"/>
        </w:rPr>
        <w:t>éviter la répétition des travaux, le Secrétariat avait proposé une nouvelle méthodologie thématique basée sur des résulta</w:t>
      </w:r>
      <w:r w:rsidR="001E787E" w:rsidRPr="00202EB9">
        <w:rPr>
          <w:lang w:val="fr-FR"/>
        </w:rPr>
        <w:t>ts.  Ce</w:t>
      </w:r>
      <w:r w:rsidR="00C06324" w:rsidRPr="00202EB9">
        <w:rPr>
          <w:lang w:val="fr-FR"/>
        </w:rPr>
        <w:t xml:space="preserve">tte </w:t>
      </w:r>
      <w:r w:rsidR="00DA25DB" w:rsidRPr="00202EB9">
        <w:rPr>
          <w:lang w:val="fr-FR"/>
        </w:rPr>
        <w:t>approche</w:t>
      </w:r>
      <w:r w:rsidR="00C06324" w:rsidRPr="00202EB9">
        <w:rPr>
          <w:lang w:val="fr-FR"/>
        </w:rPr>
        <w:t xml:space="preserve"> reposait sur </w:t>
      </w:r>
      <w:r w:rsidR="00DA25DB" w:rsidRPr="00202EB9">
        <w:rPr>
          <w:lang w:val="fr-FR"/>
        </w:rPr>
        <w:t>le</w:t>
      </w:r>
      <w:r w:rsidR="00C06324" w:rsidRPr="00202EB9">
        <w:rPr>
          <w:lang w:val="fr-FR"/>
        </w:rPr>
        <w:t xml:space="preserve"> regroupement par thème des recommandations du Plan d</w:t>
      </w:r>
      <w:r w:rsidR="00426067" w:rsidRPr="00202EB9">
        <w:rPr>
          <w:lang w:val="fr-FR"/>
        </w:rPr>
        <w:t>’</w:t>
      </w:r>
      <w:r w:rsidR="00542115" w:rsidRPr="00202EB9">
        <w:rPr>
          <w:lang w:val="fr-FR"/>
        </w:rPr>
        <w:t>action pour le développement</w:t>
      </w:r>
      <w:r w:rsidR="00DA25DB" w:rsidRPr="00202EB9">
        <w:rPr>
          <w:lang w:val="fr-FR"/>
        </w:rPr>
        <w:t xml:space="preserve"> et prévoyait </w:t>
      </w:r>
      <w:r w:rsidR="0095748B" w:rsidRPr="00202EB9">
        <w:rPr>
          <w:lang w:val="fr-FR"/>
        </w:rPr>
        <w:t>la portée de chaque projet, des estimations de coûts,</w:t>
      </w:r>
      <w:r w:rsidR="00C06324" w:rsidRPr="00202EB9">
        <w:rPr>
          <w:lang w:val="fr-FR"/>
        </w:rPr>
        <w:t xml:space="preserve"> </w:t>
      </w:r>
      <w:r w:rsidR="0095748B" w:rsidRPr="00202EB9">
        <w:rPr>
          <w:lang w:val="fr-FR"/>
        </w:rPr>
        <w:t>des résultats escomptés, des calendriers et un processus d</w:t>
      </w:r>
      <w:r w:rsidR="00426067" w:rsidRPr="00202EB9">
        <w:rPr>
          <w:lang w:val="fr-FR"/>
        </w:rPr>
        <w:t>’</w:t>
      </w:r>
      <w:r w:rsidR="0095748B" w:rsidRPr="00202EB9">
        <w:rPr>
          <w:lang w:val="fr-FR"/>
        </w:rPr>
        <w:t>évaluation.</w:t>
      </w:r>
    </w:p>
    <w:p w:rsidR="00F5509E" w:rsidRPr="00202EB9" w:rsidRDefault="002D3EF9" w:rsidP="0026192C">
      <w:pPr>
        <w:pStyle w:val="ONUMFS"/>
        <w:rPr>
          <w:lang w:val="fr-FR"/>
        </w:rPr>
      </w:pPr>
      <w:r w:rsidRPr="00202EB9">
        <w:rPr>
          <w:lang w:val="fr-FR"/>
        </w:rPr>
        <w:t>Ce regroupement a eu pour résultat qu</w:t>
      </w:r>
      <w:r w:rsidR="00426067" w:rsidRPr="00202EB9">
        <w:rPr>
          <w:lang w:val="fr-FR"/>
        </w:rPr>
        <w:t>’</w:t>
      </w:r>
      <w:r w:rsidRPr="00202EB9">
        <w:rPr>
          <w:lang w:val="fr-FR"/>
        </w:rPr>
        <w:t>un certain nombre de projets thématiques ont été examiné</w:t>
      </w:r>
      <w:r w:rsidR="00890299" w:rsidRPr="00202EB9">
        <w:rPr>
          <w:lang w:val="fr-FR"/>
        </w:rPr>
        <w:t>s</w:t>
      </w:r>
      <w:r w:rsidRPr="00202EB9">
        <w:rPr>
          <w:lang w:val="fr-FR"/>
        </w:rPr>
        <w:t xml:space="preserve"> et approuvé</w:t>
      </w:r>
      <w:r w:rsidR="00890299" w:rsidRPr="00202EB9">
        <w:rPr>
          <w:lang w:val="fr-FR"/>
        </w:rPr>
        <w:t>s</w:t>
      </w:r>
      <w:r w:rsidRPr="00202EB9">
        <w:rPr>
          <w:lang w:val="fr-FR"/>
        </w:rPr>
        <w:t xml:space="preserve"> par le comité aux fins de mise en œuvre par le Secrétariat, étant entendu que le simple fait qu</w:t>
      </w:r>
      <w:r w:rsidR="00426067" w:rsidRPr="00202EB9">
        <w:rPr>
          <w:lang w:val="fr-FR"/>
        </w:rPr>
        <w:t>’</w:t>
      </w:r>
      <w:r w:rsidRPr="00202EB9">
        <w:rPr>
          <w:lang w:val="fr-FR"/>
        </w:rPr>
        <w:t xml:space="preserve">un projet, une activité ou une étude </w:t>
      </w:r>
      <w:r w:rsidR="00EA7B64" w:rsidRPr="00202EB9">
        <w:rPr>
          <w:lang w:val="fr-FR"/>
        </w:rPr>
        <w:t xml:space="preserve">soient menés à </w:t>
      </w:r>
      <w:r w:rsidR="00212F0F" w:rsidRPr="00202EB9">
        <w:rPr>
          <w:lang w:val="fr-FR"/>
        </w:rPr>
        <w:t>bonne fin</w:t>
      </w:r>
      <w:r w:rsidR="00EA7B64" w:rsidRPr="00202EB9">
        <w:rPr>
          <w:lang w:val="fr-FR"/>
        </w:rPr>
        <w:t xml:space="preserve"> ne pouvait en aucun cas</w:t>
      </w:r>
      <w:r w:rsidR="00212F0F" w:rsidRPr="00202EB9">
        <w:rPr>
          <w:lang w:val="fr-FR"/>
        </w:rPr>
        <w:t xml:space="preserve"> mettre un terme à une recommandation.</w:t>
      </w:r>
    </w:p>
    <w:p w:rsidR="00F5509E" w:rsidRPr="00202EB9" w:rsidRDefault="001D42CB" w:rsidP="0026192C">
      <w:pPr>
        <w:pStyle w:val="ONUMFS"/>
        <w:rPr>
          <w:lang w:val="fr-FR"/>
        </w:rPr>
      </w:pPr>
      <w:r w:rsidRPr="00202EB9">
        <w:rPr>
          <w:lang w:val="fr-FR"/>
        </w:rPr>
        <w:t>L</w:t>
      </w:r>
      <w:r w:rsidR="00426067" w:rsidRPr="00202EB9">
        <w:rPr>
          <w:lang w:val="fr-FR"/>
        </w:rPr>
        <w:t>’</w:t>
      </w:r>
      <w:r w:rsidRPr="00202EB9">
        <w:rPr>
          <w:lang w:val="fr-FR"/>
        </w:rPr>
        <w:t>approche thématique basée sur des projets a reçu une bonne réception auprès de la plupart des États membres, qui continuent à l</w:t>
      </w:r>
      <w:r w:rsidR="00426067" w:rsidRPr="00202EB9">
        <w:rPr>
          <w:lang w:val="fr-FR"/>
        </w:rPr>
        <w:t>’</w:t>
      </w:r>
      <w:r w:rsidRPr="00202EB9">
        <w:rPr>
          <w:lang w:val="fr-FR"/>
        </w:rPr>
        <w:t xml:space="preserve">utiliser </w:t>
      </w:r>
      <w:r w:rsidR="00BF36B9" w:rsidRPr="00202EB9">
        <w:rPr>
          <w:lang w:val="fr-FR"/>
        </w:rPr>
        <w:t xml:space="preserve">tout </w:t>
      </w:r>
      <w:r w:rsidRPr="00202EB9">
        <w:rPr>
          <w:lang w:val="fr-FR"/>
        </w:rPr>
        <w:t xml:space="preserve">en faisant de nouvelles propositions </w:t>
      </w:r>
      <w:r w:rsidR="00BF36B9" w:rsidRPr="00202EB9">
        <w:rPr>
          <w:lang w:val="fr-FR"/>
        </w:rPr>
        <w:t>de travaux au comi</w:t>
      </w:r>
      <w:r w:rsidR="001E787E" w:rsidRPr="00202EB9">
        <w:rPr>
          <w:lang w:val="fr-FR"/>
        </w:rPr>
        <w:t>té.  Le</w:t>
      </w:r>
      <w:r w:rsidR="00BF36B9" w:rsidRPr="00202EB9">
        <w:rPr>
          <w:lang w:val="fr-FR"/>
        </w:rPr>
        <w:t>s États membres ont ainsi proposé durant la période de l</w:t>
      </w:r>
      <w:r w:rsidR="00426067" w:rsidRPr="00202EB9">
        <w:rPr>
          <w:lang w:val="fr-FR"/>
        </w:rPr>
        <w:t>’</w:t>
      </w:r>
      <w:r w:rsidR="00BF36B9" w:rsidRPr="00202EB9">
        <w:rPr>
          <w:lang w:val="fr-FR"/>
        </w:rPr>
        <w:t>étude sept</w:t>
      </w:r>
      <w:r w:rsidR="00E15713" w:rsidRPr="00202EB9">
        <w:rPr>
          <w:lang w:val="fr-FR"/>
        </w:rPr>
        <w:t> </w:t>
      </w:r>
      <w:r w:rsidR="00BF36B9" w:rsidRPr="00202EB9">
        <w:rPr>
          <w:lang w:val="fr-FR"/>
        </w:rPr>
        <w:t xml:space="preserve">projets </w:t>
      </w:r>
      <w:r w:rsidR="00466F59" w:rsidRPr="00202EB9">
        <w:rPr>
          <w:lang w:val="fr-FR"/>
        </w:rPr>
        <w:t xml:space="preserve">utilisant cette approche, </w:t>
      </w:r>
      <w:r w:rsidR="00426067" w:rsidRPr="00202EB9">
        <w:rPr>
          <w:lang w:val="fr-FR"/>
        </w:rPr>
        <w:t>à savoir</w:t>
      </w:r>
      <w:r w:rsidR="00466F59" w:rsidRPr="00202EB9">
        <w:rPr>
          <w:lang w:val="fr-FR"/>
        </w:rPr>
        <w:t xml:space="preserve"> </w:t>
      </w:r>
      <w:r w:rsidR="00F5509E" w:rsidRPr="00202EB9">
        <w:rPr>
          <w:lang w:val="fr-FR"/>
        </w:rPr>
        <w:t xml:space="preserve">IP </w:t>
      </w:r>
      <w:proofErr w:type="spellStart"/>
      <w:r w:rsidR="003B7785" w:rsidRPr="00202EB9">
        <w:rPr>
          <w:lang w:val="fr-FR"/>
        </w:rPr>
        <w:t>Advantage</w:t>
      </w:r>
      <w:proofErr w:type="spellEnd"/>
      <w:r w:rsidR="00466F59" w:rsidRPr="00202EB9">
        <w:rPr>
          <w:lang w:val="fr-FR"/>
        </w:rPr>
        <w:t>,</w:t>
      </w:r>
      <w:r w:rsidR="003B7785" w:rsidRPr="00202EB9">
        <w:rPr>
          <w:lang w:val="fr-FR"/>
        </w:rPr>
        <w:t xml:space="preserve"> </w:t>
      </w:r>
      <w:r w:rsidR="00C1038E" w:rsidRPr="00202EB9">
        <w:rPr>
          <w:lang w:val="fr-FR"/>
        </w:rPr>
        <w:t>P</w:t>
      </w:r>
      <w:r w:rsidR="00466F59" w:rsidRPr="00202EB9">
        <w:rPr>
          <w:lang w:val="fr-FR"/>
        </w:rPr>
        <w:t>ropriété intellectuelle et création de marques de produits aux fins de développement des entreprises dans les pays en développement et les pays les moins avancés (PMA),</w:t>
      </w:r>
      <w:r w:rsidR="00C1038E" w:rsidRPr="00202EB9">
        <w:rPr>
          <w:lang w:val="fr-FR"/>
        </w:rPr>
        <w:t xml:space="preserve"> Renforcement des capacités d</w:t>
      </w:r>
      <w:r w:rsidR="00426067" w:rsidRPr="00202EB9">
        <w:rPr>
          <w:lang w:val="fr-FR"/>
        </w:rPr>
        <w:t>’</w:t>
      </w:r>
      <w:r w:rsidR="00C1038E" w:rsidRPr="00202EB9">
        <w:rPr>
          <w:lang w:val="fr-FR"/>
        </w:rPr>
        <w:t>utilisation de l</w:t>
      </w:r>
      <w:r w:rsidR="00426067" w:rsidRPr="00202EB9">
        <w:rPr>
          <w:lang w:val="fr-FR"/>
        </w:rPr>
        <w:t>’</w:t>
      </w:r>
      <w:r w:rsidR="00C1038E" w:rsidRPr="00202EB9">
        <w:rPr>
          <w:lang w:val="fr-FR"/>
        </w:rPr>
        <w:t>information technique et scientifique axée sur les technologies appropriées pour répondre à certains enjeux de développement, Renforcement de la coopération Sud</w:t>
      </w:r>
      <w:r w:rsidR="001E787E" w:rsidRPr="00202EB9">
        <w:rPr>
          <w:lang w:val="fr-FR"/>
        </w:rPr>
        <w:noBreakHyphen/>
      </w:r>
      <w:r w:rsidR="00C1038E" w:rsidRPr="00202EB9">
        <w:rPr>
          <w:lang w:val="fr-FR"/>
        </w:rPr>
        <w:t>Sud dans le domaine de la propriété intellectuelle au service du développement parmi les pays en développement et les pays les moins avancés, Renforcement et développement du secteur de l</w:t>
      </w:r>
      <w:r w:rsidR="00426067" w:rsidRPr="00202EB9">
        <w:rPr>
          <w:lang w:val="fr-FR"/>
        </w:rPr>
        <w:t>’</w:t>
      </w:r>
      <w:proofErr w:type="spellStart"/>
      <w:r w:rsidR="00C1038E" w:rsidRPr="00202EB9">
        <w:rPr>
          <w:lang w:val="fr-FR"/>
        </w:rPr>
        <w:t>audiovisuel</w:t>
      </w:r>
      <w:proofErr w:type="spellEnd"/>
      <w:r w:rsidR="00C1038E" w:rsidRPr="00202EB9">
        <w:rPr>
          <w:lang w:val="fr-FR"/>
        </w:rPr>
        <w:t xml:space="preserve"> au Burkina Faso et dans certains pays africains,</w:t>
      </w:r>
      <w:r w:rsidR="005B576E" w:rsidRPr="00202EB9">
        <w:rPr>
          <w:lang w:val="fr-FR"/>
        </w:rPr>
        <w:t xml:space="preserve"> Propriété intellectuelle et gestion des dessins et modèles pour le développement des entreprises dans les pays en développement et les pays les moins avancés (PMA) et Propriété intellectuelle, tourisme et culture</w:t>
      </w:r>
      <w:r w:rsidR="00E15713" w:rsidRPr="00202EB9">
        <w:rPr>
          <w:lang w:val="fr-FR"/>
        </w:rPr>
        <w:t> </w:t>
      </w:r>
      <w:r w:rsidR="005B576E" w:rsidRPr="00202EB9">
        <w:rPr>
          <w:lang w:val="fr-FR"/>
        </w:rPr>
        <w:t>: contribution aux objectifs de développement et promotion du patrimoine culturel en Égypte et dans d</w:t>
      </w:r>
      <w:r w:rsidR="00426067" w:rsidRPr="00202EB9">
        <w:rPr>
          <w:lang w:val="fr-FR"/>
        </w:rPr>
        <w:t>’</w:t>
      </w:r>
      <w:r w:rsidR="005B576E" w:rsidRPr="00202EB9">
        <w:rPr>
          <w:lang w:val="fr-FR"/>
        </w:rPr>
        <w:t>autres pays en développement</w:t>
      </w:r>
      <w:r w:rsidR="00F5509E" w:rsidRPr="00202EB9">
        <w:rPr>
          <w:lang w:val="fr-FR"/>
        </w:rPr>
        <w:t>.</w:t>
      </w:r>
    </w:p>
    <w:p w:rsidR="00F5509E" w:rsidRPr="00202EB9" w:rsidRDefault="000B4157" w:rsidP="0026192C">
      <w:pPr>
        <w:pStyle w:val="ONUMFS"/>
        <w:rPr>
          <w:lang w:val="fr-FR"/>
        </w:rPr>
      </w:pPr>
      <w:r w:rsidRPr="00202EB9">
        <w:rPr>
          <w:lang w:val="fr-FR"/>
        </w:rPr>
        <w:t>L</w:t>
      </w:r>
      <w:r w:rsidR="00426067" w:rsidRPr="00202EB9">
        <w:rPr>
          <w:lang w:val="fr-FR"/>
        </w:rPr>
        <w:t>’</w:t>
      </w:r>
      <w:r w:rsidRPr="00202EB9">
        <w:rPr>
          <w:lang w:val="fr-FR"/>
        </w:rPr>
        <w:t>a</w:t>
      </w:r>
      <w:r w:rsidR="00A13251" w:rsidRPr="00202EB9">
        <w:rPr>
          <w:lang w:val="fr-FR"/>
        </w:rPr>
        <w:t>p</w:t>
      </w:r>
      <w:r w:rsidRPr="00202EB9">
        <w:rPr>
          <w:lang w:val="fr-FR"/>
        </w:rPr>
        <w:t>proche ci</w:t>
      </w:r>
      <w:r w:rsidR="001E787E" w:rsidRPr="00202EB9">
        <w:rPr>
          <w:lang w:val="fr-FR"/>
        </w:rPr>
        <w:noBreakHyphen/>
      </w:r>
      <w:r w:rsidRPr="00202EB9">
        <w:rPr>
          <w:lang w:val="fr-FR"/>
        </w:rPr>
        <w:t>dessus a permis l</w:t>
      </w:r>
      <w:r w:rsidR="00426067" w:rsidRPr="00202EB9">
        <w:rPr>
          <w:lang w:val="fr-FR"/>
        </w:rPr>
        <w:t>’</w:t>
      </w:r>
      <w:r w:rsidRPr="00202EB9">
        <w:rPr>
          <w:lang w:val="fr-FR"/>
        </w:rPr>
        <w:t>approbation de 31</w:t>
      </w:r>
      <w:r w:rsidR="00D41E1C" w:rsidRPr="00202EB9">
        <w:rPr>
          <w:lang w:val="fr-FR"/>
        </w:rPr>
        <w:t> </w:t>
      </w:r>
      <w:r w:rsidRPr="00202EB9">
        <w:rPr>
          <w:lang w:val="fr-FR"/>
        </w:rPr>
        <w:t xml:space="preserve">projets </w:t>
      </w:r>
      <w:r w:rsidR="003E7CA5" w:rsidRPr="00202EB9">
        <w:rPr>
          <w:lang w:val="fr-FR"/>
        </w:rPr>
        <w:t>ayant produit tout un faisceau de résultats, dont notamment la méthode et les outils de l</w:t>
      </w:r>
      <w:r w:rsidR="00426067" w:rsidRPr="00202EB9">
        <w:rPr>
          <w:lang w:val="fr-FR"/>
        </w:rPr>
        <w:t>’</w:t>
      </w:r>
      <w:r w:rsidR="003E7CA5" w:rsidRPr="00202EB9">
        <w:rPr>
          <w:lang w:val="fr-FR"/>
        </w:rPr>
        <w:t>OMPI pour élaborer des stratégies nationales de propriété intellectuelle, l</w:t>
      </w:r>
      <w:r w:rsidR="00426067" w:rsidRPr="00202EB9">
        <w:rPr>
          <w:lang w:val="fr-FR"/>
        </w:rPr>
        <w:t>’</w:t>
      </w:r>
      <w:r w:rsidR="003E7CA5" w:rsidRPr="00202EB9">
        <w:rPr>
          <w:lang w:val="fr-FR"/>
        </w:rPr>
        <w:t xml:space="preserve">assistance technique en matière de propriété intellectuelle, ainsi que plusieurs études </w:t>
      </w:r>
      <w:r w:rsidR="00A02ED6" w:rsidRPr="00202EB9">
        <w:rPr>
          <w:lang w:val="fr-FR"/>
        </w:rPr>
        <w:t>portant sur des questions telles que la propriété intellectuelle et la politique en matière de concurrence, la propriété intellectuelle et le domaine public, la propriété intellectuelle et les technologies de l</w:t>
      </w:r>
      <w:r w:rsidR="00426067" w:rsidRPr="00202EB9">
        <w:rPr>
          <w:lang w:val="fr-FR"/>
        </w:rPr>
        <w:t>’</w:t>
      </w:r>
      <w:r w:rsidR="00A02ED6" w:rsidRPr="00202EB9">
        <w:rPr>
          <w:lang w:val="fr-FR"/>
        </w:rPr>
        <w:t>information et de la communication (TIC), la propriété intellectuelle et le transfert de technologie, la propriété intellectuelle et la fuite des cerveaux, et enfin la propriété intellectuelle</w:t>
      </w:r>
      <w:r w:rsidR="00CD3FB3" w:rsidRPr="00202EB9">
        <w:rPr>
          <w:lang w:val="fr-FR"/>
        </w:rPr>
        <w:t xml:space="preserve"> et l</w:t>
      </w:r>
      <w:r w:rsidR="00426067" w:rsidRPr="00202EB9">
        <w:rPr>
          <w:lang w:val="fr-FR"/>
        </w:rPr>
        <w:t>’</w:t>
      </w:r>
      <w:r w:rsidR="00CD3FB3" w:rsidRPr="00202EB9">
        <w:rPr>
          <w:lang w:val="fr-FR"/>
        </w:rPr>
        <w:t>économie informelle.</w:t>
      </w:r>
    </w:p>
    <w:p w:rsidR="00F5509E" w:rsidRPr="00202EB9" w:rsidRDefault="008B755F" w:rsidP="0026192C">
      <w:pPr>
        <w:pStyle w:val="ONUMFS"/>
        <w:rPr>
          <w:lang w:val="fr-FR"/>
        </w:rPr>
      </w:pPr>
      <w:r w:rsidRPr="00202EB9">
        <w:rPr>
          <w:lang w:val="fr-FR"/>
        </w:rPr>
        <w:t>Il importe de souligner que parmi les personnes ayant répondu à l</w:t>
      </w:r>
      <w:r w:rsidR="00426067" w:rsidRPr="00202EB9">
        <w:rPr>
          <w:lang w:val="fr-FR"/>
        </w:rPr>
        <w:t>’</w:t>
      </w:r>
      <w:r w:rsidRPr="00202EB9">
        <w:rPr>
          <w:lang w:val="fr-FR"/>
        </w:rPr>
        <w:t xml:space="preserve">enquête en exprimant leur opinion, </w:t>
      </w:r>
      <w:r w:rsidR="00F5509E" w:rsidRPr="00202EB9">
        <w:rPr>
          <w:lang w:val="fr-FR"/>
        </w:rPr>
        <w:t xml:space="preserve">94% </w:t>
      </w:r>
      <w:r w:rsidRPr="00202EB9">
        <w:rPr>
          <w:lang w:val="fr-FR"/>
        </w:rPr>
        <w:t>ont estimé que l</w:t>
      </w:r>
      <w:r w:rsidR="00426067" w:rsidRPr="00202EB9">
        <w:rPr>
          <w:lang w:val="fr-FR"/>
        </w:rPr>
        <w:t>’</w:t>
      </w:r>
      <w:r w:rsidRPr="00202EB9">
        <w:rPr>
          <w:lang w:val="fr-FR"/>
        </w:rPr>
        <w:t>approche thématique fondée sur des projets était utile</w:t>
      </w:r>
      <w:r w:rsidR="000B5C42" w:rsidRPr="00202EB9">
        <w:rPr>
          <w:lang w:val="fr-FR"/>
        </w:rPr>
        <w:t xml:space="preserve"> en ce qu</w:t>
      </w:r>
      <w:r w:rsidR="00426067" w:rsidRPr="00202EB9">
        <w:rPr>
          <w:lang w:val="fr-FR"/>
        </w:rPr>
        <w:t>’</w:t>
      </w:r>
      <w:r w:rsidR="000B5C42" w:rsidRPr="00202EB9">
        <w:rPr>
          <w:lang w:val="fr-FR"/>
        </w:rPr>
        <w:t>elle avait permis de convertir</w:t>
      </w:r>
      <w:r w:rsidR="00A13251" w:rsidRPr="00202EB9">
        <w:rPr>
          <w:lang w:val="fr-FR"/>
        </w:rPr>
        <w:t xml:space="preserve"> en activités concrètes</w:t>
      </w:r>
      <w:r w:rsidR="000B5C42" w:rsidRPr="00202EB9">
        <w:rPr>
          <w:lang w:val="fr-FR"/>
        </w:rPr>
        <w:t xml:space="preserve"> les recommandations du Plan d</w:t>
      </w:r>
      <w:r w:rsidR="00426067" w:rsidRPr="00202EB9">
        <w:rPr>
          <w:lang w:val="fr-FR"/>
        </w:rPr>
        <w:t>’</w:t>
      </w:r>
      <w:r w:rsidR="000B5C42" w:rsidRPr="00202EB9">
        <w:rPr>
          <w:lang w:val="fr-FR"/>
        </w:rPr>
        <w:t>action pour le développement.</w:t>
      </w:r>
    </w:p>
    <w:p w:rsidR="00F5509E" w:rsidRPr="00202EB9" w:rsidRDefault="002A1392" w:rsidP="0026192C">
      <w:pPr>
        <w:pStyle w:val="ONUMFS"/>
        <w:numPr>
          <w:ilvl w:val="0"/>
          <w:numId w:val="0"/>
        </w:numPr>
        <w:rPr>
          <w:b/>
          <w:lang w:val="fr-FR"/>
        </w:rPr>
      </w:pPr>
      <w:r w:rsidRPr="00202EB9">
        <w:rPr>
          <w:b/>
          <w:lang w:val="fr-FR"/>
        </w:rPr>
        <w:t>Conclusion</w:t>
      </w:r>
      <w:r w:rsidR="00C4740B" w:rsidRPr="00202EB9">
        <w:rPr>
          <w:b/>
          <w:lang w:val="fr-FR"/>
        </w:rPr>
        <w:t> </w:t>
      </w:r>
      <w:r w:rsidR="00F5509E" w:rsidRPr="00202EB9">
        <w:rPr>
          <w:b/>
          <w:lang w:val="fr-FR"/>
        </w:rPr>
        <w:t>3</w:t>
      </w:r>
      <w:r w:rsidR="00E15713" w:rsidRPr="00202EB9">
        <w:rPr>
          <w:b/>
          <w:lang w:val="fr-FR"/>
        </w:rPr>
        <w:t> </w:t>
      </w:r>
      <w:proofErr w:type="gramStart"/>
      <w:r w:rsidR="00F5509E" w:rsidRPr="00202EB9">
        <w:rPr>
          <w:b/>
          <w:lang w:val="fr-FR"/>
        </w:rPr>
        <w:t xml:space="preserve">: </w:t>
      </w:r>
      <w:r w:rsidR="00A23C74" w:rsidRPr="00202EB9">
        <w:rPr>
          <w:b/>
          <w:lang w:val="fr-FR"/>
        </w:rPr>
        <w:t>Les</w:t>
      </w:r>
      <w:proofErr w:type="gramEnd"/>
      <w:r w:rsidR="00A23C74" w:rsidRPr="00202EB9">
        <w:rPr>
          <w:b/>
          <w:lang w:val="fr-FR"/>
        </w:rPr>
        <w:t xml:space="preserve"> recommandations du Plan d</w:t>
      </w:r>
      <w:r w:rsidR="00426067" w:rsidRPr="00202EB9">
        <w:rPr>
          <w:b/>
          <w:lang w:val="fr-FR"/>
        </w:rPr>
        <w:t>’</w:t>
      </w:r>
      <w:r w:rsidR="00A23C74" w:rsidRPr="00202EB9">
        <w:rPr>
          <w:b/>
          <w:lang w:val="fr-FR"/>
        </w:rPr>
        <w:t>action pour le développement</w:t>
      </w:r>
      <w:r w:rsidR="00611E1F" w:rsidRPr="00202EB9">
        <w:rPr>
          <w:b/>
          <w:lang w:val="fr-FR"/>
        </w:rPr>
        <w:t xml:space="preserve"> </w:t>
      </w:r>
      <w:r w:rsidR="00D55D27" w:rsidRPr="00202EB9">
        <w:rPr>
          <w:b/>
          <w:lang w:val="fr-FR"/>
        </w:rPr>
        <w:t>ont été à l</w:t>
      </w:r>
      <w:r w:rsidR="00426067" w:rsidRPr="00202EB9">
        <w:rPr>
          <w:b/>
          <w:lang w:val="fr-FR"/>
        </w:rPr>
        <w:t>’</w:t>
      </w:r>
      <w:r w:rsidR="00D55D27" w:rsidRPr="00202EB9">
        <w:rPr>
          <w:b/>
          <w:lang w:val="fr-FR"/>
        </w:rPr>
        <w:t xml:space="preserve">origine de travaux </w:t>
      </w:r>
      <w:r w:rsidR="00E96144" w:rsidRPr="00202EB9">
        <w:rPr>
          <w:b/>
          <w:lang w:val="fr-FR"/>
        </w:rPr>
        <w:t>non prévus antérieurement</w:t>
      </w:r>
      <w:r w:rsidR="00F5509E" w:rsidRPr="00202EB9">
        <w:rPr>
          <w:b/>
          <w:lang w:val="fr-FR"/>
        </w:rPr>
        <w:t>.</w:t>
      </w:r>
    </w:p>
    <w:p w:rsidR="00F5509E" w:rsidRPr="00202EB9" w:rsidRDefault="00FF1CD9" w:rsidP="0026192C">
      <w:pPr>
        <w:pStyle w:val="ONUMFS"/>
        <w:rPr>
          <w:lang w:val="fr-FR"/>
        </w:rPr>
      </w:pPr>
      <w:r w:rsidRPr="00202EB9">
        <w:rPr>
          <w:lang w:val="fr-FR"/>
        </w:rPr>
        <w:t>L</w:t>
      </w:r>
      <w:r w:rsidR="00426067" w:rsidRPr="00202EB9">
        <w:rPr>
          <w:lang w:val="fr-FR"/>
        </w:rPr>
        <w:t>’</w:t>
      </w:r>
      <w:r w:rsidRPr="00202EB9">
        <w:rPr>
          <w:lang w:val="fr-FR"/>
        </w:rPr>
        <w:t xml:space="preserve">étude </w:t>
      </w:r>
      <w:r w:rsidR="0001052C" w:rsidRPr="00202EB9">
        <w:rPr>
          <w:lang w:val="fr-FR"/>
        </w:rPr>
        <w:t xml:space="preserve">préliminaire </w:t>
      </w:r>
      <w:r w:rsidRPr="00202EB9">
        <w:rPr>
          <w:lang w:val="fr-FR"/>
        </w:rPr>
        <w:t>a montré qu</w:t>
      </w:r>
      <w:r w:rsidR="00426067" w:rsidRPr="00202EB9">
        <w:rPr>
          <w:lang w:val="fr-FR"/>
        </w:rPr>
        <w:t>’</w:t>
      </w:r>
      <w:r w:rsidRPr="00202EB9">
        <w:rPr>
          <w:lang w:val="fr-FR"/>
        </w:rPr>
        <w:t>au cours de la période considérée, la mise en œuvre des recommandations du Plan d</w:t>
      </w:r>
      <w:r w:rsidR="00426067" w:rsidRPr="00202EB9">
        <w:rPr>
          <w:lang w:val="fr-FR"/>
        </w:rPr>
        <w:t>’</w:t>
      </w:r>
      <w:r w:rsidRPr="00202EB9">
        <w:rPr>
          <w:lang w:val="fr-FR"/>
        </w:rPr>
        <w:t>action pour le développement a permis à l</w:t>
      </w:r>
      <w:r w:rsidR="00426067" w:rsidRPr="00202EB9">
        <w:rPr>
          <w:lang w:val="fr-FR"/>
        </w:rPr>
        <w:t>’</w:t>
      </w:r>
      <w:r w:rsidRPr="00202EB9">
        <w:rPr>
          <w:lang w:val="fr-FR"/>
        </w:rPr>
        <w:t>Organisation d</w:t>
      </w:r>
      <w:r w:rsidR="00426067" w:rsidRPr="00202EB9">
        <w:rPr>
          <w:lang w:val="fr-FR"/>
        </w:rPr>
        <w:t>’</w:t>
      </w:r>
      <w:r w:rsidRPr="00202EB9">
        <w:rPr>
          <w:lang w:val="fr-FR"/>
        </w:rPr>
        <w:t xml:space="preserve">entreprendre des réformes institutionnelles </w:t>
      </w:r>
      <w:r w:rsidR="0029128C" w:rsidRPr="00202EB9">
        <w:rPr>
          <w:lang w:val="fr-FR"/>
        </w:rPr>
        <w:t>afin de répondre aux exigences de ces recommandations et de faire des questions de développement une partie intégrante de ses trava</w:t>
      </w:r>
      <w:r w:rsidR="001E787E" w:rsidRPr="00202EB9">
        <w:rPr>
          <w:lang w:val="fr-FR"/>
        </w:rPr>
        <w:t>ux.  Il</w:t>
      </w:r>
      <w:r w:rsidR="0029128C" w:rsidRPr="00202EB9">
        <w:rPr>
          <w:lang w:val="fr-FR"/>
        </w:rPr>
        <w:t xml:space="preserve"> a été observé</w:t>
      </w:r>
      <w:r w:rsidR="005B49FF" w:rsidRPr="00202EB9">
        <w:rPr>
          <w:lang w:val="fr-FR"/>
        </w:rPr>
        <w:t>,</w:t>
      </w:r>
      <w:r w:rsidR="0029128C" w:rsidRPr="00202EB9">
        <w:rPr>
          <w:lang w:val="fr-FR"/>
        </w:rPr>
        <w:t xml:space="preserve"> à cet égard</w:t>
      </w:r>
      <w:r w:rsidR="005B49FF" w:rsidRPr="00202EB9">
        <w:rPr>
          <w:lang w:val="fr-FR"/>
        </w:rPr>
        <w:t>,</w:t>
      </w:r>
      <w:r w:rsidR="0029128C" w:rsidRPr="00202EB9">
        <w:rPr>
          <w:lang w:val="fr-FR"/>
        </w:rPr>
        <w:t xml:space="preserve"> que la Division de l</w:t>
      </w:r>
      <w:r w:rsidR="00426067" w:rsidRPr="00202EB9">
        <w:rPr>
          <w:lang w:val="fr-FR"/>
        </w:rPr>
        <w:t>’</w:t>
      </w:r>
      <w:r w:rsidR="0029128C" w:rsidRPr="00202EB9">
        <w:rPr>
          <w:lang w:val="fr-FR"/>
        </w:rPr>
        <w:t>économie et des statistiques</w:t>
      </w:r>
      <w:r w:rsidR="00763212" w:rsidRPr="00202EB9">
        <w:rPr>
          <w:lang w:val="fr-FR"/>
        </w:rPr>
        <w:t>, nouvellement créée et placée sous la direction d</w:t>
      </w:r>
      <w:r w:rsidR="00426067" w:rsidRPr="00202EB9">
        <w:rPr>
          <w:lang w:val="fr-FR"/>
        </w:rPr>
        <w:t>’</w:t>
      </w:r>
      <w:r w:rsidR="00763212" w:rsidRPr="00202EB9">
        <w:rPr>
          <w:lang w:val="fr-FR"/>
        </w:rPr>
        <w:t xml:space="preserve">un économiste en chef, veillait à </w:t>
      </w:r>
      <w:r w:rsidR="002C515E" w:rsidRPr="00202EB9">
        <w:rPr>
          <w:lang w:val="fr-FR"/>
        </w:rPr>
        <w:t>assurer la qualité des</w:t>
      </w:r>
      <w:r w:rsidR="00763212" w:rsidRPr="00202EB9">
        <w:rPr>
          <w:lang w:val="fr-FR"/>
        </w:rPr>
        <w:t xml:space="preserve"> nouvelles études</w:t>
      </w:r>
      <w:r w:rsidR="002C515E" w:rsidRPr="00202EB9">
        <w:rPr>
          <w:lang w:val="fr-FR"/>
        </w:rPr>
        <w:t xml:space="preserve"> entreprises par l</w:t>
      </w:r>
      <w:r w:rsidR="00426067" w:rsidRPr="00202EB9">
        <w:rPr>
          <w:lang w:val="fr-FR"/>
        </w:rPr>
        <w:t>’</w:t>
      </w:r>
      <w:r w:rsidR="002C515E" w:rsidRPr="00202EB9">
        <w:rPr>
          <w:lang w:val="fr-FR"/>
        </w:rPr>
        <w:t>Organisation pour “évaluer l</w:t>
      </w:r>
      <w:r w:rsidR="00426067" w:rsidRPr="00202EB9">
        <w:rPr>
          <w:lang w:val="fr-FR"/>
        </w:rPr>
        <w:t>’</w:t>
      </w:r>
      <w:r w:rsidR="002C515E" w:rsidRPr="00202EB9">
        <w:rPr>
          <w:lang w:val="fr-FR"/>
        </w:rPr>
        <w:t>incidence économique, sociale et culturelle de l</w:t>
      </w:r>
      <w:r w:rsidR="00426067" w:rsidRPr="00202EB9">
        <w:rPr>
          <w:lang w:val="fr-FR"/>
        </w:rPr>
        <w:t>’</w:t>
      </w:r>
      <w:r w:rsidR="002C515E" w:rsidRPr="00202EB9">
        <w:rPr>
          <w:lang w:val="fr-FR"/>
        </w:rPr>
        <w:t xml:space="preserve">utilisation des systèmes de propriété intellectuelle dans ces États” (recommandation </w:t>
      </w:r>
      <w:r w:rsidR="00E15713" w:rsidRPr="00202EB9">
        <w:rPr>
          <w:lang w:val="fr-FR"/>
        </w:rPr>
        <w:t>n° </w:t>
      </w:r>
      <w:r w:rsidR="002C515E" w:rsidRPr="00202EB9">
        <w:rPr>
          <w:lang w:val="fr-FR"/>
        </w:rPr>
        <w:t>35 du Plan d</w:t>
      </w:r>
      <w:r w:rsidR="00426067" w:rsidRPr="00202EB9">
        <w:rPr>
          <w:lang w:val="fr-FR"/>
        </w:rPr>
        <w:t>’</w:t>
      </w:r>
      <w:r w:rsidR="002C515E" w:rsidRPr="00202EB9">
        <w:rPr>
          <w:lang w:val="fr-FR"/>
        </w:rPr>
        <w:t>action pour le développement).</w:t>
      </w:r>
    </w:p>
    <w:p w:rsidR="00F5509E" w:rsidRPr="00202EB9" w:rsidRDefault="005B49FF" w:rsidP="0026192C">
      <w:pPr>
        <w:pStyle w:val="ONUMFS"/>
        <w:rPr>
          <w:lang w:val="fr-FR"/>
        </w:rPr>
      </w:pPr>
      <w:r w:rsidRPr="00202EB9">
        <w:rPr>
          <w:lang w:val="fr-FR"/>
        </w:rPr>
        <w:t>De plus, l</w:t>
      </w:r>
      <w:r w:rsidR="00AC6266" w:rsidRPr="00202EB9">
        <w:rPr>
          <w:lang w:val="fr-FR"/>
        </w:rPr>
        <w:t>a création du Bureau de déontologie de l</w:t>
      </w:r>
      <w:r w:rsidR="00426067" w:rsidRPr="00202EB9">
        <w:rPr>
          <w:lang w:val="fr-FR"/>
        </w:rPr>
        <w:t>’</w:t>
      </w:r>
      <w:r w:rsidR="00AC6266" w:rsidRPr="00202EB9">
        <w:rPr>
          <w:lang w:val="fr-FR"/>
        </w:rPr>
        <w:t>OMPI et du poste de chef du Bureau de la déontologie a conduit</w:t>
      </w:r>
      <w:r w:rsidRPr="00202EB9">
        <w:rPr>
          <w:lang w:val="fr-FR"/>
        </w:rPr>
        <w:t xml:space="preserve"> </w:t>
      </w:r>
      <w:r w:rsidR="00AC6266" w:rsidRPr="00202EB9">
        <w:rPr>
          <w:lang w:val="fr-FR"/>
        </w:rPr>
        <w:t>à l</w:t>
      </w:r>
      <w:r w:rsidR="00426067" w:rsidRPr="00202EB9">
        <w:rPr>
          <w:lang w:val="fr-FR"/>
        </w:rPr>
        <w:t>’</w:t>
      </w:r>
      <w:r w:rsidR="00AC6266" w:rsidRPr="00202EB9">
        <w:rPr>
          <w:lang w:val="fr-FR"/>
        </w:rPr>
        <w:t>élaboration du Code de déontologie de l</w:t>
      </w:r>
      <w:r w:rsidR="00426067" w:rsidRPr="00202EB9">
        <w:rPr>
          <w:lang w:val="fr-FR"/>
        </w:rPr>
        <w:t>’</w:t>
      </w:r>
      <w:r w:rsidR="00AC6266" w:rsidRPr="00202EB9">
        <w:rPr>
          <w:lang w:val="fr-FR"/>
        </w:rPr>
        <w:t>OMPI,</w:t>
      </w:r>
      <w:r w:rsidR="00E56919" w:rsidRPr="00202EB9">
        <w:rPr>
          <w:lang w:val="fr-FR"/>
        </w:rPr>
        <w:t xml:space="preserve"> en complément du </w:t>
      </w:r>
      <w:r w:rsidR="000B5BAC" w:rsidRPr="00202EB9">
        <w:rPr>
          <w:lang w:val="fr-FR"/>
        </w:rPr>
        <w:t>Statut et règlement du personnel de l</w:t>
      </w:r>
      <w:r w:rsidR="00426067" w:rsidRPr="00202EB9">
        <w:rPr>
          <w:lang w:val="fr-FR"/>
        </w:rPr>
        <w:t>’</w:t>
      </w:r>
      <w:r w:rsidR="000B5BAC" w:rsidRPr="00202EB9">
        <w:rPr>
          <w:lang w:val="fr-FR"/>
        </w:rPr>
        <w:t xml:space="preserve">Organisation et les Normes de conduite requises des fonctionnaires internationaux, conformément </w:t>
      </w:r>
      <w:r w:rsidRPr="00202EB9">
        <w:rPr>
          <w:lang w:val="fr-FR"/>
        </w:rPr>
        <w:t>à</w:t>
      </w:r>
      <w:r w:rsidR="000B5BAC" w:rsidRPr="00202EB9">
        <w:rPr>
          <w:lang w:val="fr-FR"/>
        </w:rPr>
        <w:t xml:space="preserve"> la recommandation </w:t>
      </w:r>
      <w:r w:rsidR="00E15713" w:rsidRPr="00202EB9">
        <w:rPr>
          <w:lang w:val="fr-FR"/>
        </w:rPr>
        <w:t>n° </w:t>
      </w:r>
      <w:r w:rsidR="000B5BAC" w:rsidRPr="00202EB9">
        <w:rPr>
          <w:lang w:val="fr-FR"/>
        </w:rPr>
        <w:t>6 du Plan d</w:t>
      </w:r>
      <w:r w:rsidR="00426067" w:rsidRPr="00202EB9">
        <w:rPr>
          <w:lang w:val="fr-FR"/>
        </w:rPr>
        <w:t>’</w:t>
      </w:r>
      <w:r w:rsidR="000B5BAC" w:rsidRPr="00202EB9">
        <w:rPr>
          <w:lang w:val="fr-FR"/>
        </w:rPr>
        <w:t>action pour le développeme</w:t>
      </w:r>
      <w:r w:rsidR="001E787E" w:rsidRPr="00202EB9">
        <w:rPr>
          <w:lang w:val="fr-FR"/>
        </w:rPr>
        <w:t>nt.  Ce</w:t>
      </w:r>
      <w:r w:rsidR="00E56919" w:rsidRPr="00202EB9">
        <w:rPr>
          <w:lang w:val="fr-FR"/>
        </w:rPr>
        <w:t xml:space="preserve"> travail a en outre été complété par une formation en matière d</w:t>
      </w:r>
      <w:r w:rsidR="00426067" w:rsidRPr="00202EB9">
        <w:rPr>
          <w:lang w:val="fr-FR"/>
        </w:rPr>
        <w:t>’</w:t>
      </w:r>
      <w:r w:rsidR="00E56919" w:rsidRPr="00202EB9">
        <w:rPr>
          <w:lang w:val="fr-FR"/>
        </w:rPr>
        <w:t>éthique</w:t>
      </w:r>
      <w:r w:rsidR="008B7E5D" w:rsidRPr="00202EB9">
        <w:rPr>
          <w:lang w:val="fr-FR"/>
        </w:rPr>
        <w:t xml:space="preserve">, </w:t>
      </w:r>
      <w:r w:rsidR="00502E32" w:rsidRPr="00202EB9">
        <w:rPr>
          <w:lang w:val="fr-FR"/>
        </w:rPr>
        <w:t>qui a été donnée</w:t>
      </w:r>
      <w:r w:rsidR="008B7E5D" w:rsidRPr="00202EB9">
        <w:rPr>
          <w:lang w:val="fr-FR"/>
        </w:rPr>
        <w:t xml:space="preserve"> à l</w:t>
      </w:r>
      <w:r w:rsidR="00426067" w:rsidRPr="00202EB9">
        <w:rPr>
          <w:lang w:val="fr-FR"/>
        </w:rPr>
        <w:t>’</w:t>
      </w:r>
      <w:r w:rsidR="008B7E5D" w:rsidRPr="00202EB9">
        <w:rPr>
          <w:lang w:val="fr-FR"/>
        </w:rPr>
        <w:t>ensemble du</w:t>
      </w:r>
      <w:r w:rsidR="00E56919" w:rsidRPr="00202EB9">
        <w:rPr>
          <w:lang w:val="fr-FR"/>
        </w:rPr>
        <w:t xml:space="preserve"> personnel de l</w:t>
      </w:r>
      <w:r w:rsidR="00426067" w:rsidRPr="00202EB9">
        <w:rPr>
          <w:lang w:val="fr-FR"/>
        </w:rPr>
        <w:t>’</w:t>
      </w:r>
      <w:r w:rsidR="00E56919" w:rsidRPr="00202EB9">
        <w:rPr>
          <w:lang w:val="fr-FR"/>
        </w:rPr>
        <w:t>OMPI.</w:t>
      </w:r>
    </w:p>
    <w:p w:rsidR="00F5509E" w:rsidRPr="00202EB9" w:rsidRDefault="0098314E" w:rsidP="0026192C">
      <w:pPr>
        <w:pStyle w:val="ONUMFS"/>
        <w:rPr>
          <w:lang w:val="fr-FR"/>
        </w:rPr>
      </w:pPr>
      <w:r w:rsidRPr="00202EB9">
        <w:rPr>
          <w:lang w:val="fr-FR"/>
        </w:rPr>
        <w:t>Ainsi qu</w:t>
      </w:r>
      <w:r w:rsidR="00426067" w:rsidRPr="00202EB9">
        <w:rPr>
          <w:lang w:val="fr-FR"/>
        </w:rPr>
        <w:t>’</w:t>
      </w:r>
      <w:r w:rsidRPr="00202EB9">
        <w:rPr>
          <w:lang w:val="fr-FR"/>
        </w:rPr>
        <w:t xml:space="preserve">il est </w:t>
      </w:r>
      <w:r w:rsidR="004E47F1" w:rsidRPr="00202EB9">
        <w:rPr>
          <w:lang w:val="fr-FR"/>
        </w:rPr>
        <w:t>expliqu</w:t>
      </w:r>
      <w:r w:rsidRPr="00202EB9">
        <w:rPr>
          <w:lang w:val="fr-FR"/>
        </w:rPr>
        <w:t>é dans</w:t>
      </w:r>
      <w:r w:rsidR="004E47F1" w:rsidRPr="00202EB9">
        <w:rPr>
          <w:lang w:val="fr-FR"/>
        </w:rPr>
        <w:t xml:space="preserve"> les rapports du Directeur général au comité, l</w:t>
      </w:r>
      <w:r w:rsidR="00426067" w:rsidRPr="00202EB9">
        <w:rPr>
          <w:lang w:val="fr-FR"/>
        </w:rPr>
        <w:t>’</w:t>
      </w:r>
      <w:r w:rsidR="004E47F1" w:rsidRPr="00202EB9">
        <w:rPr>
          <w:lang w:val="fr-FR"/>
        </w:rPr>
        <w:t xml:space="preserve">Organisation a </w:t>
      </w:r>
      <w:r w:rsidRPr="00202EB9">
        <w:rPr>
          <w:lang w:val="fr-FR"/>
        </w:rPr>
        <w:t xml:space="preserve">aussi </w:t>
      </w:r>
      <w:r w:rsidR="00DC3E92" w:rsidRPr="00202EB9">
        <w:rPr>
          <w:lang w:val="fr-FR"/>
        </w:rPr>
        <w:t xml:space="preserve">procédé à une réforme de ses activités de renforcement des capacités, en aidant les pays à mettre en place </w:t>
      </w:r>
      <w:r w:rsidR="00D119D6" w:rsidRPr="00202EB9">
        <w:rPr>
          <w:lang w:val="fr-FR"/>
        </w:rPr>
        <w:t xml:space="preserve">des stratégies et des politiques nationales de propriété intellectuelle alignées sur leurs objectifs nationaux de développement, des cadres réglementaires de propriété intellectuelle équilibrés, adaptés et </w:t>
      </w:r>
      <w:r w:rsidR="000A0BE0" w:rsidRPr="00202EB9">
        <w:rPr>
          <w:lang w:val="fr-FR"/>
        </w:rPr>
        <w:t>aptes à</w:t>
      </w:r>
      <w:r w:rsidR="00D119D6" w:rsidRPr="00202EB9">
        <w:rPr>
          <w:lang w:val="fr-FR"/>
        </w:rPr>
        <w:t xml:space="preserve"> promouvoir la créativité et l</w:t>
      </w:r>
      <w:r w:rsidR="00426067" w:rsidRPr="00202EB9">
        <w:rPr>
          <w:lang w:val="fr-FR"/>
        </w:rPr>
        <w:t>’</w:t>
      </w:r>
      <w:r w:rsidR="00D119D6" w:rsidRPr="00202EB9">
        <w:rPr>
          <w:lang w:val="fr-FR"/>
        </w:rPr>
        <w:t>innovation</w:t>
      </w:r>
      <w:r w:rsidR="005557E2" w:rsidRPr="00202EB9">
        <w:rPr>
          <w:lang w:val="fr-FR"/>
        </w:rPr>
        <w:t>, une infrastructure institutionnelle et technique en matière de propriété intellectuelle afin de soutenir les créateurs et les innovateurs</w:t>
      </w:r>
      <w:r w:rsidR="000A0BE0" w:rsidRPr="00202EB9">
        <w:rPr>
          <w:lang w:val="fr-FR"/>
        </w:rPr>
        <w:t>,</w:t>
      </w:r>
      <w:r w:rsidR="005557E2" w:rsidRPr="00202EB9">
        <w:rPr>
          <w:lang w:val="fr-FR"/>
        </w:rPr>
        <w:t xml:space="preserve"> et des capacités humaines et professionnelles renforcées</w:t>
      </w:r>
      <w:r w:rsidR="00171996" w:rsidRPr="00202EB9">
        <w:rPr>
          <w:lang w:val="fr-FR"/>
        </w:rPr>
        <w:t xml:space="preserve"> afin de permettre aux pays de tirer parti de l</w:t>
      </w:r>
      <w:r w:rsidR="00426067" w:rsidRPr="00202EB9">
        <w:rPr>
          <w:lang w:val="fr-FR"/>
        </w:rPr>
        <w:t>’</w:t>
      </w:r>
      <w:r w:rsidR="00171996" w:rsidRPr="00202EB9">
        <w:rPr>
          <w:lang w:val="fr-FR"/>
        </w:rPr>
        <w:t>économie de la connaissance par l</w:t>
      </w:r>
      <w:r w:rsidR="00426067" w:rsidRPr="00202EB9">
        <w:rPr>
          <w:lang w:val="fr-FR"/>
        </w:rPr>
        <w:t>’</w:t>
      </w:r>
      <w:r w:rsidR="00171996" w:rsidRPr="00202EB9">
        <w:rPr>
          <w:lang w:val="fr-FR"/>
        </w:rPr>
        <w:t>utilisation de la propriété intellectuelle.</w:t>
      </w:r>
    </w:p>
    <w:p w:rsidR="00426067" w:rsidRPr="00202EB9" w:rsidRDefault="00337E34" w:rsidP="0026192C">
      <w:pPr>
        <w:pStyle w:val="ONUMFS"/>
        <w:rPr>
          <w:lang w:val="fr-FR"/>
        </w:rPr>
      </w:pPr>
      <w:r w:rsidRPr="00202EB9">
        <w:rPr>
          <w:lang w:val="fr-FR"/>
        </w:rPr>
        <w:t>L</w:t>
      </w:r>
      <w:r w:rsidR="00426067" w:rsidRPr="00202EB9">
        <w:rPr>
          <w:lang w:val="fr-FR"/>
        </w:rPr>
        <w:t>’</w:t>
      </w:r>
      <w:r w:rsidRPr="00202EB9">
        <w:rPr>
          <w:lang w:val="fr-FR"/>
        </w:rPr>
        <w:t>étude a constaté également que l</w:t>
      </w:r>
      <w:r w:rsidR="00426067" w:rsidRPr="00202EB9">
        <w:rPr>
          <w:lang w:val="fr-FR"/>
        </w:rPr>
        <w:t>’</w:t>
      </w:r>
      <w:r w:rsidRPr="00202EB9">
        <w:rPr>
          <w:lang w:val="fr-FR"/>
        </w:rPr>
        <w:t>adoption du Plan d</w:t>
      </w:r>
      <w:r w:rsidR="00426067" w:rsidRPr="00202EB9">
        <w:rPr>
          <w:lang w:val="fr-FR"/>
        </w:rPr>
        <w:t>’</w:t>
      </w:r>
      <w:r w:rsidRPr="00202EB9">
        <w:rPr>
          <w:lang w:val="fr-FR"/>
        </w:rPr>
        <w:t xml:space="preserve">action pour le développement </w:t>
      </w:r>
      <w:r w:rsidR="00504323" w:rsidRPr="00202EB9">
        <w:rPr>
          <w:lang w:val="fr-FR"/>
        </w:rPr>
        <w:t xml:space="preserve">a </w:t>
      </w:r>
      <w:r w:rsidR="00D77865" w:rsidRPr="00202EB9">
        <w:rPr>
          <w:lang w:val="fr-FR"/>
        </w:rPr>
        <w:t>conduit</w:t>
      </w:r>
      <w:r w:rsidR="00504323" w:rsidRPr="00202EB9">
        <w:rPr>
          <w:lang w:val="fr-FR"/>
        </w:rPr>
        <w:t xml:space="preserve"> l</w:t>
      </w:r>
      <w:r w:rsidR="00426067" w:rsidRPr="00202EB9">
        <w:rPr>
          <w:lang w:val="fr-FR"/>
        </w:rPr>
        <w:t>’</w:t>
      </w:r>
      <w:r w:rsidR="00504323" w:rsidRPr="00202EB9">
        <w:rPr>
          <w:lang w:val="fr-FR"/>
        </w:rPr>
        <w:t>Organisation à renforcer sa coopération avec d</w:t>
      </w:r>
      <w:r w:rsidR="00426067" w:rsidRPr="00202EB9">
        <w:rPr>
          <w:lang w:val="fr-FR"/>
        </w:rPr>
        <w:t>’</w:t>
      </w:r>
      <w:r w:rsidR="00504323" w:rsidRPr="00202EB9">
        <w:rPr>
          <w:lang w:val="fr-FR"/>
        </w:rPr>
        <w:t xml:space="preserve">autres organisations </w:t>
      </w:r>
      <w:proofErr w:type="spellStart"/>
      <w:r w:rsidR="00504323" w:rsidRPr="00202EB9">
        <w:rPr>
          <w:lang w:val="fr-FR"/>
        </w:rPr>
        <w:t>intergouvernementales</w:t>
      </w:r>
      <w:proofErr w:type="spellEnd"/>
      <w:r w:rsidR="00504323" w:rsidRPr="00202EB9">
        <w:rPr>
          <w:lang w:val="fr-FR"/>
        </w:rPr>
        <w:t>, en particulier l</w:t>
      </w:r>
      <w:r w:rsidR="00426067" w:rsidRPr="00202EB9">
        <w:rPr>
          <w:lang w:val="fr-FR"/>
        </w:rPr>
        <w:t>’</w:t>
      </w:r>
      <w:r w:rsidR="00504323" w:rsidRPr="00202EB9">
        <w:rPr>
          <w:lang w:val="fr-FR"/>
        </w:rPr>
        <w:t>OMS et l</w:t>
      </w:r>
      <w:r w:rsidR="00426067" w:rsidRPr="00202EB9">
        <w:rPr>
          <w:lang w:val="fr-FR"/>
        </w:rPr>
        <w:t>’</w:t>
      </w:r>
      <w:r w:rsidR="001E787E" w:rsidRPr="00202EB9">
        <w:rPr>
          <w:lang w:val="fr-FR"/>
        </w:rPr>
        <w:t>OMC.  Ce</w:t>
      </w:r>
      <w:r w:rsidR="00704B61" w:rsidRPr="00202EB9">
        <w:rPr>
          <w:lang w:val="fr-FR"/>
        </w:rPr>
        <w:t>tte collaboration a principalement porté sur le rapport entre la propriété intellectuelle et le développement économique, social et cultur</w:t>
      </w:r>
      <w:r w:rsidR="001E787E" w:rsidRPr="00202EB9">
        <w:rPr>
          <w:lang w:val="fr-FR"/>
        </w:rPr>
        <w:t>el.  Un</w:t>
      </w:r>
      <w:r w:rsidR="00A65BA9" w:rsidRPr="00202EB9">
        <w:rPr>
          <w:lang w:val="fr-FR"/>
        </w:rPr>
        <w:t xml:space="preserve"> certain nombre d</w:t>
      </w:r>
      <w:r w:rsidR="00426067" w:rsidRPr="00202EB9">
        <w:rPr>
          <w:lang w:val="fr-FR"/>
        </w:rPr>
        <w:t>’</w:t>
      </w:r>
      <w:r w:rsidR="00A65BA9" w:rsidRPr="00202EB9">
        <w:rPr>
          <w:lang w:val="fr-FR"/>
        </w:rPr>
        <w:t>activités communes ont été organisé</w:t>
      </w:r>
      <w:r w:rsidR="00C4740B" w:rsidRPr="00202EB9">
        <w:rPr>
          <w:lang w:val="fr-FR"/>
        </w:rPr>
        <w:t>es</w:t>
      </w:r>
      <w:r w:rsidR="00A65BA9" w:rsidRPr="00202EB9">
        <w:rPr>
          <w:lang w:val="fr-FR"/>
        </w:rPr>
        <w:t xml:space="preserve"> par l</w:t>
      </w:r>
      <w:r w:rsidR="00426067" w:rsidRPr="00202EB9">
        <w:rPr>
          <w:lang w:val="fr-FR"/>
        </w:rPr>
        <w:t>’</w:t>
      </w:r>
      <w:r w:rsidR="00A65BA9" w:rsidRPr="00202EB9">
        <w:rPr>
          <w:lang w:val="fr-FR"/>
        </w:rPr>
        <w:t>OMPI dans le cadre de sa coopération trilatérale avec l</w:t>
      </w:r>
      <w:r w:rsidR="00426067" w:rsidRPr="00202EB9">
        <w:rPr>
          <w:lang w:val="fr-FR"/>
        </w:rPr>
        <w:t>’</w:t>
      </w:r>
      <w:r w:rsidR="00A65BA9" w:rsidRPr="00202EB9">
        <w:rPr>
          <w:lang w:val="fr-FR"/>
        </w:rPr>
        <w:t>OMS et l</w:t>
      </w:r>
      <w:r w:rsidR="00426067" w:rsidRPr="00202EB9">
        <w:rPr>
          <w:lang w:val="fr-FR"/>
        </w:rPr>
        <w:t>’</w:t>
      </w:r>
      <w:r w:rsidR="00A65BA9" w:rsidRPr="00202EB9">
        <w:rPr>
          <w:lang w:val="fr-FR"/>
        </w:rPr>
        <w:t>OMC, en particulier concernant la mise en œuvre de la Stratégie mondiale et du Plan d</w:t>
      </w:r>
      <w:r w:rsidR="00426067" w:rsidRPr="00202EB9">
        <w:rPr>
          <w:lang w:val="fr-FR"/>
        </w:rPr>
        <w:t>’</w:t>
      </w:r>
      <w:r w:rsidR="00A65BA9" w:rsidRPr="00202EB9">
        <w:rPr>
          <w:lang w:val="fr-FR"/>
        </w:rPr>
        <w:t>action pour la santé publique, l</w:t>
      </w:r>
      <w:r w:rsidR="00426067" w:rsidRPr="00202EB9">
        <w:rPr>
          <w:lang w:val="fr-FR"/>
        </w:rPr>
        <w:t>’</w:t>
      </w:r>
      <w:r w:rsidR="00A65BA9" w:rsidRPr="00202EB9">
        <w:rPr>
          <w:lang w:val="fr-FR"/>
        </w:rPr>
        <w:t>innovation et la propriété intellectuelle.</w:t>
      </w:r>
    </w:p>
    <w:p w:rsidR="00F5509E" w:rsidRPr="00202EB9" w:rsidRDefault="009A219E" w:rsidP="0026192C">
      <w:pPr>
        <w:pStyle w:val="ONUMFS"/>
        <w:rPr>
          <w:lang w:val="fr-FR"/>
        </w:rPr>
      </w:pPr>
      <w:r w:rsidRPr="00202EB9">
        <w:rPr>
          <w:lang w:val="fr-FR"/>
        </w:rPr>
        <w:t>L</w:t>
      </w:r>
      <w:r w:rsidR="00426067" w:rsidRPr="00202EB9">
        <w:rPr>
          <w:lang w:val="fr-FR"/>
        </w:rPr>
        <w:t>’</w:t>
      </w:r>
      <w:r w:rsidRPr="00202EB9">
        <w:rPr>
          <w:lang w:val="fr-FR"/>
        </w:rPr>
        <w:t>équipe chargée de l</w:t>
      </w:r>
      <w:r w:rsidR="00426067" w:rsidRPr="00202EB9">
        <w:rPr>
          <w:lang w:val="fr-FR"/>
        </w:rPr>
        <w:t>’</w:t>
      </w:r>
      <w:r w:rsidRPr="00202EB9">
        <w:rPr>
          <w:lang w:val="fr-FR"/>
        </w:rPr>
        <w:t>étude a noté la création d</w:t>
      </w:r>
      <w:r w:rsidR="00426067" w:rsidRPr="00202EB9">
        <w:rPr>
          <w:lang w:val="fr-FR"/>
        </w:rPr>
        <w:t>’</w:t>
      </w:r>
      <w:r w:rsidRPr="00202EB9">
        <w:rPr>
          <w:lang w:val="fr-FR"/>
        </w:rPr>
        <w:t>une Section des organisations non gouvernementales et des relations avec le monde de l</w:t>
      </w:r>
      <w:r w:rsidR="00426067" w:rsidRPr="00202EB9">
        <w:rPr>
          <w:lang w:val="fr-FR"/>
        </w:rPr>
        <w:t>’</w:t>
      </w:r>
      <w:r w:rsidRPr="00202EB9">
        <w:rPr>
          <w:lang w:val="fr-FR"/>
        </w:rPr>
        <w:t>entrepri</w:t>
      </w:r>
      <w:r w:rsidR="001E787E" w:rsidRPr="00202EB9">
        <w:rPr>
          <w:lang w:val="fr-FR"/>
        </w:rPr>
        <w:t>se.  Ce</w:t>
      </w:r>
      <w:r w:rsidR="00B452B3" w:rsidRPr="00202EB9">
        <w:rPr>
          <w:lang w:val="fr-FR"/>
        </w:rPr>
        <w:t>tte dernière a contribué</w:t>
      </w:r>
      <w:r w:rsidR="00997E2B" w:rsidRPr="00202EB9">
        <w:rPr>
          <w:lang w:val="fr-FR"/>
        </w:rPr>
        <w:t xml:space="preserve"> au maintien d</w:t>
      </w:r>
      <w:r w:rsidR="00426067" w:rsidRPr="00202EB9">
        <w:rPr>
          <w:lang w:val="fr-FR"/>
        </w:rPr>
        <w:t>’</w:t>
      </w:r>
      <w:r w:rsidR="00997E2B" w:rsidRPr="00202EB9">
        <w:rPr>
          <w:lang w:val="fr-FR"/>
        </w:rPr>
        <w:t>une coopération plus étroite avec les parties prenantes autres que gouvernementales, et cela grâce</w:t>
      </w:r>
      <w:r w:rsidR="00F67DA1" w:rsidRPr="00202EB9">
        <w:rPr>
          <w:lang w:val="fr-FR"/>
        </w:rPr>
        <w:t xml:space="preserve"> à</w:t>
      </w:r>
      <w:r w:rsidR="000B24BD" w:rsidRPr="00202EB9">
        <w:rPr>
          <w:lang w:val="fr-FR"/>
        </w:rPr>
        <w:t xml:space="preserve"> l</w:t>
      </w:r>
      <w:r w:rsidR="00426067" w:rsidRPr="00202EB9">
        <w:rPr>
          <w:lang w:val="fr-FR"/>
        </w:rPr>
        <w:t>’</w:t>
      </w:r>
      <w:r w:rsidR="000B24BD" w:rsidRPr="00202EB9">
        <w:rPr>
          <w:lang w:val="fr-FR"/>
        </w:rPr>
        <w:t>organisation par l</w:t>
      </w:r>
      <w:r w:rsidR="00426067" w:rsidRPr="00202EB9">
        <w:rPr>
          <w:lang w:val="fr-FR"/>
        </w:rPr>
        <w:t>’</w:t>
      </w:r>
      <w:r w:rsidR="000B24BD" w:rsidRPr="00202EB9">
        <w:rPr>
          <w:lang w:val="fr-FR"/>
        </w:rPr>
        <w:t>OMPI, à Genève ainsi qu</w:t>
      </w:r>
      <w:r w:rsidR="00426067" w:rsidRPr="00202EB9">
        <w:rPr>
          <w:lang w:val="fr-FR"/>
        </w:rPr>
        <w:t>’</w:t>
      </w:r>
      <w:r w:rsidR="000B24BD" w:rsidRPr="00202EB9">
        <w:rPr>
          <w:lang w:val="fr-FR"/>
        </w:rPr>
        <w:t>à l</w:t>
      </w:r>
      <w:r w:rsidR="00426067" w:rsidRPr="00202EB9">
        <w:rPr>
          <w:lang w:val="fr-FR"/>
        </w:rPr>
        <w:t>’</w:t>
      </w:r>
      <w:r w:rsidR="000B24BD" w:rsidRPr="00202EB9">
        <w:rPr>
          <w:lang w:val="fr-FR"/>
        </w:rPr>
        <w:t>étranger, d</w:t>
      </w:r>
      <w:r w:rsidR="00426067" w:rsidRPr="00202EB9">
        <w:rPr>
          <w:lang w:val="fr-FR"/>
        </w:rPr>
        <w:t>’</w:t>
      </w:r>
      <w:r w:rsidR="00997E2B" w:rsidRPr="00202EB9">
        <w:rPr>
          <w:lang w:val="fr-FR"/>
        </w:rPr>
        <w:t>ateliers et séminaires auxquels</w:t>
      </w:r>
      <w:r w:rsidR="0027398C" w:rsidRPr="00202EB9">
        <w:rPr>
          <w:lang w:val="fr-FR"/>
        </w:rPr>
        <w:t xml:space="preserve"> des représentants de la société civile</w:t>
      </w:r>
      <w:r w:rsidR="00997E2B" w:rsidRPr="00202EB9">
        <w:rPr>
          <w:lang w:val="fr-FR"/>
        </w:rPr>
        <w:t xml:space="preserve"> </w:t>
      </w:r>
      <w:r w:rsidR="000B24BD" w:rsidRPr="00202EB9">
        <w:rPr>
          <w:lang w:val="fr-FR"/>
        </w:rPr>
        <w:t>participent ou prêtent leur expertise</w:t>
      </w:r>
      <w:r w:rsidR="0027398C" w:rsidRPr="00202EB9">
        <w:rPr>
          <w:lang w:val="fr-FR"/>
        </w:rPr>
        <w:t xml:space="preserve">. </w:t>
      </w:r>
      <w:r w:rsidR="002F4A3C" w:rsidRPr="00202EB9">
        <w:rPr>
          <w:lang w:val="fr-FR"/>
        </w:rPr>
        <w:t xml:space="preserve"> </w:t>
      </w:r>
      <w:r w:rsidR="0085794D" w:rsidRPr="00202EB9">
        <w:rPr>
          <w:lang w:val="fr-FR"/>
        </w:rPr>
        <w:t>L</w:t>
      </w:r>
      <w:r w:rsidR="00426067" w:rsidRPr="00202EB9">
        <w:rPr>
          <w:lang w:val="fr-FR"/>
        </w:rPr>
        <w:t>’</w:t>
      </w:r>
      <w:r w:rsidR="0085794D" w:rsidRPr="00202EB9">
        <w:rPr>
          <w:lang w:val="fr-FR"/>
        </w:rPr>
        <w:t>OMPI organise également en marge des réunions des divers comités des séances d</w:t>
      </w:r>
      <w:r w:rsidR="00426067" w:rsidRPr="00202EB9">
        <w:rPr>
          <w:lang w:val="fr-FR"/>
        </w:rPr>
        <w:t>’</w:t>
      </w:r>
      <w:r w:rsidR="0085794D" w:rsidRPr="00202EB9">
        <w:rPr>
          <w:lang w:val="fr-FR"/>
        </w:rPr>
        <w:t>information et des événements parallèles qui constituent des lieux d</w:t>
      </w:r>
      <w:r w:rsidR="00426067" w:rsidRPr="00202EB9">
        <w:rPr>
          <w:lang w:val="fr-FR"/>
        </w:rPr>
        <w:t>’</w:t>
      </w:r>
      <w:r w:rsidR="0085794D" w:rsidRPr="00202EB9">
        <w:rPr>
          <w:lang w:val="fr-FR"/>
        </w:rPr>
        <w:t>échanges avec les organisations non gouvernementales.</w:t>
      </w:r>
    </w:p>
    <w:p w:rsidR="00F5509E" w:rsidRPr="00202EB9" w:rsidRDefault="00604D12" w:rsidP="0026192C">
      <w:pPr>
        <w:pStyle w:val="ONUMFS"/>
        <w:rPr>
          <w:lang w:val="fr-FR"/>
        </w:rPr>
      </w:pPr>
      <w:r w:rsidRPr="00202EB9">
        <w:rPr>
          <w:lang w:val="fr-FR"/>
        </w:rPr>
        <w:t>S</w:t>
      </w:r>
      <w:r w:rsidR="00426067" w:rsidRPr="00202EB9">
        <w:rPr>
          <w:lang w:val="fr-FR"/>
        </w:rPr>
        <w:t>’</w:t>
      </w:r>
      <w:r w:rsidRPr="00202EB9">
        <w:rPr>
          <w:lang w:val="fr-FR"/>
        </w:rPr>
        <w:t xml:space="preserve">agissant des </w:t>
      </w:r>
      <w:r w:rsidR="00E15713" w:rsidRPr="00202EB9">
        <w:rPr>
          <w:lang w:val="fr-FR"/>
        </w:rPr>
        <w:t>objectifs</w:t>
      </w:r>
      <w:r w:rsidRPr="00202EB9">
        <w:rPr>
          <w:lang w:val="fr-FR"/>
        </w:rPr>
        <w:t xml:space="preserve"> du Millénaire pour le développement</w:t>
      </w:r>
      <w:r w:rsidR="00320FCA" w:rsidRPr="00202EB9">
        <w:rPr>
          <w:lang w:val="fr-FR"/>
        </w:rPr>
        <w:t xml:space="preserve"> (</w:t>
      </w:r>
      <w:proofErr w:type="spellStart"/>
      <w:r w:rsidR="00320FCA" w:rsidRPr="00202EB9">
        <w:rPr>
          <w:lang w:val="fr-FR"/>
        </w:rPr>
        <w:t>OMD</w:t>
      </w:r>
      <w:proofErr w:type="spellEnd"/>
      <w:r w:rsidR="00320FCA" w:rsidRPr="00202EB9">
        <w:rPr>
          <w:lang w:val="fr-FR"/>
        </w:rPr>
        <w:t>), l</w:t>
      </w:r>
      <w:r w:rsidR="00426067" w:rsidRPr="00202EB9">
        <w:rPr>
          <w:lang w:val="fr-FR"/>
        </w:rPr>
        <w:t>’</w:t>
      </w:r>
      <w:r w:rsidR="00320FCA" w:rsidRPr="00202EB9">
        <w:rPr>
          <w:lang w:val="fr-FR"/>
        </w:rPr>
        <w:t>Organisation a été priée par</w:t>
      </w:r>
      <w:r w:rsidR="00426067" w:rsidRPr="00202EB9">
        <w:rPr>
          <w:lang w:val="fr-FR"/>
        </w:rPr>
        <w:t xml:space="preserve"> le </w:t>
      </w:r>
      <w:proofErr w:type="spellStart"/>
      <w:r w:rsidR="00426067" w:rsidRPr="00202EB9">
        <w:rPr>
          <w:lang w:val="fr-FR"/>
        </w:rPr>
        <w:t>CDI</w:t>
      </w:r>
      <w:r w:rsidR="00320FCA" w:rsidRPr="00202EB9">
        <w:rPr>
          <w:lang w:val="fr-FR"/>
        </w:rPr>
        <w:t>P</w:t>
      </w:r>
      <w:proofErr w:type="spellEnd"/>
      <w:r w:rsidR="00320FCA" w:rsidRPr="00202EB9">
        <w:rPr>
          <w:lang w:val="fr-FR"/>
        </w:rPr>
        <w:t xml:space="preserve"> de prendre les mesures nécessaires pour adhérer au Groupe de réflexion de l</w:t>
      </w:r>
      <w:r w:rsidR="00426067" w:rsidRPr="00202EB9">
        <w:rPr>
          <w:lang w:val="fr-FR"/>
        </w:rPr>
        <w:t>’</w:t>
      </w:r>
      <w:r w:rsidR="00320FCA" w:rsidRPr="00202EB9">
        <w:rPr>
          <w:lang w:val="fr-FR"/>
        </w:rPr>
        <w:t>ONU sur le retard pris dans la réalisation</w:t>
      </w:r>
      <w:r w:rsidR="00426067" w:rsidRPr="00202EB9">
        <w:rPr>
          <w:lang w:val="fr-FR"/>
        </w:rPr>
        <w:t xml:space="preserve"> des </w:t>
      </w:r>
      <w:proofErr w:type="spellStart"/>
      <w:r w:rsidR="00426067" w:rsidRPr="00202EB9">
        <w:rPr>
          <w:lang w:val="fr-FR"/>
        </w:rPr>
        <w:t>OMD</w:t>
      </w:r>
      <w:proofErr w:type="spellEnd"/>
      <w:r w:rsidR="00320FCA" w:rsidRPr="00202EB9">
        <w:rPr>
          <w:lang w:val="fr-FR"/>
        </w:rPr>
        <w:t>, ainsi qu</w:t>
      </w:r>
      <w:r w:rsidR="00426067" w:rsidRPr="00202EB9">
        <w:rPr>
          <w:lang w:val="fr-FR"/>
        </w:rPr>
        <w:t>’</w:t>
      </w:r>
      <w:r w:rsidR="00320FCA" w:rsidRPr="00202EB9">
        <w:rPr>
          <w:lang w:val="fr-FR"/>
        </w:rPr>
        <w:t xml:space="preserve">au Groupe </w:t>
      </w:r>
      <w:proofErr w:type="spellStart"/>
      <w:r w:rsidR="00320FCA" w:rsidRPr="00202EB9">
        <w:rPr>
          <w:lang w:val="fr-FR"/>
        </w:rPr>
        <w:t>interinstitutions</w:t>
      </w:r>
      <w:proofErr w:type="spellEnd"/>
      <w:r w:rsidR="00320FCA" w:rsidRPr="00202EB9">
        <w:rPr>
          <w:lang w:val="fr-FR"/>
        </w:rPr>
        <w:t xml:space="preserve"> et d</w:t>
      </w:r>
      <w:r w:rsidR="00426067" w:rsidRPr="00202EB9">
        <w:rPr>
          <w:lang w:val="fr-FR"/>
        </w:rPr>
        <w:t>’</w:t>
      </w:r>
      <w:r w:rsidR="00320FCA" w:rsidRPr="00202EB9">
        <w:rPr>
          <w:lang w:val="fr-FR"/>
        </w:rPr>
        <w:t>experts (</w:t>
      </w:r>
      <w:proofErr w:type="spellStart"/>
      <w:r w:rsidR="00320FCA" w:rsidRPr="00202EB9">
        <w:rPr>
          <w:lang w:val="fr-FR"/>
        </w:rPr>
        <w:t>IAEG</w:t>
      </w:r>
      <w:proofErr w:type="spellEnd"/>
      <w:r w:rsidR="00320FCA" w:rsidRPr="00202EB9">
        <w:rPr>
          <w:lang w:val="fr-FR"/>
        </w:rPr>
        <w:t xml:space="preserve">) sur les indicateurs </w:t>
      </w:r>
      <w:proofErr w:type="spellStart"/>
      <w:r w:rsidR="001E787E" w:rsidRPr="00202EB9">
        <w:rPr>
          <w:lang w:val="fr-FR"/>
        </w:rPr>
        <w:t>OMD</w:t>
      </w:r>
      <w:proofErr w:type="spellEnd"/>
      <w:r w:rsidR="001E787E" w:rsidRPr="00202EB9">
        <w:rPr>
          <w:lang w:val="fr-FR"/>
        </w:rPr>
        <w:t>.  En</w:t>
      </w:r>
      <w:r w:rsidR="00F2717B" w:rsidRPr="00202EB9">
        <w:rPr>
          <w:lang w:val="fr-FR"/>
        </w:rPr>
        <w:t xml:space="preserve"> conséquence, l</w:t>
      </w:r>
      <w:r w:rsidR="00426067" w:rsidRPr="00202EB9">
        <w:rPr>
          <w:lang w:val="fr-FR"/>
        </w:rPr>
        <w:t>’</w:t>
      </w:r>
      <w:r w:rsidR="00006F63" w:rsidRPr="00202EB9">
        <w:rPr>
          <w:lang w:val="fr-FR"/>
        </w:rPr>
        <w:t xml:space="preserve">OMPI est </w:t>
      </w:r>
      <w:r w:rsidR="00F2717B" w:rsidRPr="00202EB9">
        <w:rPr>
          <w:lang w:val="fr-FR"/>
        </w:rPr>
        <w:t>devenue</w:t>
      </w:r>
      <w:r w:rsidR="00006F63" w:rsidRPr="00202EB9">
        <w:rPr>
          <w:lang w:val="fr-FR"/>
        </w:rPr>
        <w:t xml:space="preserve"> observateur auprès de l</w:t>
      </w:r>
      <w:r w:rsidR="00426067" w:rsidRPr="00202EB9">
        <w:rPr>
          <w:lang w:val="fr-FR"/>
        </w:rPr>
        <w:t>’</w:t>
      </w:r>
      <w:r w:rsidR="00006F63" w:rsidRPr="00202EB9">
        <w:rPr>
          <w:lang w:val="fr-FR"/>
        </w:rPr>
        <w:t>équipe de travail</w:t>
      </w:r>
      <w:r w:rsidR="00426067" w:rsidRPr="00202EB9">
        <w:rPr>
          <w:lang w:val="fr-FR"/>
        </w:rPr>
        <w:t xml:space="preserve"> du </w:t>
      </w:r>
      <w:proofErr w:type="spellStart"/>
      <w:r w:rsidR="00426067" w:rsidRPr="00202EB9">
        <w:rPr>
          <w:lang w:val="fr-FR"/>
        </w:rPr>
        <w:t>GNU</w:t>
      </w:r>
      <w:r w:rsidR="00006F63" w:rsidRPr="00202EB9">
        <w:rPr>
          <w:lang w:val="fr-FR"/>
        </w:rPr>
        <w:t>D</w:t>
      </w:r>
      <w:proofErr w:type="spellEnd"/>
      <w:r w:rsidR="00006F63" w:rsidRPr="00202EB9">
        <w:rPr>
          <w:lang w:val="fr-FR"/>
        </w:rPr>
        <w:t xml:space="preserve"> sur les </w:t>
      </w:r>
      <w:r w:rsidR="00E15713" w:rsidRPr="00202EB9">
        <w:rPr>
          <w:lang w:val="fr-FR"/>
        </w:rPr>
        <w:t>objectifs</w:t>
      </w:r>
      <w:r w:rsidR="00006F63" w:rsidRPr="00202EB9">
        <w:rPr>
          <w:lang w:val="fr-FR"/>
        </w:rPr>
        <w:t xml:space="preserve"> du Millénaire pour le développement et </w:t>
      </w:r>
      <w:r w:rsidR="00F2717B" w:rsidRPr="00202EB9">
        <w:rPr>
          <w:lang w:val="fr-FR"/>
        </w:rPr>
        <w:t>membre de plusieurs autres groupes de travail établis par le Secrétaire général dans le cadre de l</w:t>
      </w:r>
      <w:r w:rsidR="00426067" w:rsidRPr="00202EB9">
        <w:rPr>
          <w:lang w:val="fr-FR"/>
        </w:rPr>
        <w:t>’</w:t>
      </w:r>
      <w:r w:rsidR="00F2717B" w:rsidRPr="00202EB9">
        <w:rPr>
          <w:lang w:val="fr-FR"/>
        </w:rPr>
        <w:t xml:space="preserve">Équipe spéciale du système des </w:t>
      </w:r>
      <w:r w:rsidR="00426067" w:rsidRPr="00202EB9">
        <w:rPr>
          <w:lang w:val="fr-FR"/>
        </w:rPr>
        <w:t>Nations Unies</w:t>
      </w:r>
      <w:r w:rsidR="00F2717B" w:rsidRPr="00202EB9">
        <w:rPr>
          <w:lang w:val="fr-FR"/>
        </w:rPr>
        <w:t xml:space="preserve"> chargée du </w:t>
      </w:r>
      <w:r w:rsidR="00D41E1C" w:rsidRPr="00202EB9">
        <w:rPr>
          <w:lang w:val="fr-FR"/>
        </w:rPr>
        <w:t>P</w:t>
      </w:r>
      <w:r w:rsidR="00F2717B" w:rsidRPr="00202EB9">
        <w:rPr>
          <w:lang w:val="fr-FR"/>
        </w:rPr>
        <w:t>rogramme de développement pour l</w:t>
      </w:r>
      <w:r w:rsidR="00426067" w:rsidRPr="00202EB9">
        <w:rPr>
          <w:lang w:val="fr-FR"/>
        </w:rPr>
        <w:t>’</w:t>
      </w:r>
      <w:proofErr w:type="spellStart"/>
      <w:r w:rsidR="00F2717B" w:rsidRPr="00202EB9">
        <w:rPr>
          <w:lang w:val="fr-FR"/>
        </w:rPr>
        <w:t>après</w:t>
      </w:r>
      <w:r w:rsidR="001E787E" w:rsidRPr="00202EB9">
        <w:rPr>
          <w:lang w:val="fr-FR"/>
        </w:rPr>
        <w:noBreakHyphen/>
      </w:r>
      <w:r w:rsidR="00F2717B" w:rsidRPr="00202EB9">
        <w:rPr>
          <w:lang w:val="fr-FR"/>
        </w:rPr>
        <w:t>2015</w:t>
      </w:r>
      <w:proofErr w:type="spellEnd"/>
      <w:r w:rsidR="00F2717B" w:rsidRPr="00202EB9">
        <w:rPr>
          <w:lang w:val="fr-FR"/>
        </w:rPr>
        <w:t>.</w:t>
      </w:r>
    </w:p>
    <w:p w:rsidR="00F5509E" w:rsidRPr="00202EB9" w:rsidRDefault="009C51CE" w:rsidP="0026192C">
      <w:pPr>
        <w:pStyle w:val="ONUMFS"/>
        <w:rPr>
          <w:lang w:val="fr-FR"/>
        </w:rPr>
      </w:pPr>
      <w:r w:rsidRPr="00202EB9">
        <w:rPr>
          <w:lang w:val="fr-FR"/>
        </w:rPr>
        <w:t>L</w:t>
      </w:r>
      <w:r w:rsidR="00426067" w:rsidRPr="00202EB9">
        <w:rPr>
          <w:lang w:val="fr-FR"/>
        </w:rPr>
        <w:t>’</w:t>
      </w:r>
      <w:r w:rsidRPr="00202EB9">
        <w:rPr>
          <w:lang w:val="fr-FR"/>
        </w:rPr>
        <w:t xml:space="preserve">OMPI a </w:t>
      </w:r>
      <w:r w:rsidR="000A49A9" w:rsidRPr="00202EB9">
        <w:rPr>
          <w:lang w:val="fr-FR"/>
        </w:rPr>
        <w:t>également</w:t>
      </w:r>
      <w:r w:rsidRPr="00202EB9">
        <w:rPr>
          <w:lang w:val="fr-FR"/>
        </w:rPr>
        <w:t xml:space="preserve"> mis en œuvre, en réponse aux demandes des États membres, un programme de travail sur les éléments de flexibilité du système de la propriété intellectuel</w:t>
      </w:r>
      <w:r w:rsidR="001E787E" w:rsidRPr="00202EB9">
        <w:rPr>
          <w:lang w:val="fr-FR"/>
        </w:rPr>
        <w:t>le.  Le</w:t>
      </w:r>
      <w:r w:rsidR="00790EA5" w:rsidRPr="00202EB9">
        <w:rPr>
          <w:lang w:val="fr-FR"/>
        </w:rPr>
        <w:t xml:space="preserve"> Secrétariat a produit à cet égard à l</w:t>
      </w:r>
      <w:r w:rsidR="00426067" w:rsidRPr="00202EB9">
        <w:rPr>
          <w:lang w:val="fr-FR"/>
        </w:rPr>
        <w:t>’</w:t>
      </w:r>
      <w:r w:rsidR="00790EA5" w:rsidRPr="00202EB9">
        <w:rPr>
          <w:lang w:val="fr-FR"/>
        </w:rPr>
        <w:t>intention</w:t>
      </w:r>
      <w:r w:rsidR="00426067" w:rsidRPr="00202EB9">
        <w:rPr>
          <w:lang w:val="fr-FR"/>
        </w:rPr>
        <w:t xml:space="preserve"> du </w:t>
      </w:r>
      <w:proofErr w:type="spellStart"/>
      <w:r w:rsidR="00426067" w:rsidRPr="00202EB9">
        <w:rPr>
          <w:lang w:val="fr-FR"/>
        </w:rPr>
        <w:t>CDI</w:t>
      </w:r>
      <w:r w:rsidR="00790EA5" w:rsidRPr="00202EB9">
        <w:rPr>
          <w:lang w:val="fr-FR"/>
        </w:rPr>
        <w:t>P</w:t>
      </w:r>
      <w:proofErr w:type="spellEnd"/>
      <w:r w:rsidR="00790EA5" w:rsidRPr="00202EB9">
        <w:rPr>
          <w:lang w:val="fr-FR"/>
        </w:rPr>
        <w:t xml:space="preserve"> une série de documents fournissant des informations sur la mise en œuvre dans les lois nationales de 14</w:t>
      </w:r>
      <w:r w:rsidR="00D41E1C" w:rsidRPr="00202EB9">
        <w:rPr>
          <w:lang w:val="fr-FR"/>
        </w:rPr>
        <w:t> </w:t>
      </w:r>
      <w:r w:rsidR="00790EA5" w:rsidRPr="00202EB9">
        <w:rPr>
          <w:lang w:val="fr-FR"/>
        </w:rPr>
        <w:t>éléments de flexibilité relatifs aux breve</w:t>
      </w:r>
      <w:r w:rsidR="001E787E" w:rsidRPr="00202EB9">
        <w:rPr>
          <w:lang w:val="fr-FR"/>
        </w:rPr>
        <w:t>ts.  Il</w:t>
      </w:r>
      <w:r w:rsidR="00FC124E" w:rsidRPr="00202EB9">
        <w:rPr>
          <w:lang w:val="fr-FR"/>
        </w:rPr>
        <w:t xml:space="preserve"> a également mis sur pied un</w:t>
      </w:r>
      <w:r w:rsidR="00B579D4" w:rsidRPr="00202EB9">
        <w:rPr>
          <w:lang w:val="fr-FR"/>
        </w:rPr>
        <w:t xml:space="preserve"> sit</w:t>
      </w:r>
      <w:r w:rsidR="00FC124E" w:rsidRPr="00202EB9">
        <w:rPr>
          <w:lang w:val="fr-FR"/>
        </w:rPr>
        <w:t>e</w:t>
      </w:r>
      <w:r w:rsidR="00E15713" w:rsidRPr="00202EB9">
        <w:rPr>
          <w:lang w:val="fr-FR"/>
        </w:rPr>
        <w:t> </w:t>
      </w:r>
      <w:r w:rsidR="00FC124E" w:rsidRPr="00202EB9">
        <w:rPr>
          <w:lang w:val="fr-FR"/>
        </w:rPr>
        <w:t>Web consacré aux éléments de flexibilité</w:t>
      </w:r>
      <w:r w:rsidR="00D46620" w:rsidRPr="00202EB9">
        <w:rPr>
          <w:lang w:val="fr-FR"/>
        </w:rPr>
        <w:t>, l</w:t>
      </w:r>
      <w:r w:rsidR="00B579D4" w:rsidRPr="00202EB9">
        <w:rPr>
          <w:lang w:val="fr-FR"/>
        </w:rPr>
        <w:t>e</w:t>
      </w:r>
      <w:r w:rsidR="00D46620" w:rsidRPr="00202EB9">
        <w:rPr>
          <w:lang w:val="fr-FR"/>
        </w:rPr>
        <w:t>quel donne accès aux ressources créées dans ce domaine par l</w:t>
      </w:r>
      <w:r w:rsidR="00426067" w:rsidRPr="00202EB9">
        <w:rPr>
          <w:lang w:val="fr-FR"/>
        </w:rPr>
        <w:t>’</w:t>
      </w:r>
      <w:r w:rsidR="00D46620" w:rsidRPr="00202EB9">
        <w:rPr>
          <w:lang w:val="fr-FR"/>
        </w:rPr>
        <w:t>OMPI</w:t>
      </w:r>
      <w:r w:rsidR="00ED7D6F" w:rsidRPr="00202EB9">
        <w:rPr>
          <w:lang w:val="fr-FR"/>
        </w:rPr>
        <w:t>,</w:t>
      </w:r>
      <w:r w:rsidR="00D46620" w:rsidRPr="00202EB9">
        <w:rPr>
          <w:lang w:val="fr-FR"/>
        </w:rPr>
        <w:t xml:space="preserve"> ainsi qu</w:t>
      </w:r>
      <w:r w:rsidR="00426067" w:rsidRPr="00202EB9">
        <w:rPr>
          <w:lang w:val="fr-FR"/>
        </w:rPr>
        <w:t>’</w:t>
      </w:r>
      <w:r w:rsidR="00D46620" w:rsidRPr="00202EB9">
        <w:rPr>
          <w:lang w:val="fr-FR"/>
        </w:rPr>
        <w:t>à des sources d</w:t>
      </w:r>
      <w:r w:rsidR="00426067" w:rsidRPr="00202EB9">
        <w:rPr>
          <w:lang w:val="fr-FR"/>
        </w:rPr>
        <w:t>’</w:t>
      </w:r>
      <w:r w:rsidR="00D46620" w:rsidRPr="00202EB9">
        <w:rPr>
          <w:lang w:val="fr-FR"/>
        </w:rPr>
        <w:t>informations connexes</w:t>
      </w:r>
      <w:r w:rsidR="00FD02DD" w:rsidRPr="00202EB9">
        <w:rPr>
          <w:lang w:val="fr-FR"/>
        </w:rPr>
        <w:t xml:space="preserve"> émanant d</w:t>
      </w:r>
      <w:r w:rsidR="00426067" w:rsidRPr="00202EB9">
        <w:rPr>
          <w:lang w:val="fr-FR"/>
        </w:rPr>
        <w:t>’</w:t>
      </w:r>
      <w:r w:rsidR="00FD02DD" w:rsidRPr="00202EB9">
        <w:rPr>
          <w:lang w:val="fr-FR"/>
        </w:rPr>
        <w:t xml:space="preserve">autres organisations </w:t>
      </w:r>
      <w:proofErr w:type="spellStart"/>
      <w:r w:rsidR="00FD02DD" w:rsidRPr="00202EB9">
        <w:rPr>
          <w:lang w:val="fr-FR"/>
        </w:rPr>
        <w:t>intergouvernemental</w:t>
      </w:r>
      <w:r w:rsidR="001E787E" w:rsidRPr="00202EB9">
        <w:rPr>
          <w:lang w:val="fr-FR"/>
        </w:rPr>
        <w:t>es</w:t>
      </w:r>
      <w:proofErr w:type="spellEnd"/>
      <w:r w:rsidR="001E787E" w:rsidRPr="00202EB9">
        <w:rPr>
          <w:lang w:val="fr-FR"/>
        </w:rPr>
        <w:t>.  Ce</w:t>
      </w:r>
      <w:r w:rsidR="00B579D4" w:rsidRPr="00202EB9">
        <w:rPr>
          <w:lang w:val="fr-FR"/>
        </w:rPr>
        <w:t xml:space="preserve"> site comprend en outre </w:t>
      </w:r>
      <w:r w:rsidR="001A3EA9" w:rsidRPr="00202EB9">
        <w:rPr>
          <w:lang w:val="fr-FR"/>
        </w:rPr>
        <w:t>une base de données contenant des informations sur l</w:t>
      </w:r>
      <w:r w:rsidR="00426067" w:rsidRPr="00202EB9">
        <w:rPr>
          <w:lang w:val="fr-FR"/>
        </w:rPr>
        <w:t>’</w:t>
      </w:r>
      <w:r w:rsidR="001A3EA9" w:rsidRPr="00202EB9">
        <w:rPr>
          <w:lang w:val="fr-FR"/>
        </w:rPr>
        <w:t>application des éléments de flexibilité en matière de propriété intellectuelle dans les législations nationales.</w:t>
      </w:r>
    </w:p>
    <w:p w:rsidR="00426067" w:rsidRPr="00202EB9" w:rsidRDefault="002079D4" w:rsidP="0026192C">
      <w:pPr>
        <w:pStyle w:val="ONUMFS"/>
        <w:rPr>
          <w:lang w:val="fr-FR"/>
        </w:rPr>
      </w:pPr>
      <w:r w:rsidRPr="00202EB9">
        <w:rPr>
          <w:lang w:val="fr-FR"/>
        </w:rPr>
        <w:t>L</w:t>
      </w:r>
      <w:r w:rsidR="00426067" w:rsidRPr="00202EB9">
        <w:rPr>
          <w:lang w:val="fr-FR"/>
        </w:rPr>
        <w:t>’</w:t>
      </w:r>
      <w:r w:rsidRPr="00202EB9">
        <w:rPr>
          <w:lang w:val="fr-FR"/>
        </w:rPr>
        <w:t>Organisation</w:t>
      </w:r>
      <w:r w:rsidR="00EE59EA" w:rsidRPr="00202EB9">
        <w:rPr>
          <w:lang w:val="fr-FR"/>
        </w:rPr>
        <w:t xml:space="preserve"> a établi, de plus, un certain nombre d</w:t>
      </w:r>
      <w:r w:rsidR="00426067" w:rsidRPr="00202EB9">
        <w:rPr>
          <w:lang w:val="fr-FR"/>
        </w:rPr>
        <w:t>’</w:t>
      </w:r>
      <w:r w:rsidR="00EE59EA" w:rsidRPr="00202EB9">
        <w:rPr>
          <w:lang w:val="fr-FR"/>
        </w:rPr>
        <w:t>études sur la propriété intellectuelle et le domaine public, la propriété intellectuelle et la politique en matière de concurrence, la propriété intellectuelle et la fuite des cerveaux</w:t>
      </w:r>
      <w:r w:rsidR="008324EF" w:rsidRPr="00202EB9">
        <w:rPr>
          <w:lang w:val="fr-FR"/>
        </w:rPr>
        <w:t>, la propriété intellectuelle et l</w:t>
      </w:r>
      <w:r w:rsidR="00426067" w:rsidRPr="00202EB9">
        <w:rPr>
          <w:lang w:val="fr-FR"/>
        </w:rPr>
        <w:t>’</w:t>
      </w:r>
      <w:r w:rsidR="00ED7D6F" w:rsidRPr="00202EB9">
        <w:rPr>
          <w:lang w:val="fr-FR"/>
        </w:rPr>
        <w:t xml:space="preserve">économie informelle, </w:t>
      </w:r>
      <w:r w:rsidR="008324EF" w:rsidRPr="00202EB9">
        <w:rPr>
          <w:lang w:val="fr-FR"/>
        </w:rPr>
        <w:t>et la propriété intellectuelle et le transfert de technolog</w:t>
      </w:r>
      <w:r w:rsidR="001E787E" w:rsidRPr="00202EB9">
        <w:rPr>
          <w:lang w:val="fr-FR"/>
        </w:rPr>
        <w:t>ie.  De</w:t>
      </w:r>
      <w:r w:rsidR="0094244F" w:rsidRPr="00202EB9">
        <w:rPr>
          <w:lang w:val="fr-FR"/>
        </w:rPr>
        <w:t>ux</w:t>
      </w:r>
      <w:r w:rsidR="00E15713" w:rsidRPr="00202EB9">
        <w:rPr>
          <w:lang w:val="fr-FR"/>
        </w:rPr>
        <w:t> </w:t>
      </w:r>
      <w:r w:rsidR="0094244F" w:rsidRPr="00202EB9">
        <w:rPr>
          <w:lang w:val="fr-FR"/>
        </w:rPr>
        <w:t>bases de données ont été créées en outre en tant que résultats de projets du Plan d</w:t>
      </w:r>
      <w:r w:rsidR="00426067" w:rsidRPr="00202EB9">
        <w:rPr>
          <w:lang w:val="fr-FR"/>
        </w:rPr>
        <w:t>’</w:t>
      </w:r>
      <w:r w:rsidR="0094244F" w:rsidRPr="00202EB9">
        <w:rPr>
          <w:lang w:val="fr-FR"/>
        </w:rPr>
        <w:t xml:space="preserve">action pour le développement, </w:t>
      </w:r>
      <w:r w:rsidR="00426067" w:rsidRPr="00202EB9">
        <w:rPr>
          <w:lang w:val="fr-FR"/>
        </w:rPr>
        <w:t>à savoir</w:t>
      </w:r>
      <w:r w:rsidR="0094244F" w:rsidRPr="00202EB9">
        <w:rPr>
          <w:lang w:val="fr-FR"/>
        </w:rPr>
        <w:t xml:space="preserve"> la base de données sur l</w:t>
      </w:r>
      <w:r w:rsidR="00426067" w:rsidRPr="00202EB9">
        <w:rPr>
          <w:lang w:val="fr-FR"/>
        </w:rPr>
        <w:t>’</w:t>
      </w:r>
      <w:r w:rsidR="0094244F" w:rsidRPr="00202EB9">
        <w:rPr>
          <w:lang w:val="fr-FR"/>
        </w:rPr>
        <w:t>assistance technique dans le domaine de la propriété intellectuelle (IP</w:t>
      </w:r>
      <w:r w:rsidR="001E787E" w:rsidRPr="00202EB9">
        <w:rPr>
          <w:lang w:val="fr-FR"/>
        </w:rPr>
        <w:noBreakHyphen/>
      </w:r>
      <w:proofErr w:type="spellStart"/>
      <w:r w:rsidR="0094244F" w:rsidRPr="00202EB9">
        <w:rPr>
          <w:lang w:val="fr-FR"/>
        </w:rPr>
        <w:t>TAD</w:t>
      </w:r>
      <w:proofErr w:type="spellEnd"/>
      <w:r w:rsidR="0094244F" w:rsidRPr="00202EB9">
        <w:rPr>
          <w:lang w:val="fr-FR"/>
        </w:rPr>
        <w:t>) et la base de données</w:t>
      </w:r>
      <w:r w:rsidR="008D4FA1" w:rsidRPr="00202EB9">
        <w:rPr>
          <w:lang w:val="fr-FR"/>
        </w:rPr>
        <w:t xml:space="preserve"> </w:t>
      </w:r>
      <w:r w:rsidR="0094244F" w:rsidRPr="00202EB9">
        <w:rPr>
          <w:lang w:val="fr-FR"/>
        </w:rPr>
        <w:t>de mise en parallèle des besoins de développement liés à la propriété intellectuelle</w:t>
      </w:r>
      <w:r w:rsidR="00B576F2" w:rsidRPr="00202EB9">
        <w:rPr>
          <w:lang w:val="fr-FR"/>
        </w:rPr>
        <w:t xml:space="preserve"> </w:t>
      </w:r>
      <w:r w:rsidR="00F5509E" w:rsidRPr="00202EB9">
        <w:rPr>
          <w:lang w:val="fr-FR"/>
        </w:rPr>
        <w:t>(IP</w:t>
      </w:r>
      <w:r w:rsidR="001E787E" w:rsidRPr="00202EB9">
        <w:rPr>
          <w:lang w:val="fr-FR"/>
        </w:rPr>
        <w:noBreakHyphen/>
      </w:r>
      <w:proofErr w:type="spellStart"/>
      <w:r w:rsidR="00F5509E" w:rsidRPr="00202EB9">
        <w:rPr>
          <w:lang w:val="fr-FR"/>
        </w:rPr>
        <w:t>DMD</w:t>
      </w:r>
      <w:proofErr w:type="spellEnd"/>
      <w:r w:rsidR="00F5509E" w:rsidRPr="00202EB9">
        <w:rPr>
          <w:lang w:val="fr-FR"/>
        </w:rPr>
        <w:t>).</w:t>
      </w:r>
    </w:p>
    <w:p w:rsidR="00F5509E" w:rsidRPr="00202EB9" w:rsidRDefault="0074489F" w:rsidP="0026192C">
      <w:pPr>
        <w:pStyle w:val="ONUMFS"/>
        <w:rPr>
          <w:lang w:val="fr-FR"/>
        </w:rPr>
      </w:pPr>
      <w:r w:rsidRPr="00202EB9">
        <w:rPr>
          <w:lang w:val="fr-FR"/>
        </w:rPr>
        <w:t>L</w:t>
      </w:r>
      <w:r w:rsidR="00C4740B" w:rsidRPr="00202EB9">
        <w:rPr>
          <w:lang w:val="fr-FR"/>
        </w:rPr>
        <w:t>e</w:t>
      </w:r>
      <w:r w:rsidRPr="00202EB9">
        <w:rPr>
          <w:lang w:val="fr-FR"/>
        </w:rPr>
        <w:t xml:space="preserve"> Traité de Marrakech adopté en</w:t>
      </w:r>
      <w:r w:rsidR="00E15713" w:rsidRPr="00202EB9">
        <w:rPr>
          <w:lang w:val="fr-FR"/>
        </w:rPr>
        <w:t> </w:t>
      </w:r>
      <w:r w:rsidRPr="00202EB9">
        <w:rPr>
          <w:lang w:val="fr-FR"/>
        </w:rPr>
        <w:t xml:space="preserve">2013 rappelle, dans son préambule, </w:t>
      </w:r>
      <w:r w:rsidR="00F5509E" w:rsidRPr="00202EB9">
        <w:rPr>
          <w:lang w:val="fr-FR"/>
        </w:rPr>
        <w:t>“</w:t>
      </w:r>
      <w:r w:rsidRPr="00202EB9">
        <w:rPr>
          <w:lang w:val="fr-FR"/>
        </w:rPr>
        <w:t>l</w:t>
      </w:r>
      <w:r w:rsidR="00426067" w:rsidRPr="00202EB9">
        <w:rPr>
          <w:lang w:val="fr-FR"/>
        </w:rPr>
        <w:t>’</w:t>
      </w:r>
      <w:r w:rsidRPr="00202EB9">
        <w:rPr>
          <w:lang w:val="fr-FR"/>
        </w:rPr>
        <w:t>importance des recommandations du Plan d</w:t>
      </w:r>
      <w:r w:rsidR="00426067" w:rsidRPr="00202EB9">
        <w:rPr>
          <w:lang w:val="fr-FR"/>
        </w:rPr>
        <w:t>’</w:t>
      </w:r>
      <w:r w:rsidRPr="00202EB9">
        <w:rPr>
          <w:lang w:val="fr-FR"/>
        </w:rPr>
        <w:t>action pour le développement adoptées en</w:t>
      </w:r>
      <w:r w:rsidR="00E15713" w:rsidRPr="00202EB9">
        <w:rPr>
          <w:lang w:val="fr-FR"/>
        </w:rPr>
        <w:t> </w:t>
      </w:r>
      <w:r w:rsidRPr="00202EB9">
        <w:rPr>
          <w:lang w:val="fr-FR"/>
        </w:rPr>
        <w:t>2007 par l</w:t>
      </w:r>
      <w:r w:rsidR="00426067" w:rsidRPr="00202EB9">
        <w:rPr>
          <w:lang w:val="fr-FR"/>
        </w:rPr>
        <w:t>’</w:t>
      </w:r>
      <w:r w:rsidRPr="00202EB9">
        <w:rPr>
          <w:lang w:val="fr-FR"/>
        </w:rPr>
        <w:t>Assemblée générale</w:t>
      </w:r>
      <w:r w:rsidR="00F5509E" w:rsidRPr="00202EB9">
        <w:rPr>
          <w:lang w:val="fr-FR"/>
        </w:rPr>
        <w:t xml:space="preserve">”. </w:t>
      </w:r>
      <w:r w:rsidRPr="00202EB9">
        <w:rPr>
          <w:lang w:val="fr-FR"/>
        </w:rPr>
        <w:t xml:space="preserve"> </w:t>
      </w:r>
      <w:r w:rsidR="00E54510" w:rsidRPr="00202EB9">
        <w:rPr>
          <w:lang w:val="fr-FR"/>
        </w:rPr>
        <w:t>Il reconnaît également,</w:t>
      </w:r>
      <w:r w:rsidR="00AB2118" w:rsidRPr="00202EB9">
        <w:rPr>
          <w:lang w:val="fr-FR"/>
        </w:rPr>
        <w:t xml:space="preserve"> dans le droit fil de la recommandation </w:t>
      </w:r>
      <w:r w:rsidR="00E15713" w:rsidRPr="00202EB9">
        <w:rPr>
          <w:lang w:val="fr-FR"/>
        </w:rPr>
        <w:t>n° </w:t>
      </w:r>
      <w:r w:rsidR="00AB2118" w:rsidRPr="00202EB9">
        <w:rPr>
          <w:lang w:val="fr-FR"/>
        </w:rPr>
        <w:t xml:space="preserve">15, </w:t>
      </w:r>
      <w:r w:rsidR="00F5509E" w:rsidRPr="00202EB9">
        <w:rPr>
          <w:lang w:val="fr-FR"/>
        </w:rPr>
        <w:t>“</w:t>
      </w:r>
      <w:r w:rsidR="00AB2118" w:rsidRPr="00202EB9">
        <w:rPr>
          <w:lang w:val="fr-FR"/>
        </w:rPr>
        <w:t>la nécessité de maintenir un équilibre entre la protection effective des droits des auteurs et l</w:t>
      </w:r>
      <w:r w:rsidR="00426067" w:rsidRPr="00202EB9">
        <w:rPr>
          <w:lang w:val="fr-FR"/>
        </w:rPr>
        <w:t>’</w:t>
      </w:r>
      <w:r w:rsidR="00AB2118" w:rsidRPr="00202EB9">
        <w:rPr>
          <w:lang w:val="fr-FR"/>
        </w:rPr>
        <w:t>intérêt public général, notamment en matière d</w:t>
      </w:r>
      <w:r w:rsidR="00426067" w:rsidRPr="00202EB9">
        <w:rPr>
          <w:lang w:val="fr-FR"/>
        </w:rPr>
        <w:t>’</w:t>
      </w:r>
      <w:r w:rsidR="00AB2118" w:rsidRPr="00202EB9">
        <w:rPr>
          <w:lang w:val="fr-FR"/>
        </w:rPr>
        <w:t>enseignement, de recherche et d</w:t>
      </w:r>
      <w:r w:rsidR="00426067" w:rsidRPr="00202EB9">
        <w:rPr>
          <w:lang w:val="fr-FR"/>
        </w:rPr>
        <w:t>’</w:t>
      </w:r>
      <w:r w:rsidR="00AB2118" w:rsidRPr="00202EB9">
        <w:rPr>
          <w:lang w:val="fr-FR"/>
        </w:rPr>
        <w:t>accès à l</w:t>
      </w:r>
      <w:r w:rsidR="00426067" w:rsidRPr="00202EB9">
        <w:rPr>
          <w:lang w:val="fr-FR"/>
        </w:rPr>
        <w:t>’</w:t>
      </w:r>
      <w:r w:rsidR="00AB2118" w:rsidRPr="00202EB9">
        <w:rPr>
          <w:lang w:val="fr-FR"/>
        </w:rPr>
        <w:t xml:space="preserve">information; </w:t>
      </w:r>
      <w:r w:rsidR="00E15713" w:rsidRPr="00202EB9">
        <w:rPr>
          <w:lang w:val="fr-FR"/>
        </w:rPr>
        <w:t xml:space="preserve"> </w:t>
      </w:r>
      <w:r w:rsidR="00AB2118" w:rsidRPr="00202EB9">
        <w:rPr>
          <w:lang w:val="fr-FR"/>
        </w:rPr>
        <w:t>et que cet équilibre doit faciliter un accès effectif et dans les meilleurs délais aux œuvres pour les déficients visuels et les personnes ayant d</w:t>
      </w:r>
      <w:r w:rsidR="00426067" w:rsidRPr="00202EB9">
        <w:rPr>
          <w:lang w:val="fr-FR"/>
        </w:rPr>
        <w:t>’</w:t>
      </w:r>
      <w:r w:rsidR="00AB2118" w:rsidRPr="00202EB9">
        <w:rPr>
          <w:lang w:val="fr-FR"/>
        </w:rPr>
        <w:t>autres difficultés de lecture des textes imprimés</w:t>
      </w:r>
      <w:r w:rsidR="00F5509E" w:rsidRPr="00202EB9">
        <w:rPr>
          <w:lang w:val="fr-FR"/>
        </w:rPr>
        <w:t>”.</w:t>
      </w:r>
    </w:p>
    <w:p w:rsidR="00F5509E" w:rsidRPr="00202EB9" w:rsidRDefault="0026192C" w:rsidP="0026192C">
      <w:pPr>
        <w:pStyle w:val="Heading3"/>
        <w:rPr>
          <w:lang w:val="fr-FR"/>
        </w:rPr>
      </w:pPr>
      <w:bookmarkStart w:id="21" w:name="_Toc460492862"/>
      <w:r w:rsidRPr="00327572">
        <w:rPr>
          <w:u w:val="none"/>
          <w:lang w:val="fr-FR"/>
        </w:rPr>
        <w:t>b.</w:t>
      </w:r>
      <w:r w:rsidRPr="00327572">
        <w:rPr>
          <w:u w:val="none"/>
          <w:lang w:val="fr-FR"/>
        </w:rPr>
        <w:tab/>
      </w:r>
      <w:r w:rsidR="00AB2118" w:rsidRPr="00202EB9">
        <w:rPr>
          <w:lang w:val="fr-FR"/>
        </w:rPr>
        <w:t>Efficacité</w:t>
      </w:r>
      <w:bookmarkEnd w:id="21"/>
    </w:p>
    <w:p w:rsidR="0026192C" w:rsidRPr="00202EB9" w:rsidRDefault="0026192C" w:rsidP="0026192C">
      <w:pPr>
        <w:rPr>
          <w:lang w:val="fr-FR" w:eastAsia="zh-CN" w:bidi="ar-SA"/>
        </w:rPr>
      </w:pPr>
    </w:p>
    <w:p w:rsidR="00426067" w:rsidRPr="00202EB9" w:rsidRDefault="00F14E13" w:rsidP="0026192C">
      <w:pPr>
        <w:pStyle w:val="ONUMFS"/>
        <w:rPr>
          <w:lang w:val="fr-FR"/>
        </w:rPr>
      </w:pPr>
      <w:r w:rsidRPr="00202EB9">
        <w:rPr>
          <w:lang w:val="fr-FR"/>
        </w:rPr>
        <w:t>La présente section examine la question du degré d</w:t>
      </w:r>
      <w:r w:rsidR="00426067" w:rsidRPr="00202EB9">
        <w:rPr>
          <w:lang w:val="fr-FR"/>
        </w:rPr>
        <w:t>’</w:t>
      </w:r>
      <w:r w:rsidRPr="00202EB9">
        <w:rPr>
          <w:lang w:val="fr-FR"/>
        </w:rPr>
        <w:t>efficacité des travaux de l</w:t>
      </w:r>
      <w:r w:rsidR="00426067" w:rsidRPr="00202EB9">
        <w:rPr>
          <w:lang w:val="fr-FR"/>
        </w:rPr>
        <w:t>’</w:t>
      </w:r>
      <w:r w:rsidRPr="00202EB9">
        <w:rPr>
          <w:lang w:val="fr-FR"/>
        </w:rPr>
        <w:t>OMPI en ce qui concerne la mise en œuvre des recommandations du Plan d</w:t>
      </w:r>
      <w:r w:rsidR="00426067" w:rsidRPr="00202EB9">
        <w:rPr>
          <w:lang w:val="fr-FR"/>
        </w:rPr>
        <w:t>’</w:t>
      </w:r>
      <w:r w:rsidRPr="00202EB9">
        <w:rPr>
          <w:lang w:val="fr-FR"/>
        </w:rPr>
        <w:t>action pour le développement à tous les niveaux et pour les organes et programmes de l</w:t>
      </w:r>
      <w:r w:rsidR="00426067" w:rsidRPr="00202EB9">
        <w:rPr>
          <w:lang w:val="fr-FR"/>
        </w:rPr>
        <w:t>’</w:t>
      </w:r>
      <w:r w:rsidRPr="00202EB9">
        <w:rPr>
          <w:lang w:val="fr-FR"/>
        </w:rPr>
        <w:t>OMPI.</w:t>
      </w:r>
    </w:p>
    <w:p w:rsidR="00F5509E" w:rsidRPr="00202EB9" w:rsidRDefault="000C47D2" w:rsidP="0026192C">
      <w:pPr>
        <w:pStyle w:val="ONUMFS"/>
        <w:numPr>
          <w:ilvl w:val="0"/>
          <w:numId w:val="0"/>
        </w:numPr>
        <w:rPr>
          <w:b/>
          <w:lang w:val="fr-FR"/>
        </w:rPr>
      </w:pPr>
      <w:r w:rsidRPr="00202EB9">
        <w:rPr>
          <w:b/>
          <w:lang w:val="fr-FR"/>
        </w:rPr>
        <w:t>Conclusion</w:t>
      </w:r>
      <w:r w:rsidR="00D41E1C" w:rsidRPr="00202EB9">
        <w:rPr>
          <w:b/>
          <w:lang w:val="fr-FR"/>
        </w:rPr>
        <w:t> </w:t>
      </w:r>
      <w:r w:rsidR="00F5509E" w:rsidRPr="00202EB9">
        <w:rPr>
          <w:b/>
          <w:lang w:val="fr-FR"/>
        </w:rPr>
        <w:t>4</w:t>
      </w:r>
      <w:r w:rsidR="00E15713" w:rsidRPr="00202EB9">
        <w:rPr>
          <w:b/>
          <w:lang w:val="fr-FR"/>
        </w:rPr>
        <w:t> </w:t>
      </w:r>
      <w:proofErr w:type="gramStart"/>
      <w:r w:rsidR="00F5509E" w:rsidRPr="00202EB9">
        <w:rPr>
          <w:b/>
          <w:lang w:val="fr-FR"/>
        </w:rPr>
        <w:t>:</w:t>
      </w:r>
      <w:r w:rsidR="00426067" w:rsidRPr="00202EB9">
        <w:rPr>
          <w:b/>
          <w:lang w:val="fr-FR"/>
        </w:rPr>
        <w:t xml:space="preserve"> Le</w:t>
      </w:r>
      <w:proofErr w:type="gramEnd"/>
      <w:r w:rsidR="00426067" w:rsidRPr="00202EB9">
        <w:rPr>
          <w:b/>
          <w:lang w:val="fr-FR"/>
        </w:rPr>
        <w:t> </w:t>
      </w:r>
      <w:proofErr w:type="spellStart"/>
      <w:r w:rsidR="00426067" w:rsidRPr="00202EB9">
        <w:rPr>
          <w:b/>
          <w:lang w:val="fr-FR"/>
        </w:rPr>
        <w:t>CDI</w:t>
      </w:r>
      <w:r w:rsidR="00F5509E" w:rsidRPr="00202EB9">
        <w:rPr>
          <w:b/>
          <w:lang w:val="fr-FR"/>
        </w:rPr>
        <w:t>P</w:t>
      </w:r>
      <w:proofErr w:type="spellEnd"/>
      <w:r w:rsidR="00F5509E" w:rsidRPr="00202EB9">
        <w:rPr>
          <w:b/>
          <w:lang w:val="fr-FR"/>
        </w:rPr>
        <w:t xml:space="preserve"> </w:t>
      </w:r>
      <w:r w:rsidRPr="00202EB9">
        <w:rPr>
          <w:b/>
          <w:lang w:val="fr-FR"/>
        </w:rPr>
        <w:t>a joué un rôle central</w:t>
      </w:r>
      <w:r w:rsidR="003E407F" w:rsidRPr="00202EB9">
        <w:rPr>
          <w:b/>
          <w:lang w:val="fr-FR"/>
        </w:rPr>
        <w:t xml:space="preserve"> dans la mise en œuvre et le suivi les recommandations du Plan d</w:t>
      </w:r>
      <w:r w:rsidR="00426067" w:rsidRPr="00202EB9">
        <w:rPr>
          <w:b/>
          <w:lang w:val="fr-FR"/>
        </w:rPr>
        <w:t>’</w:t>
      </w:r>
      <w:r w:rsidR="003E407F" w:rsidRPr="00202EB9">
        <w:rPr>
          <w:b/>
          <w:lang w:val="fr-FR"/>
        </w:rPr>
        <w:t>action pour le développement,</w:t>
      </w:r>
      <w:r w:rsidR="008F647B" w:rsidRPr="00202EB9">
        <w:rPr>
          <w:b/>
          <w:lang w:val="fr-FR"/>
        </w:rPr>
        <w:t xml:space="preserve"> avec l</w:t>
      </w:r>
      <w:r w:rsidR="00426067" w:rsidRPr="00202EB9">
        <w:rPr>
          <w:b/>
          <w:lang w:val="fr-FR"/>
        </w:rPr>
        <w:t>’</w:t>
      </w:r>
      <w:r w:rsidR="008F647B" w:rsidRPr="00202EB9">
        <w:rPr>
          <w:b/>
          <w:lang w:val="fr-FR"/>
        </w:rPr>
        <w:t>appui efficace du Secrétariat, et en particulier de la Division de la coordination du Plan d</w:t>
      </w:r>
      <w:r w:rsidR="00426067" w:rsidRPr="00202EB9">
        <w:rPr>
          <w:b/>
          <w:lang w:val="fr-FR"/>
        </w:rPr>
        <w:t>’</w:t>
      </w:r>
      <w:r w:rsidR="008F647B" w:rsidRPr="00202EB9">
        <w:rPr>
          <w:b/>
          <w:lang w:val="fr-FR"/>
        </w:rPr>
        <w:t>action pour le développement</w:t>
      </w:r>
      <w:r w:rsidR="00F5509E" w:rsidRPr="00202EB9">
        <w:rPr>
          <w:b/>
          <w:lang w:val="fr-FR"/>
        </w:rPr>
        <w:t>.</w:t>
      </w:r>
    </w:p>
    <w:p w:rsidR="00F5509E" w:rsidRPr="00202EB9" w:rsidRDefault="00EF7709" w:rsidP="0026192C">
      <w:pPr>
        <w:pStyle w:val="ONUMFS"/>
        <w:rPr>
          <w:lang w:val="fr-FR"/>
        </w:rPr>
      </w:pPr>
      <w:r w:rsidRPr="00202EB9">
        <w:rPr>
          <w:lang w:val="fr-FR"/>
        </w:rPr>
        <w:t>Les représentants des États membres et les parties prenantes en général ont été pr</w:t>
      </w:r>
      <w:r w:rsidR="007571AE" w:rsidRPr="00202EB9">
        <w:rPr>
          <w:lang w:val="fr-FR"/>
        </w:rPr>
        <w:t xml:space="preserve">atiquement </w:t>
      </w:r>
      <w:r w:rsidRPr="00202EB9">
        <w:rPr>
          <w:lang w:val="fr-FR"/>
        </w:rPr>
        <w:t>unanimes, dans le cadre des entretiens, à reconnaître le rôle central que joue</w:t>
      </w:r>
      <w:r w:rsidR="00426067" w:rsidRPr="00202EB9">
        <w:rPr>
          <w:lang w:val="fr-FR"/>
        </w:rPr>
        <w:t xml:space="preserve"> le </w:t>
      </w:r>
      <w:proofErr w:type="spellStart"/>
      <w:r w:rsidR="00426067" w:rsidRPr="00202EB9">
        <w:rPr>
          <w:lang w:val="fr-FR"/>
        </w:rPr>
        <w:t>CDI</w:t>
      </w:r>
      <w:r w:rsidRPr="00202EB9">
        <w:rPr>
          <w:lang w:val="fr-FR"/>
        </w:rPr>
        <w:t>P</w:t>
      </w:r>
      <w:proofErr w:type="spellEnd"/>
      <w:r w:rsidRPr="00202EB9">
        <w:rPr>
          <w:lang w:val="fr-FR"/>
        </w:rPr>
        <w:t xml:space="preserve"> depuis sa création, en</w:t>
      </w:r>
      <w:r w:rsidR="00E15713" w:rsidRPr="00202EB9">
        <w:rPr>
          <w:lang w:val="fr-FR"/>
        </w:rPr>
        <w:t> </w:t>
      </w:r>
      <w:r w:rsidRPr="00202EB9">
        <w:rPr>
          <w:lang w:val="fr-FR"/>
        </w:rPr>
        <w:t>2007,</w:t>
      </w:r>
      <w:r w:rsidR="00864B81" w:rsidRPr="00202EB9">
        <w:rPr>
          <w:lang w:val="fr-FR"/>
        </w:rPr>
        <w:t xml:space="preserve"> et la diligence avec laquelle il a défini ses responsabilités et engagé la mise en œuvre des 45</w:t>
      </w:r>
      <w:r w:rsidR="00D41E1C" w:rsidRPr="00202EB9">
        <w:rPr>
          <w:lang w:val="fr-FR"/>
        </w:rPr>
        <w:t> </w:t>
      </w:r>
      <w:r w:rsidR="00864B81" w:rsidRPr="00202EB9">
        <w:rPr>
          <w:lang w:val="fr-FR"/>
        </w:rPr>
        <w:t>recommandations du Plan d</w:t>
      </w:r>
      <w:r w:rsidR="00426067" w:rsidRPr="00202EB9">
        <w:rPr>
          <w:lang w:val="fr-FR"/>
        </w:rPr>
        <w:t>’</w:t>
      </w:r>
      <w:r w:rsidR="00864B81" w:rsidRPr="00202EB9">
        <w:rPr>
          <w:lang w:val="fr-FR"/>
        </w:rPr>
        <w:t>action pour le développement.</w:t>
      </w:r>
    </w:p>
    <w:p w:rsidR="00F5509E" w:rsidRPr="00202EB9" w:rsidRDefault="00380057" w:rsidP="0026192C">
      <w:pPr>
        <w:pStyle w:val="ONUMFS"/>
        <w:rPr>
          <w:lang w:val="fr-FR"/>
        </w:rPr>
      </w:pPr>
      <w:r w:rsidRPr="00202EB9">
        <w:rPr>
          <w:lang w:val="fr-FR"/>
        </w:rPr>
        <w:t>L</w:t>
      </w:r>
      <w:r w:rsidR="00426067" w:rsidRPr="00202EB9">
        <w:rPr>
          <w:lang w:val="fr-FR"/>
        </w:rPr>
        <w:t>’</w:t>
      </w:r>
      <w:r w:rsidRPr="00202EB9">
        <w:rPr>
          <w:lang w:val="fr-FR"/>
        </w:rPr>
        <w:t>étude préliminaire a permis de réunir des éléments concrets</w:t>
      </w:r>
      <w:r w:rsidR="004A730D" w:rsidRPr="00202EB9">
        <w:rPr>
          <w:lang w:val="fr-FR"/>
        </w:rPr>
        <w:t xml:space="preserve"> concernant l</w:t>
      </w:r>
      <w:r w:rsidR="00426067" w:rsidRPr="00202EB9">
        <w:rPr>
          <w:lang w:val="fr-FR"/>
        </w:rPr>
        <w:t>’</w:t>
      </w:r>
      <w:r w:rsidR="004A730D" w:rsidRPr="00202EB9">
        <w:rPr>
          <w:lang w:val="fr-FR"/>
        </w:rPr>
        <w:t>utilité des débats qui se sont tenus, les documents qui ont été produits et les projets et activités qui ont été lancées</w:t>
      </w:r>
      <w:r w:rsidR="00591A9F" w:rsidRPr="00202EB9">
        <w:rPr>
          <w:lang w:val="fr-FR"/>
        </w:rPr>
        <w:t xml:space="preserve"> au cours des 15</w:t>
      </w:r>
      <w:r w:rsidR="00D41E1C" w:rsidRPr="00202EB9">
        <w:rPr>
          <w:lang w:val="fr-FR"/>
        </w:rPr>
        <w:t> </w:t>
      </w:r>
      <w:r w:rsidR="00591A9F" w:rsidRPr="00202EB9">
        <w:rPr>
          <w:lang w:val="fr-FR"/>
        </w:rPr>
        <w:t>sessions</w:t>
      </w:r>
      <w:r w:rsidR="00426067" w:rsidRPr="00202EB9">
        <w:rPr>
          <w:lang w:val="fr-FR"/>
        </w:rPr>
        <w:t xml:space="preserve"> du </w:t>
      </w:r>
      <w:proofErr w:type="spellStart"/>
      <w:r w:rsidR="00426067" w:rsidRPr="00202EB9">
        <w:rPr>
          <w:lang w:val="fr-FR"/>
        </w:rPr>
        <w:t>CDI</w:t>
      </w:r>
      <w:r w:rsidR="00591A9F" w:rsidRPr="00202EB9">
        <w:rPr>
          <w:lang w:val="fr-FR"/>
        </w:rPr>
        <w:t>P</w:t>
      </w:r>
      <w:proofErr w:type="spellEnd"/>
      <w:r w:rsidR="00591A9F" w:rsidRPr="00202EB9">
        <w:rPr>
          <w:lang w:val="fr-FR"/>
        </w:rPr>
        <w:t xml:space="preserve"> visées par l</w:t>
      </w:r>
      <w:r w:rsidR="00426067" w:rsidRPr="00202EB9">
        <w:rPr>
          <w:lang w:val="fr-FR"/>
        </w:rPr>
        <w:t>’</w:t>
      </w:r>
      <w:r w:rsidR="00591A9F" w:rsidRPr="00202EB9">
        <w:rPr>
          <w:lang w:val="fr-FR"/>
        </w:rPr>
        <w:t>étude.</w:t>
      </w:r>
    </w:p>
    <w:p w:rsidR="00426067" w:rsidRPr="00202EB9" w:rsidRDefault="003F6014" w:rsidP="0026192C">
      <w:pPr>
        <w:pStyle w:val="ONUMFS"/>
        <w:rPr>
          <w:lang w:val="fr-FR"/>
        </w:rPr>
      </w:pPr>
      <w:r w:rsidRPr="00202EB9">
        <w:rPr>
          <w:lang w:val="fr-FR"/>
        </w:rPr>
        <w:t xml:space="preserve">Le </w:t>
      </w:r>
      <w:proofErr w:type="spellStart"/>
      <w:r w:rsidRPr="00202EB9">
        <w:rPr>
          <w:lang w:val="fr-FR"/>
        </w:rPr>
        <w:t>CDIP</w:t>
      </w:r>
      <w:proofErr w:type="spellEnd"/>
      <w:r w:rsidR="000362E0" w:rsidRPr="00202EB9">
        <w:rPr>
          <w:lang w:val="fr-FR"/>
        </w:rPr>
        <w:t xml:space="preserve"> est aussi </w:t>
      </w:r>
      <w:r w:rsidR="00611BE7" w:rsidRPr="00202EB9">
        <w:rPr>
          <w:lang w:val="fr-FR"/>
        </w:rPr>
        <w:t xml:space="preserve">largement </w:t>
      </w:r>
      <w:r w:rsidR="000362E0" w:rsidRPr="00202EB9">
        <w:rPr>
          <w:lang w:val="fr-FR"/>
        </w:rPr>
        <w:t>apprécié</w:t>
      </w:r>
      <w:r w:rsidRPr="00202EB9">
        <w:rPr>
          <w:lang w:val="fr-FR"/>
        </w:rPr>
        <w:t xml:space="preserve"> </w:t>
      </w:r>
      <w:r w:rsidR="000362E0" w:rsidRPr="00202EB9">
        <w:rPr>
          <w:lang w:val="fr-FR"/>
        </w:rPr>
        <w:t xml:space="preserve">pour </w:t>
      </w:r>
      <w:r w:rsidR="00366F37" w:rsidRPr="00202EB9">
        <w:rPr>
          <w:lang w:val="fr-FR"/>
        </w:rPr>
        <w:t>l</w:t>
      </w:r>
      <w:r w:rsidR="00426067" w:rsidRPr="00202EB9">
        <w:rPr>
          <w:lang w:val="fr-FR"/>
        </w:rPr>
        <w:t>’</w:t>
      </w:r>
      <w:r w:rsidR="00366F37" w:rsidRPr="00202EB9">
        <w:rPr>
          <w:lang w:val="fr-FR"/>
        </w:rPr>
        <w:t>importance de son</w:t>
      </w:r>
      <w:r w:rsidR="000362E0" w:rsidRPr="00202EB9">
        <w:rPr>
          <w:lang w:val="fr-FR"/>
        </w:rPr>
        <w:t xml:space="preserve"> rôle </w:t>
      </w:r>
      <w:r w:rsidR="00E24BE9" w:rsidRPr="00202EB9">
        <w:rPr>
          <w:lang w:val="fr-FR"/>
        </w:rPr>
        <w:t>dans l</w:t>
      </w:r>
      <w:r w:rsidR="00426067" w:rsidRPr="00202EB9">
        <w:rPr>
          <w:lang w:val="fr-FR"/>
        </w:rPr>
        <w:t>’</w:t>
      </w:r>
      <w:r w:rsidR="00E24BE9" w:rsidRPr="00202EB9">
        <w:rPr>
          <w:lang w:val="fr-FR"/>
        </w:rPr>
        <w:t>intégration des principes et objectifs du Plan d</w:t>
      </w:r>
      <w:r w:rsidR="00426067" w:rsidRPr="00202EB9">
        <w:rPr>
          <w:lang w:val="fr-FR"/>
        </w:rPr>
        <w:t>’</w:t>
      </w:r>
      <w:r w:rsidR="00E24BE9" w:rsidRPr="00202EB9">
        <w:rPr>
          <w:lang w:val="fr-FR"/>
        </w:rPr>
        <w:t>action pour le développement</w:t>
      </w:r>
      <w:r w:rsidR="00611BE7" w:rsidRPr="00202EB9">
        <w:rPr>
          <w:lang w:val="fr-FR"/>
        </w:rPr>
        <w:t xml:space="preserve"> </w:t>
      </w:r>
      <w:r w:rsidR="00AC1F71" w:rsidRPr="00202EB9">
        <w:rPr>
          <w:lang w:val="fr-FR"/>
        </w:rPr>
        <w:t>dans</w:t>
      </w:r>
      <w:r w:rsidR="00611BE7" w:rsidRPr="00202EB9">
        <w:rPr>
          <w:lang w:val="fr-FR"/>
        </w:rPr>
        <w:t xml:space="preserve"> </w:t>
      </w:r>
      <w:r w:rsidR="00E24BE9" w:rsidRPr="00202EB9">
        <w:rPr>
          <w:lang w:val="fr-FR"/>
        </w:rPr>
        <w:t>les différents organes de l</w:t>
      </w:r>
      <w:r w:rsidR="00426067" w:rsidRPr="00202EB9">
        <w:rPr>
          <w:lang w:val="fr-FR"/>
        </w:rPr>
        <w:t>’</w:t>
      </w:r>
      <w:r w:rsidR="00E24BE9" w:rsidRPr="00202EB9">
        <w:rPr>
          <w:lang w:val="fr-FR"/>
        </w:rPr>
        <w:t>OMPI</w:t>
      </w:r>
      <w:r w:rsidR="00611BE7" w:rsidRPr="00202EB9">
        <w:rPr>
          <w:lang w:val="fr-FR"/>
        </w:rPr>
        <w:t xml:space="preserve"> et,</w:t>
      </w:r>
      <w:r w:rsidRPr="00202EB9">
        <w:rPr>
          <w:lang w:val="fr-FR"/>
        </w:rPr>
        <w:t xml:space="preserve"> </w:t>
      </w:r>
      <w:r w:rsidR="00611BE7" w:rsidRPr="00202EB9">
        <w:rPr>
          <w:lang w:val="fr-FR"/>
        </w:rPr>
        <w:t>d</w:t>
      </w:r>
      <w:r w:rsidR="00426067" w:rsidRPr="00202EB9">
        <w:rPr>
          <w:lang w:val="fr-FR"/>
        </w:rPr>
        <w:t>’</w:t>
      </w:r>
      <w:r w:rsidR="00611BE7" w:rsidRPr="00202EB9">
        <w:rPr>
          <w:lang w:val="fr-FR"/>
        </w:rPr>
        <w:t>une manière générale, dans toute l</w:t>
      </w:r>
      <w:r w:rsidR="00426067" w:rsidRPr="00202EB9">
        <w:rPr>
          <w:lang w:val="fr-FR"/>
        </w:rPr>
        <w:t>’</w:t>
      </w:r>
      <w:r w:rsidR="00611BE7" w:rsidRPr="00202EB9">
        <w:rPr>
          <w:lang w:val="fr-FR"/>
        </w:rPr>
        <w:t>Organisation.</w:t>
      </w:r>
    </w:p>
    <w:p w:rsidR="00F5509E" w:rsidRPr="00202EB9" w:rsidRDefault="005F2540" w:rsidP="0026192C">
      <w:pPr>
        <w:pStyle w:val="ONUMFS"/>
        <w:rPr>
          <w:lang w:val="fr-FR"/>
        </w:rPr>
      </w:pPr>
      <w:r w:rsidRPr="00202EB9">
        <w:rPr>
          <w:lang w:val="fr-FR"/>
        </w:rPr>
        <w:t>L</w:t>
      </w:r>
      <w:r w:rsidR="00426067" w:rsidRPr="00202EB9">
        <w:rPr>
          <w:lang w:val="fr-FR"/>
        </w:rPr>
        <w:t>’</w:t>
      </w:r>
      <w:r w:rsidRPr="00202EB9">
        <w:rPr>
          <w:lang w:val="fr-FR"/>
        </w:rPr>
        <w:t>équipe chargée de l</w:t>
      </w:r>
      <w:r w:rsidR="00426067" w:rsidRPr="00202EB9">
        <w:rPr>
          <w:lang w:val="fr-FR"/>
        </w:rPr>
        <w:t>’</w:t>
      </w:r>
      <w:r w:rsidRPr="00202EB9">
        <w:rPr>
          <w:lang w:val="fr-FR"/>
        </w:rPr>
        <w:t xml:space="preserve">étude a observé que les États membres et les différentes parties prenantes estimaient à sa juste valeur le rôle </w:t>
      </w:r>
      <w:r w:rsidR="002A0FDB" w:rsidRPr="00202EB9">
        <w:rPr>
          <w:lang w:val="fr-FR"/>
        </w:rPr>
        <w:t>essentiel</w:t>
      </w:r>
      <w:r w:rsidRPr="00202EB9">
        <w:rPr>
          <w:lang w:val="fr-FR"/>
        </w:rPr>
        <w:t xml:space="preserve"> </w:t>
      </w:r>
      <w:r w:rsidR="00366F37" w:rsidRPr="00202EB9">
        <w:rPr>
          <w:lang w:val="fr-FR"/>
        </w:rPr>
        <w:t>que joue</w:t>
      </w:r>
      <w:r w:rsidRPr="00202EB9">
        <w:rPr>
          <w:lang w:val="fr-FR"/>
        </w:rPr>
        <w:t xml:space="preserve"> la Division de la coordination du Plan d</w:t>
      </w:r>
      <w:r w:rsidR="00426067" w:rsidRPr="00202EB9">
        <w:rPr>
          <w:lang w:val="fr-FR"/>
        </w:rPr>
        <w:t>’</w:t>
      </w:r>
      <w:r w:rsidRPr="00202EB9">
        <w:rPr>
          <w:lang w:val="fr-FR"/>
        </w:rPr>
        <w:t>action pour le développement</w:t>
      </w:r>
      <w:r w:rsidR="00366F37" w:rsidRPr="00202EB9">
        <w:rPr>
          <w:lang w:val="fr-FR"/>
        </w:rPr>
        <w:t xml:space="preserve"> </w:t>
      </w:r>
      <w:r w:rsidR="00221DC9" w:rsidRPr="00202EB9">
        <w:rPr>
          <w:lang w:val="fr-FR"/>
        </w:rPr>
        <w:t>en aidant</w:t>
      </w:r>
      <w:r w:rsidR="00426067" w:rsidRPr="00202EB9">
        <w:rPr>
          <w:lang w:val="fr-FR"/>
        </w:rPr>
        <w:t xml:space="preserve"> le </w:t>
      </w:r>
      <w:proofErr w:type="spellStart"/>
      <w:r w:rsidR="00426067" w:rsidRPr="00202EB9">
        <w:rPr>
          <w:lang w:val="fr-FR"/>
        </w:rPr>
        <w:t>CDI</w:t>
      </w:r>
      <w:r w:rsidR="00221DC9" w:rsidRPr="00202EB9">
        <w:rPr>
          <w:lang w:val="fr-FR"/>
        </w:rPr>
        <w:t>P</w:t>
      </w:r>
      <w:proofErr w:type="spellEnd"/>
      <w:r w:rsidR="00221DC9" w:rsidRPr="00202EB9">
        <w:rPr>
          <w:lang w:val="fr-FR"/>
        </w:rPr>
        <w:t xml:space="preserve"> à réaliser ses objectifs,</w:t>
      </w:r>
      <w:r w:rsidR="00147792" w:rsidRPr="00202EB9">
        <w:rPr>
          <w:lang w:val="fr-FR"/>
        </w:rPr>
        <w:t xml:space="preserve"> en coordonnant un grand nombre de projets et activités entrepris par l</w:t>
      </w:r>
      <w:r w:rsidR="00426067" w:rsidRPr="00202EB9">
        <w:rPr>
          <w:lang w:val="fr-FR"/>
        </w:rPr>
        <w:t>’</w:t>
      </w:r>
      <w:r w:rsidR="00147792" w:rsidRPr="00202EB9">
        <w:rPr>
          <w:lang w:val="fr-FR"/>
        </w:rPr>
        <w:t>Organisation et par son appui aux États membres et autres parties prenantes.</w:t>
      </w:r>
    </w:p>
    <w:p w:rsidR="00F5509E" w:rsidRPr="00202EB9" w:rsidRDefault="0094791B" w:rsidP="0026192C">
      <w:pPr>
        <w:pStyle w:val="ONUMFS"/>
        <w:rPr>
          <w:lang w:val="fr-FR"/>
        </w:rPr>
      </w:pPr>
      <w:r w:rsidRPr="00202EB9">
        <w:rPr>
          <w:lang w:val="fr-FR"/>
        </w:rPr>
        <w:t>Les États membres, anciens diplomates, universitaires et institutions</w:t>
      </w:r>
      <w:r w:rsidR="00E32B1B" w:rsidRPr="00202EB9">
        <w:rPr>
          <w:lang w:val="fr-FR"/>
        </w:rPr>
        <w:t xml:space="preserve"> ayant pris part aux travaux</w:t>
      </w:r>
      <w:r w:rsidR="00426067" w:rsidRPr="00202EB9">
        <w:rPr>
          <w:lang w:val="fr-FR"/>
        </w:rPr>
        <w:t xml:space="preserve"> du </w:t>
      </w:r>
      <w:proofErr w:type="spellStart"/>
      <w:r w:rsidR="00426067" w:rsidRPr="00202EB9">
        <w:rPr>
          <w:lang w:val="fr-FR"/>
        </w:rPr>
        <w:t>CDI</w:t>
      </w:r>
      <w:r w:rsidR="00E32B1B" w:rsidRPr="00202EB9">
        <w:rPr>
          <w:lang w:val="fr-FR"/>
        </w:rPr>
        <w:t>P</w:t>
      </w:r>
      <w:proofErr w:type="spellEnd"/>
      <w:r w:rsidR="00FC604B" w:rsidRPr="00202EB9">
        <w:rPr>
          <w:lang w:val="fr-FR"/>
        </w:rPr>
        <w:t xml:space="preserve"> se félicitent de l</w:t>
      </w:r>
      <w:r w:rsidR="00426067" w:rsidRPr="00202EB9">
        <w:rPr>
          <w:lang w:val="fr-FR"/>
        </w:rPr>
        <w:t>’</w:t>
      </w:r>
      <w:r w:rsidR="00FC604B" w:rsidRPr="00202EB9">
        <w:rPr>
          <w:lang w:val="fr-FR"/>
        </w:rPr>
        <w:t>utilité</w:t>
      </w:r>
      <w:r w:rsidR="00E022F1" w:rsidRPr="00202EB9">
        <w:rPr>
          <w:lang w:val="fr-FR"/>
        </w:rPr>
        <w:t xml:space="preserve"> des actions entreprises </w:t>
      </w:r>
      <w:r w:rsidR="0028300C" w:rsidRPr="00202EB9">
        <w:rPr>
          <w:lang w:val="fr-FR"/>
        </w:rPr>
        <w:t>par le Secrétariat</w:t>
      </w:r>
      <w:r w:rsidR="00E022F1" w:rsidRPr="00202EB9">
        <w:rPr>
          <w:lang w:val="fr-FR"/>
        </w:rPr>
        <w:t xml:space="preserve"> </w:t>
      </w:r>
      <w:r w:rsidR="00E87D1F" w:rsidRPr="00202EB9">
        <w:rPr>
          <w:lang w:val="fr-FR"/>
        </w:rPr>
        <w:t>pour</w:t>
      </w:r>
      <w:r w:rsidR="00E022F1" w:rsidRPr="00202EB9">
        <w:rPr>
          <w:lang w:val="fr-FR"/>
        </w:rPr>
        <w:t xml:space="preserve"> faciliter les processus de négociation et de mise en œuvre du Plan d</w:t>
      </w:r>
      <w:r w:rsidR="00426067" w:rsidRPr="00202EB9">
        <w:rPr>
          <w:lang w:val="fr-FR"/>
        </w:rPr>
        <w:t>’</w:t>
      </w:r>
      <w:r w:rsidR="00E022F1" w:rsidRPr="00202EB9">
        <w:rPr>
          <w:lang w:val="fr-FR"/>
        </w:rPr>
        <w:t>action pour le développement.</w:t>
      </w:r>
    </w:p>
    <w:p w:rsidR="00426067" w:rsidRPr="00202EB9" w:rsidRDefault="002053C6" w:rsidP="0026192C">
      <w:pPr>
        <w:pStyle w:val="ONUMFS"/>
        <w:rPr>
          <w:lang w:val="fr-FR"/>
        </w:rPr>
      </w:pPr>
      <w:r w:rsidRPr="00202EB9">
        <w:rPr>
          <w:lang w:val="fr-FR"/>
        </w:rPr>
        <w:t>L</w:t>
      </w:r>
      <w:r w:rsidR="00426067" w:rsidRPr="00202EB9">
        <w:rPr>
          <w:lang w:val="fr-FR"/>
        </w:rPr>
        <w:t>’</w:t>
      </w:r>
      <w:r w:rsidRPr="00202EB9">
        <w:rPr>
          <w:lang w:val="fr-FR"/>
        </w:rPr>
        <w:t>équipe chargée de l</w:t>
      </w:r>
      <w:r w:rsidR="00426067" w:rsidRPr="00202EB9">
        <w:rPr>
          <w:lang w:val="fr-FR"/>
        </w:rPr>
        <w:t>’</w:t>
      </w:r>
      <w:r w:rsidRPr="00202EB9">
        <w:rPr>
          <w:lang w:val="fr-FR"/>
        </w:rPr>
        <w:t>étude</w:t>
      </w:r>
      <w:r w:rsidR="001F191B" w:rsidRPr="00202EB9">
        <w:rPr>
          <w:lang w:val="fr-FR"/>
        </w:rPr>
        <w:t xml:space="preserve"> a constaté que</w:t>
      </w:r>
      <w:r w:rsidR="00F948A7" w:rsidRPr="00202EB9">
        <w:rPr>
          <w:lang w:val="fr-FR"/>
        </w:rPr>
        <w:t xml:space="preserve"> </w:t>
      </w:r>
      <w:r w:rsidR="00B20917" w:rsidRPr="00202EB9">
        <w:rPr>
          <w:lang w:val="fr-FR"/>
        </w:rPr>
        <w:t>le comité travaillait depuis longtemps sur deux</w:t>
      </w:r>
      <w:r w:rsidR="00E15713" w:rsidRPr="00202EB9">
        <w:rPr>
          <w:lang w:val="fr-FR"/>
        </w:rPr>
        <w:t> </w:t>
      </w:r>
      <w:r w:rsidR="00B20917" w:rsidRPr="00202EB9">
        <w:rPr>
          <w:lang w:val="fr-FR"/>
        </w:rPr>
        <w:t xml:space="preserve">questions, </w:t>
      </w:r>
      <w:r w:rsidR="00426067" w:rsidRPr="00202EB9">
        <w:rPr>
          <w:lang w:val="fr-FR"/>
        </w:rPr>
        <w:t>à savoir</w:t>
      </w:r>
      <w:r w:rsidR="00B20917" w:rsidRPr="00202EB9">
        <w:rPr>
          <w:lang w:val="fr-FR"/>
        </w:rPr>
        <w:t xml:space="preserve"> </w:t>
      </w:r>
      <w:r w:rsidR="00F5509E" w:rsidRPr="00202EB9">
        <w:rPr>
          <w:lang w:val="fr-FR"/>
        </w:rPr>
        <w:t>i)</w:t>
      </w:r>
      <w:r w:rsidR="00D41E1C" w:rsidRPr="00202EB9">
        <w:rPr>
          <w:lang w:val="fr-FR"/>
        </w:rPr>
        <w:t> </w:t>
      </w:r>
      <w:r w:rsidR="00B20917" w:rsidRPr="00202EB9">
        <w:rPr>
          <w:lang w:val="fr-FR"/>
        </w:rPr>
        <w:t>l</w:t>
      </w:r>
      <w:r w:rsidR="002A6E6A" w:rsidRPr="00202EB9">
        <w:rPr>
          <w:lang w:val="fr-FR"/>
        </w:rPr>
        <w:t>a</w:t>
      </w:r>
      <w:r w:rsidR="00B20917" w:rsidRPr="00202EB9">
        <w:rPr>
          <w:lang w:val="fr-FR"/>
        </w:rPr>
        <w:t xml:space="preserve"> mise en œuvre du mandat</w:t>
      </w:r>
      <w:r w:rsidR="00426067" w:rsidRPr="00202EB9">
        <w:rPr>
          <w:lang w:val="fr-FR"/>
        </w:rPr>
        <w:t xml:space="preserve"> du </w:t>
      </w:r>
      <w:proofErr w:type="spellStart"/>
      <w:r w:rsidR="00426067" w:rsidRPr="00202EB9">
        <w:rPr>
          <w:lang w:val="fr-FR"/>
        </w:rPr>
        <w:t>CDI</w:t>
      </w:r>
      <w:r w:rsidR="00B20917" w:rsidRPr="00202EB9">
        <w:rPr>
          <w:lang w:val="fr-FR"/>
        </w:rPr>
        <w:t>P</w:t>
      </w:r>
      <w:proofErr w:type="spellEnd"/>
      <w:r w:rsidR="00B20917" w:rsidRPr="00202EB9">
        <w:rPr>
          <w:lang w:val="fr-FR"/>
        </w:rPr>
        <w:t xml:space="preserve">, et </w:t>
      </w:r>
      <w:r w:rsidR="00F5509E" w:rsidRPr="00202EB9">
        <w:rPr>
          <w:lang w:val="fr-FR"/>
        </w:rPr>
        <w:t>ii)</w:t>
      </w:r>
      <w:r w:rsidR="00E15713" w:rsidRPr="00202EB9">
        <w:rPr>
          <w:lang w:val="fr-FR"/>
        </w:rPr>
        <w:t> </w:t>
      </w:r>
      <w:r w:rsidR="00B20917" w:rsidRPr="00202EB9">
        <w:rPr>
          <w:lang w:val="fr-FR"/>
        </w:rPr>
        <w:t>la</w:t>
      </w:r>
      <w:r w:rsidR="00F5509E" w:rsidRPr="00202EB9">
        <w:rPr>
          <w:lang w:val="fr-FR"/>
        </w:rPr>
        <w:t xml:space="preserve"> </w:t>
      </w:r>
      <w:r w:rsidR="00B20917" w:rsidRPr="00202EB9">
        <w:rPr>
          <w:lang w:val="fr-FR"/>
        </w:rPr>
        <w:t>mise en œuvre du mécanisme de coordinati</w:t>
      </w:r>
      <w:r w:rsidR="001E787E" w:rsidRPr="00202EB9">
        <w:rPr>
          <w:lang w:val="fr-FR"/>
        </w:rPr>
        <w:t>on.  Ma</w:t>
      </w:r>
      <w:r w:rsidR="009C1932" w:rsidRPr="00202EB9">
        <w:rPr>
          <w:lang w:val="fr-FR"/>
        </w:rPr>
        <w:t>lgré plusieurs décisions de</w:t>
      </w:r>
      <w:r w:rsidR="002A6E6A" w:rsidRPr="00202EB9">
        <w:rPr>
          <w:lang w:val="fr-FR"/>
        </w:rPr>
        <w:t xml:space="preserve"> l</w:t>
      </w:r>
      <w:r w:rsidR="00426067" w:rsidRPr="00202EB9">
        <w:rPr>
          <w:lang w:val="fr-FR"/>
        </w:rPr>
        <w:t>’</w:t>
      </w:r>
      <w:r w:rsidR="002A4617" w:rsidRPr="00202EB9">
        <w:rPr>
          <w:lang w:val="fr-FR"/>
        </w:rPr>
        <w:t>Assemblée générale, ces deux</w:t>
      </w:r>
      <w:r w:rsidR="00E15713" w:rsidRPr="00202EB9">
        <w:rPr>
          <w:lang w:val="fr-FR"/>
        </w:rPr>
        <w:t> </w:t>
      </w:r>
      <w:r w:rsidR="002A4617" w:rsidRPr="00202EB9">
        <w:rPr>
          <w:lang w:val="fr-FR"/>
        </w:rPr>
        <w:t>questions étaient toujours à l</w:t>
      </w:r>
      <w:r w:rsidR="00426067" w:rsidRPr="00202EB9">
        <w:rPr>
          <w:lang w:val="fr-FR"/>
        </w:rPr>
        <w:t>’</w:t>
      </w:r>
      <w:r w:rsidR="002A4617" w:rsidRPr="00202EB9">
        <w:rPr>
          <w:lang w:val="fr-FR"/>
        </w:rPr>
        <w:t>ordre du jour du comité au moment où l</w:t>
      </w:r>
      <w:r w:rsidR="00426067" w:rsidRPr="00202EB9">
        <w:rPr>
          <w:lang w:val="fr-FR"/>
        </w:rPr>
        <w:t>’</w:t>
      </w:r>
      <w:r w:rsidR="002A4617" w:rsidRPr="00202EB9">
        <w:rPr>
          <w:lang w:val="fr-FR"/>
        </w:rPr>
        <w:t>étude a été effectuée</w:t>
      </w:r>
      <w:r w:rsidR="00F5509E" w:rsidRPr="00202EB9">
        <w:rPr>
          <w:lang w:val="fr-FR"/>
        </w:rPr>
        <w:t>.</w:t>
      </w:r>
    </w:p>
    <w:p w:rsidR="00F5509E" w:rsidRPr="00202EB9" w:rsidRDefault="0088493B" w:rsidP="0026192C">
      <w:pPr>
        <w:pStyle w:val="ONUMFS"/>
        <w:rPr>
          <w:lang w:val="fr-FR"/>
        </w:rPr>
      </w:pPr>
      <w:r w:rsidRPr="00202EB9">
        <w:rPr>
          <w:lang w:val="fr-FR"/>
        </w:rPr>
        <w:t>Il a également été observé que</w:t>
      </w:r>
      <w:r w:rsidR="00426067" w:rsidRPr="00202EB9">
        <w:rPr>
          <w:lang w:val="fr-FR"/>
        </w:rPr>
        <w:t xml:space="preserve"> le </w:t>
      </w:r>
      <w:proofErr w:type="spellStart"/>
      <w:r w:rsidR="00426067" w:rsidRPr="00202EB9">
        <w:rPr>
          <w:lang w:val="fr-FR"/>
        </w:rPr>
        <w:t>CDI</w:t>
      </w:r>
      <w:r w:rsidRPr="00202EB9">
        <w:rPr>
          <w:lang w:val="fr-FR"/>
        </w:rPr>
        <w:t>P</w:t>
      </w:r>
      <w:proofErr w:type="spellEnd"/>
      <w:r w:rsidR="00F80340" w:rsidRPr="00202EB9">
        <w:rPr>
          <w:lang w:val="fr-FR"/>
        </w:rPr>
        <w:t xml:space="preserve"> n</w:t>
      </w:r>
      <w:r w:rsidR="00426067" w:rsidRPr="00202EB9">
        <w:rPr>
          <w:lang w:val="fr-FR"/>
        </w:rPr>
        <w:t>’</w:t>
      </w:r>
      <w:r w:rsidR="00F80340" w:rsidRPr="00202EB9">
        <w:rPr>
          <w:lang w:val="fr-FR"/>
        </w:rPr>
        <w:t>a pas accordé une attention suffisante, pendant la durée de l</w:t>
      </w:r>
      <w:r w:rsidR="00426067" w:rsidRPr="00202EB9">
        <w:rPr>
          <w:lang w:val="fr-FR"/>
        </w:rPr>
        <w:t>’</w:t>
      </w:r>
      <w:r w:rsidR="00F80340" w:rsidRPr="00202EB9">
        <w:rPr>
          <w:lang w:val="fr-FR"/>
        </w:rPr>
        <w:t xml:space="preserve">étude, </w:t>
      </w:r>
      <w:r w:rsidR="00A52640" w:rsidRPr="00202EB9">
        <w:rPr>
          <w:lang w:val="fr-FR"/>
        </w:rPr>
        <w:t>à la question de la durabilité des projets achevés et intégrés.</w:t>
      </w:r>
    </w:p>
    <w:p w:rsidR="00F5509E" w:rsidRPr="00202EB9" w:rsidRDefault="00F538AF" w:rsidP="0026192C">
      <w:pPr>
        <w:pStyle w:val="ONUMFS"/>
        <w:numPr>
          <w:ilvl w:val="0"/>
          <w:numId w:val="0"/>
        </w:numPr>
        <w:rPr>
          <w:b/>
          <w:lang w:val="fr-FR"/>
        </w:rPr>
      </w:pPr>
      <w:r w:rsidRPr="00202EB9">
        <w:rPr>
          <w:b/>
          <w:lang w:val="fr-FR"/>
        </w:rPr>
        <w:t>Conclusion</w:t>
      </w:r>
      <w:r w:rsidR="00C4740B" w:rsidRPr="00202EB9">
        <w:rPr>
          <w:b/>
          <w:lang w:val="fr-FR"/>
        </w:rPr>
        <w:t> </w:t>
      </w:r>
      <w:r w:rsidR="00F5509E" w:rsidRPr="00202EB9">
        <w:rPr>
          <w:b/>
          <w:lang w:val="fr-FR"/>
        </w:rPr>
        <w:t>5</w:t>
      </w:r>
      <w:r w:rsidR="00E15713" w:rsidRPr="00202EB9">
        <w:rPr>
          <w:b/>
          <w:lang w:val="fr-FR"/>
        </w:rPr>
        <w:t> </w:t>
      </w:r>
      <w:proofErr w:type="gramStart"/>
      <w:r w:rsidR="00F5509E" w:rsidRPr="00202EB9">
        <w:rPr>
          <w:b/>
          <w:lang w:val="fr-FR"/>
        </w:rPr>
        <w:t xml:space="preserve">: </w:t>
      </w:r>
      <w:r w:rsidR="00BB757F" w:rsidRPr="00202EB9">
        <w:rPr>
          <w:b/>
          <w:lang w:val="fr-FR"/>
        </w:rPr>
        <w:t>La</w:t>
      </w:r>
      <w:proofErr w:type="gramEnd"/>
      <w:r w:rsidR="00BB757F" w:rsidRPr="00202EB9">
        <w:rPr>
          <w:b/>
          <w:lang w:val="fr-FR"/>
        </w:rPr>
        <w:t xml:space="preserve"> mise en œuvre des recommandations du Plan d</w:t>
      </w:r>
      <w:r w:rsidR="00426067" w:rsidRPr="00202EB9">
        <w:rPr>
          <w:b/>
          <w:lang w:val="fr-FR"/>
        </w:rPr>
        <w:t>’</w:t>
      </w:r>
      <w:r w:rsidR="00BB757F" w:rsidRPr="00202EB9">
        <w:rPr>
          <w:b/>
          <w:lang w:val="fr-FR"/>
        </w:rPr>
        <w:t>action pour le développement a été r</w:t>
      </w:r>
      <w:r w:rsidR="007A506C" w:rsidRPr="00202EB9">
        <w:rPr>
          <w:b/>
          <w:lang w:val="fr-FR"/>
        </w:rPr>
        <w:t>aisonnabl</w:t>
      </w:r>
      <w:r w:rsidR="00BB757F" w:rsidRPr="00202EB9">
        <w:rPr>
          <w:b/>
          <w:lang w:val="fr-FR"/>
        </w:rPr>
        <w:t xml:space="preserve">ement efficace, dans la mesure où </w:t>
      </w:r>
      <w:r w:rsidR="007A506C" w:rsidRPr="00202EB9">
        <w:rPr>
          <w:b/>
          <w:lang w:val="fr-FR"/>
        </w:rPr>
        <w:t>ces dernières</w:t>
      </w:r>
      <w:r w:rsidR="00BB757F" w:rsidRPr="00202EB9">
        <w:rPr>
          <w:b/>
          <w:lang w:val="fr-FR"/>
        </w:rPr>
        <w:t xml:space="preserve"> ont été intégrées</w:t>
      </w:r>
      <w:r w:rsidR="007A506C" w:rsidRPr="00202EB9">
        <w:rPr>
          <w:b/>
          <w:lang w:val="fr-FR"/>
        </w:rPr>
        <w:t xml:space="preserve"> à différents niveaux des travaux de l</w:t>
      </w:r>
      <w:r w:rsidR="00426067" w:rsidRPr="00202EB9">
        <w:rPr>
          <w:b/>
          <w:lang w:val="fr-FR"/>
        </w:rPr>
        <w:t>’</w:t>
      </w:r>
      <w:r w:rsidR="007A506C" w:rsidRPr="00202EB9">
        <w:rPr>
          <w:b/>
          <w:lang w:val="fr-FR"/>
        </w:rPr>
        <w:t>OMPI, et dans l</w:t>
      </w:r>
      <w:r w:rsidR="00426067" w:rsidRPr="00202EB9">
        <w:rPr>
          <w:b/>
          <w:lang w:val="fr-FR"/>
        </w:rPr>
        <w:t>’</w:t>
      </w:r>
      <w:r w:rsidR="007A506C" w:rsidRPr="00202EB9">
        <w:rPr>
          <w:b/>
          <w:lang w:val="fr-FR"/>
        </w:rPr>
        <w:t>ensemble des organes et programmes de l</w:t>
      </w:r>
      <w:r w:rsidR="00426067" w:rsidRPr="00202EB9">
        <w:rPr>
          <w:b/>
          <w:lang w:val="fr-FR"/>
        </w:rPr>
        <w:t>’</w:t>
      </w:r>
      <w:r w:rsidR="007A506C" w:rsidRPr="00202EB9">
        <w:rPr>
          <w:b/>
          <w:lang w:val="fr-FR"/>
        </w:rPr>
        <w:t>Organisation.</w:t>
      </w:r>
    </w:p>
    <w:p w:rsidR="00F5509E" w:rsidRPr="00202EB9" w:rsidRDefault="00353282" w:rsidP="0026192C">
      <w:pPr>
        <w:pStyle w:val="ONUMFS"/>
        <w:rPr>
          <w:lang w:val="fr-FR"/>
        </w:rPr>
      </w:pPr>
      <w:r w:rsidRPr="00202EB9">
        <w:rPr>
          <w:lang w:val="fr-FR"/>
        </w:rPr>
        <w:t>Les travaux de l</w:t>
      </w:r>
      <w:r w:rsidR="00426067" w:rsidRPr="00202EB9">
        <w:rPr>
          <w:lang w:val="fr-FR"/>
        </w:rPr>
        <w:t>’</w:t>
      </w:r>
      <w:r w:rsidRPr="00202EB9">
        <w:rPr>
          <w:lang w:val="fr-FR"/>
        </w:rPr>
        <w:t xml:space="preserve">OMPI ont relativement bien réussi </w:t>
      </w:r>
      <w:r w:rsidR="005A77FB" w:rsidRPr="00202EB9">
        <w:rPr>
          <w:lang w:val="fr-FR"/>
        </w:rPr>
        <w:t xml:space="preserve">à faire </w:t>
      </w:r>
      <w:r w:rsidR="00E33E9C" w:rsidRPr="00202EB9">
        <w:rPr>
          <w:lang w:val="fr-FR"/>
        </w:rPr>
        <w:t xml:space="preserve">passer le message selon lequel la dimension du développement </w:t>
      </w:r>
      <w:r w:rsidR="00F12059" w:rsidRPr="00202EB9">
        <w:rPr>
          <w:lang w:val="fr-FR"/>
        </w:rPr>
        <w:t>devrait être au cœur de toute activité de l</w:t>
      </w:r>
      <w:r w:rsidR="00426067" w:rsidRPr="00202EB9">
        <w:rPr>
          <w:lang w:val="fr-FR"/>
        </w:rPr>
        <w:t>’</w:t>
      </w:r>
      <w:r w:rsidR="00F12059" w:rsidRPr="00202EB9">
        <w:rPr>
          <w:lang w:val="fr-FR"/>
        </w:rPr>
        <w:t>OMPI</w:t>
      </w:r>
      <w:r w:rsidR="005A77FB" w:rsidRPr="00202EB9">
        <w:rPr>
          <w:lang w:val="fr-FR"/>
        </w:rPr>
        <w:t xml:space="preserve"> </w:t>
      </w:r>
      <w:r w:rsidR="00F12059" w:rsidRPr="00202EB9">
        <w:rPr>
          <w:lang w:val="fr-FR"/>
        </w:rPr>
        <w:t>encourageant l</w:t>
      </w:r>
      <w:r w:rsidR="00426067" w:rsidRPr="00202EB9">
        <w:rPr>
          <w:lang w:val="fr-FR"/>
        </w:rPr>
        <w:t>’</w:t>
      </w:r>
      <w:r w:rsidR="00F12059" w:rsidRPr="00202EB9">
        <w:rPr>
          <w:lang w:val="fr-FR"/>
        </w:rPr>
        <w:t>innovation et la créativité.</w:t>
      </w:r>
    </w:p>
    <w:p w:rsidR="00F5509E" w:rsidRPr="00202EB9" w:rsidRDefault="00700389" w:rsidP="0026192C">
      <w:pPr>
        <w:pStyle w:val="ONUMFS"/>
        <w:rPr>
          <w:lang w:val="fr-FR"/>
        </w:rPr>
      </w:pPr>
      <w:r w:rsidRPr="00202EB9">
        <w:rPr>
          <w:lang w:val="fr-FR"/>
        </w:rPr>
        <w:t>L</w:t>
      </w:r>
      <w:r w:rsidR="00426067" w:rsidRPr="00202EB9">
        <w:rPr>
          <w:lang w:val="fr-FR"/>
        </w:rPr>
        <w:t>’</w:t>
      </w:r>
      <w:r w:rsidRPr="00202EB9">
        <w:rPr>
          <w:lang w:val="fr-FR"/>
        </w:rPr>
        <w:t>étude préliminaire a montré que le processus de planification budgétaire et</w:t>
      </w:r>
      <w:r w:rsidR="006D6C1C" w:rsidRPr="00202EB9">
        <w:rPr>
          <w:lang w:val="fr-FR"/>
        </w:rPr>
        <w:t xml:space="preserve"> le processus d</w:t>
      </w:r>
      <w:r w:rsidR="00426067" w:rsidRPr="00202EB9">
        <w:rPr>
          <w:lang w:val="fr-FR"/>
        </w:rPr>
        <w:t>’</w:t>
      </w:r>
      <w:r w:rsidR="006D6C1C" w:rsidRPr="00202EB9">
        <w:rPr>
          <w:lang w:val="fr-FR"/>
        </w:rPr>
        <w:t>établissement du budget ont permis</w:t>
      </w:r>
      <w:r w:rsidR="0052683E" w:rsidRPr="00202EB9">
        <w:rPr>
          <w:lang w:val="fr-FR"/>
        </w:rPr>
        <w:t xml:space="preserve"> l</w:t>
      </w:r>
      <w:r w:rsidR="00426067" w:rsidRPr="00202EB9">
        <w:rPr>
          <w:lang w:val="fr-FR"/>
        </w:rPr>
        <w:t>’</w:t>
      </w:r>
      <w:r w:rsidR="0052683E" w:rsidRPr="00202EB9">
        <w:rPr>
          <w:lang w:val="fr-FR"/>
        </w:rPr>
        <w:t>introduction dans plusieurs programmes de l</w:t>
      </w:r>
      <w:r w:rsidR="00426067" w:rsidRPr="00202EB9">
        <w:rPr>
          <w:lang w:val="fr-FR"/>
        </w:rPr>
        <w:t>’</w:t>
      </w:r>
      <w:r w:rsidR="0052683E" w:rsidRPr="00202EB9">
        <w:rPr>
          <w:lang w:val="fr-FR"/>
        </w:rPr>
        <w:t>OMPI d</w:t>
      </w:r>
      <w:r w:rsidR="00426067" w:rsidRPr="00202EB9">
        <w:rPr>
          <w:lang w:val="fr-FR"/>
        </w:rPr>
        <w:t>’</w:t>
      </w:r>
      <w:r w:rsidR="0052683E" w:rsidRPr="00202EB9">
        <w:rPr>
          <w:lang w:val="fr-FR"/>
        </w:rPr>
        <w:t>activités liées à la propriété intellectuelle pour le développeme</w:t>
      </w:r>
      <w:r w:rsidR="001E787E" w:rsidRPr="00202EB9">
        <w:rPr>
          <w:lang w:val="fr-FR"/>
        </w:rPr>
        <w:t>nt.  Le</w:t>
      </w:r>
      <w:r w:rsidR="00FE7FE5" w:rsidRPr="00202EB9">
        <w:rPr>
          <w:lang w:val="fr-FR"/>
        </w:rPr>
        <w:t xml:space="preserve">s résultats escomptés </w:t>
      </w:r>
      <w:r w:rsidR="00A63F56" w:rsidRPr="00202EB9">
        <w:rPr>
          <w:lang w:val="fr-FR"/>
        </w:rPr>
        <w:t>du programme et budget prévoient, par exemple, des résultats</w:t>
      </w:r>
      <w:r w:rsidR="00D01CA2" w:rsidRPr="00202EB9">
        <w:rPr>
          <w:lang w:val="fr-FR"/>
        </w:rPr>
        <w:t xml:space="preserve"> conduisant à un renforcement de la coopération entre les États membres</w:t>
      </w:r>
      <w:r w:rsidR="00C31639" w:rsidRPr="00202EB9">
        <w:rPr>
          <w:lang w:val="fr-FR"/>
        </w:rPr>
        <w:t xml:space="preserve"> en ce qui concerne l</w:t>
      </w:r>
      <w:r w:rsidR="00426067" w:rsidRPr="00202EB9">
        <w:rPr>
          <w:lang w:val="fr-FR"/>
        </w:rPr>
        <w:t>’</w:t>
      </w:r>
      <w:r w:rsidR="00C31639" w:rsidRPr="00202EB9">
        <w:rPr>
          <w:lang w:val="fr-FR"/>
        </w:rPr>
        <w:t>élaboration d</w:t>
      </w:r>
      <w:r w:rsidR="00426067" w:rsidRPr="00202EB9">
        <w:rPr>
          <w:lang w:val="fr-FR"/>
        </w:rPr>
        <w:t>’</w:t>
      </w:r>
      <w:r w:rsidR="00C31639" w:rsidRPr="00202EB9">
        <w:rPr>
          <w:lang w:val="fr-FR"/>
        </w:rPr>
        <w:t>un cadre normatif international équilibré dans le domaine de la propriété intellectuelle,</w:t>
      </w:r>
      <w:r w:rsidR="00056B35" w:rsidRPr="00202EB9">
        <w:rPr>
          <w:lang w:val="fr-FR"/>
        </w:rPr>
        <w:t xml:space="preserve"> </w:t>
      </w:r>
      <w:r w:rsidR="00F418DA" w:rsidRPr="00202EB9">
        <w:rPr>
          <w:lang w:val="fr-FR"/>
        </w:rPr>
        <w:t>des cadres législatifs, réglementaires et politiques de propriété intellectuelle adaptés et équilibrés, des stratégies et plans nationaux en matière d</w:t>
      </w:r>
      <w:r w:rsidR="00426067" w:rsidRPr="00202EB9">
        <w:rPr>
          <w:lang w:val="fr-FR"/>
        </w:rPr>
        <w:t>’</w:t>
      </w:r>
      <w:r w:rsidR="00F418DA" w:rsidRPr="00202EB9">
        <w:rPr>
          <w:lang w:val="fr-FR"/>
        </w:rPr>
        <w:t>innovation et de propriété intellectuelle conformes aux objectifs de développement nationaux, la mise en valeur des ressources humaines pour répondre aux diverses exigences en matière d</w:t>
      </w:r>
      <w:r w:rsidR="00426067" w:rsidRPr="00202EB9">
        <w:rPr>
          <w:lang w:val="fr-FR"/>
        </w:rPr>
        <w:t>’</w:t>
      </w:r>
      <w:r w:rsidR="00F418DA" w:rsidRPr="00202EB9">
        <w:rPr>
          <w:lang w:val="fr-FR"/>
        </w:rPr>
        <w:t>utilisation efficace de la propriété intellectuelle au service du développement dans les pays en développement,</w:t>
      </w:r>
      <w:r w:rsidR="00426067" w:rsidRPr="00202EB9">
        <w:rPr>
          <w:lang w:val="fr-FR"/>
        </w:rPr>
        <w:t xml:space="preserve"> les PMA</w:t>
      </w:r>
      <w:r w:rsidR="00F418DA" w:rsidRPr="00202EB9">
        <w:rPr>
          <w:lang w:val="fr-FR"/>
        </w:rPr>
        <w:t xml:space="preserve"> et les pays en transition</w:t>
      </w:r>
      <w:r w:rsidR="0032242C" w:rsidRPr="00202EB9">
        <w:rPr>
          <w:lang w:val="fr-FR"/>
        </w:rPr>
        <w:t>, l</w:t>
      </w:r>
      <w:r w:rsidR="00426067" w:rsidRPr="00202EB9">
        <w:rPr>
          <w:lang w:val="fr-FR"/>
        </w:rPr>
        <w:t>’</w:t>
      </w:r>
      <w:r w:rsidR="0032242C" w:rsidRPr="00202EB9">
        <w:rPr>
          <w:lang w:val="fr-FR"/>
        </w:rPr>
        <w:t>intégration des recommandations du Plan d</w:t>
      </w:r>
      <w:r w:rsidR="00426067" w:rsidRPr="00202EB9">
        <w:rPr>
          <w:lang w:val="fr-FR"/>
        </w:rPr>
        <w:t>’</w:t>
      </w:r>
      <w:r w:rsidR="0032242C" w:rsidRPr="00202EB9">
        <w:rPr>
          <w:lang w:val="fr-FR"/>
        </w:rPr>
        <w:t>action pour le développement dans les activités de l</w:t>
      </w:r>
      <w:r w:rsidR="00426067" w:rsidRPr="00202EB9">
        <w:rPr>
          <w:lang w:val="fr-FR"/>
        </w:rPr>
        <w:t>’</w:t>
      </w:r>
      <w:r w:rsidR="0032242C" w:rsidRPr="00202EB9">
        <w:rPr>
          <w:lang w:val="fr-FR"/>
        </w:rPr>
        <w:t>OMPI</w:t>
      </w:r>
      <w:r w:rsidR="004947D5" w:rsidRPr="00202EB9">
        <w:rPr>
          <w:lang w:val="fr-FR"/>
        </w:rPr>
        <w:t>, une meilleure connaissance du Plan d</w:t>
      </w:r>
      <w:r w:rsidR="00426067" w:rsidRPr="00202EB9">
        <w:rPr>
          <w:lang w:val="fr-FR"/>
        </w:rPr>
        <w:t>’</w:t>
      </w:r>
      <w:r w:rsidR="004947D5" w:rsidRPr="00202EB9">
        <w:rPr>
          <w:lang w:val="fr-FR"/>
        </w:rPr>
        <w:t xml:space="preserve">action pour le développement de la part des États membres, des organisations </w:t>
      </w:r>
      <w:proofErr w:type="spellStart"/>
      <w:r w:rsidR="004947D5" w:rsidRPr="00202EB9">
        <w:rPr>
          <w:lang w:val="fr-FR"/>
        </w:rPr>
        <w:t>intergouvernementales</w:t>
      </w:r>
      <w:proofErr w:type="spellEnd"/>
      <w:r w:rsidR="004947D5" w:rsidRPr="00202EB9">
        <w:rPr>
          <w:lang w:val="fr-FR"/>
        </w:rPr>
        <w:t>, de la société civile et d</w:t>
      </w:r>
      <w:r w:rsidR="00426067" w:rsidRPr="00202EB9">
        <w:rPr>
          <w:lang w:val="fr-FR"/>
        </w:rPr>
        <w:t>’</w:t>
      </w:r>
      <w:r w:rsidR="004947D5" w:rsidRPr="00202EB9">
        <w:rPr>
          <w:lang w:val="fr-FR"/>
        </w:rPr>
        <w:t>autres parties prenantes, un renforcement des capacités</w:t>
      </w:r>
      <w:r w:rsidR="00426067" w:rsidRPr="00202EB9">
        <w:rPr>
          <w:lang w:val="fr-FR"/>
        </w:rPr>
        <w:t xml:space="preserve"> des PME</w:t>
      </w:r>
      <w:r w:rsidR="004947D5" w:rsidRPr="00202EB9">
        <w:rPr>
          <w:lang w:val="fr-FR"/>
        </w:rPr>
        <w:t xml:space="preserve"> s</w:t>
      </w:r>
      <w:r w:rsidR="00426067" w:rsidRPr="00202EB9">
        <w:rPr>
          <w:lang w:val="fr-FR"/>
        </w:rPr>
        <w:t>’</w:t>
      </w:r>
      <w:r w:rsidR="004947D5" w:rsidRPr="00202EB9">
        <w:rPr>
          <w:lang w:val="fr-FR"/>
        </w:rPr>
        <w:t>agissant de mettre la propriété intellectuelle au service de l</w:t>
      </w:r>
      <w:r w:rsidR="00426067" w:rsidRPr="00202EB9">
        <w:rPr>
          <w:lang w:val="fr-FR"/>
        </w:rPr>
        <w:t>’</w:t>
      </w:r>
      <w:r w:rsidR="004947D5" w:rsidRPr="00202EB9">
        <w:rPr>
          <w:lang w:val="fr-FR"/>
        </w:rPr>
        <w:t>innovation, et une amélioration de l</w:t>
      </w:r>
      <w:r w:rsidR="00426067" w:rsidRPr="00202EB9">
        <w:rPr>
          <w:lang w:val="fr-FR"/>
        </w:rPr>
        <w:t>’</w:t>
      </w:r>
      <w:r w:rsidR="004947D5" w:rsidRPr="00202EB9">
        <w:rPr>
          <w:lang w:val="fr-FR"/>
        </w:rPr>
        <w:t>accessibilité et de l</w:t>
      </w:r>
      <w:r w:rsidR="00426067" w:rsidRPr="00202EB9">
        <w:rPr>
          <w:lang w:val="fr-FR"/>
        </w:rPr>
        <w:t>’</w:t>
      </w:r>
      <w:r w:rsidR="004947D5" w:rsidRPr="00202EB9">
        <w:rPr>
          <w:lang w:val="fr-FR"/>
        </w:rPr>
        <w:t>utilisation de l</w:t>
      </w:r>
      <w:r w:rsidR="00426067" w:rsidRPr="00202EB9">
        <w:rPr>
          <w:lang w:val="fr-FR"/>
        </w:rPr>
        <w:t>’</w:t>
      </w:r>
      <w:r w:rsidR="004947D5" w:rsidRPr="00202EB9">
        <w:rPr>
          <w:lang w:val="fr-FR"/>
        </w:rPr>
        <w:t>information en matière de propriété intellectuelle par les institutions compétentes et le public afin de promouvoir l</w:t>
      </w:r>
      <w:r w:rsidR="00426067" w:rsidRPr="00202EB9">
        <w:rPr>
          <w:lang w:val="fr-FR"/>
        </w:rPr>
        <w:t>’</w:t>
      </w:r>
      <w:r w:rsidR="004947D5" w:rsidRPr="00202EB9">
        <w:rPr>
          <w:lang w:val="fr-FR"/>
        </w:rPr>
        <w:t>innovation et la créativité</w:t>
      </w:r>
      <w:r w:rsidR="00CC4031" w:rsidRPr="00202EB9">
        <w:rPr>
          <w:lang w:val="fr-FR"/>
        </w:rPr>
        <w:t>.</w:t>
      </w:r>
    </w:p>
    <w:p w:rsidR="00F5509E" w:rsidRPr="00202EB9" w:rsidRDefault="00157693" w:rsidP="0026192C">
      <w:pPr>
        <w:pStyle w:val="ONUMFS"/>
        <w:rPr>
          <w:lang w:val="fr-FR"/>
        </w:rPr>
      </w:pPr>
      <w:r w:rsidRPr="00202EB9">
        <w:rPr>
          <w:lang w:val="fr-FR"/>
        </w:rPr>
        <w:t>Les</w:t>
      </w:r>
      <w:r w:rsidR="00886A9A" w:rsidRPr="00202EB9">
        <w:rPr>
          <w:lang w:val="fr-FR"/>
        </w:rPr>
        <w:t xml:space="preserve"> recommandations du Plan d</w:t>
      </w:r>
      <w:r w:rsidR="00426067" w:rsidRPr="00202EB9">
        <w:rPr>
          <w:lang w:val="fr-FR"/>
        </w:rPr>
        <w:t>’</w:t>
      </w:r>
      <w:r w:rsidR="00886A9A" w:rsidRPr="00202EB9">
        <w:rPr>
          <w:lang w:val="fr-FR"/>
        </w:rPr>
        <w:t>action pour le développement mettant l</w:t>
      </w:r>
      <w:r w:rsidR="00426067" w:rsidRPr="00202EB9">
        <w:rPr>
          <w:lang w:val="fr-FR"/>
        </w:rPr>
        <w:t>’</w:t>
      </w:r>
      <w:r w:rsidR="00886A9A" w:rsidRPr="00202EB9">
        <w:rPr>
          <w:lang w:val="fr-FR"/>
        </w:rPr>
        <w:t>accent sur le développement ont recueilli l</w:t>
      </w:r>
      <w:r w:rsidR="00426067" w:rsidRPr="00202EB9">
        <w:rPr>
          <w:lang w:val="fr-FR"/>
        </w:rPr>
        <w:t>’</w:t>
      </w:r>
      <w:r w:rsidR="00886A9A" w:rsidRPr="00202EB9">
        <w:rPr>
          <w:lang w:val="fr-FR"/>
        </w:rPr>
        <w:t>adhésion des</w:t>
      </w:r>
      <w:r w:rsidRPr="00202EB9">
        <w:rPr>
          <w:lang w:val="fr-FR"/>
        </w:rPr>
        <w:t xml:space="preserve"> comités permanents et </w:t>
      </w:r>
      <w:r w:rsidR="00886A9A" w:rsidRPr="00202EB9">
        <w:rPr>
          <w:lang w:val="fr-FR"/>
        </w:rPr>
        <w:t>d</w:t>
      </w:r>
      <w:r w:rsidRPr="00202EB9">
        <w:rPr>
          <w:lang w:val="fr-FR"/>
        </w:rPr>
        <w:t>es autres organes compétents de l</w:t>
      </w:r>
      <w:r w:rsidR="00426067" w:rsidRPr="00202EB9">
        <w:rPr>
          <w:lang w:val="fr-FR"/>
        </w:rPr>
        <w:t>’</w:t>
      </w:r>
      <w:r w:rsidRPr="00202EB9">
        <w:rPr>
          <w:lang w:val="fr-FR"/>
        </w:rPr>
        <w:t>O</w:t>
      </w:r>
      <w:r w:rsidR="001E787E" w:rsidRPr="00202EB9">
        <w:rPr>
          <w:lang w:val="fr-FR"/>
        </w:rPr>
        <w:t>MPI.  Il</w:t>
      </w:r>
      <w:r w:rsidR="00886A9A" w:rsidRPr="00202EB9">
        <w:rPr>
          <w:lang w:val="fr-FR"/>
        </w:rPr>
        <w:t xml:space="preserve"> reste toutefois des cas isolés, dans lesquels les questions liées aux recommandations du Plan d</w:t>
      </w:r>
      <w:r w:rsidR="00426067" w:rsidRPr="00202EB9">
        <w:rPr>
          <w:lang w:val="fr-FR"/>
        </w:rPr>
        <w:t>’</w:t>
      </w:r>
      <w:r w:rsidR="00886A9A" w:rsidRPr="00202EB9">
        <w:rPr>
          <w:lang w:val="fr-FR"/>
        </w:rPr>
        <w:t>action pour le développement accusent du reta</w:t>
      </w:r>
      <w:r w:rsidR="001E787E" w:rsidRPr="00202EB9">
        <w:rPr>
          <w:lang w:val="fr-FR"/>
        </w:rPr>
        <w:t>rd.  Un</w:t>
      </w:r>
      <w:r w:rsidR="00E05BDB" w:rsidRPr="00202EB9">
        <w:rPr>
          <w:lang w:val="fr-FR"/>
        </w:rPr>
        <w:t xml:space="preserve"> exemple représentatif à cet égard, </w:t>
      </w:r>
      <w:r w:rsidR="00EA5C83" w:rsidRPr="00202EB9">
        <w:rPr>
          <w:lang w:val="fr-FR"/>
        </w:rPr>
        <w:t>sans être le seul, est celui de l</w:t>
      </w:r>
      <w:r w:rsidR="00426067" w:rsidRPr="00202EB9">
        <w:rPr>
          <w:lang w:val="fr-FR"/>
        </w:rPr>
        <w:t>’</w:t>
      </w:r>
      <w:r w:rsidR="00EA5C83" w:rsidRPr="00202EB9">
        <w:rPr>
          <w:lang w:val="fr-FR"/>
        </w:rPr>
        <w:t>IGC.</w:t>
      </w:r>
    </w:p>
    <w:p w:rsidR="00202EB9" w:rsidRPr="00202EB9" w:rsidRDefault="00202EB9" w:rsidP="00202EB9">
      <w:pPr>
        <w:pStyle w:val="ONUMFS"/>
        <w:numPr>
          <w:ilvl w:val="0"/>
          <w:numId w:val="0"/>
        </w:numPr>
        <w:rPr>
          <w:b/>
          <w:lang w:val="fr-FR"/>
        </w:rPr>
      </w:pPr>
      <w:r w:rsidRPr="00202EB9">
        <w:rPr>
          <w:b/>
          <w:lang w:val="fr-FR"/>
        </w:rPr>
        <w:t>Observation 6 </w:t>
      </w:r>
      <w:proofErr w:type="gramStart"/>
      <w:r w:rsidRPr="00202EB9">
        <w:rPr>
          <w:b/>
          <w:lang w:val="fr-FR"/>
        </w:rPr>
        <w:t>: La</w:t>
      </w:r>
      <w:proofErr w:type="gramEnd"/>
      <w:r w:rsidRPr="00202EB9">
        <w:rPr>
          <w:b/>
          <w:lang w:val="fr-FR"/>
        </w:rPr>
        <w:t xml:space="preserve"> mise en œuvre des recommandations du Plan d’action pour le développement au niveau national a d’une manière générale été réussie et efficace.  Toutefois, les projets impliquant la participation d’autres institutions/administrations nationales ont été moins fructueux que ceux exécutés directement par les offices de propriété intellectuelle.</w:t>
      </w:r>
    </w:p>
    <w:p w:rsidR="00202EB9" w:rsidRPr="00202EB9" w:rsidRDefault="00202EB9" w:rsidP="00202EB9">
      <w:pPr>
        <w:pStyle w:val="ONUMFS"/>
        <w:rPr>
          <w:lang w:val="fr-FR"/>
        </w:rPr>
      </w:pPr>
      <w:r w:rsidRPr="00202EB9">
        <w:rPr>
          <w:lang w:val="fr-FR"/>
        </w:rPr>
        <w:t>L’étude a fait apparaître que les projets associant directement les institutions nationales de propriété intellectuelle se sont révélés plus efficaces que les activités et projets impliquant des acteurs d’autres ministères et organismes.  Cela peut être dû à une participation et un intérêt moindres des autres institutions/administrations pour une question qui ne relève pas de leur cœur de métier ou à des problèmes de coordination au niveau national.</w:t>
      </w:r>
    </w:p>
    <w:p w:rsidR="00202EB9" w:rsidRPr="00202EB9" w:rsidRDefault="00202EB9" w:rsidP="00202EB9">
      <w:pPr>
        <w:pStyle w:val="ONUMFS"/>
        <w:rPr>
          <w:lang w:val="fr-FR"/>
        </w:rPr>
      </w:pPr>
      <w:r w:rsidRPr="00202EB9">
        <w:rPr>
          <w:lang w:val="fr-FR"/>
        </w:rPr>
        <w:t>Il a été noté au cours des missions sur le terrain que les projets menés dans les pays où il existe des capacités d’assimilation étaient plus réussis.  Tel était le cas des projets tels que ceux relatifs à l’accès aux bases de données spécialisées, aux institutions de propriété intellectuelle efficaces, aux académies de propriété intellectuelle et aux instruments permettant d’accéder à l’information en matière de brevets.  Il est également apparu que ces projets étaient considérés comme plus efficaces grâce aux compétences préexistantes disponibles dans les États membres/bénéficiaires.</w:t>
      </w:r>
    </w:p>
    <w:p w:rsidR="00202EB9" w:rsidRPr="00202EB9" w:rsidRDefault="00202EB9" w:rsidP="00202EB9">
      <w:pPr>
        <w:pStyle w:val="ONUMFS"/>
        <w:rPr>
          <w:lang w:val="fr-FR"/>
        </w:rPr>
      </w:pPr>
      <w:r w:rsidRPr="00202EB9">
        <w:rPr>
          <w:lang w:val="fr-FR"/>
        </w:rPr>
        <w:t>Il a également été observé au cours des entretiens que le degré d’efficacité de l’exécution des projets dans un pays donné était directement corrélé au niveau de développement de ce pays.  Cela tient aux ressources humaines et financières mises à disposition par le pays pour appuyer l’exécution et la pérennité du projet.  Par ailleurs, le changement des priorités dans certains pays ainsi que la rétention de personnel ont lourdement grevé l’efficacité de certains projets.</w:t>
      </w:r>
    </w:p>
    <w:p w:rsidR="00202EB9" w:rsidRPr="00202EB9" w:rsidRDefault="00202EB9" w:rsidP="00202EB9">
      <w:pPr>
        <w:pStyle w:val="ONUMFS"/>
        <w:rPr>
          <w:lang w:val="fr-FR"/>
        </w:rPr>
      </w:pPr>
      <w:r w:rsidRPr="00202EB9">
        <w:rPr>
          <w:lang w:val="fr-FR"/>
        </w:rPr>
        <w:t>Il a été noté que le niveau de compétences spécialisées mises à disposition par l’Organisation influe directement sur la production des résultats concrets du projet.  Dans le cas de certains projets, il est apparu au cours des missions sur le terrain que le niveau des compétences et la connaissance de la situation et des conditions locales avaient une très forte incidence sur l’issue finale de la mise en œuvre dans un pays.</w:t>
      </w:r>
    </w:p>
    <w:p w:rsidR="00202EB9" w:rsidRPr="00202EB9" w:rsidRDefault="00202EB9" w:rsidP="00202EB9">
      <w:pPr>
        <w:pStyle w:val="ONUMFS"/>
        <w:numPr>
          <w:ilvl w:val="0"/>
          <w:numId w:val="0"/>
        </w:numPr>
        <w:rPr>
          <w:b/>
          <w:lang w:val="fr-FR"/>
        </w:rPr>
      </w:pPr>
      <w:r w:rsidRPr="00202EB9">
        <w:rPr>
          <w:b/>
          <w:lang w:val="fr-FR"/>
        </w:rPr>
        <w:t>Observation 7 </w:t>
      </w:r>
      <w:proofErr w:type="gramStart"/>
      <w:r w:rsidRPr="00202EB9">
        <w:rPr>
          <w:b/>
          <w:lang w:val="fr-FR"/>
        </w:rPr>
        <w:t>: Les</w:t>
      </w:r>
      <w:proofErr w:type="gramEnd"/>
      <w:r w:rsidRPr="00202EB9">
        <w:rPr>
          <w:b/>
          <w:lang w:val="fr-FR"/>
        </w:rPr>
        <w:t xml:space="preserve"> recommandations du Plan d’action pour le développement et leurs principes ont été pour la plupart intégrés au cycle du programme et budget.  Néanmoins, le </w:t>
      </w:r>
      <w:proofErr w:type="spellStart"/>
      <w:r w:rsidRPr="00202EB9">
        <w:rPr>
          <w:b/>
          <w:lang w:val="fr-FR"/>
        </w:rPr>
        <w:t>PSMT</w:t>
      </w:r>
      <w:proofErr w:type="spellEnd"/>
      <w:r w:rsidRPr="00202EB9">
        <w:rPr>
          <w:b/>
          <w:lang w:val="fr-FR"/>
        </w:rPr>
        <w:t xml:space="preserve"> pour 2010</w:t>
      </w:r>
      <w:r w:rsidRPr="00202EB9">
        <w:rPr>
          <w:b/>
          <w:lang w:val="fr-FR"/>
        </w:rPr>
        <w:noBreakHyphen/>
        <w:t>2015 ne comprend pas de stratégies particulières liées à la mise en œuvre de ces recommandations.</w:t>
      </w:r>
    </w:p>
    <w:p w:rsidR="00202EB9" w:rsidRPr="00202EB9" w:rsidRDefault="00202EB9" w:rsidP="00202EB9">
      <w:pPr>
        <w:pStyle w:val="ONUMFS"/>
        <w:rPr>
          <w:lang w:val="fr-FR"/>
        </w:rPr>
      </w:pPr>
      <w:r w:rsidRPr="00202EB9">
        <w:rPr>
          <w:lang w:val="fr-FR"/>
        </w:rPr>
        <w:t>L’équipe chargée de l’étude a observé que la viabilité à long terme de la mise en œuvre du Plan d’action pour le développement était assurée par le Plan stratégique à moyen terme (</w:t>
      </w:r>
      <w:proofErr w:type="spellStart"/>
      <w:r w:rsidRPr="00202EB9">
        <w:rPr>
          <w:lang w:val="fr-FR"/>
        </w:rPr>
        <w:t>PSMT</w:t>
      </w:r>
      <w:proofErr w:type="spellEnd"/>
      <w:r w:rsidRPr="00202EB9">
        <w:rPr>
          <w:lang w:val="fr-FR"/>
        </w:rPr>
        <w:t>) de l’OMPI pour 2010</w:t>
      </w:r>
      <w:r w:rsidRPr="00202EB9">
        <w:rPr>
          <w:lang w:val="fr-FR"/>
        </w:rPr>
        <w:noBreakHyphen/>
        <w:t>2015.  Moyennant une thématique globale axée sur le développement, le </w:t>
      </w:r>
      <w:proofErr w:type="spellStart"/>
      <w:r w:rsidRPr="00202EB9">
        <w:rPr>
          <w:lang w:val="fr-FR"/>
        </w:rPr>
        <w:t>PSMT</w:t>
      </w:r>
      <w:proofErr w:type="spellEnd"/>
      <w:r w:rsidRPr="00202EB9">
        <w:rPr>
          <w:lang w:val="fr-FR"/>
        </w:rPr>
        <w:t xml:space="preserve"> incorporait les 45 recommandations du Plan d’action aux activités menées par l’OMPI au titre des neuf objectifs stratégiques.  Cette orientation inspirait le cycle du programme et budget biennal.  Dans le programme et budget révisé en 2009, un effort était fait pour intégrer le Plan d’action pour le développement aux activités de l’Organisation moyennant l’établissement de liens entre les recommandations du Plan d’action pour le développement et les différents programmes de l’OMPI.</w:t>
      </w:r>
    </w:p>
    <w:p w:rsidR="00202EB9" w:rsidRPr="00202EB9" w:rsidRDefault="00202EB9" w:rsidP="00202EB9">
      <w:pPr>
        <w:pStyle w:val="ONUMFS"/>
        <w:rPr>
          <w:lang w:val="fr-FR"/>
        </w:rPr>
      </w:pPr>
      <w:r w:rsidRPr="00202EB9">
        <w:rPr>
          <w:lang w:val="fr-FR" w:bidi="en-US"/>
        </w:rPr>
        <w:t>L’équipe chargée de l’étude a constaté que cette approche était perfectionnée dans le programme et budget de l’exercice biennal </w:t>
      </w:r>
      <w:r w:rsidRPr="00202EB9">
        <w:rPr>
          <w:lang w:val="fr-FR"/>
        </w:rPr>
        <w:t>2010</w:t>
      </w:r>
      <w:r w:rsidRPr="00202EB9">
        <w:rPr>
          <w:lang w:val="fr-FR"/>
        </w:rPr>
        <w:noBreakHyphen/>
        <w:t>2011 en permettant aux États membres et au Secrétariat de suivre et d’évaluer l’état d’avancement de la mise en œuvre du Plan d’action pour le développement.  Par ailleurs, les programmes et budgets approuvés pour 2012</w:t>
      </w:r>
      <w:r w:rsidRPr="00202EB9">
        <w:rPr>
          <w:lang w:val="fr-FR"/>
        </w:rPr>
        <w:noBreakHyphen/>
        <w:t>2013 et 2014</w:t>
      </w:r>
      <w:r w:rsidRPr="00202EB9">
        <w:rPr>
          <w:lang w:val="fr-FR"/>
        </w:rPr>
        <w:noBreakHyphen/>
        <w:t xml:space="preserve">205 intégraient le développement à tous les objectifs stratégiques et programmes pertinents de l’OMPI.  </w:t>
      </w:r>
      <w:r w:rsidRPr="00202EB9">
        <w:rPr>
          <w:lang w:val="fr-FR" w:bidi="en-US"/>
        </w:rPr>
        <w:t xml:space="preserve">L’équipe chargée de l’étude a pris note du </w:t>
      </w:r>
      <w:r w:rsidRPr="00202EB9">
        <w:rPr>
          <w:lang w:val="fr-FR"/>
        </w:rPr>
        <w:t xml:space="preserve">tableau synoptique des résultats et des estimations relatives à la part du développement par résultat établies pour déterminer les ressources consacrées au développement au titre des différents programmes.  En outre, les projets du Plan d’action pour le développement approuvés par le comité ont également été intégrés, en termes à la fois de substance et de ressources, dans chaque programme, et des liens vers les recommandations du Plan d’action pour le développement </w:t>
      </w:r>
      <w:proofErr w:type="gramStart"/>
      <w:r w:rsidRPr="00202EB9">
        <w:rPr>
          <w:lang w:val="fr-FR"/>
        </w:rPr>
        <w:t>ont</w:t>
      </w:r>
      <w:proofErr w:type="gramEnd"/>
      <w:r w:rsidRPr="00202EB9">
        <w:rPr>
          <w:lang w:val="fr-FR"/>
        </w:rPr>
        <w:t xml:space="preserve"> été insérés dans l’exposé de chaque programme.</w:t>
      </w:r>
    </w:p>
    <w:p w:rsidR="00202EB9" w:rsidRPr="00202EB9" w:rsidRDefault="00202EB9" w:rsidP="00202EB9">
      <w:pPr>
        <w:pStyle w:val="ONUMFS"/>
        <w:rPr>
          <w:lang w:val="fr-FR"/>
        </w:rPr>
      </w:pPr>
      <w:r w:rsidRPr="00202EB9">
        <w:rPr>
          <w:lang w:val="fr-FR"/>
        </w:rPr>
        <w:t>L’étude documentaire a montré que le rapport sur l’exécution du programme en 2008</w:t>
      </w:r>
      <w:r w:rsidRPr="00202EB9">
        <w:rPr>
          <w:lang w:val="fr-FR"/>
        </w:rPr>
        <w:noBreakHyphen/>
        <w:t>2009 contenait sous chaque programme une section rendant compte de son rôle et de sa contribution au regard de la mise en œuvre du Plan d’action pour le développement.  En 2010, cette section comprenait des renseignements sur la mise en œuvre des recommandations du Plan d’action pour le développement ainsi que sur les projets entrepris au titre de chaque programme.</w:t>
      </w:r>
    </w:p>
    <w:p w:rsidR="00202EB9" w:rsidRPr="00202EB9" w:rsidRDefault="00202EB9" w:rsidP="00202EB9">
      <w:pPr>
        <w:pStyle w:val="ONUMFS"/>
        <w:rPr>
          <w:lang w:val="fr-FR"/>
        </w:rPr>
      </w:pPr>
      <w:r w:rsidRPr="00202EB9">
        <w:rPr>
          <w:lang w:val="fr-FR"/>
        </w:rPr>
        <w:t>Cette section a été renforcée en 2012 de manière à tenir compte des observations reçues des États membres lors de l’examen du rapport sur l’exécution du programme en 2010</w:t>
      </w:r>
      <w:r w:rsidRPr="00202EB9">
        <w:rPr>
          <w:lang w:val="fr-FR"/>
        </w:rPr>
        <w:noBreakHyphen/>
        <w:t>2011.  L’information sur la mise en œuvre du Plan d’action pour le développement a été encore améliorée en 2015, une évaluation de cette mise en œuvre ayant été intégrée à l’aperçu des progrès accomplis dans le rapport sur l’exécution du programme en 2014.</w:t>
      </w:r>
    </w:p>
    <w:p w:rsidR="00202EB9" w:rsidRPr="00202EB9" w:rsidRDefault="00202EB9" w:rsidP="00202EB9">
      <w:pPr>
        <w:pStyle w:val="ONUMFS"/>
        <w:rPr>
          <w:lang w:val="fr-FR"/>
        </w:rPr>
      </w:pPr>
      <w:r w:rsidRPr="00202EB9">
        <w:rPr>
          <w:lang w:val="fr-FR"/>
        </w:rPr>
        <w:t>Cela étant, il a également été observé que les “défis et possibilités” et les “stratégies” relatifs à la mise en œuvre des recommandations du Plan d’action pour le développement n’étaient pas indiqués dans le </w:t>
      </w:r>
      <w:proofErr w:type="spellStart"/>
      <w:r w:rsidRPr="00202EB9">
        <w:rPr>
          <w:lang w:val="fr-FR"/>
        </w:rPr>
        <w:t>PSMT</w:t>
      </w:r>
      <w:proofErr w:type="spellEnd"/>
      <w:r w:rsidRPr="00202EB9">
        <w:rPr>
          <w:lang w:val="fr-FR"/>
        </w:rPr>
        <w:t>.</w:t>
      </w:r>
    </w:p>
    <w:p w:rsidR="00202EB9" w:rsidRPr="00202EB9" w:rsidRDefault="00202EB9" w:rsidP="00202EB9">
      <w:pPr>
        <w:pStyle w:val="Heading3"/>
        <w:rPr>
          <w:lang w:val="fr-FR"/>
        </w:rPr>
      </w:pPr>
      <w:bookmarkStart w:id="22" w:name="_Toc460492863"/>
      <w:r w:rsidRPr="00327572">
        <w:rPr>
          <w:u w:val="none"/>
          <w:lang w:val="fr-FR"/>
        </w:rPr>
        <w:t>c.</w:t>
      </w:r>
      <w:r w:rsidRPr="00327572">
        <w:rPr>
          <w:u w:val="none"/>
          <w:lang w:val="fr-FR"/>
        </w:rPr>
        <w:tab/>
      </w:r>
      <w:r w:rsidRPr="00202EB9">
        <w:rPr>
          <w:lang w:val="fr-FR"/>
        </w:rPr>
        <w:t>Efficacité</w:t>
      </w:r>
      <w:bookmarkEnd w:id="22"/>
    </w:p>
    <w:p w:rsidR="00202EB9" w:rsidRPr="00202EB9" w:rsidRDefault="00202EB9" w:rsidP="00202EB9">
      <w:pPr>
        <w:rPr>
          <w:lang w:val="fr-FR" w:eastAsia="zh-CN" w:bidi="ar-SA"/>
        </w:rPr>
      </w:pPr>
    </w:p>
    <w:p w:rsidR="00202EB9" w:rsidRPr="00202EB9" w:rsidRDefault="00202EB9" w:rsidP="00202EB9">
      <w:pPr>
        <w:pStyle w:val="ONUMFS"/>
        <w:rPr>
          <w:lang w:val="fr-FR"/>
        </w:rPr>
      </w:pPr>
      <w:r w:rsidRPr="00202EB9">
        <w:rPr>
          <w:lang w:val="fr-FR"/>
        </w:rPr>
        <w:t>La présente section traite de l’efficacité avec laquelle l’OMPI a utilisé les ressources humaines et financières dans ses activités visant directement la mise en œuvre des recommandations du Plan d’action pour le développement.</w:t>
      </w:r>
    </w:p>
    <w:p w:rsidR="00202EB9" w:rsidRPr="00202EB9" w:rsidRDefault="00202EB9" w:rsidP="00202EB9">
      <w:pPr>
        <w:pStyle w:val="ONUMFS"/>
        <w:numPr>
          <w:ilvl w:val="0"/>
          <w:numId w:val="0"/>
        </w:numPr>
        <w:rPr>
          <w:b/>
          <w:lang w:val="fr-FR"/>
        </w:rPr>
      </w:pPr>
      <w:r w:rsidRPr="00202EB9">
        <w:rPr>
          <w:b/>
          <w:lang w:val="fr-FR"/>
        </w:rPr>
        <w:t>Observation 8 </w:t>
      </w:r>
      <w:proofErr w:type="gramStart"/>
      <w:r w:rsidRPr="00202EB9">
        <w:rPr>
          <w:b/>
          <w:lang w:val="fr-FR"/>
        </w:rPr>
        <w:t>: Les</w:t>
      </w:r>
      <w:proofErr w:type="gramEnd"/>
      <w:r w:rsidRPr="00202EB9">
        <w:rPr>
          <w:b/>
          <w:lang w:val="fr-FR"/>
        </w:rPr>
        <w:t xml:space="preserve"> projets relatifs aux recommandations du Plan d’action pour le développement ont d’une manière générale bénéficié de ressources suffisantes malgré des problèmes pour la mise en œuvre au niveau national.</w:t>
      </w:r>
    </w:p>
    <w:p w:rsidR="00202EB9" w:rsidRPr="00202EB9" w:rsidRDefault="00202EB9" w:rsidP="00202EB9">
      <w:pPr>
        <w:pStyle w:val="ONUMFS"/>
        <w:rPr>
          <w:lang w:val="fr-FR"/>
        </w:rPr>
      </w:pPr>
      <w:r w:rsidRPr="00202EB9">
        <w:rPr>
          <w:lang w:val="fr-FR"/>
        </w:rPr>
        <w:t>D’une manière générale, les projets et activités ont bénéficié de ressources suffisantes.  Toutefois, pour certains d’entre eux, les ressources humaines et financières n’ont pas été utilisées dans la mesure requise, comme dans le cas du projet sur la propriété intellectuelle et le transfert de technologie </w:t>
      </w:r>
      <w:proofErr w:type="gramStart"/>
      <w:r w:rsidRPr="00202EB9">
        <w:rPr>
          <w:lang w:val="fr-FR"/>
        </w:rPr>
        <w:t>: élaborer</w:t>
      </w:r>
      <w:proofErr w:type="gramEnd"/>
      <w:r w:rsidRPr="00202EB9">
        <w:rPr>
          <w:lang w:val="fr-FR"/>
        </w:rPr>
        <w:t xml:space="preserve"> des solutions face aux défis communs, et de celui relatif aux stratégies nationales de propriété intellectuelle.  Dans certains domaines (par exemple, travaux d’analyse), les ressources humaines étaient considérées comme plus importantes que les ressources financières étant donné que la réussite dépendait de personnes compétentes à même de faire preuve de créativité et de résoudre des problèmes complexes.</w:t>
      </w:r>
    </w:p>
    <w:p w:rsidR="00202EB9" w:rsidRPr="00202EB9" w:rsidRDefault="00202EB9" w:rsidP="00202EB9">
      <w:pPr>
        <w:pStyle w:val="ONUMFS"/>
        <w:rPr>
          <w:lang w:val="fr-FR"/>
        </w:rPr>
      </w:pPr>
      <w:r w:rsidRPr="00202EB9">
        <w:rPr>
          <w:lang w:val="fr-FR"/>
        </w:rPr>
        <w:t>Les pays en développement, et les PMA en particulier, ont jugé qu’ils avaient besoin de davantage de moyens financiers que ceux alloués.  Ils ont parfois estimé que les procédures d’approbation étaient complexes et rigides.</w:t>
      </w:r>
    </w:p>
    <w:p w:rsidR="00202EB9" w:rsidRPr="00202EB9" w:rsidRDefault="00202EB9" w:rsidP="00202EB9">
      <w:pPr>
        <w:pStyle w:val="ONUMFS"/>
        <w:rPr>
          <w:lang w:val="fr-FR"/>
        </w:rPr>
      </w:pPr>
      <w:r w:rsidRPr="00202EB9">
        <w:rPr>
          <w:lang w:val="fr-FR"/>
        </w:rPr>
        <w:t>Il y a eu des problèmes concernant le déploiement de ressources humaines suffisantes par les bénéficiaires.  Certains projets n’ont pu être mis en œuvre avec l’efficacité voulue par manque de clarté quant aux rôles et responsabilités des pays bénéficiaires, s’agissant notamment des ressources à engager de leur côté.  Dans un pays par exemple, les activités initiales pour la création de nouvelles académies nationales de propriété intellectuelle ont été entreprises mais le pays n’avait pas l’infrastructure nécessaire pour établir cette académie, et dans un autre cas un pays n’avait pas été en mesure de créer une bibliothèque de propriété intellectuelle bien équipée faute de ressources.</w:t>
      </w:r>
    </w:p>
    <w:p w:rsidR="00202EB9" w:rsidRPr="00202EB9" w:rsidRDefault="00202EB9" w:rsidP="00202EB9">
      <w:pPr>
        <w:pStyle w:val="ONUMFS"/>
        <w:rPr>
          <w:rFonts w:eastAsia="Calibri"/>
          <w:lang w:val="fr-FR"/>
        </w:rPr>
      </w:pPr>
      <w:r w:rsidRPr="00202EB9">
        <w:rPr>
          <w:lang w:val="fr-FR"/>
        </w:rPr>
        <w:t>Les niveaux d’efficacité requis n’ont pu être atteints pour les projets qui ont été mis en œuvre sans avoir pris pleinement en considération les besoins, les attentes et la situation des pays bénéficiaires</w:t>
      </w:r>
      <w:r w:rsidRPr="00202EB9">
        <w:rPr>
          <w:rFonts w:eastAsia="Calibri"/>
          <w:lang w:val="fr-FR"/>
        </w:rPr>
        <w:t>.</w:t>
      </w:r>
    </w:p>
    <w:p w:rsidR="00202EB9" w:rsidRPr="00202EB9" w:rsidRDefault="00202EB9" w:rsidP="00202EB9">
      <w:pPr>
        <w:pStyle w:val="ONUMFS"/>
        <w:rPr>
          <w:rFonts w:eastAsia="Calibri"/>
          <w:lang w:val="fr-FR"/>
        </w:rPr>
      </w:pPr>
      <w:r w:rsidRPr="00202EB9">
        <w:rPr>
          <w:rFonts w:eastAsia="Calibri"/>
          <w:lang w:val="fr-FR"/>
        </w:rPr>
        <w:t>Des mécanismes tels que des audits de propriété intellectuelle, une évaluation indépendante du côté des pays bénéficiaires et un examen conjoint entre ces pays et les responsables de projet n’étaient pas prévus pour certains projets, compromettant d’autant le niveau d’efficacité.</w:t>
      </w:r>
    </w:p>
    <w:p w:rsidR="00202EB9" w:rsidRPr="00202EB9" w:rsidRDefault="00202EB9" w:rsidP="00202EB9">
      <w:pPr>
        <w:pStyle w:val="ONUMFS"/>
        <w:numPr>
          <w:ilvl w:val="0"/>
          <w:numId w:val="0"/>
        </w:numPr>
        <w:rPr>
          <w:b/>
          <w:lang w:val="fr-FR"/>
        </w:rPr>
      </w:pPr>
      <w:r w:rsidRPr="00202EB9">
        <w:rPr>
          <w:b/>
          <w:lang w:val="fr-FR"/>
        </w:rPr>
        <w:t>Observation 9 </w:t>
      </w:r>
      <w:proofErr w:type="gramStart"/>
      <w:r w:rsidRPr="00202EB9">
        <w:rPr>
          <w:b/>
          <w:lang w:val="fr-FR"/>
        </w:rPr>
        <w:t>: Les</w:t>
      </w:r>
      <w:proofErr w:type="gramEnd"/>
      <w:r w:rsidRPr="00202EB9">
        <w:rPr>
          <w:b/>
          <w:lang w:val="fr-FR"/>
        </w:rPr>
        <w:t xml:space="preserve"> mécanismes d’information existants manquent de précision, notamment en ce qui concerne l’utilisation effective des dépenses de personnel.</w:t>
      </w:r>
    </w:p>
    <w:p w:rsidR="00202EB9" w:rsidRPr="00202EB9" w:rsidRDefault="00202EB9" w:rsidP="00202EB9">
      <w:pPr>
        <w:pStyle w:val="ONUMFS"/>
        <w:rPr>
          <w:lang w:val="fr-FR"/>
        </w:rPr>
      </w:pPr>
      <w:r w:rsidRPr="00202EB9">
        <w:rPr>
          <w:lang w:val="fr-FR"/>
        </w:rPr>
        <w:t>Une analyse du point de vue des responsables des 25 projets du Plan d’action pour le développement achevés et évalués énumérés à l’annexe I du présent rapport en ce qui concerne les dépenses de personnel allouées a été effectuée par l’équipe chargée de l’étude.  On peut voir que 6,87 millions de francs suisses ont été alloués au titre des dépenses de personnel.</w:t>
      </w:r>
    </w:p>
    <w:p w:rsidR="00202EB9" w:rsidRPr="00202EB9" w:rsidRDefault="00202EB9" w:rsidP="00202EB9">
      <w:pPr>
        <w:pStyle w:val="ONUMFS"/>
        <w:rPr>
          <w:lang w:val="fr-FR"/>
        </w:rPr>
      </w:pPr>
      <w:r w:rsidRPr="00202EB9">
        <w:rPr>
          <w:lang w:val="fr-FR"/>
        </w:rPr>
        <w:t>Dix</w:t>
      </w:r>
      <w:r w:rsidRPr="00202EB9">
        <w:rPr>
          <w:lang w:val="fr-FR"/>
        </w:rPr>
        <w:noBreakHyphen/>
        <w:t>neuf projets représentant 83% des ressources allouées au titre des dépenses de personnel ont été attribués à des responsables administrant plusieurs projets.  Il en est résulté un conflit de priorités.  Dans la mesure où il n’existe pas de retour d’information ni de rapport sur l’utilisation effective des dépenses de personnel, il est difficile d’évaluer l’efficacité de ces dépenses.</w:t>
      </w:r>
    </w:p>
    <w:p w:rsidR="00202EB9" w:rsidRPr="00202EB9" w:rsidRDefault="00202EB9" w:rsidP="00202EB9">
      <w:pPr>
        <w:pStyle w:val="ONUMFS"/>
        <w:rPr>
          <w:lang w:val="fr-FR"/>
        </w:rPr>
      </w:pPr>
      <w:r w:rsidRPr="00202EB9">
        <w:rPr>
          <w:lang w:val="fr-FR"/>
        </w:rPr>
        <w:t>En outre, les rapports sur l’état d’avancement des projets et le rapport annuel du Directeur général ne contiennent pas de détails sur l’utilisation des ressources humaines et financières.</w:t>
      </w:r>
    </w:p>
    <w:p w:rsidR="00202EB9" w:rsidRPr="00202EB9" w:rsidRDefault="00202EB9" w:rsidP="00202EB9">
      <w:pPr>
        <w:pStyle w:val="ONUMFS"/>
        <w:rPr>
          <w:lang w:val="fr-FR"/>
        </w:rPr>
      </w:pPr>
      <w:r w:rsidRPr="00202EB9">
        <w:rPr>
          <w:lang w:val="fr-FR"/>
        </w:rPr>
        <w:t>L’équipe chargée de l’étude a relevé des lacunes dans le contenu des rapports sur l’état d’avancement des projets soumis par le Secrétariat.  Ils se contentent généralement d’indiquer que les recommandations ont été mises en œuvre.  En revanche, ils sont insuffisamment analytiques et manquent de détails sur les mesures de suivi.</w:t>
      </w:r>
    </w:p>
    <w:p w:rsidR="00202EB9" w:rsidRPr="00202EB9" w:rsidRDefault="00202EB9" w:rsidP="00202EB9">
      <w:pPr>
        <w:pStyle w:val="ONUMFS"/>
        <w:rPr>
          <w:lang w:val="fr-FR"/>
        </w:rPr>
      </w:pPr>
      <w:r w:rsidRPr="00202EB9">
        <w:rPr>
          <w:lang w:val="fr-FR"/>
        </w:rPr>
        <w:t>La diffusion des informations sur les activités menées ainsi que le retour des États membres sont insuffisants.  De nombreuses ressources sont utilisées pour des activités à Genève (indemnité de subsistance élevée).  Il y a un manque de transparence concernant les fonds utilisés pour les consultants.  Il semblerait que certaines activités auraient pu être exécutées avec moins de ressources.</w:t>
      </w:r>
    </w:p>
    <w:p w:rsidR="00202EB9" w:rsidRPr="00202EB9" w:rsidRDefault="00202EB9" w:rsidP="00202EB9">
      <w:pPr>
        <w:pStyle w:val="ONUMFS"/>
        <w:rPr>
          <w:lang w:val="fr-FR"/>
        </w:rPr>
      </w:pPr>
      <w:r w:rsidRPr="00202EB9">
        <w:rPr>
          <w:lang w:val="fr-FR"/>
        </w:rPr>
        <w:t>Il y a eu des cas de répartition inégale des ressources, certains projets étant sous</w:t>
      </w:r>
      <w:r w:rsidRPr="00202EB9">
        <w:rPr>
          <w:lang w:val="fr-FR"/>
        </w:rPr>
        <w:noBreakHyphen/>
        <w:t>financés alors que d’autres bénéficiaient de ressources excessives.  Ainsi, certains projets ont été achevés avec un excédent alors que d’autres étaient insuffisamment dotés.  Parmi les bons exemples de projets essentiels pour le développement bien que dotés de ressources insuffisantes figurent le projet relatif aux Centres de technologie et d’appui à l’innovation (CATI) et celui relatif au système d’automatisation en matière de propriété industrielle (</w:t>
      </w:r>
      <w:proofErr w:type="spellStart"/>
      <w:r w:rsidRPr="00202EB9">
        <w:rPr>
          <w:lang w:val="fr-FR"/>
        </w:rPr>
        <w:t>IPAS</w:t>
      </w:r>
      <w:proofErr w:type="spellEnd"/>
      <w:r w:rsidRPr="00202EB9">
        <w:rPr>
          <w:lang w:val="fr-FR"/>
        </w:rPr>
        <w:t>).  En cas de fonds insuffisants, des moyens supplémentaires ont dû être obtenus auprès des bureaux régionaux correspondants.  En outre, il a été observé que les projets intégrés aux activités ordinaires souffraient d’un manque de transparence quant à l’affectation des ressources humaines et financières après intégration.</w:t>
      </w:r>
    </w:p>
    <w:p w:rsidR="00202EB9" w:rsidRPr="00202EB9" w:rsidRDefault="00202EB9" w:rsidP="00202EB9">
      <w:pPr>
        <w:pStyle w:val="Heading3"/>
        <w:rPr>
          <w:lang w:val="fr-FR"/>
        </w:rPr>
      </w:pPr>
      <w:bookmarkStart w:id="23" w:name="_Toc460492864"/>
      <w:r w:rsidRPr="00327572">
        <w:rPr>
          <w:u w:val="none"/>
          <w:lang w:val="fr-FR"/>
        </w:rPr>
        <w:t>d.</w:t>
      </w:r>
      <w:r w:rsidRPr="00327572">
        <w:rPr>
          <w:u w:val="none"/>
          <w:lang w:val="fr-FR"/>
        </w:rPr>
        <w:tab/>
      </w:r>
      <w:r w:rsidRPr="00202EB9">
        <w:rPr>
          <w:lang w:val="fr-FR"/>
        </w:rPr>
        <w:t>Impact</w:t>
      </w:r>
      <w:bookmarkEnd w:id="23"/>
    </w:p>
    <w:p w:rsidR="00202EB9" w:rsidRPr="00202EB9" w:rsidRDefault="00202EB9" w:rsidP="00202EB9">
      <w:pPr>
        <w:rPr>
          <w:lang w:val="fr-FR" w:eastAsia="zh-CN" w:bidi="ar-SA"/>
        </w:rPr>
      </w:pPr>
    </w:p>
    <w:p w:rsidR="00202EB9" w:rsidRPr="00202EB9" w:rsidRDefault="00202EB9" w:rsidP="00202EB9">
      <w:pPr>
        <w:pStyle w:val="ONUMFS"/>
        <w:rPr>
          <w:lang w:val="fr-FR"/>
        </w:rPr>
      </w:pPr>
      <w:r w:rsidRPr="00202EB9">
        <w:rPr>
          <w:lang w:val="fr-FR"/>
        </w:rPr>
        <w:t>Au titre de cette question clé, l’équipe chargée de l’étude avait à examiner l’incidence effective des activités de l’OMPI sur la mise en œuvre des recommandations du Plan d’action pour le développement aux différents niveaux de l’OMPI et dans l’ensemble de ses organes et programmes.</w:t>
      </w:r>
    </w:p>
    <w:p w:rsidR="00202EB9" w:rsidRPr="00202EB9" w:rsidRDefault="00202EB9" w:rsidP="00202EB9">
      <w:pPr>
        <w:pStyle w:val="ONUMFS"/>
        <w:numPr>
          <w:ilvl w:val="0"/>
          <w:numId w:val="0"/>
        </w:numPr>
        <w:rPr>
          <w:b/>
          <w:lang w:val="fr-FR"/>
        </w:rPr>
      </w:pPr>
      <w:r w:rsidRPr="00202EB9">
        <w:rPr>
          <w:b/>
          <w:lang w:val="fr-FR"/>
        </w:rPr>
        <w:t>Observation 10 </w:t>
      </w:r>
      <w:proofErr w:type="gramStart"/>
      <w:r w:rsidRPr="00202EB9">
        <w:rPr>
          <w:b/>
          <w:lang w:val="fr-FR"/>
        </w:rPr>
        <w:t>: La</w:t>
      </w:r>
      <w:proofErr w:type="gramEnd"/>
      <w:r w:rsidRPr="00202EB9">
        <w:rPr>
          <w:b/>
          <w:lang w:val="fr-FR"/>
        </w:rPr>
        <w:t xml:space="preserve"> mise en œuvre des recommandations est une activité permanente qui incombe à la fois aux États membres et au Secrétariat.</w:t>
      </w:r>
    </w:p>
    <w:p w:rsidR="00202EB9" w:rsidRPr="00202EB9" w:rsidRDefault="00202EB9" w:rsidP="00202EB9">
      <w:pPr>
        <w:pStyle w:val="ONUMFS"/>
        <w:rPr>
          <w:lang w:val="fr-FR"/>
        </w:rPr>
      </w:pPr>
      <w:r w:rsidRPr="00202EB9">
        <w:rPr>
          <w:lang w:val="fr-FR"/>
        </w:rPr>
        <w:t>La mise en œuvre des recommandations du Plan d’action pour le développement est une activité de longue haleine.  Huit années de mise en œuvre effective, c’est assez court pour parvenir à des conclusions définitives sur l’impact des recommandations du Plan d’action pour le développement, compte tenu notamment de la situation des bénéficiaires.  C’est en particulier le cas de la recommandation relative au renforcement des capacités internes des États membres aux fins de la protection des créations, innovations et inventions locales et de l’appui au développement de l’infrastructure scientifique et technologique nationale (recommandation n° 11).  Parallèlement, le Plan d’action pour le développement traite d’un large éventail de questions relatives à la propriété intellectuelle qui compliquent d’autant l’évaluation d’impact à ce stade.</w:t>
      </w:r>
    </w:p>
    <w:p w:rsidR="00202EB9" w:rsidRPr="00202EB9" w:rsidRDefault="00202EB9" w:rsidP="00202EB9">
      <w:pPr>
        <w:pStyle w:val="ONUMFS"/>
        <w:rPr>
          <w:lang w:val="fr-FR"/>
        </w:rPr>
      </w:pPr>
      <w:r w:rsidRPr="00202EB9">
        <w:rPr>
          <w:lang w:val="fr-FR"/>
        </w:rPr>
        <w:t xml:space="preserve">Ainsi qu’il ressort du présent rapport, il y a déjà des signes positifs dans les activités entreprises jusqu’ici pour créer les conditions propres à rendre les travaux liés au Plan d’action pour le développement significatifs et prometteurs en termes d’incidence concrète pour les États membres et les bénéficiaires visés grâce à de nouvelles approches en matière d’activités de renforcement des capacités et d’études </w:t>
      </w:r>
      <w:proofErr w:type="spellStart"/>
      <w:r w:rsidRPr="00202EB9">
        <w:rPr>
          <w:lang w:val="fr-FR"/>
        </w:rPr>
        <w:t>socioéconomiques</w:t>
      </w:r>
      <w:proofErr w:type="spellEnd"/>
      <w:r w:rsidRPr="00202EB9">
        <w:rPr>
          <w:lang w:val="fr-FR"/>
        </w:rPr>
        <w:t xml:space="preserve"> susceptibles d’être traduites en politiques au niveau national.</w:t>
      </w:r>
    </w:p>
    <w:p w:rsidR="00202EB9" w:rsidRPr="00202EB9" w:rsidRDefault="00202EB9" w:rsidP="00202EB9">
      <w:pPr>
        <w:pStyle w:val="ONUMFS"/>
        <w:rPr>
          <w:lang w:val="fr-FR"/>
        </w:rPr>
      </w:pPr>
      <w:r w:rsidRPr="00202EB9">
        <w:rPr>
          <w:lang w:val="fr-FR"/>
        </w:rPr>
        <w:t>L’examen des 45 recommandations du Plan d’action pour le développement montre clairement que leur mise en œuvre est une responsabilité partagée incombant conjointement aux États membres, au Secrétariat et aux autres parties prenantes.  En conséquence, certaines des recommandations s’adressent directement au Secrétariat, alors que d’autres visent un public plus large.  Néanmoins, la mise en œuvre de certaines d’entre elles est une responsabilité partagée entre le Secrétariat, les États membres et d’autres parties prenantes.</w:t>
      </w:r>
    </w:p>
    <w:p w:rsidR="00202EB9" w:rsidRPr="00202EB9" w:rsidRDefault="00202EB9" w:rsidP="00202EB9">
      <w:pPr>
        <w:pStyle w:val="ONUMFS"/>
        <w:rPr>
          <w:lang w:val="fr-FR"/>
        </w:rPr>
      </w:pPr>
      <w:r w:rsidRPr="00202EB9">
        <w:rPr>
          <w:lang w:val="fr-FR"/>
        </w:rPr>
        <w:t>Les données primaires et secondaires montrent que le Secrétariat, en collaboration avec les États membres, participe activement à la mise en œuvre des recommandations du Plan d’action pour le développement en ayant pris, depuis leur adoption, des initiatives pour mettre en marche leur réalisation.  Les rapports périodiques sur l’état d’avancement des projets soumis au </w:t>
      </w:r>
      <w:proofErr w:type="spellStart"/>
      <w:r w:rsidRPr="00202EB9">
        <w:rPr>
          <w:lang w:val="fr-FR"/>
        </w:rPr>
        <w:t>CDIP</w:t>
      </w:r>
      <w:proofErr w:type="spellEnd"/>
      <w:r w:rsidRPr="00202EB9">
        <w:rPr>
          <w:lang w:val="fr-FR"/>
        </w:rPr>
        <w:t xml:space="preserve"> donnent une bonne idée de l’engagement du Secrétariat en faveur de la mise en œuvre des recommandations du Plan d’action pour le développement et permettent aux États membres de suivre et superviser cette mise en œuvre.  Ainsi qu’il ressort du présent rapport, un nombre limité de pays a pris l’initiative, au cours de la période visée par l’étude, de soumettre des propositions de projets à mettre en œuvre dans le contexte du </w:t>
      </w:r>
      <w:proofErr w:type="spellStart"/>
      <w:r w:rsidRPr="00202EB9">
        <w:rPr>
          <w:lang w:val="fr-FR"/>
        </w:rPr>
        <w:t>CDIP</w:t>
      </w:r>
      <w:proofErr w:type="spellEnd"/>
      <w:r w:rsidRPr="00202EB9">
        <w:rPr>
          <w:lang w:val="fr-FR"/>
        </w:rPr>
        <w:t>.  En outre, les entretiens et réunions qui ont eu lieu dans le cadre des missions sur le terrain montrent que, si les préoccupations relatives au développement sont clairement comprises dans ces pays, qui participent de fait activement à la mise en œuvre des projets correspondants du </w:t>
      </w:r>
      <w:proofErr w:type="spellStart"/>
      <w:r w:rsidRPr="00202EB9">
        <w:rPr>
          <w:lang w:val="fr-FR"/>
        </w:rPr>
        <w:t>CDIP</w:t>
      </w:r>
      <w:proofErr w:type="spellEnd"/>
      <w:r w:rsidRPr="00202EB9">
        <w:rPr>
          <w:lang w:val="fr-FR"/>
        </w:rPr>
        <w:t>, les principes et objectifs qui sous</w:t>
      </w:r>
      <w:r w:rsidRPr="00202EB9">
        <w:rPr>
          <w:lang w:val="fr-FR"/>
        </w:rPr>
        <w:noBreakHyphen/>
        <w:t>tendent le Plan d’action pour le développement sont insuffisamment connus.  Cela montre clairement que le Plan d’action pour le développement ne répond pas encore concrètement aux aspirations élevées qu’il soulève.</w:t>
      </w:r>
    </w:p>
    <w:p w:rsidR="00202EB9" w:rsidRPr="00202EB9" w:rsidRDefault="00202EB9" w:rsidP="00202EB9">
      <w:pPr>
        <w:pStyle w:val="ONUMFS"/>
        <w:numPr>
          <w:ilvl w:val="0"/>
          <w:numId w:val="0"/>
        </w:numPr>
        <w:rPr>
          <w:b/>
          <w:lang w:val="fr-FR"/>
        </w:rPr>
      </w:pPr>
      <w:r w:rsidRPr="00202EB9">
        <w:rPr>
          <w:b/>
          <w:lang w:val="fr-FR"/>
        </w:rPr>
        <w:t>Observation 11 </w:t>
      </w:r>
      <w:proofErr w:type="gramStart"/>
      <w:r w:rsidRPr="00202EB9">
        <w:rPr>
          <w:b/>
          <w:lang w:val="fr-FR"/>
        </w:rPr>
        <w:t>: Depuis</w:t>
      </w:r>
      <w:proofErr w:type="gramEnd"/>
      <w:r w:rsidRPr="00202EB9">
        <w:rPr>
          <w:b/>
          <w:lang w:val="fr-FR"/>
        </w:rPr>
        <w:t xml:space="preserve"> l’adoption des recommandations du Plan d’action pour le développement, des changements et attitudes positifs envers les questions relatives au développement apparaissent progressivement.</w:t>
      </w:r>
    </w:p>
    <w:p w:rsidR="00202EB9" w:rsidRPr="00202EB9" w:rsidRDefault="00202EB9" w:rsidP="00202EB9">
      <w:pPr>
        <w:pStyle w:val="ONUMFS"/>
        <w:rPr>
          <w:lang w:val="fr-FR"/>
        </w:rPr>
      </w:pPr>
      <w:r w:rsidRPr="00202EB9">
        <w:rPr>
          <w:lang w:val="fr-FR"/>
        </w:rPr>
        <w:t>Un changement positif important est perceptible dans l’action de l’OMPI depuis l’adoption des recommandations du Plan d’action pour le développement, avec un changement d’attitude envers les questions du développement dans ses activités de renforcement des capacités et ses initiatives législatives.  En témoignent notamment les activités entreprises ces dernières années sur les nouvelles initiatives et les travaux relatifs aux stratégies nationales de propriété intellectuelle, aux études économiques, aux éléments de flexibilité et aux exceptions et limitations.</w:t>
      </w:r>
    </w:p>
    <w:p w:rsidR="00202EB9" w:rsidRPr="00202EB9" w:rsidRDefault="00202EB9" w:rsidP="00202EB9">
      <w:pPr>
        <w:pStyle w:val="ONUMFS"/>
        <w:rPr>
          <w:lang w:val="fr-FR"/>
        </w:rPr>
      </w:pPr>
      <w:r w:rsidRPr="00202EB9">
        <w:rPr>
          <w:lang w:val="fr-FR"/>
        </w:rPr>
        <w:t>Les études économiques et sociales représentent sans conteste un développement important dans les travaux de l’Organisation et, depuis 2011, l’OMPI produit régulièrement des rapports à l’appui de ces études.  En particulier, la Division de l’économiste en chef a produit des publications telles que le Rapport sur la propriété intellectuelle dans le monde et l’Indice mondial de l’innovation conformément aux recommandations n</w:t>
      </w:r>
      <w:r w:rsidRPr="00202EB9">
        <w:rPr>
          <w:vertAlign w:val="superscript"/>
          <w:lang w:val="fr-FR"/>
        </w:rPr>
        <w:t>os</w:t>
      </w:r>
      <w:r w:rsidRPr="00202EB9">
        <w:rPr>
          <w:lang w:val="fr-FR"/>
        </w:rPr>
        <w:t> 35 et 37 du Plan d’action pour le développement.</w:t>
      </w:r>
    </w:p>
    <w:p w:rsidR="00202EB9" w:rsidRPr="00202EB9" w:rsidRDefault="00202EB9" w:rsidP="00202EB9">
      <w:pPr>
        <w:pStyle w:val="ONUMFS"/>
        <w:rPr>
          <w:lang w:val="fr-FR"/>
        </w:rPr>
      </w:pPr>
      <w:r w:rsidRPr="00202EB9">
        <w:rPr>
          <w:lang w:val="fr-FR"/>
        </w:rPr>
        <w:t>Depuis l’adoption des recommandations du Plan d’action pour le développement, le personnel de l’OMPI fait preuve de manière générale de davantage d’ouverture et de réactivité face aux considérations relatives au développement.  Les exemples susmentionnés démontrent une volonté et un souci de recenser et explorer les liens et incidences possibles entre propriété intellectuelle et développement.  Toutefois, il manque encore une discussion approfondie, réfléchie et dépassionnée des États membres sur ces questions.</w:t>
      </w:r>
    </w:p>
    <w:p w:rsidR="00202EB9" w:rsidRPr="00202EB9" w:rsidRDefault="00202EB9" w:rsidP="00202EB9">
      <w:pPr>
        <w:pStyle w:val="ONUMFS"/>
        <w:numPr>
          <w:ilvl w:val="0"/>
          <w:numId w:val="0"/>
        </w:numPr>
        <w:rPr>
          <w:b/>
          <w:lang w:val="fr-FR"/>
        </w:rPr>
      </w:pPr>
      <w:r w:rsidRPr="00202EB9">
        <w:rPr>
          <w:b/>
          <w:lang w:val="fr-FR"/>
        </w:rPr>
        <w:t>Observation 12 </w:t>
      </w:r>
      <w:proofErr w:type="gramStart"/>
      <w:r w:rsidRPr="00202EB9">
        <w:rPr>
          <w:b/>
          <w:lang w:val="fr-FR"/>
        </w:rPr>
        <w:t>: L’approche</w:t>
      </w:r>
      <w:proofErr w:type="gramEnd"/>
      <w:r w:rsidRPr="00202EB9">
        <w:rPr>
          <w:b/>
          <w:lang w:val="fr-FR"/>
        </w:rPr>
        <w:t xml:space="preserve"> thématique fondée sur des projets pour la mise en œuvre des recommandations du Plan d’action pour le développement montre à ce jour une certaine mesure de réussite.</w:t>
      </w:r>
    </w:p>
    <w:p w:rsidR="00202EB9" w:rsidRPr="00202EB9" w:rsidRDefault="00202EB9" w:rsidP="00202EB9">
      <w:pPr>
        <w:pStyle w:val="ONUMFS"/>
        <w:rPr>
          <w:lang w:val="fr-FR"/>
        </w:rPr>
      </w:pPr>
      <w:r w:rsidRPr="00202EB9">
        <w:rPr>
          <w:lang w:val="fr-FR"/>
        </w:rPr>
        <w:t>L’équipe chargée de l’étude a relevé qu’il existe des différences de perception quant à l’accent mis sur l’exécution de projets.  Pour certains, les projets thématiques sont une solution adaptée alors que pour d’autres il s’agit d’un pas important dans la bonne direction mais qui est loin d’être suffisant.  L’approche thématique par projets était une bonne solution en l’absence d’autres options comparables pour initier la mise en œuvre du Plan d’action pour le développement.</w:t>
      </w:r>
    </w:p>
    <w:p w:rsidR="00202EB9" w:rsidRPr="00202EB9" w:rsidRDefault="00202EB9" w:rsidP="00202EB9">
      <w:pPr>
        <w:pStyle w:val="ONUMFS"/>
        <w:rPr>
          <w:lang w:val="fr-FR"/>
        </w:rPr>
      </w:pPr>
      <w:r w:rsidRPr="00202EB9">
        <w:rPr>
          <w:lang w:val="fr-FR"/>
        </w:rPr>
        <w:t>Les projets et activités sont exécutés après recherche d’un consensus parmi les États membres sur des initiatives provenant essentiellement du Secrétariat.  Les États membres prolongent rarement les discussions tenues au sein du </w:t>
      </w:r>
      <w:proofErr w:type="spellStart"/>
      <w:r w:rsidRPr="00202EB9">
        <w:rPr>
          <w:lang w:val="fr-FR"/>
        </w:rPr>
        <w:t>CDIP</w:t>
      </w:r>
      <w:proofErr w:type="spellEnd"/>
      <w:r w:rsidRPr="00202EB9">
        <w:rPr>
          <w:lang w:val="fr-FR"/>
        </w:rPr>
        <w:t>.  Or il manque une approche systématique et coordonnée pour une meilleure compréhension des liens et incidences entre propriété intellectuelle et développement.  Celle</w:t>
      </w:r>
      <w:r w:rsidRPr="00202EB9">
        <w:rPr>
          <w:lang w:val="fr-FR"/>
        </w:rPr>
        <w:noBreakHyphen/>
        <w:t>ci serait conforme à la mission de l’OMPI, qui consiste notamment à “promouvoir l’élaboration d’un système international de la propriété intellectuelle efficace et équilibré, qui favorise l’innovation et la créativité dans l’intérêt de tous”.</w:t>
      </w:r>
    </w:p>
    <w:p w:rsidR="00202EB9" w:rsidRPr="00202EB9" w:rsidRDefault="00202EB9" w:rsidP="00202EB9">
      <w:pPr>
        <w:pStyle w:val="ONUMFS"/>
        <w:rPr>
          <w:lang w:val="fr-FR"/>
        </w:rPr>
      </w:pPr>
      <w:r w:rsidRPr="00202EB9">
        <w:rPr>
          <w:lang w:val="fr-FR"/>
        </w:rPr>
        <w:t>En ce qui concerne l’impact des projets adoptés par le </w:t>
      </w:r>
      <w:proofErr w:type="spellStart"/>
      <w:r w:rsidRPr="00202EB9">
        <w:rPr>
          <w:lang w:val="fr-FR"/>
        </w:rPr>
        <w:t>CDIP</w:t>
      </w:r>
      <w:proofErr w:type="spellEnd"/>
      <w:r w:rsidRPr="00202EB9">
        <w:rPr>
          <w:lang w:val="fr-FR"/>
        </w:rPr>
        <w:t>, évalué principalement sur la base d’entretiens personnels avec les bénéficiaires au cours de visites sur le terrain, il importe de noter qu’ils semblent d’une manière générale être bien perçus et être considérés comme utiles et constructifs.  Toutefois, l’exécution de quelques projets n’est pas suffisante pour porter un jugement définitif sur l’incidence globale des recommandations du Plan d’action pour le développement.  Il est également apparu que des efforts devraient être faits pour éviter d’attribuer mécaniquement les activités et projets à telle ou telle recommandation ou activité qui aurait pu être lancée indépendamment des recommandations du Plan d’action pour le développement.</w:t>
      </w:r>
    </w:p>
    <w:p w:rsidR="00202EB9" w:rsidRPr="00202EB9" w:rsidRDefault="00202EB9" w:rsidP="00202EB9">
      <w:pPr>
        <w:pStyle w:val="ONUMFS"/>
        <w:rPr>
          <w:lang w:val="fr-FR"/>
        </w:rPr>
      </w:pPr>
      <w:r w:rsidRPr="00202EB9">
        <w:rPr>
          <w:lang w:val="fr-FR"/>
        </w:rPr>
        <w:t xml:space="preserve">Par ailleurs, d’une manière générale, les projets ont répondu aux besoins locaux et étaient adaptés aux situations nationales bien que, dans quelques cas, ils aient </w:t>
      </w:r>
      <w:proofErr w:type="gramStart"/>
      <w:r w:rsidRPr="00202EB9">
        <w:rPr>
          <w:lang w:val="fr-FR"/>
        </w:rPr>
        <w:t>pris</w:t>
      </w:r>
      <w:proofErr w:type="gramEnd"/>
      <w:r w:rsidRPr="00202EB9">
        <w:rPr>
          <w:lang w:val="fr-FR"/>
        </w:rPr>
        <w:t xml:space="preserve"> du retard du fait que les conditions sur place n’étaient pas réunies.</w:t>
      </w:r>
    </w:p>
    <w:p w:rsidR="00202EB9" w:rsidRPr="00202EB9" w:rsidRDefault="00202EB9" w:rsidP="00202EB9">
      <w:pPr>
        <w:pStyle w:val="ONUMFS"/>
        <w:rPr>
          <w:lang w:val="fr-FR"/>
        </w:rPr>
      </w:pPr>
      <w:r w:rsidRPr="00202EB9">
        <w:rPr>
          <w:lang w:val="fr-FR"/>
        </w:rPr>
        <w:t>L’adhésion des bénéficiaires et parties prenantes a été un indicateur de réussite des projets.  Cela est ressorti clairement lors des missions sur le terrain.  L’appropriation des projets par les partenaires locaux, l’assouplissement des procédures suivies par le Secrétariat et la suppression des obstacles bureaucratiques au bon déroulement des projets demeurent des facteurs importants pour renforcer la confiance mutuelle.</w:t>
      </w:r>
    </w:p>
    <w:p w:rsidR="00202EB9" w:rsidRPr="00202EB9" w:rsidRDefault="00202EB9" w:rsidP="00202EB9">
      <w:pPr>
        <w:pStyle w:val="ONUMFS"/>
        <w:rPr>
          <w:lang w:val="fr-FR"/>
        </w:rPr>
      </w:pPr>
      <w:r w:rsidRPr="00202EB9">
        <w:rPr>
          <w:lang w:val="fr-FR"/>
        </w:rPr>
        <w:t>L’incidence réelle des projets est très étroitement corrélée à ceux qui sont axés sur la demande, bien conçus et administrés par des responsables dévoués travaillant en étroite collaboration avec les experts locaux.  C’est du moins la tendance qui ressort de la plupart des cas examinés par l’équipe chargée de l’étude.</w:t>
      </w:r>
    </w:p>
    <w:p w:rsidR="00202EB9" w:rsidRPr="00202EB9" w:rsidRDefault="00202EB9" w:rsidP="00202EB9">
      <w:pPr>
        <w:pStyle w:val="ONUMFS"/>
        <w:rPr>
          <w:lang w:val="fr-FR"/>
        </w:rPr>
      </w:pPr>
      <w:r w:rsidRPr="00202EB9">
        <w:rPr>
          <w:lang w:val="fr-FR"/>
        </w:rPr>
        <w:t xml:space="preserve">L’impact des projets et activités est </w:t>
      </w:r>
      <w:proofErr w:type="gramStart"/>
      <w:r w:rsidRPr="00202EB9">
        <w:rPr>
          <w:lang w:val="fr-FR"/>
        </w:rPr>
        <w:t>influencé</w:t>
      </w:r>
      <w:proofErr w:type="gramEnd"/>
      <w:r w:rsidRPr="00202EB9">
        <w:rPr>
          <w:lang w:val="fr-FR"/>
        </w:rPr>
        <w:t xml:space="preserve"> par les soupçons et le scepticisme qui prévalent concernant à la fois des activités qui ne seraient pas suffisamment propices au développement et la manière de concilier considérations relatives au développement, d’une part, et protection et application des droits de propriété intellectuelle, d’autre part.  Ce facteur est prédominant ainsi qu’il ressort de nombreux projets et études en cours de réalisation par différents organes de l’OMPI.  C’est également le cas en ce qui concerne l’impact sur le développement de l’assistance technique fournie d’une manière générale par l’OMPI.</w:t>
      </w:r>
    </w:p>
    <w:p w:rsidR="00202EB9" w:rsidRPr="00202EB9" w:rsidRDefault="00202EB9" w:rsidP="00202EB9">
      <w:pPr>
        <w:pStyle w:val="ONUMFS"/>
        <w:rPr>
          <w:lang w:val="fr-FR"/>
        </w:rPr>
      </w:pPr>
      <w:r w:rsidRPr="00202EB9">
        <w:rPr>
          <w:lang w:val="fr-FR"/>
        </w:rPr>
        <w:t>Les missions sur le terrain conduites dans certains pays ont clairement fait apparaître l’écart de perception en ce qui concerne la propriété intellectuelle et le développement.  Alors que, à Genève, la propriété intellectuelle au service du développement est considérée comme revêtant une grande importance, il y a dans les capitales un manque général de connaissances et d’informations concernant le Plan d’action pour le développement et les activités menées pour mettre en œuvre ses recommandations, ce qui met en évidence une diffusion insuffisante de l’information sur les importantes réalisations obtenues dans le cadre de la mise en œuvre des recommandations du Plan d’action pour le développement depuis 2008.</w:t>
      </w:r>
    </w:p>
    <w:p w:rsidR="00202EB9" w:rsidRPr="00202EB9" w:rsidRDefault="00202EB9" w:rsidP="00202EB9">
      <w:pPr>
        <w:pStyle w:val="Heading3"/>
        <w:rPr>
          <w:lang w:val="fr-FR"/>
        </w:rPr>
      </w:pPr>
      <w:bookmarkStart w:id="24" w:name="_Toc460492865"/>
      <w:r w:rsidRPr="00327572">
        <w:rPr>
          <w:u w:val="none"/>
          <w:lang w:val="fr-FR"/>
        </w:rPr>
        <w:t>e.</w:t>
      </w:r>
      <w:r w:rsidRPr="00327572">
        <w:rPr>
          <w:u w:val="none"/>
          <w:lang w:val="fr-FR"/>
        </w:rPr>
        <w:tab/>
      </w:r>
      <w:r w:rsidRPr="00202EB9">
        <w:rPr>
          <w:lang w:val="fr-FR"/>
        </w:rPr>
        <w:t>Pérennité</w:t>
      </w:r>
      <w:bookmarkEnd w:id="24"/>
    </w:p>
    <w:p w:rsidR="00202EB9" w:rsidRPr="00202EB9" w:rsidRDefault="00202EB9" w:rsidP="00202EB9">
      <w:pPr>
        <w:rPr>
          <w:lang w:val="fr-FR" w:eastAsia="zh-CN" w:bidi="ar-SA"/>
        </w:rPr>
      </w:pPr>
    </w:p>
    <w:p w:rsidR="00202EB9" w:rsidRPr="00202EB9" w:rsidRDefault="00202EB9" w:rsidP="00202EB9">
      <w:pPr>
        <w:pStyle w:val="ONUMFS"/>
        <w:rPr>
          <w:lang w:val="fr-FR"/>
        </w:rPr>
      </w:pPr>
      <w:r w:rsidRPr="00202EB9">
        <w:rPr>
          <w:lang w:val="fr-FR"/>
        </w:rPr>
        <w:t>Cette section passe en revue la mesure dans laquelle les résultats des activités menées par l’OMPI sont durables.</w:t>
      </w:r>
    </w:p>
    <w:p w:rsidR="00202EB9" w:rsidRPr="00202EB9" w:rsidRDefault="00202EB9" w:rsidP="00202EB9">
      <w:pPr>
        <w:pStyle w:val="ONUMFS"/>
        <w:numPr>
          <w:ilvl w:val="0"/>
          <w:numId w:val="0"/>
        </w:numPr>
        <w:rPr>
          <w:b/>
          <w:lang w:val="fr-FR"/>
        </w:rPr>
      </w:pPr>
      <w:r w:rsidRPr="00202EB9">
        <w:rPr>
          <w:b/>
          <w:lang w:val="fr-FR"/>
        </w:rPr>
        <w:t>Observation 13 </w:t>
      </w:r>
      <w:proofErr w:type="gramStart"/>
      <w:r w:rsidRPr="00202EB9">
        <w:rPr>
          <w:b/>
          <w:lang w:val="fr-FR"/>
        </w:rPr>
        <w:t>: Des</w:t>
      </w:r>
      <w:proofErr w:type="gramEnd"/>
      <w:r w:rsidRPr="00202EB9">
        <w:rPr>
          <w:b/>
          <w:lang w:val="fr-FR"/>
        </w:rPr>
        <w:t xml:space="preserve"> efforts sont en cours pour intégrer les projets et activités du </w:t>
      </w:r>
      <w:proofErr w:type="spellStart"/>
      <w:r w:rsidRPr="00202EB9">
        <w:rPr>
          <w:b/>
          <w:lang w:val="fr-FR"/>
        </w:rPr>
        <w:t>CDIP</w:t>
      </w:r>
      <w:proofErr w:type="spellEnd"/>
      <w:r w:rsidRPr="00202EB9">
        <w:rPr>
          <w:b/>
          <w:lang w:val="fr-FR"/>
        </w:rPr>
        <w:t xml:space="preserve"> dans les activités ordinaires de l’Organisation.</w:t>
      </w:r>
    </w:p>
    <w:p w:rsidR="00202EB9" w:rsidRPr="00202EB9" w:rsidRDefault="00202EB9" w:rsidP="00202EB9">
      <w:pPr>
        <w:pStyle w:val="ONUMFS"/>
        <w:rPr>
          <w:lang w:val="fr-FR"/>
        </w:rPr>
      </w:pPr>
      <w:r w:rsidRPr="00202EB9">
        <w:rPr>
          <w:lang w:val="fr-FR"/>
        </w:rPr>
        <w:t>Quatorze des projets du Plan d’action pour le développement ont été intégrés aux programmes ordinaires de l’Organisation.  Il est escompté que cette intégration se traduira par des résultats tangibles pour l’Organisation et ses États membres.  Toutefois, la clarté et la compréhension de la notion et des incidences de l’intégration des projets doivent encore être améliorées au sein du Secrétariat comme parmi les États membres, les parties prenantes et les bénéficiaires visés.</w:t>
      </w:r>
    </w:p>
    <w:p w:rsidR="00202EB9" w:rsidRPr="00202EB9" w:rsidRDefault="00202EB9" w:rsidP="00202EB9">
      <w:pPr>
        <w:pStyle w:val="ONUMFS"/>
        <w:rPr>
          <w:lang w:val="fr-FR"/>
        </w:rPr>
      </w:pPr>
      <w:r w:rsidRPr="00202EB9">
        <w:rPr>
          <w:lang w:val="fr-FR"/>
        </w:rPr>
        <w:t>L’équipe chargée de l’étude considère que des informations sur les ressources humaines et financières allouées à l’intégration des projets et activités du Plan d’action pour le développement ou sur leurs résultats, par exemple, ne sont pas accessibles aux États membres.  Le manque de transparence suscite des préoccupations légitimes parmi les États membres, notamment les pays en développement, quant à la pérennité de ces activités.</w:t>
      </w:r>
    </w:p>
    <w:p w:rsidR="00202EB9" w:rsidRPr="00202EB9" w:rsidRDefault="00202EB9" w:rsidP="00202EB9">
      <w:pPr>
        <w:pStyle w:val="ONUMFS"/>
        <w:rPr>
          <w:lang w:val="fr-FR"/>
        </w:rPr>
      </w:pPr>
      <w:r w:rsidRPr="00202EB9">
        <w:rPr>
          <w:lang w:val="fr-FR"/>
        </w:rPr>
        <w:t>La mise en œuvre du Plan d’action pour le développement a progressivement permis d’établir les liens entre innovation, développement économique et propriété intellectuelle.  Une meilleure compréhension de ces liens a été observée.  Cela a contribué à combler en partie les divergences de vues.</w:t>
      </w:r>
    </w:p>
    <w:p w:rsidR="00202EB9" w:rsidRPr="00202EB9" w:rsidRDefault="00202EB9" w:rsidP="00202EB9">
      <w:pPr>
        <w:pStyle w:val="ONUMFS"/>
        <w:rPr>
          <w:lang w:val="fr-FR"/>
        </w:rPr>
      </w:pPr>
      <w:r w:rsidRPr="00202EB9">
        <w:rPr>
          <w:lang w:val="fr-FR"/>
        </w:rPr>
        <w:t>L’équipe chargée de l’étude a constaté que les liens établis entre propriété intellectuelle et développement et leur compréhension avaient en partie influencé l’élaboration et la mise en œuvre du Plan d’action pour le développement.  La participation constructive des pays en développement aux délibérations du comité, en particulier les PMA, en tant que producteurs et consommateurs, a favorisé une convergence de vues sur plusieurs questions entre pays développés et pays en développement.</w:t>
      </w:r>
    </w:p>
    <w:p w:rsidR="00202EB9" w:rsidRPr="00202EB9" w:rsidRDefault="00202EB9" w:rsidP="00202EB9">
      <w:pPr>
        <w:pStyle w:val="ONUMFS"/>
        <w:numPr>
          <w:ilvl w:val="0"/>
          <w:numId w:val="0"/>
        </w:numPr>
        <w:rPr>
          <w:b/>
          <w:lang w:val="fr-FR"/>
        </w:rPr>
      </w:pPr>
      <w:r w:rsidRPr="00202EB9">
        <w:rPr>
          <w:b/>
          <w:lang w:val="fr-FR"/>
        </w:rPr>
        <w:t>Observation 14 </w:t>
      </w:r>
      <w:proofErr w:type="gramStart"/>
      <w:r w:rsidRPr="00202EB9">
        <w:rPr>
          <w:b/>
          <w:lang w:val="fr-FR"/>
        </w:rPr>
        <w:t>: La</w:t>
      </w:r>
      <w:proofErr w:type="gramEnd"/>
      <w:r w:rsidRPr="00202EB9">
        <w:rPr>
          <w:b/>
          <w:lang w:val="fr-FR"/>
        </w:rPr>
        <w:t xml:space="preserve"> pérennité des projets du </w:t>
      </w:r>
      <w:proofErr w:type="spellStart"/>
      <w:r w:rsidRPr="00202EB9">
        <w:rPr>
          <w:b/>
          <w:lang w:val="fr-FR"/>
        </w:rPr>
        <w:t>CDIP</w:t>
      </w:r>
      <w:proofErr w:type="spellEnd"/>
      <w:r w:rsidRPr="00202EB9">
        <w:rPr>
          <w:b/>
          <w:lang w:val="fr-FR"/>
        </w:rPr>
        <w:t xml:space="preserve"> dépend de l’engagement et du soutien des États membres, de la participation active des parties prenantes et des bénéficiaires et de l’appui technique continu du Secrétariat.</w:t>
      </w:r>
    </w:p>
    <w:p w:rsidR="00202EB9" w:rsidRPr="00202EB9" w:rsidRDefault="00202EB9" w:rsidP="00202EB9">
      <w:pPr>
        <w:pStyle w:val="ONUMFS"/>
        <w:rPr>
          <w:lang w:val="fr-FR"/>
        </w:rPr>
      </w:pPr>
      <w:r w:rsidRPr="00202EB9">
        <w:rPr>
          <w:lang w:val="fr-FR"/>
        </w:rPr>
        <w:t>L’équipe chargée de l’étude a relevé l’existence de signes positifs de pérennité lorsque les projets et activités étaient mis en œuvre avec une perspective à long terme et lorsque les États membres prenaient des mesures anticipatives, telles que la mise à disposition de ressources humaines et financières pour la gestion des projets entrepris, la participation active des parties prenantes et des bénéficiaires, et un appui technique continu et efficace de la part du Secrétariat.  Les activités relatives à l’élaboration de stratégies nationales en matière de propriété intellectuelle, aux cartographies de brevets, aux mini</w:t>
      </w:r>
      <w:r w:rsidRPr="00202EB9">
        <w:rPr>
          <w:lang w:val="fr-FR"/>
        </w:rPr>
        <w:noBreakHyphen/>
        <w:t>académies et aux CATI sont de bons exemples d’activités durables.  Cela étant, il a été constaté que des projets tels que celui relatif à la propriété intellectuelle et à la politique en matière de concurrence, même s’ils donnaient lieu à des activités pertinentes, soulevaient des questions quant à leur pérennité.  En outre, aucune activité de suivi n’avait été entreprise sur d’autres projets fructueux tels que celui sur la propriété intellectuelle et l’économie informelle et celui sur la propriété intellectuelle la fuite des cerveaux.  Il a également été constaté que certains projets appelaient des ressources humaines et financières plus importantes et plus suivies pour assurer leur viabilité à long terme.</w:t>
      </w:r>
    </w:p>
    <w:p w:rsidR="00202EB9" w:rsidRPr="00202EB9" w:rsidRDefault="00202EB9" w:rsidP="00202EB9">
      <w:pPr>
        <w:pStyle w:val="ONUMFS"/>
        <w:rPr>
          <w:lang w:val="fr-FR"/>
        </w:rPr>
      </w:pPr>
      <w:r w:rsidRPr="00202EB9">
        <w:rPr>
          <w:lang w:val="fr-FR"/>
        </w:rPr>
        <w:t>Il a également été observé que, en dépit des rapports d’évaluation indépendante examinés par le comité concernant les projets achevés du Plan d’action pour le développement, aucun mécanisme n’a été mis en place pour rendre compte des recommandations contenues dans ces rapports d’évaluation.</w:t>
      </w:r>
    </w:p>
    <w:p w:rsidR="00202EB9" w:rsidRPr="00202EB9" w:rsidRDefault="00202EB9" w:rsidP="00202EB9">
      <w:pPr>
        <w:pStyle w:val="ONUMFS"/>
        <w:rPr>
          <w:lang w:val="fr-FR"/>
        </w:rPr>
      </w:pPr>
      <w:r w:rsidRPr="00202EB9">
        <w:rPr>
          <w:lang w:val="fr-FR"/>
        </w:rPr>
        <w:t>L’équipe chargée de l’étude n’a pas été en mesure d’évaluer la pérennité de certains des projets achevés faute de mécanisme de suivi pour informer le </w:t>
      </w:r>
      <w:proofErr w:type="spellStart"/>
      <w:r w:rsidRPr="00202EB9">
        <w:rPr>
          <w:lang w:val="fr-FR"/>
        </w:rPr>
        <w:t>CDIP</w:t>
      </w:r>
      <w:proofErr w:type="spellEnd"/>
      <w:r w:rsidRPr="00202EB9">
        <w:rPr>
          <w:lang w:val="fr-FR"/>
        </w:rPr>
        <w:t xml:space="preserve"> des enseignements tirés au niveau national et des lacunes qui auraient pu être constatées.  En outre, il a été observé qu’il n’existait pas d’outil permettant de suivre et d’évaluer la manière dont les projets achevés sont intégrés aux activités de l’Organisation.</w:t>
      </w:r>
    </w:p>
    <w:p w:rsidR="00202EB9" w:rsidRPr="00202EB9" w:rsidRDefault="00202EB9" w:rsidP="00202EB9">
      <w:pPr>
        <w:pStyle w:val="ONUMFS"/>
        <w:numPr>
          <w:ilvl w:val="0"/>
          <w:numId w:val="0"/>
        </w:numPr>
        <w:rPr>
          <w:b/>
          <w:lang w:val="fr-FR"/>
        </w:rPr>
      </w:pPr>
      <w:r w:rsidRPr="00202EB9">
        <w:rPr>
          <w:b/>
          <w:lang w:val="fr-FR"/>
        </w:rPr>
        <w:t>Observation 15 : La participation des institutions nationales compétentes autres que les offices nationaux de propriété intellectuelle et des institutions internationales chargées du développement à la mise en œuvre des recommandations du Plan d’action pour le développement a été limitée.</w:t>
      </w:r>
    </w:p>
    <w:p w:rsidR="00202EB9" w:rsidRPr="00202EB9" w:rsidRDefault="00202EB9" w:rsidP="00202EB9">
      <w:pPr>
        <w:pStyle w:val="ONUMFS"/>
        <w:rPr>
          <w:lang w:val="fr-FR"/>
        </w:rPr>
      </w:pPr>
      <w:r w:rsidRPr="00202EB9">
        <w:rPr>
          <w:lang w:val="fr-FR"/>
        </w:rPr>
        <w:t>La mise en œuvre des recommandations s’inscrit actuellement dans le cadre d’un processus descendant à Genève qui est étendu au niveau national à l’intention des bénéficiaires par l’intermédiaire des offices de propriété intellectuelle.  La participation et l’engagement de haut niveau des États membres dans ce domaine constituent un indicateur positif de viabilité à long terme.  Le développement dépend de facteurs très divers et donc d’acteurs variés.  Il y a un manque de participation active des institutions et administrations nationales autres que les offices de propriété intellectuelle et des autres institutions internationales chargées du développement.  Cela soulève des préoccupations quant à la viabilité à long terme des projets touchant des questions intersectorielles.</w:t>
      </w:r>
    </w:p>
    <w:p w:rsidR="00202EB9" w:rsidRPr="00202EB9" w:rsidRDefault="00202EB9" w:rsidP="00202EB9">
      <w:pPr>
        <w:pStyle w:val="ONUMFS"/>
        <w:rPr>
          <w:lang w:val="fr-FR"/>
        </w:rPr>
      </w:pPr>
      <w:r w:rsidRPr="00202EB9">
        <w:rPr>
          <w:lang w:val="fr-FR"/>
        </w:rPr>
        <w:t>À l’heure actuelle, il n’existe pas de mécanismes formels ou informels pour solliciter une participation plus active des États membres et des bénéficiaires potentiels, notamment en matière d’affectation de ressources humaines et financières suffisantes à la fois pendant l’exécution des projets et une fois les projets achevés.  L’absence de tels mécanismes constitue un risque pour la viabilité à long terme des projets et activités relevant du Plan d’action pour le développement.</w:t>
      </w:r>
    </w:p>
    <w:p w:rsidR="00202EB9" w:rsidRPr="00202EB9" w:rsidRDefault="00202EB9" w:rsidP="00202EB9">
      <w:pPr>
        <w:pStyle w:val="ONUMFS"/>
        <w:rPr>
          <w:lang w:val="fr-FR"/>
        </w:rPr>
      </w:pPr>
      <w:r w:rsidRPr="00202EB9">
        <w:rPr>
          <w:lang w:val="fr-FR"/>
        </w:rPr>
        <w:t xml:space="preserve">Le Plan d’action pour le développement a permis d’améliorer la compréhension des liens possibles entre innovation, développement économique et propriété intellectuelle.  À cet égard, l’exploration innovante des questions </w:t>
      </w:r>
      <w:proofErr w:type="spellStart"/>
      <w:r w:rsidRPr="00202EB9">
        <w:rPr>
          <w:lang w:val="fr-FR"/>
        </w:rPr>
        <w:t>socioéconomiques</w:t>
      </w:r>
      <w:proofErr w:type="spellEnd"/>
      <w:r w:rsidRPr="00202EB9">
        <w:rPr>
          <w:lang w:val="fr-FR"/>
        </w:rPr>
        <w:t xml:space="preserve"> dans le contexte du </w:t>
      </w:r>
      <w:proofErr w:type="spellStart"/>
      <w:r w:rsidRPr="00202EB9">
        <w:rPr>
          <w:lang w:val="fr-FR"/>
        </w:rPr>
        <w:t>CDIP</w:t>
      </w:r>
      <w:proofErr w:type="spellEnd"/>
      <w:r w:rsidRPr="00202EB9">
        <w:rPr>
          <w:lang w:val="fr-FR"/>
        </w:rPr>
        <w:t xml:space="preserve"> a permis de populariser les concepts et d’améliorer la viabilité à long terme du Plan d’action pour le développement.  Dès lors qu’il y a partage des responsabilités entre les États membres et l’OMPI, les effets du Plan d’action pour le développement peuvent être traduits en avantages durables.</w:t>
      </w:r>
    </w:p>
    <w:p w:rsidR="00202EB9" w:rsidRPr="00202EB9" w:rsidRDefault="00202EB9" w:rsidP="00202EB9">
      <w:pPr>
        <w:pStyle w:val="Heading2"/>
        <w:rPr>
          <w:lang w:val="fr-FR"/>
        </w:rPr>
      </w:pPr>
      <w:bookmarkStart w:id="25" w:name="_Toc460492866"/>
      <w:r w:rsidRPr="00202EB9">
        <w:rPr>
          <w:lang w:val="fr-FR"/>
        </w:rPr>
        <w:t>5.</w:t>
      </w:r>
      <w:r w:rsidRPr="00202EB9">
        <w:rPr>
          <w:lang w:val="fr-FR"/>
        </w:rPr>
        <w:tab/>
        <w:t>Conclusions</w:t>
      </w:r>
      <w:bookmarkEnd w:id="25"/>
    </w:p>
    <w:p w:rsidR="00202EB9" w:rsidRPr="00202EB9" w:rsidRDefault="00202EB9" w:rsidP="00202EB9">
      <w:pPr>
        <w:rPr>
          <w:lang w:val="fr-FR" w:eastAsia="zh-CN" w:bidi="ar-SA"/>
        </w:rPr>
      </w:pPr>
    </w:p>
    <w:p w:rsidR="00202EB9" w:rsidRPr="00202EB9" w:rsidRDefault="00202EB9" w:rsidP="00202EB9">
      <w:pPr>
        <w:pStyle w:val="ONUMFS"/>
        <w:rPr>
          <w:lang w:val="fr-FR"/>
        </w:rPr>
      </w:pPr>
      <w:r w:rsidRPr="00202EB9">
        <w:rPr>
          <w:lang w:val="fr-FR"/>
        </w:rPr>
        <w:t>Cette section présente les principales conclusions de l’étude indépendante pour examen par l’OMPI au fur et à mesure qu’elle progresse dans la mise en œuvre des recommandations du Plan d’action pour le développement.  Sur la base de ses observations principales, l’équipe chargée de l’étude est parvenue aux conclusions ci</w:t>
      </w:r>
      <w:r w:rsidRPr="00202EB9">
        <w:rPr>
          <w:lang w:val="fr-FR"/>
        </w:rPr>
        <w:noBreakHyphen/>
        <w:t>après.</w:t>
      </w:r>
    </w:p>
    <w:p w:rsidR="00202EB9" w:rsidRPr="00202EB9" w:rsidRDefault="00202EB9" w:rsidP="00202EB9">
      <w:pPr>
        <w:pStyle w:val="ONUMFS"/>
        <w:numPr>
          <w:ilvl w:val="0"/>
          <w:numId w:val="0"/>
        </w:numPr>
        <w:rPr>
          <w:lang w:val="fr-FR"/>
        </w:rPr>
      </w:pPr>
      <w:r w:rsidRPr="00202EB9">
        <w:rPr>
          <w:b/>
          <w:lang w:val="fr-FR"/>
        </w:rPr>
        <w:t>Conclusion 1 (observations 1, 3, 5 et 11)</w:t>
      </w:r>
    </w:p>
    <w:p w:rsidR="00202EB9" w:rsidRPr="00202EB9" w:rsidRDefault="00202EB9" w:rsidP="00202EB9">
      <w:pPr>
        <w:pStyle w:val="ONUMFS"/>
        <w:rPr>
          <w:lang w:val="fr-FR"/>
        </w:rPr>
      </w:pPr>
      <w:r w:rsidRPr="00202EB9">
        <w:rPr>
          <w:lang w:val="fr-FR"/>
        </w:rPr>
        <w:t>La mise en œuvre des recommandations du Plan d’action pour le développement a répondu dans une large mesure aux attentes des États membres, des parties prenantes et des autres bénéficiaires visés.  Un changement général positif est perceptible dans les activités de l’OMPI.  Depuis son adoption, le Plan d’action pour le développement a modifié la façon de traiter les questions de propriété intellectuelle pour répondre aux besoins des parties prenantes en matière de développement.  Les travaux de l’OMPI ont dans une certaine mesure permis de faire passer le message que la propriété intellectuelle a un rôle à jouer s’agissant d’encourager et promouvoir l’innovation et la créativité dans l’intérêt de tous.  Cependant, le Plan d’action pour le développement a suscité des attentes élevées qui ne sont peut</w:t>
      </w:r>
      <w:r w:rsidRPr="00202EB9">
        <w:rPr>
          <w:lang w:val="fr-FR"/>
        </w:rPr>
        <w:noBreakHyphen/>
        <w:t>être pas totalement satisfaites.</w:t>
      </w:r>
    </w:p>
    <w:p w:rsidR="00202EB9" w:rsidRPr="00202EB9" w:rsidRDefault="004546DF" w:rsidP="00202EB9">
      <w:pPr>
        <w:pStyle w:val="ONUMFS"/>
        <w:numPr>
          <w:ilvl w:val="0"/>
          <w:numId w:val="0"/>
        </w:numPr>
        <w:rPr>
          <w:b/>
          <w:lang w:val="fr-FR"/>
        </w:rPr>
      </w:pPr>
      <w:r>
        <w:rPr>
          <w:b/>
          <w:lang w:val="fr-FR"/>
        </w:rPr>
        <w:t>Conclusion 2 (o</w:t>
      </w:r>
      <w:r w:rsidR="00202EB9" w:rsidRPr="00202EB9">
        <w:rPr>
          <w:b/>
          <w:lang w:val="fr-FR"/>
        </w:rPr>
        <w:t>bservations 3, 4 et 5)</w:t>
      </w:r>
    </w:p>
    <w:p w:rsidR="00202EB9" w:rsidRPr="00202EB9" w:rsidRDefault="00202EB9" w:rsidP="00202EB9">
      <w:pPr>
        <w:pStyle w:val="ONUMFS"/>
        <w:rPr>
          <w:lang w:val="fr-FR"/>
        </w:rPr>
      </w:pPr>
      <w:r w:rsidRPr="00202EB9">
        <w:rPr>
          <w:lang w:val="fr-FR"/>
        </w:rPr>
        <w:t>Les principes et objectifs du Plan d’action pour le développement guident les travaux de l’Organisation dans le cadre des délibérations menées au sein du </w:t>
      </w:r>
      <w:proofErr w:type="spellStart"/>
      <w:r w:rsidRPr="00202EB9">
        <w:rPr>
          <w:lang w:val="fr-FR"/>
        </w:rPr>
        <w:t>CDIP</w:t>
      </w:r>
      <w:proofErr w:type="spellEnd"/>
      <w:r w:rsidRPr="00202EB9">
        <w:rPr>
          <w:lang w:val="fr-FR"/>
        </w:rPr>
        <w:t xml:space="preserve"> et d’autres organes de l’OMPI.  Les recommandations du Plan d’action pour le développement, et notamment la recommandation n° 15, ont déterminé les activités d’établissement de normes entreprises par l’Organisation ces dernières années.  Toutefois, certaines questions relatives au mandat du comité et à la mise en œuvre du mécanisme de coordination restent des points en suspens dans les travaux du comité.</w:t>
      </w:r>
    </w:p>
    <w:p w:rsidR="00202EB9" w:rsidRPr="00202EB9" w:rsidRDefault="004546DF" w:rsidP="00202EB9">
      <w:pPr>
        <w:pStyle w:val="ONUMFS"/>
        <w:numPr>
          <w:ilvl w:val="0"/>
          <w:numId w:val="0"/>
        </w:numPr>
        <w:rPr>
          <w:b/>
          <w:lang w:val="fr-FR"/>
        </w:rPr>
      </w:pPr>
      <w:r>
        <w:rPr>
          <w:b/>
          <w:lang w:val="fr-FR"/>
        </w:rPr>
        <w:t>Conclusion 3 (o</w:t>
      </w:r>
      <w:r w:rsidR="00202EB9" w:rsidRPr="00202EB9">
        <w:rPr>
          <w:b/>
          <w:lang w:val="fr-FR"/>
        </w:rPr>
        <w:t>bservation 4)</w:t>
      </w:r>
    </w:p>
    <w:p w:rsidR="00202EB9" w:rsidRPr="00202EB9" w:rsidRDefault="00202EB9" w:rsidP="00202EB9">
      <w:pPr>
        <w:pStyle w:val="ONUMFS"/>
        <w:rPr>
          <w:lang w:val="fr-FR"/>
        </w:rPr>
      </w:pPr>
      <w:r w:rsidRPr="00202EB9">
        <w:rPr>
          <w:lang w:val="fr-FR"/>
        </w:rPr>
        <w:t xml:space="preserve">Le </w:t>
      </w:r>
      <w:proofErr w:type="spellStart"/>
      <w:r w:rsidRPr="00202EB9">
        <w:rPr>
          <w:lang w:val="fr-FR"/>
        </w:rPr>
        <w:t>CDIP</w:t>
      </w:r>
      <w:proofErr w:type="spellEnd"/>
      <w:r w:rsidRPr="00202EB9">
        <w:rPr>
          <w:lang w:val="fr-FR"/>
        </w:rPr>
        <w:t xml:space="preserve"> a jouté un rôle efficace dans la mise en œuvre et le suivi des recommandations du Plan d’action pour le développement et le Secrétariat s’est attaché à faciliter cette mise en œuvre moyennant la création de la Division de la coordination du Plan d’action pour le développement et la coordination efficace instaurée avec les divisions concernées par la mise en œuvre du Plan d’action pour le développement.</w:t>
      </w:r>
    </w:p>
    <w:p w:rsidR="00202EB9" w:rsidRPr="00202EB9" w:rsidRDefault="004546DF" w:rsidP="004546DF">
      <w:pPr>
        <w:pStyle w:val="ONUMFS"/>
        <w:keepNext/>
        <w:keepLines/>
        <w:numPr>
          <w:ilvl w:val="0"/>
          <w:numId w:val="0"/>
        </w:numPr>
        <w:rPr>
          <w:b/>
          <w:lang w:val="fr-FR"/>
        </w:rPr>
      </w:pPr>
      <w:r>
        <w:rPr>
          <w:b/>
          <w:lang w:val="fr-FR"/>
        </w:rPr>
        <w:t>Conclusion 4 (o</w:t>
      </w:r>
      <w:r w:rsidR="00202EB9" w:rsidRPr="00202EB9">
        <w:rPr>
          <w:b/>
          <w:lang w:val="fr-FR"/>
        </w:rPr>
        <w:t>bservations 1, 3 et 5)</w:t>
      </w:r>
    </w:p>
    <w:p w:rsidR="00202EB9" w:rsidRPr="00202EB9" w:rsidRDefault="00202EB9" w:rsidP="004546DF">
      <w:pPr>
        <w:pStyle w:val="ONUMFS"/>
        <w:keepNext/>
        <w:keepLines/>
        <w:rPr>
          <w:lang w:val="fr-FR"/>
        </w:rPr>
      </w:pPr>
      <w:r w:rsidRPr="00202EB9">
        <w:rPr>
          <w:lang w:val="fr-FR"/>
        </w:rPr>
        <w:t xml:space="preserve">L’OMPI a pris des mesures importantes et efficaces pour traduire l’accord politique sur le Plan d’action pour le développement en un programme de travail pour l’Organisation qui a conduit à l’introduction de réformes institutionnelles et à l’exploration de nouveaux domaines de travail au sein de l’Organisation, ce qui a permis aux États membres de bénéficier d’un large éventail d’activités relatives au renforcement des capacités et aux études économiques et d’améliorer leur compréhension du lien entre propriété intellectuelle et développement.  Des mesures ont également été prises pour approfondir les relations avec d’autres organisations </w:t>
      </w:r>
      <w:proofErr w:type="spellStart"/>
      <w:r w:rsidRPr="00202EB9">
        <w:rPr>
          <w:lang w:val="fr-FR"/>
        </w:rPr>
        <w:t>intergouvernementales</w:t>
      </w:r>
      <w:proofErr w:type="spellEnd"/>
      <w:r w:rsidRPr="00202EB9">
        <w:rPr>
          <w:lang w:val="fr-FR"/>
        </w:rPr>
        <w:t xml:space="preserve"> et associer les ONG aux travaux de l’Organisation.</w:t>
      </w:r>
    </w:p>
    <w:p w:rsidR="00202EB9" w:rsidRPr="00202EB9" w:rsidRDefault="004546DF" w:rsidP="00202EB9">
      <w:pPr>
        <w:pStyle w:val="ONUMFS"/>
        <w:numPr>
          <w:ilvl w:val="0"/>
          <w:numId w:val="0"/>
        </w:numPr>
        <w:rPr>
          <w:b/>
          <w:lang w:val="fr-FR"/>
        </w:rPr>
      </w:pPr>
      <w:r>
        <w:rPr>
          <w:b/>
          <w:lang w:val="fr-FR"/>
        </w:rPr>
        <w:t>Conclusion 5 (o</w:t>
      </w:r>
      <w:r w:rsidR="00202EB9" w:rsidRPr="00202EB9">
        <w:rPr>
          <w:b/>
          <w:lang w:val="fr-FR"/>
        </w:rPr>
        <w:t>bservations 11 et 15)</w:t>
      </w:r>
    </w:p>
    <w:p w:rsidR="00202EB9" w:rsidRPr="00202EB9" w:rsidRDefault="00202EB9" w:rsidP="00202EB9">
      <w:pPr>
        <w:pStyle w:val="ONUMFS"/>
        <w:rPr>
          <w:lang w:val="fr-FR"/>
        </w:rPr>
      </w:pPr>
      <w:r w:rsidRPr="00202EB9">
        <w:rPr>
          <w:lang w:val="fr-FR"/>
        </w:rPr>
        <w:t>Un changement d’attitude se fait jour au sein de l’Organisation depuis l’adoption des recommandations du Plan d’action pour le développement, en particulier en ce qui concerne la prestation des activités en matière de renforcement des capacités et d’avis sur les initiatives et politiques législatives.  Le personnel de l’OMPI s’est en outre montré plus ouvert et réactif aux considérations relatives au développement.</w:t>
      </w:r>
    </w:p>
    <w:p w:rsidR="00202EB9" w:rsidRPr="00202EB9" w:rsidRDefault="004546DF" w:rsidP="00202EB9">
      <w:pPr>
        <w:pStyle w:val="ONUMFS"/>
        <w:numPr>
          <w:ilvl w:val="0"/>
          <w:numId w:val="0"/>
        </w:numPr>
        <w:rPr>
          <w:b/>
          <w:lang w:val="fr-FR"/>
        </w:rPr>
      </w:pPr>
      <w:r>
        <w:rPr>
          <w:b/>
          <w:lang w:val="fr-FR"/>
        </w:rPr>
        <w:t>Conclusion 6 (o</w:t>
      </w:r>
      <w:r w:rsidR="00202EB9" w:rsidRPr="00202EB9">
        <w:rPr>
          <w:b/>
          <w:lang w:val="fr-FR"/>
        </w:rPr>
        <w:t>bservation 7)</w:t>
      </w:r>
    </w:p>
    <w:p w:rsidR="00202EB9" w:rsidRPr="00202EB9" w:rsidRDefault="00202EB9" w:rsidP="00202EB9">
      <w:pPr>
        <w:pStyle w:val="ONUMFS"/>
        <w:rPr>
          <w:lang w:val="fr-FR"/>
        </w:rPr>
      </w:pPr>
      <w:r w:rsidRPr="00202EB9">
        <w:rPr>
          <w:lang w:val="fr-FR"/>
        </w:rPr>
        <w:t>L’Organisation intègre progressivement les recommandations du Plan d’action pour le développement à ses programmes, son cadre de gestion axée sur les résultats et son cycle budgétaire.  Les recommandations du Plan d’action pour le développement n’ont pas été directement rattachées aux résultats escomptés dans le cadre de gestion axée sur les résultats, ce qui a entraîné un déficit dans la mise en œuvre de ces recommandations.  En outre, le cadre stratégique de l’Organisation ne comprenait pas les défis et les enjeux relatifs à la mise en œuvre des recommandations du Plan d’action pour le développement.</w:t>
      </w:r>
    </w:p>
    <w:p w:rsidR="00202EB9" w:rsidRPr="00202EB9" w:rsidRDefault="004546DF" w:rsidP="00202EB9">
      <w:pPr>
        <w:pStyle w:val="ONUMFS"/>
        <w:numPr>
          <w:ilvl w:val="0"/>
          <w:numId w:val="0"/>
        </w:numPr>
        <w:rPr>
          <w:b/>
          <w:lang w:val="fr-FR"/>
        </w:rPr>
      </w:pPr>
      <w:r>
        <w:rPr>
          <w:b/>
          <w:lang w:val="fr-FR"/>
        </w:rPr>
        <w:t>Conclusion 7 (o</w:t>
      </w:r>
      <w:r w:rsidR="00202EB9" w:rsidRPr="00202EB9">
        <w:rPr>
          <w:b/>
          <w:lang w:val="fr-FR"/>
        </w:rPr>
        <w:t>bservations 10 et 15)</w:t>
      </w:r>
    </w:p>
    <w:p w:rsidR="00202EB9" w:rsidRPr="00202EB9" w:rsidRDefault="00202EB9" w:rsidP="00202EB9">
      <w:pPr>
        <w:pStyle w:val="ONUMFS"/>
        <w:rPr>
          <w:lang w:val="fr-FR"/>
        </w:rPr>
      </w:pPr>
      <w:r w:rsidRPr="00202EB9">
        <w:rPr>
          <w:lang w:val="fr-FR"/>
        </w:rPr>
        <w:t>Les discussions sur le Plan d’action pour le développement et ses projets et activités tenues à Genève ne se sont pas nécessairement traduites par des mesures concrètes au niveau national.  Cela tient essentiellement au manque de coordination entre les diplomates basés à Genève et les autorités nationales ainsi qu’à l’absence d’activités de sensibilisation à l’importance du Plan d’action pour le développement.  L’adhésion à ce processus semblait dépendre essentiellement de la manière dont il serait étendu au niveau national et du partage des responsabilités entre les États membres et l’OMPI.</w:t>
      </w:r>
    </w:p>
    <w:p w:rsidR="00202EB9" w:rsidRPr="00202EB9" w:rsidRDefault="004546DF" w:rsidP="00202EB9">
      <w:pPr>
        <w:pStyle w:val="ONUMFS"/>
        <w:numPr>
          <w:ilvl w:val="0"/>
          <w:numId w:val="0"/>
        </w:numPr>
        <w:rPr>
          <w:b/>
          <w:lang w:val="fr-FR"/>
        </w:rPr>
      </w:pPr>
      <w:r>
        <w:rPr>
          <w:b/>
          <w:lang w:val="fr-FR"/>
        </w:rPr>
        <w:t>Conclusion 8 (o</w:t>
      </w:r>
      <w:r w:rsidR="00202EB9" w:rsidRPr="00202EB9">
        <w:rPr>
          <w:b/>
          <w:lang w:val="fr-FR"/>
        </w:rPr>
        <w:t>bservations 2, 6 et 12)</w:t>
      </w:r>
    </w:p>
    <w:p w:rsidR="00202EB9" w:rsidRPr="00202EB9" w:rsidRDefault="00202EB9" w:rsidP="00202EB9">
      <w:pPr>
        <w:pStyle w:val="ONUMFS"/>
        <w:rPr>
          <w:lang w:val="fr-FR"/>
        </w:rPr>
      </w:pPr>
      <w:r w:rsidRPr="00202EB9">
        <w:rPr>
          <w:lang w:val="fr-FR"/>
        </w:rPr>
        <w:t>L’approche thématique par projets a introduit un outil pertinent pour la mise en œuvre des recommandations du Plan d’action pour le développement, ce qui a conduit à l’approbation d’un grand nombre de projets.  Cet outil a été utilisé à la fois par le Secrétariat et les États membres pour proposer de nouveaux projets donnant effet à plusieurs recommandations du Plan d’action pour le développement.  L’efficacité de ces projets était directement liée au niveau de développement des pays bénéficiaires ainsi qu’à leur engagement.  Toutefois, il est apparu que la viabilité à long terme des projets était liée aux ressources humaines et financières allouées par le pays bénéficiaire.</w:t>
      </w:r>
    </w:p>
    <w:p w:rsidR="00202EB9" w:rsidRPr="00202EB9" w:rsidRDefault="00202EB9" w:rsidP="00202EB9">
      <w:pPr>
        <w:pStyle w:val="ONUMFS"/>
        <w:numPr>
          <w:ilvl w:val="0"/>
          <w:numId w:val="0"/>
        </w:numPr>
        <w:rPr>
          <w:b/>
          <w:lang w:val="fr-FR"/>
        </w:rPr>
      </w:pPr>
      <w:r w:rsidRPr="00202EB9">
        <w:rPr>
          <w:b/>
          <w:lang w:val="fr-FR"/>
        </w:rPr>
        <w:t>C</w:t>
      </w:r>
      <w:r w:rsidR="004546DF">
        <w:rPr>
          <w:b/>
          <w:lang w:val="fr-FR"/>
        </w:rPr>
        <w:t>onclusion 9 (o</w:t>
      </w:r>
      <w:r w:rsidRPr="00202EB9">
        <w:rPr>
          <w:b/>
          <w:lang w:val="fr-FR"/>
        </w:rPr>
        <w:t>bservations 1, 2, 6, 10 et 12)</w:t>
      </w:r>
    </w:p>
    <w:p w:rsidR="00202EB9" w:rsidRPr="00202EB9" w:rsidRDefault="00202EB9" w:rsidP="00202EB9">
      <w:pPr>
        <w:pStyle w:val="ONUMFS"/>
        <w:rPr>
          <w:lang w:val="fr-FR"/>
        </w:rPr>
      </w:pPr>
      <w:r w:rsidRPr="00202EB9">
        <w:rPr>
          <w:lang w:val="fr-FR"/>
        </w:rPr>
        <w:t>L’approche thématique par projets était une solution novatrice, utile et efficace pour la mettre en œuvre les recommandations du Plan d’action pour le développement avec efficience, ce qui a permis de répondre à certaines des attentes suscitées par le Plan d’action pour le développement.  Toutefois, certains des projets mis en œuvre se sont révélés moins pertinents et n’ont pas été utilisés sur une grande échelle par les bénéficiaires visés.  La capacité d’assimilation d’un pays bénéficiaire et l’efficacité de la coordination interne entre différents acteurs nationaux, de même que le degré de connaissance du sujet, étaient autant de facteurs contribuant à la réussite du projet.</w:t>
      </w:r>
    </w:p>
    <w:p w:rsidR="00202EB9" w:rsidRPr="00202EB9" w:rsidRDefault="004546DF" w:rsidP="00202EB9">
      <w:pPr>
        <w:pStyle w:val="ONUMFS"/>
        <w:numPr>
          <w:ilvl w:val="0"/>
          <w:numId w:val="0"/>
        </w:numPr>
        <w:rPr>
          <w:b/>
          <w:lang w:val="fr-FR"/>
        </w:rPr>
      </w:pPr>
      <w:r>
        <w:rPr>
          <w:b/>
          <w:lang w:val="fr-FR"/>
        </w:rPr>
        <w:t>Conclusion 10 (o</w:t>
      </w:r>
      <w:r w:rsidR="00202EB9" w:rsidRPr="00202EB9">
        <w:rPr>
          <w:b/>
          <w:lang w:val="fr-FR"/>
        </w:rPr>
        <w:t>bservations 8 et 12)</w:t>
      </w:r>
    </w:p>
    <w:p w:rsidR="00202EB9" w:rsidRPr="00202EB9" w:rsidRDefault="00202EB9" w:rsidP="00202EB9">
      <w:pPr>
        <w:pStyle w:val="ONUMFS"/>
        <w:rPr>
          <w:lang w:val="fr-FR"/>
        </w:rPr>
      </w:pPr>
      <w:r w:rsidRPr="00202EB9">
        <w:rPr>
          <w:lang w:val="fr-FR"/>
        </w:rPr>
        <w:t>Les projets et activités relevant du Plan d’action pour le développement ont bénéficié de ressources appropriées et ont été en général couronnés de succès.  Toutefois, les qualifications et compétences des ressources humaines allouées aux projets ou activités, une évaluation effective des besoins effectuée par les pays bénéficiaires et une définition claire des rôles respectifs du Secrétariat et des bénéficiaires conditionnent en dernier ressort la qualité des résultats.  Les activités et projets lancés à l’initiative ou à la demande des pays bénéficiaires ont eu un impact plus fort lorsqu’ils s’accompagnaient de l’engagement des acteurs chargés de leur mise en œuvre tant au niveau du Secrétariat qu’au niveau national.</w:t>
      </w:r>
    </w:p>
    <w:p w:rsidR="00202EB9" w:rsidRPr="00202EB9" w:rsidRDefault="004546DF" w:rsidP="00202EB9">
      <w:pPr>
        <w:pStyle w:val="ONUMFS"/>
        <w:numPr>
          <w:ilvl w:val="0"/>
          <w:numId w:val="0"/>
        </w:numPr>
        <w:rPr>
          <w:b/>
          <w:lang w:val="fr-FR"/>
        </w:rPr>
      </w:pPr>
      <w:r>
        <w:rPr>
          <w:b/>
          <w:lang w:val="fr-FR"/>
        </w:rPr>
        <w:t>Conclusion 11 (o</w:t>
      </w:r>
      <w:r w:rsidR="00202EB9" w:rsidRPr="00202EB9">
        <w:rPr>
          <w:b/>
          <w:lang w:val="fr-FR"/>
        </w:rPr>
        <w:t>bservations 3, 6 et 15)</w:t>
      </w:r>
    </w:p>
    <w:p w:rsidR="00202EB9" w:rsidRPr="00202EB9" w:rsidRDefault="00202EB9" w:rsidP="00202EB9">
      <w:pPr>
        <w:pStyle w:val="ONUMFS"/>
        <w:rPr>
          <w:lang w:val="fr-FR"/>
        </w:rPr>
      </w:pPr>
      <w:r w:rsidRPr="00202EB9">
        <w:rPr>
          <w:lang w:val="fr-FR"/>
        </w:rPr>
        <w:t xml:space="preserve">Dans de nombreux cas, la participation des autorités nationales, en particulier lorsqu’un projet du Plan d’action pour le développement revêtait un caractère intersectoriel, n’a pas été pleinement </w:t>
      </w:r>
      <w:proofErr w:type="gramStart"/>
      <w:r w:rsidRPr="00202EB9">
        <w:rPr>
          <w:lang w:val="fr-FR"/>
        </w:rPr>
        <w:t>satisfaisante</w:t>
      </w:r>
      <w:proofErr w:type="gramEnd"/>
      <w:r w:rsidRPr="00202EB9">
        <w:rPr>
          <w:lang w:val="fr-FR"/>
        </w:rPr>
        <w:t>.  La pratique des responsables de projets de l’OMPI consistant à signer avec les autorités du pays bénéficiaire un accord précisant les rôles et responsabilités de l’Organisation et du pays a été considérée comme utile.</w:t>
      </w:r>
    </w:p>
    <w:p w:rsidR="00202EB9" w:rsidRPr="00202EB9" w:rsidRDefault="004546DF" w:rsidP="00202EB9">
      <w:pPr>
        <w:pStyle w:val="ONUMFS"/>
        <w:numPr>
          <w:ilvl w:val="0"/>
          <w:numId w:val="0"/>
        </w:numPr>
        <w:rPr>
          <w:b/>
          <w:lang w:val="fr-FR"/>
        </w:rPr>
      </w:pPr>
      <w:r>
        <w:rPr>
          <w:b/>
          <w:lang w:val="fr-FR"/>
        </w:rPr>
        <w:t>Conclusion 12 (o</w:t>
      </w:r>
      <w:r w:rsidR="00202EB9" w:rsidRPr="00202EB9">
        <w:rPr>
          <w:b/>
          <w:lang w:val="fr-FR"/>
        </w:rPr>
        <w:t>bservation 9)</w:t>
      </w:r>
    </w:p>
    <w:p w:rsidR="00202EB9" w:rsidRPr="00202EB9" w:rsidRDefault="00202EB9" w:rsidP="00202EB9">
      <w:pPr>
        <w:pStyle w:val="ONUMFS"/>
        <w:rPr>
          <w:lang w:val="fr-FR"/>
        </w:rPr>
      </w:pPr>
      <w:r w:rsidRPr="00202EB9">
        <w:rPr>
          <w:lang w:val="fr-FR"/>
        </w:rPr>
        <w:t>Les mécanismes d’information existants manquent de précision, notamment en ce qui concerne l’utilisation effective des dépenses de personnel et des autres dépenses.  En outre, il n’existe pas de mécanisme de retour d’information et d’établissement de rapports sur l’utilisation réelle des dépenses de personnel.  Cela rend difficile l’évaluation des dépenses de personnel ainsi que la détermination de la mesure dans laquelle tel ou tel projet a bénéficié de ressources suffisantes.  Dans le cas des projets intégrés, il y a un manque de transparence en ce qui concerne l’affectation des ressources humaines et financières après intégration.  Il manque également un mécanisme de retour d’information des bénéficiaires à l’intention du </w:t>
      </w:r>
      <w:proofErr w:type="spellStart"/>
      <w:r w:rsidRPr="00202EB9">
        <w:rPr>
          <w:lang w:val="fr-FR"/>
        </w:rPr>
        <w:t>CDIP</w:t>
      </w:r>
      <w:proofErr w:type="spellEnd"/>
      <w:r w:rsidRPr="00202EB9">
        <w:rPr>
          <w:lang w:val="fr-FR"/>
        </w:rPr>
        <w:t xml:space="preserve"> concernant les objectifs non atteints ou la nécessité de prolonger des projets achevés.</w:t>
      </w:r>
    </w:p>
    <w:p w:rsidR="00202EB9" w:rsidRPr="00202EB9" w:rsidRDefault="004546DF" w:rsidP="00202EB9">
      <w:pPr>
        <w:pStyle w:val="ONUMFS"/>
        <w:numPr>
          <w:ilvl w:val="0"/>
          <w:numId w:val="0"/>
        </w:numPr>
        <w:rPr>
          <w:b/>
          <w:lang w:val="fr-FR"/>
        </w:rPr>
      </w:pPr>
      <w:r>
        <w:rPr>
          <w:b/>
          <w:lang w:val="fr-FR"/>
        </w:rPr>
        <w:t>Conclusion 13 (o</w:t>
      </w:r>
      <w:r w:rsidR="00202EB9" w:rsidRPr="00202EB9">
        <w:rPr>
          <w:b/>
          <w:lang w:val="fr-FR"/>
        </w:rPr>
        <w:t>bservations 8, 13 et 14)</w:t>
      </w:r>
    </w:p>
    <w:p w:rsidR="00202EB9" w:rsidRPr="00202EB9" w:rsidRDefault="00202EB9" w:rsidP="00202EB9">
      <w:pPr>
        <w:pStyle w:val="ONUMFS"/>
        <w:rPr>
          <w:lang w:val="fr-FR"/>
        </w:rPr>
      </w:pPr>
      <w:r w:rsidRPr="00202EB9">
        <w:rPr>
          <w:lang w:val="fr-FR"/>
        </w:rPr>
        <w:t>L’évaluation des projets achevés du Plan d’action pour le développement par des évaluateurs externes indépendants a permis aux États membres de prendre acte du travail effectué par l’Organisation et les bénéficiaires en vue de leur mise en œuvre.  La planification des projets s’est améliorée et est devenue plus efficace au fil du temps, suite aux recommandations formulées par les évaluateurs au cours de l’examen indépendant des projets achevés relevant du Plan d’action pour le développement.  Toutefois, aucun mécanisme n’a été mis en place pour permettre à l’OMPI et aux États membres d’exercer un suivi concernant la mise en œuvre des recommandations figurant dans ces rapports d’évaluation ou d’évaluer la viabilité à long terme des activités menées au titre de ces projets.</w:t>
      </w:r>
    </w:p>
    <w:p w:rsidR="00202EB9" w:rsidRPr="00202EB9" w:rsidRDefault="004546DF" w:rsidP="00202EB9">
      <w:pPr>
        <w:pStyle w:val="ONUMFS"/>
        <w:numPr>
          <w:ilvl w:val="0"/>
          <w:numId w:val="0"/>
        </w:numPr>
        <w:rPr>
          <w:b/>
          <w:lang w:val="fr-FR"/>
        </w:rPr>
      </w:pPr>
      <w:r>
        <w:rPr>
          <w:b/>
          <w:lang w:val="fr-FR"/>
        </w:rPr>
        <w:t>Conclusion 14 (o</w:t>
      </w:r>
      <w:r w:rsidR="00202EB9" w:rsidRPr="00202EB9">
        <w:rPr>
          <w:b/>
          <w:lang w:val="fr-FR"/>
        </w:rPr>
        <w:t>bservations 13 et 14)</w:t>
      </w:r>
    </w:p>
    <w:p w:rsidR="00202EB9" w:rsidRPr="00202EB9" w:rsidRDefault="00202EB9" w:rsidP="00202EB9">
      <w:pPr>
        <w:pStyle w:val="ONUMFS"/>
        <w:rPr>
          <w:lang w:val="fr-FR"/>
        </w:rPr>
      </w:pPr>
      <w:r w:rsidRPr="00202EB9">
        <w:rPr>
          <w:lang w:val="fr-FR"/>
        </w:rPr>
        <w:t>L’intégration de certains projets du Plan d’action pour le développement a permis à l’Organisation de progresser dans l’inclusion de ce plan d’action dans ses programmes ordinaires.  Si certains des projets du Plan d’action pour le développement ont été intégrés aux activités ordinaires, il s’agit d’un processus qui n’est pas encore achevé.  La clarté, la compréhension et la démythification du concept et de ses incidences doivent encore évoluer.  Faute d’outils disponibles, il n’a pas été possible de procéder à une évaluation efficace dans le cadre du suivi des activités intégrées à ce stade.  Les décisions d’intégration ont été prises sans indiquer les résultats escomptés.</w:t>
      </w:r>
    </w:p>
    <w:p w:rsidR="00202EB9" w:rsidRPr="00202EB9" w:rsidRDefault="00202EB9" w:rsidP="00202EB9">
      <w:pPr>
        <w:pStyle w:val="Heading2"/>
        <w:rPr>
          <w:lang w:val="fr-FR"/>
        </w:rPr>
      </w:pPr>
      <w:bookmarkStart w:id="26" w:name="_Toc460492867"/>
      <w:r w:rsidRPr="00202EB9">
        <w:rPr>
          <w:lang w:val="fr-FR"/>
        </w:rPr>
        <w:t>6.</w:t>
      </w:r>
      <w:r w:rsidRPr="00202EB9">
        <w:rPr>
          <w:lang w:val="fr-FR"/>
        </w:rPr>
        <w:tab/>
        <w:t>Recommandations</w:t>
      </w:r>
      <w:bookmarkEnd w:id="26"/>
    </w:p>
    <w:p w:rsidR="00202EB9" w:rsidRPr="00202EB9" w:rsidRDefault="00202EB9" w:rsidP="00202EB9">
      <w:pPr>
        <w:rPr>
          <w:lang w:val="fr-FR" w:eastAsia="zh-CN" w:bidi="ar-SA"/>
        </w:rPr>
      </w:pPr>
    </w:p>
    <w:p w:rsidR="00202EB9" w:rsidRPr="00202EB9" w:rsidRDefault="00202EB9" w:rsidP="00202EB9">
      <w:pPr>
        <w:pStyle w:val="ONUMFS"/>
        <w:rPr>
          <w:lang w:val="fr-FR"/>
        </w:rPr>
      </w:pPr>
      <w:r w:rsidRPr="00202EB9">
        <w:rPr>
          <w:lang w:val="fr-FR"/>
        </w:rPr>
        <w:t>Les observations et conclusions figurant dans le présent rapport ouvrent de nouvelles possibilités et opportunités d’améliorer à l’avenir la pertinence, l’efficacité, la rationalité, l’impact et la viabilité de la mise en œuvre des recommandations du Plan d’action pour le développement.  Les recommandations ci</w:t>
      </w:r>
      <w:r w:rsidRPr="00202EB9">
        <w:rPr>
          <w:lang w:val="fr-FR"/>
        </w:rPr>
        <w:noBreakHyphen/>
        <w:t>après visent à suggérer des moyens éventuels d’améliorer les résultats et les activités de l’OMPI dans la poursuite de la mise en œuvre des recommandations du Plan d’action pour le développement.</w:t>
      </w:r>
    </w:p>
    <w:p w:rsidR="00202EB9" w:rsidRPr="00202EB9" w:rsidRDefault="00202EB9" w:rsidP="00202EB9">
      <w:pPr>
        <w:pStyle w:val="ONUMFS"/>
        <w:numPr>
          <w:ilvl w:val="0"/>
          <w:numId w:val="0"/>
        </w:numPr>
        <w:rPr>
          <w:b/>
          <w:lang w:val="fr-FR"/>
        </w:rPr>
      </w:pPr>
      <w:r w:rsidRPr="00202EB9">
        <w:rPr>
          <w:b/>
          <w:lang w:val="fr-FR"/>
        </w:rPr>
        <w:t>Recommandation 1 :</w:t>
      </w:r>
    </w:p>
    <w:p w:rsidR="00202EB9" w:rsidRPr="00202EB9" w:rsidRDefault="00202EB9" w:rsidP="00202EB9">
      <w:pPr>
        <w:pStyle w:val="ONUMFS"/>
        <w:rPr>
          <w:lang w:val="fr-FR"/>
        </w:rPr>
      </w:pPr>
      <w:r w:rsidRPr="00202EB9">
        <w:rPr>
          <w:lang w:val="fr-FR"/>
        </w:rPr>
        <w:t>Les progrès réalisés au sein du </w:t>
      </w:r>
      <w:proofErr w:type="spellStart"/>
      <w:r w:rsidRPr="00202EB9">
        <w:rPr>
          <w:lang w:val="fr-FR"/>
        </w:rPr>
        <w:t>CDIP</w:t>
      </w:r>
      <w:proofErr w:type="spellEnd"/>
      <w:r w:rsidRPr="00202EB9">
        <w:rPr>
          <w:lang w:val="fr-FR"/>
        </w:rPr>
        <w:t xml:space="preserve"> doivent être consolidés moyennant l’instauration d’un débat plus large visant à répondre aux besoins nouveaux et à passer en revue les travaux de l’Organisation sur les questions émergentes relatives aux droits de propriété intellectuelle.  Le comité devrait également faciliter l’échange de stratégies et de pratiques recommandées par les États membres à partir de leur expérience du traitement de la propriété intellectuelle et des préoccupations en matière de développement.</w:t>
      </w:r>
    </w:p>
    <w:p w:rsidR="00202EB9" w:rsidRPr="00202EB9" w:rsidRDefault="00202EB9" w:rsidP="00202EB9">
      <w:pPr>
        <w:pStyle w:val="ONUMFS"/>
        <w:numPr>
          <w:ilvl w:val="0"/>
          <w:numId w:val="0"/>
        </w:numPr>
        <w:rPr>
          <w:b/>
          <w:lang w:val="fr-FR"/>
        </w:rPr>
      </w:pPr>
      <w:r w:rsidRPr="00202EB9">
        <w:rPr>
          <w:b/>
          <w:lang w:val="fr-FR"/>
        </w:rPr>
        <w:t>Recommandation 2 :</w:t>
      </w:r>
    </w:p>
    <w:p w:rsidR="00202EB9" w:rsidRPr="00202EB9" w:rsidRDefault="00202EB9" w:rsidP="00202EB9">
      <w:pPr>
        <w:pStyle w:val="ONUMFS"/>
        <w:rPr>
          <w:lang w:val="fr-FR"/>
        </w:rPr>
      </w:pPr>
      <w:r w:rsidRPr="00202EB9">
        <w:rPr>
          <w:lang w:val="fr-FR"/>
        </w:rPr>
        <w:t>Les États membres devraient prendre des mesures pour résoudre les questions en suspens relatives au mandat du comité et à l’application du mécanisme de coordination.</w:t>
      </w:r>
    </w:p>
    <w:p w:rsidR="00202EB9" w:rsidRPr="00202EB9" w:rsidRDefault="00202EB9" w:rsidP="00202EB9">
      <w:pPr>
        <w:pStyle w:val="ONUMFS"/>
        <w:numPr>
          <w:ilvl w:val="0"/>
          <w:numId w:val="0"/>
        </w:numPr>
        <w:rPr>
          <w:b/>
          <w:lang w:val="fr-FR"/>
        </w:rPr>
      </w:pPr>
      <w:r w:rsidRPr="00202EB9">
        <w:rPr>
          <w:b/>
          <w:lang w:val="fr-FR"/>
        </w:rPr>
        <w:t>Recommandation 3 :</w:t>
      </w:r>
    </w:p>
    <w:p w:rsidR="00202EB9" w:rsidRPr="00202EB9" w:rsidRDefault="00202EB9" w:rsidP="00202EB9">
      <w:pPr>
        <w:pStyle w:val="ONUMFS"/>
        <w:rPr>
          <w:lang w:val="fr-FR"/>
        </w:rPr>
      </w:pPr>
      <w:r w:rsidRPr="00202EB9">
        <w:rPr>
          <w:lang w:val="fr-FR"/>
        </w:rPr>
        <w:t>L’OMPI devrait continuer d’assurer une coordination, un suivi, un retour d’information, une évaluation et une prise en considération efficaces de la mise en œuvre des recommandations du Plan d’action pour le développement.  Le rôle de la Division de la coordination du Plan d’action pour le développement devrait être renforcé.</w:t>
      </w:r>
    </w:p>
    <w:p w:rsidR="00202EB9" w:rsidRPr="00202EB9" w:rsidRDefault="00202EB9" w:rsidP="00202EB9">
      <w:pPr>
        <w:pStyle w:val="ONUMFS"/>
        <w:numPr>
          <w:ilvl w:val="0"/>
          <w:numId w:val="0"/>
        </w:numPr>
        <w:rPr>
          <w:b/>
          <w:lang w:val="fr-FR"/>
        </w:rPr>
      </w:pPr>
      <w:r w:rsidRPr="00202EB9">
        <w:rPr>
          <w:b/>
          <w:lang w:val="fr-FR"/>
        </w:rPr>
        <w:t>Recommandation 4 :</w:t>
      </w:r>
    </w:p>
    <w:p w:rsidR="00202EB9" w:rsidRPr="00202EB9" w:rsidRDefault="00202EB9" w:rsidP="00202EB9">
      <w:pPr>
        <w:pStyle w:val="ONUMFS"/>
        <w:rPr>
          <w:lang w:val="fr-FR"/>
        </w:rPr>
      </w:pPr>
      <w:r w:rsidRPr="00202EB9">
        <w:rPr>
          <w:lang w:val="fr-FR"/>
        </w:rPr>
        <w:t>Dans la mise en œuvre des recommandations du Plan d’action pour le développement, le </w:t>
      </w:r>
      <w:proofErr w:type="spellStart"/>
      <w:r w:rsidRPr="00202EB9">
        <w:rPr>
          <w:lang w:val="fr-FR"/>
        </w:rPr>
        <w:t>CDIP</w:t>
      </w:r>
      <w:proofErr w:type="spellEnd"/>
      <w:r w:rsidRPr="00202EB9">
        <w:rPr>
          <w:lang w:val="fr-FR"/>
        </w:rPr>
        <w:t xml:space="preserve"> devrait examiner les moyens de répondre au mieux à l’évolution de la conjoncture et aux défis émergents en termes de développement auxquels est confronté le système de la propriété intellectuelle.  Parallèlement, il conviendrait d’associer étroitement d’autres organismes des Nations Unies œuvrant dans le domaine du développement afin de tirer parti de leurs compétences aux fins de la mise en œuvre des recommandations du Plan d’action pour le développement et de la promotion de la réalisation des objectifs de développement durable.</w:t>
      </w:r>
    </w:p>
    <w:p w:rsidR="00202EB9" w:rsidRPr="00202EB9" w:rsidRDefault="00202EB9" w:rsidP="00202EB9">
      <w:pPr>
        <w:pStyle w:val="ONUMFS"/>
        <w:numPr>
          <w:ilvl w:val="0"/>
          <w:numId w:val="0"/>
        </w:numPr>
        <w:rPr>
          <w:b/>
          <w:lang w:val="fr-FR"/>
        </w:rPr>
      </w:pPr>
      <w:r w:rsidRPr="00202EB9">
        <w:rPr>
          <w:b/>
          <w:lang w:val="fr-FR"/>
        </w:rPr>
        <w:t>Recommandation 5 :</w:t>
      </w:r>
    </w:p>
    <w:p w:rsidR="00202EB9" w:rsidRPr="00202EB9" w:rsidRDefault="00202EB9" w:rsidP="00202EB9">
      <w:pPr>
        <w:pStyle w:val="ONUMFS"/>
        <w:rPr>
          <w:lang w:val="fr-FR"/>
        </w:rPr>
      </w:pPr>
      <w:r w:rsidRPr="00202EB9">
        <w:rPr>
          <w:lang w:val="fr-FR"/>
        </w:rPr>
        <w:t>L’OMPI devrait envisager la possibilité d’établir des liens entre les recommandations du Plan d’action pour le développement et les résultats escomptés figurant dans le programme et budget lorsque c’est possible.  Les résultats escomptés peuvent être modifiés ou de nouveaux résultats peuvent être ajoutés afin d’assurer plus efficacement et durablement l’intégration des recommandations du Plan d’action pour le développement dans les activités de l’OMPI.</w:t>
      </w:r>
    </w:p>
    <w:p w:rsidR="00202EB9" w:rsidRPr="00202EB9" w:rsidRDefault="00202EB9" w:rsidP="00202EB9">
      <w:pPr>
        <w:pStyle w:val="ONUMFS"/>
        <w:numPr>
          <w:ilvl w:val="0"/>
          <w:numId w:val="0"/>
        </w:numPr>
        <w:rPr>
          <w:b/>
          <w:lang w:val="fr-FR"/>
        </w:rPr>
      </w:pPr>
      <w:r w:rsidRPr="00202EB9">
        <w:rPr>
          <w:b/>
          <w:lang w:val="fr-FR"/>
        </w:rPr>
        <w:t>Recommandation 6 :</w:t>
      </w:r>
    </w:p>
    <w:p w:rsidR="00202EB9" w:rsidRPr="00202EB9" w:rsidRDefault="00202EB9" w:rsidP="00202EB9">
      <w:pPr>
        <w:pStyle w:val="ONUMFS"/>
        <w:rPr>
          <w:lang w:val="fr-FR"/>
        </w:rPr>
      </w:pPr>
      <w:r w:rsidRPr="00202EB9">
        <w:rPr>
          <w:lang w:val="fr-FR"/>
        </w:rPr>
        <w:t>Les États membres sont encouragés à renforcer la coordination entre leurs missions à Genève et leurs offices de propriété intellectuelle et autres administrations dans les capitales de manière à établir une approche coordonnée des travaux du </w:t>
      </w:r>
      <w:proofErr w:type="spellStart"/>
      <w:r w:rsidRPr="00202EB9">
        <w:rPr>
          <w:lang w:val="fr-FR"/>
        </w:rPr>
        <w:t>CDIP</w:t>
      </w:r>
      <w:proofErr w:type="spellEnd"/>
      <w:r w:rsidRPr="00202EB9">
        <w:rPr>
          <w:lang w:val="fr-FR"/>
        </w:rPr>
        <w:t xml:space="preserve"> et à sensibiliser les parties prenantes aux avantages du Plan d’action pour le développement.  Une participation de plus haut niveau des experts nationaux aux travaux du comité devrait être favorisée.  Le </w:t>
      </w:r>
      <w:proofErr w:type="spellStart"/>
      <w:r w:rsidRPr="00202EB9">
        <w:rPr>
          <w:lang w:val="fr-FR"/>
        </w:rPr>
        <w:t>CDIP</w:t>
      </w:r>
      <w:proofErr w:type="spellEnd"/>
      <w:r w:rsidRPr="00202EB9">
        <w:rPr>
          <w:lang w:val="fr-FR"/>
        </w:rPr>
        <w:t xml:space="preserve"> devrait se pencher sur les modalités relatives au retour d’information sur les mesures prises au niveau national pour mettre en œuvre les recommandations du Plan d’action pour le développement.</w:t>
      </w:r>
    </w:p>
    <w:p w:rsidR="00202EB9" w:rsidRPr="00202EB9" w:rsidRDefault="00202EB9" w:rsidP="00202EB9">
      <w:pPr>
        <w:pStyle w:val="ONUMFS"/>
        <w:keepNext/>
        <w:numPr>
          <w:ilvl w:val="0"/>
          <w:numId w:val="0"/>
        </w:numPr>
        <w:rPr>
          <w:b/>
          <w:lang w:val="fr-FR"/>
        </w:rPr>
      </w:pPr>
      <w:r w:rsidRPr="00202EB9">
        <w:rPr>
          <w:b/>
          <w:lang w:val="fr-FR"/>
        </w:rPr>
        <w:t>Recommandation 7 :</w:t>
      </w:r>
    </w:p>
    <w:p w:rsidR="00202EB9" w:rsidRPr="00202EB9" w:rsidRDefault="00202EB9" w:rsidP="00202EB9">
      <w:pPr>
        <w:pStyle w:val="ONUMFS"/>
        <w:rPr>
          <w:lang w:val="fr-FR"/>
        </w:rPr>
      </w:pPr>
      <w:r w:rsidRPr="00202EB9">
        <w:rPr>
          <w:lang w:val="fr-FR"/>
        </w:rPr>
        <w:t>Les États membres sont encouragés à formuler, compte tenu de leurs besoins nationaux, de nouvelles propositions de projets pour examen par le </w:t>
      </w:r>
      <w:proofErr w:type="spellStart"/>
      <w:r w:rsidRPr="00202EB9">
        <w:rPr>
          <w:lang w:val="fr-FR"/>
        </w:rPr>
        <w:t>CDIP</w:t>
      </w:r>
      <w:proofErr w:type="spellEnd"/>
      <w:r w:rsidRPr="00202EB9">
        <w:rPr>
          <w:lang w:val="fr-FR"/>
        </w:rPr>
        <w:t>.  Ils devraient envisager l’établissement d’un mécanisme de retour d’information sur les enseignements tirés et les pratiques recommandées des projets et activités du Plan d’action pour le développement couronnés de succès.  Ce mécanisme d’information devrait comprendre un examen périodique de la viabilité à long terme des projets achevés ou intégrés, ainsi que de l’impact de ces projets sur les bénéficiaires.  L’OMPI devrait établir une base de données des enseignements tirés et pratiques recommandées dans le cadre de la mise en œuvre des projets du Plan d’action pour le développement.</w:t>
      </w:r>
    </w:p>
    <w:p w:rsidR="00202EB9" w:rsidRPr="00202EB9" w:rsidRDefault="00202EB9" w:rsidP="00202EB9">
      <w:pPr>
        <w:pStyle w:val="ONUMFS"/>
        <w:numPr>
          <w:ilvl w:val="0"/>
          <w:numId w:val="0"/>
        </w:numPr>
        <w:rPr>
          <w:b/>
          <w:lang w:val="fr-FR"/>
        </w:rPr>
      </w:pPr>
      <w:r w:rsidRPr="00202EB9">
        <w:rPr>
          <w:b/>
          <w:lang w:val="fr-FR"/>
        </w:rPr>
        <w:t>Recommandation 8 :</w:t>
      </w:r>
    </w:p>
    <w:p w:rsidR="00202EB9" w:rsidRPr="00202EB9" w:rsidRDefault="00202EB9" w:rsidP="00202EB9">
      <w:pPr>
        <w:pStyle w:val="ONUMFS"/>
        <w:rPr>
          <w:lang w:val="fr-FR"/>
        </w:rPr>
      </w:pPr>
      <w:r w:rsidRPr="00202EB9">
        <w:rPr>
          <w:lang w:val="fr-FR"/>
        </w:rPr>
        <w:t>Les travaux futurs relatifs à l’élaboration de nouveaux projets devraient être modulables et adaptables et tenir compte des capacités d’assimilation et du niveau de connaissances des bénéficiaires.  Dans la mise en œuvre des projets au niveau national, l’OMPI devrait étudier la possibilité de nouer des partenariats étroits avec les organismes des Nations Unies et d’autres entités afin d’améliorer l’efficacité, l’exhaustivité et la viabilité à long terme.</w:t>
      </w:r>
    </w:p>
    <w:p w:rsidR="00202EB9" w:rsidRPr="00202EB9" w:rsidRDefault="00202EB9" w:rsidP="00202EB9">
      <w:pPr>
        <w:pStyle w:val="ONUMFS"/>
        <w:numPr>
          <w:ilvl w:val="0"/>
          <w:numId w:val="0"/>
        </w:numPr>
        <w:rPr>
          <w:b/>
          <w:lang w:val="fr-FR"/>
        </w:rPr>
      </w:pPr>
      <w:r w:rsidRPr="00202EB9">
        <w:rPr>
          <w:b/>
          <w:lang w:val="fr-FR"/>
        </w:rPr>
        <w:t>Recommandation 9 :</w:t>
      </w:r>
    </w:p>
    <w:p w:rsidR="00202EB9" w:rsidRPr="00202EB9" w:rsidRDefault="00202EB9" w:rsidP="00202EB9">
      <w:pPr>
        <w:pStyle w:val="ONUMFS"/>
        <w:rPr>
          <w:lang w:val="fr-FR"/>
        </w:rPr>
      </w:pPr>
      <w:r w:rsidRPr="00202EB9">
        <w:rPr>
          <w:lang w:val="fr-FR"/>
        </w:rPr>
        <w:t xml:space="preserve">L’OMPI devrait s’attacher davantage à recruter des experts qui connaissent particulièrement bien la situation </w:t>
      </w:r>
      <w:proofErr w:type="spellStart"/>
      <w:r w:rsidRPr="00202EB9">
        <w:rPr>
          <w:lang w:val="fr-FR"/>
        </w:rPr>
        <w:t>socioéconomique</w:t>
      </w:r>
      <w:proofErr w:type="spellEnd"/>
      <w:r w:rsidRPr="00202EB9">
        <w:rPr>
          <w:lang w:val="fr-FR"/>
        </w:rPr>
        <w:t xml:space="preserve"> des pays bénéficiaires.  Les pays bénéficiaires devraient assurer un degré de coordination élevé entre leurs divers organismes afin de faciliter la mise en œuvre et la viabilité à long terme des projets.</w:t>
      </w:r>
    </w:p>
    <w:p w:rsidR="00202EB9" w:rsidRPr="00202EB9" w:rsidRDefault="00202EB9" w:rsidP="00202EB9">
      <w:pPr>
        <w:pStyle w:val="ONUMFS"/>
        <w:numPr>
          <w:ilvl w:val="0"/>
          <w:numId w:val="0"/>
        </w:numPr>
        <w:rPr>
          <w:b/>
          <w:lang w:val="fr-FR"/>
        </w:rPr>
      </w:pPr>
      <w:r w:rsidRPr="00202EB9">
        <w:rPr>
          <w:b/>
          <w:lang w:val="fr-FR"/>
        </w:rPr>
        <w:t>Recommandation 10 :</w:t>
      </w:r>
    </w:p>
    <w:p w:rsidR="00202EB9" w:rsidRPr="00202EB9" w:rsidRDefault="00202EB9" w:rsidP="00202EB9">
      <w:pPr>
        <w:pStyle w:val="ONUMFS"/>
        <w:rPr>
          <w:lang w:val="fr-FR"/>
        </w:rPr>
      </w:pPr>
      <w:r w:rsidRPr="00202EB9">
        <w:rPr>
          <w:lang w:val="fr-FR"/>
        </w:rPr>
        <w:t>Les rapports d’étape soumis par le Secrétariat au </w:t>
      </w:r>
      <w:proofErr w:type="spellStart"/>
      <w:r w:rsidRPr="00202EB9">
        <w:rPr>
          <w:lang w:val="fr-FR"/>
        </w:rPr>
        <w:t>CDIP</w:t>
      </w:r>
      <w:proofErr w:type="spellEnd"/>
      <w:r w:rsidRPr="00202EB9">
        <w:rPr>
          <w:lang w:val="fr-FR"/>
        </w:rPr>
        <w:t xml:space="preserve"> devraient comprendre des informations sur l’utilisation des ressources humaines et financières relatives aux projets du Plan d’action pour le développement.  Il conviendrait d’éviter d’attribuer de manière simultanée plusieurs projets à un même responsable.</w:t>
      </w:r>
    </w:p>
    <w:p w:rsidR="00202EB9" w:rsidRPr="00202EB9" w:rsidRDefault="00202EB9" w:rsidP="00202EB9">
      <w:pPr>
        <w:pStyle w:val="ONUMFS"/>
        <w:numPr>
          <w:ilvl w:val="0"/>
          <w:numId w:val="0"/>
        </w:numPr>
        <w:rPr>
          <w:b/>
          <w:lang w:val="fr-FR"/>
        </w:rPr>
      </w:pPr>
      <w:r w:rsidRPr="00202EB9">
        <w:rPr>
          <w:b/>
          <w:lang w:val="fr-FR"/>
        </w:rPr>
        <w:t>Recommandation 11 :</w:t>
      </w:r>
    </w:p>
    <w:p w:rsidR="00202EB9" w:rsidRPr="00202EB9" w:rsidRDefault="00202EB9" w:rsidP="00202EB9">
      <w:pPr>
        <w:pStyle w:val="ONUMFS"/>
        <w:rPr>
          <w:lang w:val="fr-FR"/>
        </w:rPr>
      </w:pPr>
      <w:r w:rsidRPr="00202EB9">
        <w:rPr>
          <w:lang w:val="fr-FR"/>
        </w:rPr>
        <w:t>Il conviendrait de mettre en place un mécanisme pour rendre compte des recommandations figurant dans les rapports d’évaluation et des résultats des projets du Plan d’action pour le développement intégrés aux activités ordinaires.  Le processus d’intégration devait être aligné sur les résultats escomptés approuvés.</w:t>
      </w:r>
    </w:p>
    <w:p w:rsidR="00202EB9" w:rsidRPr="00202EB9" w:rsidRDefault="00202EB9" w:rsidP="00202EB9">
      <w:pPr>
        <w:pStyle w:val="ONUMFS"/>
        <w:numPr>
          <w:ilvl w:val="0"/>
          <w:numId w:val="0"/>
        </w:numPr>
        <w:rPr>
          <w:b/>
          <w:lang w:val="fr-FR"/>
        </w:rPr>
      </w:pPr>
      <w:r w:rsidRPr="00202EB9">
        <w:rPr>
          <w:b/>
          <w:lang w:val="fr-FR"/>
        </w:rPr>
        <w:t>Recommandation 12 :</w:t>
      </w:r>
    </w:p>
    <w:p w:rsidR="00202EB9" w:rsidRPr="00202EB9" w:rsidRDefault="00202EB9" w:rsidP="00202EB9">
      <w:pPr>
        <w:pStyle w:val="ONUMFS"/>
        <w:rPr>
          <w:lang w:val="fr-FR"/>
        </w:rPr>
      </w:pPr>
      <w:r w:rsidRPr="00202EB9">
        <w:rPr>
          <w:lang w:val="fr-FR"/>
        </w:rPr>
        <w:t>Les États membres et le Secrétariat devaient examiner les moyens de mieux diffuser l’information relative au Plan d’action pour le développement et à sa mise en œuvre.</w:t>
      </w:r>
    </w:p>
    <w:p w:rsidR="00202EB9" w:rsidRDefault="00202EB9" w:rsidP="00202EB9">
      <w:pPr>
        <w:jc w:val="both"/>
        <w:rPr>
          <w:rFonts w:cs="Arial"/>
          <w:lang w:val="fr-FR"/>
        </w:rPr>
      </w:pPr>
    </w:p>
    <w:p w:rsidR="00202EB9" w:rsidRPr="00202EB9" w:rsidRDefault="00202EB9" w:rsidP="00202EB9">
      <w:pPr>
        <w:jc w:val="both"/>
        <w:rPr>
          <w:rFonts w:cs="Arial"/>
          <w:lang w:val="fr-FR"/>
        </w:rPr>
      </w:pPr>
    </w:p>
    <w:p w:rsidR="00202EB9" w:rsidRPr="00202EB9" w:rsidRDefault="00202EB9" w:rsidP="00202EB9">
      <w:pPr>
        <w:pStyle w:val="Endofdocument-Annex"/>
        <w:rPr>
          <w:lang w:val="fr-FR"/>
        </w:rPr>
      </w:pPr>
      <w:r w:rsidRPr="00202EB9">
        <w:rPr>
          <w:lang w:val="fr-FR"/>
        </w:rPr>
        <w:t>[Les annexes suivent]</w:t>
      </w:r>
    </w:p>
    <w:sectPr w:rsidR="00202EB9" w:rsidRPr="00202EB9" w:rsidSect="00C54E5A">
      <w:headerReference w:type="default" r:id="rId16"/>
      <w:headerReference w:type="first" r:id="rId17"/>
      <w:pgSz w:w="11900" w:h="16840"/>
      <w:pgMar w:top="567" w:right="1134" w:bottom="1417" w:left="1417" w:header="510" w:footer="10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93" w:rsidRDefault="008D1193" w:rsidP="00A2415C">
      <w:r>
        <w:separator/>
      </w:r>
    </w:p>
  </w:endnote>
  <w:endnote w:type="continuationSeparator" w:id="0">
    <w:p w:rsidR="008D1193" w:rsidRDefault="008D1193" w:rsidP="00A2415C">
      <w:r>
        <w:continuationSeparator/>
      </w:r>
    </w:p>
  </w:endnote>
  <w:endnote w:type="continuationNotice" w:id="1">
    <w:p w:rsidR="008D1193" w:rsidRDefault="008D1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93" w:rsidRDefault="008D11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93" w:rsidRDefault="008D11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93" w:rsidRDefault="008D1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93" w:rsidRDefault="008D1193" w:rsidP="00A2415C">
      <w:r>
        <w:separator/>
      </w:r>
    </w:p>
  </w:footnote>
  <w:footnote w:type="continuationSeparator" w:id="0">
    <w:p w:rsidR="008D1193" w:rsidRDefault="008D1193" w:rsidP="00A2415C">
      <w:r>
        <w:continuationSeparator/>
      </w:r>
    </w:p>
  </w:footnote>
  <w:footnote w:type="continuationNotice" w:id="1">
    <w:p w:rsidR="008D1193" w:rsidRDefault="008D1193"/>
  </w:footnote>
  <w:footnote w:id="2">
    <w:p w:rsidR="008D1193" w:rsidRPr="001E787E" w:rsidRDefault="008D1193" w:rsidP="001E787E">
      <w:pPr>
        <w:pStyle w:val="FootnoteText"/>
        <w:tabs>
          <w:tab w:val="left" w:pos="567"/>
        </w:tabs>
        <w:rPr>
          <w:sz w:val="18"/>
          <w:szCs w:val="18"/>
          <w:lang w:val="fr-CH"/>
        </w:rPr>
      </w:pPr>
      <w:r w:rsidRPr="001E787E">
        <w:rPr>
          <w:rStyle w:val="FootnoteReference"/>
          <w:rFonts w:cs="Arial"/>
          <w:sz w:val="18"/>
          <w:szCs w:val="18"/>
          <w:lang w:val="fr-CH"/>
        </w:rPr>
        <w:footnoteRef/>
      </w:r>
      <w:r w:rsidRPr="001E787E">
        <w:rPr>
          <w:rFonts w:cs="Arial"/>
          <w:sz w:val="18"/>
          <w:szCs w:val="18"/>
          <w:lang w:val="fr-CH"/>
        </w:rPr>
        <w:t xml:space="preserve"> </w:t>
      </w:r>
      <w:r>
        <w:rPr>
          <w:rFonts w:cs="Arial"/>
          <w:sz w:val="18"/>
          <w:szCs w:val="18"/>
          <w:lang w:val="fr-CH"/>
        </w:rPr>
        <w:tab/>
      </w:r>
      <w:r w:rsidRPr="001E787E">
        <w:rPr>
          <w:rFonts w:cs="Arial"/>
          <w:sz w:val="18"/>
          <w:szCs w:val="18"/>
          <w:lang w:val="fr-CH"/>
        </w:rPr>
        <w:t>M. </w:t>
      </w:r>
      <w:proofErr w:type="spellStart"/>
      <w:r w:rsidRPr="001E787E">
        <w:rPr>
          <w:rFonts w:cs="Arial"/>
          <w:sz w:val="18"/>
          <w:szCs w:val="18"/>
          <w:lang w:val="fr-CH"/>
        </w:rPr>
        <w:t>V.K</w:t>
      </w:r>
      <w:proofErr w:type="spellEnd"/>
      <w:r w:rsidRPr="001E787E">
        <w:rPr>
          <w:rFonts w:cs="Arial"/>
          <w:sz w:val="18"/>
          <w:szCs w:val="18"/>
          <w:lang w:val="fr-CH"/>
        </w:rPr>
        <w:t>. Gupta, évaluateur principal, M. Pedro </w:t>
      </w:r>
      <w:proofErr w:type="spellStart"/>
      <w:r w:rsidRPr="001E787E">
        <w:rPr>
          <w:rFonts w:cs="Arial"/>
          <w:sz w:val="18"/>
          <w:szCs w:val="18"/>
          <w:lang w:val="fr-CH"/>
        </w:rPr>
        <w:t>Roffe</w:t>
      </w:r>
      <w:proofErr w:type="spellEnd"/>
      <w:r w:rsidRPr="001E787E">
        <w:rPr>
          <w:rFonts w:cs="Arial"/>
          <w:sz w:val="18"/>
          <w:szCs w:val="18"/>
          <w:lang w:val="fr-CH"/>
        </w:rPr>
        <w:t>, expert en propriété intellectuelle et développement, et M. Gift Huggins </w:t>
      </w:r>
      <w:proofErr w:type="spellStart"/>
      <w:r w:rsidRPr="001E787E">
        <w:rPr>
          <w:rFonts w:cs="Arial"/>
          <w:sz w:val="18"/>
          <w:szCs w:val="18"/>
          <w:lang w:val="fr-CH"/>
        </w:rPr>
        <w:t>Sibanda</w:t>
      </w:r>
      <w:proofErr w:type="spellEnd"/>
      <w:r w:rsidRPr="001E787E">
        <w:rPr>
          <w:rFonts w:cs="Arial"/>
          <w:sz w:val="18"/>
          <w:szCs w:val="18"/>
          <w:lang w:val="fr-CH"/>
        </w:rPr>
        <w:t>, expert en propriété intellectuelle et assistance technique.</w:t>
      </w:r>
    </w:p>
  </w:footnote>
  <w:footnote w:id="3">
    <w:p w:rsidR="008D1193" w:rsidRPr="001E787E" w:rsidRDefault="008D1193" w:rsidP="001E787E">
      <w:pPr>
        <w:pStyle w:val="FootnoteText"/>
        <w:tabs>
          <w:tab w:val="left" w:pos="567"/>
        </w:tabs>
        <w:jc w:val="both"/>
        <w:rPr>
          <w:rFonts w:cs="Arial"/>
          <w:sz w:val="18"/>
          <w:szCs w:val="18"/>
          <w:lang w:val="fr-CH"/>
        </w:rPr>
      </w:pPr>
      <w:r w:rsidRPr="001E787E">
        <w:rPr>
          <w:rStyle w:val="FootnoteReference"/>
          <w:rFonts w:cs="Arial"/>
          <w:sz w:val="18"/>
          <w:szCs w:val="18"/>
          <w:lang w:val="fr-CH"/>
        </w:rPr>
        <w:footnoteRef/>
      </w:r>
      <w:r>
        <w:rPr>
          <w:rFonts w:cs="Arial"/>
          <w:sz w:val="18"/>
          <w:szCs w:val="18"/>
          <w:lang w:val="fr-CH"/>
        </w:rPr>
        <w:t xml:space="preserve"> </w:t>
      </w:r>
      <w:r>
        <w:rPr>
          <w:rFonts w:cs="Arial"/>
          <w:sz w:val="18"/>
          <w:szCs w:val="18"/>
          <w:lang w:val="fr-CH"/>
        </w:rPr>
        <w:tab/>
      </w:r>
      <w:r w:rsidRPr="001E787E">
        <w:rPr>
          <w:rFonts w:cs="Arial"/>
          <w:sz w:val="18"/>
          <w:szCs w:val="18"/>
          <w:lang w:val="fr-CH"/>
        </w:rPr>
        <w:t xml:space="preserve">Voir </w:t>
      </w:r>
      <w:hyperlink r:id="rId1" w:history="1">
        <w:r w:rsidRPr="001E787E">
          <w:rPr>
            <w:rStyle w:val="Hyperlink"/>
            <w:rFonts w:cs="Arial"/>
            <w:sz w:val="18"/>
            <w:szCs w:val="18"/>
            <w:lang w:val="fr-CH"/>
          </w:rPr>
          <w:t>http://www.wipo.int/ip-development/fr/agenda/index.html</w:t>
        </w:r>
      </w:hyperlink>
      <w:r w:rsidRPr="001E787E">
        <w:rPr>
          <w:rStyle w:val="Hyperlink"/>
          <w:rFonts w:cs="Arial"/>
          <w:sz w:val="18"/>
          <w:szCs w:val="18"/>
          <w:u w:val="none"/>
          <w:lang w:val="fr-CH"/>
        </w:rPr>
        <w:t xml:space="preserve">.  </w:t>
      </w:r>
      <w:r w:rsidRPr="001E787E">
        <w:rPr>
          <w:rStyle w:val="Hyperlink"/>
          <w:rFonts w:cs="Arial"/>
          <w:color w:val="auto"/>
          <w:sz w:val="18"/>
          <w:szCs w:val="18"/>
          <w:u w:val="none"/>
          <w:lang w:val="fr-CH"/>
        </w:rPr>
        <w:t>Voir également le rapport initial, à l’annexe A.</w:t>
      </w:r>
    </w:p>
  </w:footnote>
  <w:footnote w:id="4">
    <w:p w:rsidR="008D1193" w:rsidRPr="001E787E" w:rsidRDefault="008D1193" w:rsidP="001E787E">
      <w:pPr>
        <w:pStyle w:val="FootnoteText"/>
        <w:tabs>
          <w:tab w:val="left" w:pos="567"/>
        </w:tabs>
        <w:rPr>
          <w:sz w:val="18"/>
          <w:szCs w:val="18"/>
          <w:lang w:val="fr-CH"/>
        </w:rPr>
      </w:pPr>
      <w:r w:rsidRPr="001E787E">
        <w:rPr>
          <w:rStyle w:val="FootnoteReference"/>
          <w:rFonts w:cs="Arial"/>
          <w:sz w:val="18"/>
          <w:szCs w:val="18"/>
          <w:lang w:val="fr-CH"/>
        </w:rPr>
        <w:footnoteRef/>
      </w:r>
      <w:r w:rsidRPr="001E787E">
        <w:rPr>
          <w:rFonts w:cs="Arial"/>
          <w:sz w:val="18"/>
          <w:szCs w:val="18"/>
          <w:lang w:val="fr-CH"/>
        </w:rPr>
        <w:t xml:space="preserve"> </w:t>
      </w:r>
      <w:r>
        <w:rPr>
          <w:rFonts w:cs="Arial"/>
          <w:sz w:val="18"/>
          <w:szCs w:val="18"/>
          <w:lang w:val="fr-CH"/>
        </w:rPr>
        <w:tab/>
      </w:r>
      <w:r w:rsidRPr="001E787E">
        <w:rPr>
          <w:rFonts w:cs="Arial"/>
          <w:sz w:val="18"/>
          <w:szCs w:val="18"/>
          <w:lang w:val="fr-CH"/>
        </w:rPr>
        <w:t>Au moment de l’élaboration du présent rapport, le comité avait tenu 17 sessions.</w:t>
      </w:r>
    </w:p>
  </w:footnote>
  <w:footnote w:id="5">
    <w:p w:rsidR="008D1193" w:rsidRPr="001E787E" w:rsidRDefault="008D1193" w:rsidP="001E787E">
      <w:pPr>
        <w:pStyle w:val="FootnoteText"/>
        <w:tabs>
          <w:tab w:val="left" w:pos="567"/>
        </w:tabs>
        <w:rPr>
          <w:sz w:val="18"/>
          <w:szCs w:val="18"/>
          <w:lang w:val="fr-CH"/>
        </w:rPr>
      </w:pPr>
      <w:r w:rsidRPr="001E787E">
        <w:rPr>
          <w:rStyle w:val="FootnoteReference"/>
          <w:sz w:val="18"/>
          <w:szCs w:val="18"/>
          <w:lang w:val="fr-CH"/>
        </w:rPr>
        <w:footnoteRef/>
      </w:r>
      <w:r w:rsidRPr="001E787E">
        <w:rPr>
          <w:rFonts w:cs="Arial"/>
          <w:sz w:val="18"/>
          <w:szCs w:val="18"/>
          <w:lang w:val="fr-CH"/>
        </w:rPr>
        <w:t xml:space="preserve"> </w:t>
      </w:r>
      <w:r>
        <w:rPr>
          <w:rFonts w:cs="Arial"/>
          <w:sz w:val="18"/>
          <w:szCs w:val="18"/>
          <w:lang w:val="fr-CH"/>
        </w:rPr>
        <w:tab/>
      </w:r>
      <w:r w:rsidRPr="001E787E">
        <w:rPr>
          <w:rFonts w:cs="Arial"/>
          <w:sz w:val="18"/>
          <w:szCs w:val="18"/>
          <w:lang w:val="fr-CH"/>
        </w:rPr>
        <w:t>Voir le document</w:t>
      </w:r>
      <w:r>
        <w:rPr>
          <w:rFonts w:cs="Arial"/>
          <w:sz w:val="18"/>
          <w:szCs w:val="18"/>
          <w:lang w:val="fr-CH"/>
        </w:rPr>
        <w:t xml:space="preserve"> </w:t>
      </w:r>
      <w:proofErr w:type="spellStart"/>
      <w:r w:rsidRPr="001E787E">
        <w:rPr>
          <w:rFonts w:cs="Arial"/>
          <w:sz w:val="18"/>
          <w:szCs w:val="18"/>
          <w:lang w:val="fr-CH"/>
        </w:rPr>
        <w:t>CDIP</w:t>
      </w:r>
      <w:proofErr w:type="spellEnd"/>
      <w:r w:rsidRPr="001E787E">
        <w:rPr>
          <w:rFonts w:cs="Arial"/>
          <w:sz w:val="18"/>
          <w:szCs w:val="18"/>
          <w:lang w:val="fr-CH"/>
        </w:rPr>
        <w:t xml:space="preserve">/1/2 sur les questions de procédure et d’organisation, à l’adresse </w:t>
      </w:r>
      <w:hyperlink r:id="rId2" w:history="1">
        <w:r w:rsidRPr="001E787E">
          <w:rPr>
            <w:rStyle w:val="Hyperlink"/>
            <w:rFonts w:cs="Arial"/>
            <w:sz w:val="18"/>
            <w:szCs w:val="18"/>
            <w:lang w:val="fr-CH"/>
          </w:rPr>
          <w:t>http://www.wipo.int/meetings/fr/doc_details.jsp?doc_id=92232</w:t>
        </w:r>
      </w:hyperlink>
    </w:p>
  </w:footnote>
  <w:footnote w:id="6">
    <w:p w:rsidR="008D1193" w:rsidRPr="001E787E" w:rsidRDefault="008D1193" w:rsidP="001E787E">
      <w:pPr>
        <w:pStyle w:val="FootnoteText"/>
        <w:tabs>
          <w:tab w:val="left" w:pos="567"/>
        </w:tabs>
        <w:rPr>
          <w:sz w:val="18"/>
          <w:szCs w:val="18"/>
          <w:lang w:val="fr-CH"/>
        </w:rPr>
      </w:pPr>
      <w:r w:rsidRPr="001E787E">
        <w:rPr>
          <w:rStyle w:val="FootnoteReference"/>
          <w:sz w:val="18"/>
          <w:szCs w:val="18"/>
          <w:lang w:val="fr-CH"/>
        </w:rPr>
        <w:footnoteRef/>
      </w:r>
      <w:r w:rsidRPr="001E787E">
        <w:rPr>
          <w:rFonts w:cs="Arial"/>
          <w:sz w:val="18"/>
          <w:szCs w:val="18"/>
          <w:lang w:val="fr-CH"/>
        </w:rPr>
        <w:t xml:space="preserve"> </w:t>
      </w:r>
      <w:r>
        <w:rPr>
          <w:rFonts w:cs="Arial"/>
          <w:sz w:val="18"/>
          <w:szCs w:val="18"/>
          <w:lang w:val="fr-CH"/>
        </w:rPr>
        <w:tab/>
      </w:r>
      <w:r w:rsidRPr="001E787E">
        <w:rPr>
          <w:rFonts w:cs="Arial"/>
          <w:sz w:val="18"/>
          <w:szCs w:val="18"/>
          <w:lang w:val="fr-CH"/>
        </w:rPr>
        <w:t xml:space="preserve">Voir le document </w:t>
      </w:r>
      <w:proofErr w:type="spellStart"/>
      <w:r w:rsidRPr="001E787E">
        <w:rPr>
          <w:rFonts w:cs="Arial"/>
          <w:sz w:val="18"/>
          <w:szCs w:val="18"/>
          <w:lang w:val="fr-CH"/>
        </w:rPr>
        <w:t>CDIP</w:t>
      </w:r>
      <w:proofErr w:type="spellEnd"/>
      <w:r w:rsidRPr="001E787E">
        <w:rPr>
          <w:rFonts w:cs="Arial"/>
          <w:sz w:val="18"/>
          <w:szCs w:val="18"/>
          <w:lang w:val="fr-CH"/>
        </w:rPr>
        <w:t>/1/3 intitulé “Document de travail initial à l’intention du comité de développement et de la propriété intellectuelle (</w:t>
      </w:r>
      <w:proofErr w:type="spellStart"/>
      <w:r w:rsidRPr="001E787E">
        <w:rPr>
          <w:rFonts w:cs="Arial"/>
          <w:sz w:val="18"/>
          <w:szCs w:val="18"/>
          <w:lang w:val="fr-CH"/>
        </w:rPr>
        <w:t>CDIP</w:t>
      </w:r>
      <w:proofErr w:type="spellEnd"/>
      <w:r w:rsidRPr="001E787E">
        <w:rPr>
          <w:rFonts w:cs="Arial"/>
          <w:sz w:val="18"/>
          <w:szCs w:val="18"/>
          <w:lang w:val="fr-CH"/>
        </w:rPr>
        <w:t xml:space="preserve">)”, à l’adresse </w:t>
      </w:r>
      <w:hyperlink r:id="rId3" w:history="1">
        <w:r w:rsidRPr="001E787E">
          <w:rPr>
            <w:rStyle w:val="Hyperlink"/>
            <w:rFonts w:cs="Arial"/>
            <w:sz w:val="18"/>
            <w:szCs w:val="18"/>
            <w:lang w:val="fr-CH"/>
          </w:rPr>
          <w:t>http://www.wipo.int/meetings/fr/doc_details.jsp?doc_id=92813</w:t>
        </w:r>
      </w:hyperlink>
    </w:p>
  </w:footnote>
  <w:footnote w:id="7">
    <w:p w:rsidR="008D1193" w:rsidRPr="001E787E" w:rsidRDefault="008D1193" w:rsidP="001E787E">
      <w:pPr>
        <w:pStyle w:val="FootnoteText"/>
        <w:tabs>
          <w:tab w:val="left" w:pos="567"/>
        </w:tabs>
        <w:rPr>
          <w:sz w:val="18"/>
          <w:szCs w:val="18"/>
          <w:lang w:val="fr-CH"/>
        </w:rPr>
      </w:pPr>
      <w:r w:rsidRPr="001E787E">
        <w:rPr>
          <w:rStyle w:val="FootnoteReference"/>
          <w:rFonts w:cs="Arial"/>
          <w:sz w:val="18"/>
          <w:szCs w:val="18"/>
          <w:lang w:val="fr-CH"/>
        </w:rPr>
        <w:footnoteRef/>
      </w:r>
      <w:r w:rsidRPr="001E787E">
        <w:rPr>
          <w:rFonts w:cs="Arial"/>
          <w:sz w:val="18"/>
          <w:szCs w:val="18"/>
          <w:lang w:val="fr-CH"/>
        </w:rPr>
        <w:t xml:space="preserve"> </w:t>
      </w:r>
      <w:r>
        <w:rPr>
          <w:rFonts w:cs="Arial"/>
          <w:sz w:val="18"/>
          <w:szCs w:val="18"/>
          <w:lang w:val="fr-CH"/>
        </w:rPr>
        <w:tab/>
      </w:r>
      <w:r w:rsidRPr="001E787E">
        <w:rPr>
          <w:rFonts w:cs="Arial"/>
          <w:sz w:val="18"/>
          <w:szCs w:val="18"/>
          <w:lang w:val="fr-CH"/>
        </w:rPr>
        <w:t xml:space="preserve">Voir </w:t>
      </w:r>
      <w:hyperlink r:id="rId4" w:history="1">
        <w:r w:rsidRPr="001E787E">
          <w:rPr>
            <w:rStyle w:val="Hyperlink"/>
            <w:rFonts w:cs="Arial"/>
            <w:sz w:val="18"/>
            <w:szCs w:val="18"/>
            <w:lang w:val="fr-CH"/>
          </w:rPr>
          <w:t>http://www.wipo.int/ip-development/fr/agenda/coordination_mechanisms.html</w:t>
        </w:r>
      </w:hyperlink>
    </w:p>
  </w:footnote>
  <w:footnote w:id="8">
    <w:p w:rsidR="008D1193" w:rsidRPr="001E787E" w:rsidRDefault="008D1193" w:rsidP="001E787E">
      <w:pPr>
        <w:pStyle w:val="FootnoteText"/>
        <w:tabs>
          <w:tab w:val="left" w:pos="567"/>
        </w:tabs>
        <w:rPr>
          <w:rFonts w:cs="Arial"/>
          <w:sz w:val="18"/>
          <w:szCs w:val="18"/>
          <w:lang w:val="fr-CH"/>
        </w:rPr>
      </w:pPr>
      <w:r w:rsidRPr="001E787E">
        <w:rPr>
          <w:rStyle w:val="FootnoteReference"/>
          <w:rFonts w:cs="Arial"/>
          <w:sz w:val="18"/>
          <w:szCs w:val="18"/>
          <w:lang w:val="fr-CH"/>
        </w:rPr>
        <w:footnoteRef/>
      </w:r>
      <w:r w:rsidRPr="001E787E">
        <w:rPr>
          <w:rFonts w:cs="Arial"/>
          <w:sz w:val="18"/>
          <w:szCs w:val="18"/>
          <w:lang w:val="fr-CH"/>
        </w:rPr>
        <w:t xml:space="preserve"> </w:t>
      </w:r>
      <w:r>
        <w:rPr>
          <w:rFonts w:cs="Arial"/>
          <w:sz w:val="18"/>
          <w:szCs w:val="18"/>
          <w:lang w:val="fr-CH"/>
        </w:rPr>
        <w:tab/>
      </w:r>
      <w:r w:rsidRPr="001E787E">
        <w:rPr>
          <w:rFonts w:cs="Arial"/>
          <w:sz w:val="18"/>
          <w:szCs w:val="18"/>
          <w:lang w:val="fr-CH"/>
        </w:rPr>
        <w:t>Voir l’annexe L du présent rapport.</w:t>
      </w:r>
    </w:p>
  </w:footnote>
  <w:footnote w:id="9">
    <w:p w:rsidR="008D1193" w:rsidRPr="001E787E" w:rsidRDefault="008D1193" w:rsidP="001E787E">
      <w:pPr>
        <w:pStyle w:val="FootnoteText"/>
        <w:tabs>
          <w:tab w:val="left" w:pos="567"/>
        </w:tabs>
        <w:rPr>
          <w:rFonts w:cs="Times New Roman"/>
          <w:sz w:val="18"/>
          <w:szCs w:val="18"/>
          <w:lang w:val="fr-CH"/>
        </w:rPr>
      </w:pPr>
      <w:r w:rsidRPr="001E787E">
        <w:rPr>
          <w:rFonts w:cs="Arial"/>
          <w:sz w:val="18"/>
          <w:szCs w:val="18"/>
          <w:vertAlign w:val="superscript"/>
          <w:lang w:val="fr-CH"/>
        </w:rPr>
        <w:footnoteRef/>
      </w:r>
      <w:r w:rsidRPr="001E787E">
        <w:rPr>
          <w:rFonts w:cs="Arial"/>
          <w:sz w:val="18"/>
          <w:szCs w:val="18"/>
          <w:lang w:val="fr-CH"/>
        </w:rPr>
        <w:t xml:space="preserve"> </w:t>
      </w:r>
      <w:r>
        <w:rPr>
          <w:rFonts w:cs="Arial"/>
          <w:sz w:val="18"/>
          <w:szCs w:val="18"/>
          <w:lang w:val="fr-CH"/>
        </w:rPr>
        <w:tab/>
      </w:r>
      <w:r w:rsidRPr="001E787E">
        <w:rPr>
          <w:rFonts w:cs="Arial"/>
          <w:sz w:val="18"/>
          <w:szCs w:val="18"/>
          <w:lang w:val="fr-CH"/>
        </w:rPr>
        <w:t>L’équipe chargée de l’étude se compose de M. </w:t>
      </w:r>
      <w:proofErr w:type="spellStart"/>
      <w:r w:rsidRPr="001E787E">
        <w:rPr>
          <w:rFonts w:cs="Arial"/>
          <w:sz w:val="18"/>
          <w:szCs w:val="18"/>
          <w:lang w:val="fr-CH"/>
        </w:rPr>
        <w:t>V.K</w:t>
      </w:r>
      <w:proofErr w:type="spellEnd"/>
      <w:r w:rsidRPr="001E787E">
        <w:rPr>
          <w:rFonts w:cs="Arial"/>
          <w:sz w:val="18"/>
          <w:szCs w:val="18"/>
          <w:lang w:val="fr-CH"/>
        </w:rPr>
        <w:t>. Gupta, évaluateur principal, M. Pedro </w:t>
      </w:r>
      <w:proofErr w:type="spellStart"/>
      <w:r w:rsidRPr="001E787E">
        <w:rPr>
          <w:rFonts w:cs="Arial"/>
          <w:sz w:val="18"/>
          <w:szCs w:val="18"/>
          <w:lang w:val="fr-CH"/>
        </w:rPr>
        <w:t>Roffe</w:t>
      </w:r>
      <w:proofErr w:type="spellEnd"/>
      <w:r w:rsidRPr="001E787E">
        <w:rPr>
          <w:rFonts w:cs="Arial"/>
          <w:sz w:val="18"/>
          <w:szCs w:val="18"/>
          <w:lang w:val="fr-CH"/>
        </w:rPr>
        <w:t>, expert en matière de développement et M. Gift </w:t>
      </w:r>
      <w:proofErr w:type="spellStart"/>
      <w:r w:rsidRPr="001E787E">
        <w:rPr>
          <w:rFonts w:cs="Arial"/>
          <w:sz w:val="18"/>
          <w:szCs w:val="18"/>
          <w:lang w:val="fr-CH"/>
        </w:rPr>
        <w:t>Sibanda</w:t>
      </w:r>
      <w:proofErr w:type="spellEnd"/>
      <w:r w:rsidRPr="001E787E">
        <w:rPr>
          <w:rFonts w:cs="Arial"/>
          <w:sz w:val="18"/>
          <w:szCs w:val="18"/>
          <w:lang w:val="fr-CH"/>
        </w:rPr>
        <w:t xml:space="preserve">, expert en matière d’assistance technique.  Pour consulter une brève biographie de ces experts, voir </w:t>
      </w:r>
      <w:hyperlink r:id="rId5" w:history="1">
        <w:r w:rsidRPr="001E787E">
          <w:rPr>
            <w:rStyle w:val="Hyperlink"/>
            <w:rFonts w:cs="Arial"/>
            <w:sz w:val="18"/>
            <w:szCs w:val="18"/>
            <w:lang w:val="fr-CH"/>
          </w:rPr>
          <w:t>http://www.wipo.int/ip-development/fr/agenda/news/2015/news_0003.html</w:t>
        </w:r>
      </w:hyperlink>
    </w:p>
  </w:footnote>
  <w:footnote w:id="10">
    <w:p w:rsidR="008D1193" w:rsidRPr="001E787E" w:rsidRDefault="008D1193" w:rsidP="001E787E">
      <w:pPr>
        <w:pStyle w:val="FootnoteText"/>
        <w:tabs>
          <w:tab w:val="left" w:pos="567"/>
        </w:tabs>
        <w:rPr>
          <w:rFonts w:cs="Arial"/>
          <w:sz w:val="18"/>
          <w:szCs w:val="18"/>
          <w:lang w:val="fr-CH"/>
        </w:rPr>
      </w:pPr>
      <w:r w:rsidRPr="001E787E">
        <w:rPr>
          <w:rStyle w:val="FootnoteReference"/>
          <w:rFonts w:cs="Arial"/>
          <w:sz w:val="18"/>
          <w:szCs w:val="18"/>
          <w:lang w:val="fr-CH"/>
        </w:rPr>
        <w:footnoteRef/>
      </w:r>
      <w:r w:rsidRPr="001E787E">
        <w:rPr>
          <w:rFonts w:cs="Arial"/>
          <w:sz w:val="18"/>
          <w:szCs w:val="18"/>
          <w:lang w:val="fr-CH"/>
        </w:rPr>
        <w:t xml:space="preserve"> </w:t>
      </w:r>
      <w:r>
        <w:rPr>
          <w:rFonts w:cs="Arial"/>
          <w:sz w:val="18"/>
          <w:szCs w:val="18"/>
          <w:lang w:val="fr-CH"/>
        </w:rPr>
        <w:tab/>
      </w:r>
      <w:r w:rsidRPr="001E787E">
        <w:rPr>
          <w:rFonts w:cs="Arial"/>
          <w:sz w:val="18"/>
          <w:szCs w:val="18"/>
          <w:lang w:val="fr-CH"/>
        </w:rPr>
        <w:t xml:space="preserve">Voir </w:t>
      </w:r>
      <w:hyperlink r:id="rId6" w:history="1">
        <w:r w:rsidRPr="001E787E">
          <w:rPr>
            <w:rStyle w:val="Hyperlink"/>
            <w:rFonts w:cs="Arial"/>
            <w:sz w:val="18"/>
            <w:szCs w:val="18"/>
            <w:lang w:val="fr-CH"/>
          </w:rPr>
          <w:t xml:space="preserve">http://www.wipo.int/export/sites/www/ip </w:t>
        </w:r>
        <w:proofErr w:type="spellStart"/>
        <w:r w:rsidRPr="001E787E">
          <w:rPr>
            <w:rStyle w:val="Hyperlink"/>
            <w:rFonts w:cs="Arial"/>
            <w:sz w:val="18"/>
            <w:szCs w:val="18"/>
            <w:lang w:val="fr-CH"/>
          </w:rPr>
          <w:t>development</w:t>
        </w:r>
        <w:proofErr w:type="spellEnd"/>
        <w:r w:rsidRPr="001E787E">
          <w:rPr>
            <w:rStyle w:val="Hyperlink"/>
            <w:rFonts w:cs="Arial"/>
            <w:sz w:val="18"/>
            <w:szCs w:val="18"/>
            <w:lang w:val="fr-CH"/>
          </w:rPr>
          <w:t>/en/agenda/</w:t>
        </w:r>
        <w:proofErr w:type="spellStart"/>
        <w:r w:rsidRPr="001E787E">
          <w:rPr>
            <w:rStyle w:val="Hyperlink"/>
            <w:rFonts w:cs="Arial"/>
            <w:sz w:val="18"/>
            <w:szCs w:val="18"/>
            <w:lang w:val="fr-CH"/>
          </w:rPr>
          <w:t>pdf</w:t>
        </w:r>
        <w:proofErr w:type="spellEnd"/>
        <w:r w:rsidRPr="001E787E">
          <w:rPr>
            <w:rStyle w:val="Hyperlink"/>
            <w:rFonts w:cs="Arial"/>
            <w:sz w:val="18"/>
            <w:szCs w:val="18"/>
            <w:lang w:val="fr-CH"/>
          </w:rPr>
          <w:t>/inceptionreport06082015.pdf</w:t>
        </w:r>
      </w:hyperlink>
      <w:r w:rsidRPr="001E787E">
        <w:rPr>
          <w:rFonts w:cs="Arial"/>
          <w:sz w:val="18"/>
          <w:szCs w:val="18"/>
          <w:lang w:val="fr-CH"/>
        </w:rPr>
        <w:t xml:space="preserve"> ainsi que l’annexe A du présent rapport.</w:t>
      </w:r>
    </w:p>
  </w:footnote>
  <w:footnote w:id="11">
    <w:p w:rsidR="008D1193" w:rsidRPr="001E787E" w:rsidRDefault="008D1193" w:rsidP="001E787E">
      <w:pPr>
        <w:pStyle w:val="FootnoteText"/>
        <w:tabs>
          <w:tab w:val="left" w:pos="567"/>
        </w:tabs>
        <w:jc w:val="both"/>
        <w:rPr>
          <w:rFonts w:cs="Times New Roman"/>
          <w:sz w:val="18"/>
          <w:szCs w:val="18"/>
          <w:lang w:val="fr-CH"/>
        </w:rPr>
      </w:pPr>
      <w:r w:rsidRPr="001E787E">
        <w:rPr>
          <w:rStyle w:val="FootnoteReference"/>
          <w:rFonts w:cs="Arial"/>
          <w:sz w:val="18"/>
          <w:szCs w:val="18"/>
          <w:lang w:val="fr-CH"/>
        </w:rPr>
        <w:footnoteRef/>
      </w:r>
      <w:r w:rsidRPr="001E787E">
        <w:rPr>
          <w:rFonts w:cs="Arial"/>
          <w:sz w:val="18"/>
          <w:szCs w:val="18"/>
          <w:lang w:val="fr-CH"/>
        </w:rPr>
        <w:t xml:space="preserve"> </w:t>
      </w:r>
      <w:r>
        <w:rPr>
          <w:rFonts w:cs="Arial"/>
          <w:sz w:val="18"/>
          <w:szCs w:val="18"/>
          <w:lang w:val="fr-CH"/>
        </w:rPr>
        <w:tab/>
      </w:r>
      <w:r w:rsidRPr="001E787E">
        <w:rPr>
          <w:rFonts w:cs="Arial"/>
          <w:sz w:val="18"/>
          <w:szCs w:val="18"/>
          <w:lang w:val="fr-CH"/>
        </w:rPr>
        <w:t>La période mentionnée dans le cahier des charges est 2008</w:t>
      </w:r>
      <w:r w:rsidRPr="001E787E">
        <w:rPr>
          <w:rFonts w:cs="Arial"/>
          <w:sz w:val="18"/>
          <w:szCs w:val="18"/>
          <w:lang w:val="fr-CH"/>
        </w:rPr>
        <w:noBreakHyphen/>
        <w:t>2013.  Des consultations avec le Secrétariat ont toutefois conduit à la prolonger, afin d’inclure d’importantes activités menées récemment dans le contexte du </w:t>
      </w:r>
      <w:proofErr w:type="spellStart"/>
      <w:r w:rsidRPr="001E787E">
        <w:rPr>
          <w:rFonts w:cs="Arial"/>
          <w:sz w:val="18"/>
          <w:szCs w:val="18"/>
          <w:lang w:val="fr-CH"/>
        </w:rPr>
        <w:t>CDIP</w:t>
      </w:r>
      <w:proofErr w:type="spellEnd"/>
      <w:r w:rsidRPr="001E787E">
        <w:rPr>
          <w:rFonts w:cs="Arial"/>
          <w:sz w:val="18"/>
          <w:szCs w:val="18"/>
          <w:lang w:val="fr-CH"/>
        </w:rPr>
        <w:t>.</w:t>
      </w:r>
    </w:p>
  </w:footnote>
  <w:footnote w:id="12">
    <w:p w:rsidR="008D1193" w:rsidRPr="001E787E" w:rsidRDefault="008D1193" w:rsidP="001E787E">
      <w:pPr>
        <w:pStyle w:val="FootnoteText"/>
        <w:tabs>
          <w:tab w:val="left" w:pos="567"/>
        </w:tabs>
        <w:rPr>
          <w:rFonts w:cs="Arial"/>
          <w:sz w:val="18"/>
          <w:szCs w:val="18"/>
          <w:lang w:val="fr-CH"/>
        </w:rPr>
      </w:pPr>
      <w:r w:rsidRPr="001E787E">
        <w:rPr>
          <w:rStyle w:val="FootnoteReference"/>
          <w:rFonts w:cs="Arial"/>
          <w:sz w:val="18"/>
          <w:szCs w:val="18"/>
          <w:lang w:val="fr-CH"/>
        </w:rPr>
        <w:footnoteRef/>
      </w:r>
      <w:r w:rsidRPr="001E787E">
        <w:rPr>
          <w:rFonts w:cs="Arial"/>
          <w:sz w:val="18"/>
          <w:szCs w:val="18"/>
          <w:lang w:val="fr-CH"/>
        </w:rPr>
        <w:t xml:space="preserve"> </w:t>
      </w:r>
      <w:r>
        <w:rPr>
          <w:rFonts w:cs="Arial"/>
          <w:sz w:val="18"/>
          <w:szCs w:val="18"/>
          <w:lang w:val="fr-CH"/>
        </w:rPr>
        <w:tab/>
      </w:r>
      <w:r w:rsidRPr="001E787E">
        <w:rPr>
          <w:rFonts w:cs="Arial"/>
          <w:sz w:val="18"/>
          <w:szCs w:val="18"/>
          <w:lang w:val="fr-CH"/>
        </w:rPr>
        <w:t xml:space="preserve">Voir en particulier les débats rapportés dans le document </w:t>
      </w:r>
      <w:proofErr w:type="spellStart"/>
      <w:r w:rsidRPr="001E787E">
        <w:rPr>
          <w:rFonts w:cs="Arial"/>
          <w:sz w:val="18"/>
          <w:szCs w:val="18"/>
          <w:lang w:val="fr-CH"/>
        </w:rPr>
        <w:t>CDIP</w:t>
      </w:r>
      <w:proofErr w:type="spellEnd"/>
      <w:r w:rsidRPr="001E787E">
        <w:rPr>
          <w:rFonts w:cs="Arial"/>
          <w:sz w:val="18"/>
          <w:szCs w:val="18"/>
          <w:lang w:val="fr-CH"/>
        </w:rPr>
        <w:t>/13/13 (session tenue du 19 au 23 mai 2014).</w:t>
      </w:r>
    </w:p>
  </w:footnote>
  <w:footnote w:id="13">
    <w:p w:rsidR="008D1193" w:rsidRPr="001E787E" w:rsidRDefault="008D1193" w:rsidP="001E787E">
      <w:pPr>
        <w:tabs>
          <w:tab w:val="left" w:pos="567"/>
        </w:tabs>
        <w:rPr>
          <w:rFonts w:cs="Arial"/>
          <w:sz w:val="18"/>
          <w:szCs w:val="18"/>
          <w:lang w:val="fr-CH"/>
        </w:rPr>
      </w:pPr>
      <w:r w:rsidRPr="001E787E">
        <w:rPr>
          <w:rStyle w:val="FootnoteReference"/>
          <w:rFonts w:cs="Arial"/>
          <w:sz w:val="18"/>
          <w:szCs w:val="18"/>
          <w:lang w:val="fr-CH"/>
        </w:rPr>
        <w:footnoteRef/>
      </w:r>
      <w:r w:rsidRPr="001E787E">
        <w:rPr>
          <w:rFonts w:cs="Arial"/>
          <w:sz w:val="18"/>
          <w:szCs w:val="18"/>
          <w:lang w:val="fr-CH"/>
        </w:rPr>
        <w:t xml:space="preserve"> </w:t>
      </w:r>
      <w:r>
        <w:rPr>
          <w:rFonts w:cs="Arial"/>
          <w:sz w:val="18"/>
          <w:szCs w:val="18"/>
          <w:lang w:val="fr-CH"/>
        </w:rPr>
        <w:tab/>
      </w:r>
      <w:r w:rsidRPr="001E787E">
        <w:rPr>
          <w:rFonts w:cs="Arial"/>
          <w:sz w:val="18"/>
          <w:szCs w:val="18"/>
          <w:lang w:val="fr-CH"/>
        </w:rPr>
        <w:t>Voir les annexes A</w:t>
      </w:r>
      <w:r w:rsidRPr="001E787E">
        <w:rPr>
          <w:sz w:val="18"/>
          <w:szCs w:val="18"/>
          <w:lang w:val="fr-CH"/>
        </w:rPr>
        <w:t xml:space="preserve">, </w:t>
      </w:r>
      <w:r w:rsidRPr="001E787E">
        <w:rPr>
          <w:rFonts w:cs="Arial"/>
          <w:sz w:val="18"/>
          <w:szCs w:val="18"/>
          <w:lang w:val="fr-CH"/>
        </w:rPr>
        <w:t>I et J.</w:t>
      </w:r>
    </w:p>
  </w:footnote>
  <w:footnote w:id="14">
    <w:p w:rsidR="008D1193" w:rsidRPr="001E787E" w:rsidRDefault="008D1193" w:rsidP="001E787E">
      <w:pPr>
        <w:pStyle w:val="FootnoteText"/>
        <w:tabs>
          <w:tab w:val="left" w:pos="567"/>
        </w:tabs>
        <w:rPr>
          <w:rFonts w:cs="Arial"/>
          <w:sz w:val="18"/>
          <w:szCs w:val="18"/>
          <w:lang w:val="fr-CH"/>
        </w:rPr>
      </w:pPr>
      <w:r w:rsidRPr="001E787E">
        <w:rPr>
          <w:rStyle w:val="FootnoteReference"/>
          <w:rFonts w:cs="Arial"/>
          <w:sz w:val="18"/>
          <w:szCs w:val="18"/>
          <w:lang w:val="fr-CH"/>
        </w:rPr>
        <w:footnoteRef/>
      </w:r>
      <w:r w:rsidRPr="001E787E">
        <w:rPr>
          <w:rFonts w:cs="Arial"/>
          <w:sz w:val="18"/>
          <w:szCs w:val="18"/>
          <w:lang w:val="fr-CH"/>
        </w:rPr>
        <w:t xml:space="preserve"> </w:t>
      </w:r>
      <w:r>
        <w:rPr>
          <w:rFonts w:cs="Arial"/>
          <w:sz w:val="18"/>
          <w:szCs w:val="18"/>
          <w:lang w:val="fr-CH"/>
        </w:rPr>
        <w:tab/>
      </w:r>
      <w:r w:rsidRPr="001E787E">
        <w:rPr>
          <w:rFonts w:cs="Arial"/>
          <w:sz w:val="18"/>
          <w:szCs w:val="18"/>
          <w:lang w:val="fr-CH"/>
        </w:rPr>
        <w:t>Pour plus de détails, voir “Méthodologie”.</w:t>
      </w:r>
    </w:p>
  </w:footnote>
  <w:footnote w:id="15">
    <w:p w:rsidR="008D1193" w:rsidRPr="001E787E" w:rsidRDefault="008D1193" w:rsidP="001E787E">
      <w:pPr>
        <w:pStyle w:val="FootnoteText"/>
        <w:tabs>
          <w:tab w:val="left" w:pos="567"/>
        </w:tabs>
        <w:rPr>
          <w:sz w:val="18"/>
          <w:szCs w:val="18"/>
          <w:lang w:val="fr-CH"/>
        </w:rPr>
      </w:pPr>
      <w:r w:rsidRPr="001E787E">
        <w:rPr>
          <w:rStyle w:val="FootnoteReference"/>
          <w:rFonts w:cs="Arial"/>
          <w:sz w:val="18"/>
          <w:szCs w:val="18"/>
          <w:lang w:val="fr-CH"/>
        </w:rPr>
        <w:footnoteRef/>
      </w:r>
      <w:r w:rsidRPr="001E787E">
        <w:rPr>
          <w:rFonts w:cs="Arial"/>
          <w:sz w:val="18"/>
          <w:szCs w:val="18"/>
          <w:lang w:val="fr-CH"/>
        </w:rPr>
        <w:t xml:space="preserve"> </w:t>
      </w:r>
      <w:r>
        <w:rPr>
          <w:rFonts w:cs="Arial"/>
          <w:sz w:val="18"/>
          <w:szCs w:val="18"/>
          <w:lang w:val="fr-CH"/>
        </w:rPr>
        <w:tab/>
      </w:r>
      <w:r w:rsidRPr="001E787E">
        <w:rPr>
          <w:rFonts w:cs="Arial"/>
          <w:sz w:val="18"/>
          <w:szCs w:val="18"/>
          <w:lang w:val="fr-CH"/>
        </w:rPr>
        <w:t xml:space="preserve">Voir </w:t>
      </w:r>
      <w:hyperlink r:id="rId7" w:history="1">
        <w:r w:rsidRPr="00BA1E68">
          <w:rPr>
            <w:rStyle w:val="Hyperlink"/>
            <w:rFonts w:cs="Arial"/>
            <w:spacing w:val="-4"/>
            <w:sz w:val="18"/>
            <w:szCs w:val="18"/>
            <w:lang w:val="fr-CH"/>
          </w:rPr>
          <w:t>http://www.wipo.int/export/sites/www/about-wipo/en/oversight/iaod/evaluation/pdf/evaluation_policy_2010.pdf</w:t>
        </w:r>
      </w:hyperlink>
    </w:p>
  </w:footnote>
  <w:footnote w:id="16">
    <w:p w:rsidR="008D1193" w:rsidRPr="001E787E" w:rsidRDefault="008D1193" w:rsidP="001E787E">
      <w:pPr>
        <w:pStyle w:val="FootnoteText"/>
        <w:tabs>
          <w:tab w:val="left" w:pos="567"/>
        </w:tabs>
        <w:rPr>
          <w:rFonts w:cs="Arial"/>
          <w:sz w:val="18"/>
          <w:szCs w:val="18"/>
          <w:lang w:val="fr-CH"/>
        </w:rPr>
      </w:pPr>
      <w:r w:rsidRPr="001E787E">
        <w:rPr>
          <w:rFonts w:cs="Arial"/>
          <w:sz w:val="18"/>
          <w:szCs w:val="18"/>
          <w:vertAlign w:val="superscript"/>
          <w:lang w:val="fr-CH"/>
        </w:rPr>
        <w:footnoteRef/>
      </w:r>
      <w:r w:rsidRPr="001E787E">
        <w:rPr>
          <w:rFonts w:cs="Arial"/>
          <w:sz w:val="18"/>
          <w:szCs w:val="18"/>
          <w:lang w:val="fr-CH"/>
        </w:rPr>
        <w:t xml:space="preserve"> </w:t>
      </w:r>
      <w:r>
        <w:rPr>
          <w:rFonts w:cs="Arial"/>
          <w:sz w:val="18"/>
          <w:szCs w:val="18"/>
          <w:lang w:val="fr-CH"/>
        </w:rPr>
        <w:tab/>
      </w:r>
      <w:r w:rsidRPr="001E787E">
        <w:rPr>
          <w:rFonts w:cs="Arial"/>
          <w:sz w:val="18"/>
          <w:szCs w:val="18"/>
          <w:lang w:val="fr-CH"/>
        </w:rPr>
        <w:t>Voir aussi l’annexe B.</w:t>
      </w:r>
    </w:p>
  </w:footnote>
  <w:footnote w:id="17">
    <w:p w:rsidR="008D1193" w:rsidRPr="001E787E" w:rsidRDefault="008D1193" w:rsidP="001E787E">
      <w:pPr>
        <w:pStyle w:val="FootnoteText"/>
        <w:tabs>
          <w:tab w:val="left" w:pos="567"/>
        </w:tabs>
        <w:rPr>
          <w:sz w:val="18"/>
          <w:szCs w:val="18"/>
          <w:lang w:val="fr-CH"/>
        </w:rPr>
      </w:pPr>
      <w:r w:rsidRPr="001E787E">
        <w:rPr>
          <w:rStyle w:val="FootnoteReference"/>
          <w:sz w:val="18"/>
          <w:szCs w:val="18"/>
          <w:lang w:val="fr-CH"/>
        </w:rPr>
        <w:footnoteRef/>
      </w:r>
      <w:r w:rsidRPr="001E787E">
        <w:rPr>
          <w:sz w:val="18"/>
          <w:szCs w:val="18"/>
          <w:lang w:val="fr-CH"/>
        </w:rPr>
        <w:t xml:space="preserve"> </w:t>
      </w:r>
      <w:r>
        <w:rPr>
          <w:sz w:val="18"/>
          <w:szCs w:val="18"/>
          <w:lang w:val="fr-CH"/>
        </w:rPr>
        <w:tab/>
      </w:r>
      <w:r w:rsidRPr="001E787E">
        <w:rPr>
          <w:rFonts w:cs="Arial"/>
          <w:sz w:val="18"/>
          <w:szCs w:val="18"/>
          <w:lang w:val="fr-CH"/>
        </w:rPr>
        <w:t>Le questionnaire est reproduit à l’annexe C.</w:t>
      </w:r>
    </w:p>
  </w:footnote>
  <w:footnote w:id="18">
    <w:p w:rsidR="008D1193" w:rsidRPr="001E787E" w:rsidRDefault="008D1193" w:rsidP="001E787E">
      <w:pPr>
        <w:pStyle w:val="FootnoteText"/>
        <w:tabs>
          <w:tab w:val="left" w:pos="567"/>
        </w:tabs>
        <w:rPr>
          <w:sz w:val="18"/>
          <w:szCs w:val="18"/>
          <w:lang w:val="fr-CH"/>
        </w:rPr>
      </w:pPr>
      <w:r w:rsidRPr="001E787E">
        <w:rPr>
          <w:rStyle w:val="FootnoteReference"/>
          <w:rFonts w:cs="Arial"/>
          <w:sz w:val="18"/>
          <w:szCs w:val="18"/>
          <w:lang w:val="fr-CH"/>
        </w:rPr>
        <w:footnoteRef/>
      </w:r>
      <w:r w:rsidRPr="001E787E">
        <w:rPr>
          <w:rFonts w:cs="Arial"/>
          <w:sz w:val="18"/>
          <w:szCs w:val="18"/>
          <w:lang w:val="fr-CH"/>
        </w:rPr>
        <w:t xml:space="preserve"> </w:t>
      </w:r>
      <w:r>
        <w:rPr>
          <w:rFonts w:cs="Arial"/>
          <w:sz w:val="18"/>
          <w:szCs w:val="18"/>
          <w:lang w:val="fr-CH"/>
        </w:rPr>
        <w:tab/>
      </w:r>
      <w:r w:rsidRPr="001E787E">
        <w:rPr>
          <w:rFonts w:cs="Arial"/>
          <w:sz w:val="18"/>
          <w:szCs w:val="18"/>
          <w:lang w:val="fr-CH"/>
        </w:rPr>
        <w:t xml:space="preserve">Voir le document </w:t>
      </w:r>
      <w:proofErr w:type="spellStart"/>
      <w:r w:rsidRPr="001E787E">
        <w:rPr>
          <w:rFonts w:cs="Arial"/>
          <w:sz w:val="18"/>
          <w:szCs w:val="18"/>
          <w:lang w:val="fr-CH"/>
        </w:rPr>
        <w:t>CDIP</w:t>
      </w:r>
      <w:proofErr w:type="spellEnd"/>
      <w:r w:rsidRPr="001E787E">
        <w:rPr>
          <w:rFonts w:cs="Arial"/>
          <w:sz w:val="18"/>
          <w:szCs w:val="18"/>
          <w:lang w:val="fr-CH"/>
        </w:rPr>
        <w:t xml:space="preserve">/10/3, à l’adresse </w:t>
      </w:r>
      <w:hyperlink r:id="rId8" w:history="1">
        <w:r w:rsidRPr="00BA1E68">
          <w:rPr>
            <w:rStyle w:val="Hyperlink"/>
            <w:rFonts w:cs="Arial"/>
            <w:sz w:val="18"/>
            <w:szCs w:val="18"/>
            <w:lang w:val="fr-CH"/>
          </w:rPr>
          <w:t>http://www.wipo.int/meetings/en/doc_details.jsp?doc_id=217446</w:t>
        </w:r>
      </w:hyperlink>
      <w:r w:rsidRPr="001E787E">
        <w:rPr>
          <w:rFonts w:cs="Arial"/>
          <w:sz w:val="18"/>
          <w:szCs w:val="18"/>
          <w:lang w:val="fr-CH"/>
        </w:rPr>
        <w:t>.  Ce rapport d’évaluation a été présenté à la dixième session du comité, tenue en novembre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93" w:rsidRDefault="008D11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93" w:rsidRDefault="008D11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93" w:rsidRDefault="008D11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93" w:rsidRDefault="008D1193" w:rsidP="00C54E5A">
    <w:pPr>
      <w:pStyle w:val="Header"/>
      <w:jc w:val="right"/>
    </w:pPr>
    <w:r>
      <w:t>CDIP/18/7</w:t>
    </w:r>
  </w:p>
  <w:p w:rsidR="008D1193" w:rsidRDefault="008D1193" w:rsidP="00127F5B">
    <w:pPr>
      <w:pStyle w:val="Header"/>
      <w:jc w:val="right"/>
    </w:pPr>
    <w:proofErr w:type="spellStart"/>
    <w:r>
      <w:t>Annexe</w:t>
    </w:r>
    <w:proofErr w:type="spellEnd"/>
    <w:r>
      <w:t>, page </w:t>
    </w:r>
    <w:r>
      <w:fldChar w:fldCharType="begin"/>
    </w:r>
    <w:r>
      <w:instrText>PAGE   \* MERGEFORMAT</w:instrText>
    </w:r>
    <w:r>
      <w:fldChar w:fldCharType="separate"/>
    </w:r>
    <w:r w:rsidR="00133E1E">
      <w:rPr>
        <w:noProof/>
      </w:rPr>
      <w:t>21</w:t>
    </w:r>
    <w:r>
      <w:rPr>
        <w:noProof/>
      </w:rPr>
      <w:fldChar w:fldCharType="end"/>
    </w:r>
  </w:p>
  <w:p w:rsidR="008D1193" w:rsidRDefault="008D1193" w:rsidP="00C54E5A">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93" w:rsidRDefault="008D1193" w:rsidP="00C54E5A">
    <w:pPr>
      <w:pStyle w:val="Header"/>
      <w:jc w:val="right"/>
    </w:pPr>
    <w:r>
      <w:t>CDIP/18/7</w:t>
    </w:r>
  </w:p>
  <w:p w:rsidR="008D1193" w:rsidRDefault="008D1193" w:rsidP="00C54E5A">
    <w:pPr>
      <w:pStyle w:val="Header"/>
      <w:jc w:val="right"/>
    </w:pPr>
    <w:proofErr w:type="spellStart"/>
    <w:r>
      <w:t>ANNEXE</w:t>
    </w:r>
    <w:proofErr w:type="spellEnd"/>
  </w:p>
  <w:p w:rsidR="008D1193" w:rsidRDefault="008D1193" w:rsidP="00C54E5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E75"/>
    <w:multiLevelType w:val="hybridMultilevel"/>
    <w:tmpl w:val="10E47E32"/>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8D1B22"/>
    <w:multiLevelType w:val="hybridMultilevel"/>
    <w:tmpl w:val="5EEABA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956B1"/>
    <w:multiLevelType w:val="hybridMultilevel"/>
    <w:tmpl w:val="F4389B36"/>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D71E0A"/>
    <w:multiLevelType w:val="hybridMultilevel"/>
    <w:tmpl w:val="5F56BB06"/>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10420C"/>
    <w:multiLevelType w:val="multilevel"/>
    <w:tmpl w:val="117031D8"/>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C53699"/>
    <w:multiLevelType w:val="hybridMultilevel"/>
    <w:tmpl w:val="739477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C946E9"/>
    <w:multiLevelType w:val="hybridMultilevel"/>
    <w:tmpl w:val="1A56DAC8"/>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5F2E45"/>
    <w:multiLevelType w:val="hybridMultilevel"/>
    <w:tmpl w:val="94F4CF3A"/>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B985DAB"/>
    <w:multiLevelType w:val="hybridMultilevel"/>
    <w:tmpl w:val="2D48A68E"/>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92235BE"/>
    <w:multiLevelType w:val="hybridMultilevel"/>
    <w:tmpl w:val="FFE458F2"/>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276080C"/>
    <w:multiLevelType w:val="hybridMultilevel"/>
    <w:tmpl w:val="ED407006"/>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4862902"/>
    <w:multiLevelType w:val="hybridMultilevel"/>
    <w:tmpl w:val="F620C238"/>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5966E8E"/>
    <w:multiLevelType w:val="hybridMultilevel"/>
    <w:tmpl w:val="2D94CFEA"/>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7F15ECC"/>
    <w:multiLevelType w:val="hybridMultilevel"/>
    <w:tmpl w:val="12BE8A4C"/>
    <w:lvl w:ilvl="0" w:tplc="F2F2CFB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A0012"/>
    <w:multiLevelType w:val="hybridMultilevel"/>
    <w:tmpl w:val="A6F8E23C"/>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D9B300B"/>
    <w:multiLevelType w:val="hybridMultilevel"/>
    <w:tmpl w:val="9258B0BC"/>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FA5606C"/>
    <w:multiLevelType w:val="hybridMultilevel"/>
    <w:tmpl w:val="AE2C6332"/>
    <w:lvl w:ilvl="0" w:tplc="105C0C2E">
      <w:start w:val="1"/>
      <w:numFmt w:val="bullet"/>
      <w:lvlText w:val=""/>
      <w:lvlJc w:val="left"/>
      <w:pPr>
        <w:ind w:left="1134"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E2765CD"/>
    <w:multiLevelType w:val="hybridMultilevel"/>
    <w:tmpl w:val="4B6025B0"/>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FFB0956"/>
    <w:multiLevelType w:val="hybridMultilevel"/>
    <w:tmpl w:val="AB4E49DC"/>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0A46ED6"/>
    <w:multiLevelType w:val="multilevel"/>
    <w:tmpl w:val="2D48A68E"/>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C96540"/>
    <w:multiLevelType w:val="hybridMultilevel"/>
    <w:tmpl w:val="117031D8"/>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4174BD5"/>
    <w:multiLevelType w:val="hybridMultilevel"/>
    <w:tmpl w:val="B860DA9A"/>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49B0A83"/>
    <w:multiLevelType w:val="hybridMultilevel"/>
    <w:tmpl w:val="CE3C890A"/>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52111AE"/>
    <w:multiLevelType w:val="hybridMultilevel"/>
    <w:tmpl w:val="E940DE6E"/>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63F6E8F"/>
    <w:multiLevelType w:val="hybridMultilevel"/>
    <w:tmpl w:val="44561FC6"/>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760398A"/>
    <w:multiLevelType w:val="hybridMultilevel"/>
    <w:tmpl w:val="29946678"/>
    <w:lvl w:ilvl="0" w:tplc="0C068C1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265D37"/>
    <w:multiLevelType w:val="hybridMultilevel"/>
    <w:tmpl w:val="9604B0DA"/>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9A26853"/>
    <w:multiLevelType w:val="hybridMultilevel"/>
    <w:tmpl w:val="F43656F8"/>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56B13D8"/>
    <w:multiLevelType w:val="hybridMultilevel"/>
    <w:tmpl w:val="FFCE3582"/>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
    <w:nsid w:val="691C3015"/>
    <w:multiLevelType w:val="multilevel"/>
    <w:tmpl w:val="A6F8E23C"/>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7850A0A"/>
    <w:multiLevelType w:val="hybridMultilevel"/>
    <w:tmpl w:val="8B1E9C6E"/>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79A1E14"/>
    <w:multiLevelType w:val="hybridMultilevel"/>
    <w:tmpl w:val="35EC158C"/>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8EE0C97"/>
    <w:multiLevelType w:val="hybridMultilevel"/>
    <w:tmpl w:val="443AD182"/>
    <w:lvl w:ilvl="0" w:tplc="005650A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999466B"/>
    <w:multiLevelType w:val="hybridMultilevel"/>
    <w:tmpl w:val="C3FAFB54"/>
    <w:lvl w:ilvl="0" w:tplc="0C068C10">
      <w:start w:val="1"/>
      <w:numFmt w:val="low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nsid w:val="7DC42D96"/>
    <w:multiLevelType w:val="multilevel"/>
    <w:tmpl w:val="2D94CFEA"/>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FBE6CFC"/>
    <w:multiLevelType w:val="hybridMultilevel"/>
    <w:tmpl w:val="82009A32"/>
    <w:lvl w:ilvl="0" w:tplc="A7DC4E7A">
      <w:start w:val="1"/>
      <w:numFmt w:val="bullet"/>
      <w:lvlText w:val=""/>
      <w:lvlJc w:val="left"/>
      <w:pPr>
        <w:ind w:left="1134"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35"/>
  </w:num>
  <w:num w:numId="3">
    <w:abstractNumId w:val="27"/>
  </w:num>
  <w:num w:numId="4">
    <w:abstractNumId w:val="1"/>
  </w:num>
  <w:num w:numId="5">
    <w:abstractNumId w:val="15"/>
  </w:num>
  <w:num w:numId="6">
    <w:abstractNumId w:val="3"/>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18"/>
  </w:num>
  <w:num w:numId="11">
    <w:abstractNumId w:val="6"/>
  </w:num>
  <w:num w:numId="12">
    <w:abstractNumId w:val="25"/>
  </w:num>
  <w:num w:numId="13">
    <w:abstractNumId w:val="11"/>
  </w:num>
  <w:num w:numId="14">
    <w:abstractNumId w:val="23"/>
  </w:num>
  <w:num w:numId="15">
    <w:abstractNumId w:val="24"/>
  </w:num>
  <w:num w:numId="16">
    <w:abstractNumId w:val="4"/>
  </w:num>
  <w:num w:numId="17">
    <w:abstractNumId w:val="19"/>
  </w:num>
  <w:num w:numId="18">
    <w:abstractNumId w:val="2"/>
  </w:num>
  <w:num w:numId="19">
    <w:abstractNumId w:val="8"/>
  </w:num>
  <w:num w:numId="20">
    <w:abstractNumId w:val="13"/>
  </w:num>
  <w:num w:numId="21">
    <w:abstractNumId w:val="33"/>
  </w:num>
  <w:num w:numId="22">
    <w:abstractNumId w:val="7"/>
  </w:num>
  <w:num w:numId="23">
    <w:abstractNumId w:val="17"/>
  </w:num>
  <w:num w:numId="24">
    <w:abstractNumId w:val="0"/>
  </w:num>
  <w:num w:numId="25">
    <w:abstractNumId w:val="28"/>
  </w:num>
  <w:num w:numId="26">
    <w:abstractNumId w:val="12"/>
  </w:num>
  <w:num w:numId="27">
    <w:abstractNumId w:val="29"/>
  </w:num>
  <w:num w:numId="28">
    <w:abstractNumId w:val="20"/>
  </w:num>
  <w:num w:numId="29">
    <w:abstractNumId w:val="34"/>
  </w:num>
  <w:num w:numId="30">
    <w:abstractNumId w:val="26"/>
  </w:num>
  <w:num w:numId="31">
    <w:abstractNumId w:val="9"/>
  </w:num>
  <w:num w:numId="32">
    <w:abstractNumId w:val="21"/>
  </w:num>
  <w:num w:numId="33">
    <w:abstractNumId w:val="22"/>
  </w:num>
  <w:num w:numId="34">
    <w:abstractNumId w:val="5"/>
  </w:num>
  <w:num w:numId="35">
    <w:abstractNumId w:val="16"/>
  </w:num>
  <w:num w:numId="36">
    <w:abstractNumId w:val="31"/>
  </w:num>
  <w:num w:numId="37">
    <w:abstractNumId w:val="14"/>
  </w:num>
  <w:num w:numId="38">
    <w:abstractNumId w:val="36"/>
  </w:num>
  <w:num w:numId="39">
    <w:abstractNumId w:val="3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3EYES">
    <w15:presenceInfo w15:providerId="None" w15:userId="3EY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proofState w:spelling="clean" w:grammar="clean"/>
  <w:defaultTabStop w:val="567"/>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DDFD350-E190-4C5C-8DA5-E530FA0A3A70}"/>
    <w:docVar w:name="dgnword-eventsink" w:val="140362464"/>
  </w:docVars>
  <w:rsids>
    <w:rsidRoot w:val="00A2415C"/>
    <w:rsid w:val="00000779"/>
    <w:rsid w:val="000007CD"/>
    <w:rsid w:val="00000D95"/>
    <w:rsid w:val="000015E7"/>
    <w:rsid w:val="00003643"/>
    <w:rsid w:val="00003A2A"/>
    <w:rsid w:val="00003AA2"/>
    <w:rsid w:val="00006F53"/>
    <w:rsid w:val="00006F63"/>
    <w:rsid w:val="000074E4"/>
    <w:rsid w:val="0000766A"/>
    <w:rsid w:val="000077BB"/>
    <w:rsid w:val="0001052C"/>
    <w:rsid w:val="00010BFC"/>
    <w:rsid w:val="00011C6D"/>
    <w:rsid w:val="00012D6F"/>
    <w:rsid w:val="00015299"/>
    <w:rsid w:val="000162E0"/>
    <w:rsid w:val="00017288"/>
    <w:rsid w:val="00017779"/>
    <w:rsid w:val="00017EBB"/>
    <w:rsid w:val="000200C5"/>
    <w:rsid w:val="000206A4"/>
    <w:rsid w:val="00020BE7"/>
    <w:rsid w:val="0002120A"/>
    <w:rsid w:val="000223CF"/>
    <w:rsid w:val="000224CE"/>
    <w:rsid w:val="000236C2"/>
    <w:rsid w:val="0002373A"/>
    <w:rsid w:val="000240A4"/>
    <w:rsid w:val="000240B1"/>
    <w:rsid w:val="00026484"/>
    <w:rsid w:val="00026759"/>
    <w:rsid w:val="00026914"/>
    <w:rsid w:val="000270FF"/>
    <w:rsid w:val="0002768C"/>
    <w:rsid w:val="00027C97"/>
    <w:rsid w:val="00027ECB"/>
    <w:rsid w:val="00032167"/>
    <w:rsid w:val="00032630"/>
    <w:rsid w:val="000328F1"/>
    <w:rsid w:val="0003422E"/>
    <w:rsid w:val="000347F7"/>
    <w:rsid w:val="00034C36"/>
    <w:rsid w:val="00035188"/>
    <w:rsid w:val="000362E0"/>
    <w:rsid w:val="00036E18"/>
    <w:rsid w:val="0004290D"/>
    <w:rsid w:val="000435FC"/>
    <w:rsid w:val="000440C2"/>
    <w:rsid w:val="000451E1"/>
    <w:rsid w:val="00045ADB"/>
    <w:rsid w:val="00045EE3"/>
    <w:rsid w:val="00046C2A"/>
    <w:rsid w:val="00046FFE"/>
    <w:rsid w:val="00047A8B"/>
    <w:rsid w:val="0005222C"/>
    <w:rsid w:val="00052275"/>
    <w:rsid w:val="0005269F"/>
    <w:rsid w:val="00052B47"/>
    <w:rsid w:val="0005456B"/>
    <w:rsid w:val="00055B0A"/>
    <w:rsid w:val="00056B35"/>
    <w:rsid w:val="00057C1D"/>
    <w:rsid w:val="00057D54"/>
    <w:rsid w:val="00060F11"/>
    <w:rsid w:val="00061431"/>
    <w:rsid w:val="000624D1"/>
    <w:rsid w:val="000646BB"/>
    <w:rsid w:val="00065100"/>
    <w:rsid w:val="0006794A"/>
    <w:rsid w:val="000705F1"/>
    <w:rsid w:val="000706F2"/>
    <w:rsid w:val="00071B8F"/>
    <w:rsid w:val="000737CC"/>
    <w:rsid w:val="00073994"/>
    <w:rsid w:val="00073A58"/>
    <w:rsid w:val="000774D2"/>
    <w:rsid w:val="00077992"/>
    <w:rsid w:val="000824A3"/>
    <w:rsid w:val="0008284E"/>
    <w:rsid w:val="00082A8A"/>
    <w:rsid w:val="00082D9C"/>
    <w:rsid w:val="000835FC"/>
    <w:rsid w:val="000836AC"/>
    <w:rsid w:val="00083839"/>
    <w:rsid w:val="00083B11"/>
    <w:rsid w:val="00084268"/>
    <w:rsid w:val="000843AA"/>
    <w:rsid w:val="00084F65"/>
    <w:rsid w:val="00084F87"/>
    <w:rsid w:val="00085129"/>
    <w:rsid w:val="00085390"/>
    <w:rsid w:val="000854D6"/>
    <w:rsid w:val="00085D92"/>
    <w:rsid w:val="00086850"/>
    <w:rsid w:val="000869B6"/>
    <w:rsid w:val="00087082"/>
    <w:rsid w:val="00087935"/>
    <w:rsid w:val="000903C3"/>
    <w:rsid w:val="0009336E"/>
    <w:rsid w:val="00094039"/>
    <w:rsid w:val="00095001"/>
    <w:rsid w:val="00096391"/>
    <w:rsid w:val="0009736C"/>
    <w:rsid w:val="000A0BE0"/>
    <w:rsid w:val="000A116E"/>
    <w:rsid w:val="000A1912"/>
    <w:rsid w:val="000A2058"/>
    <w:rsid w:val="000A2F8D"/>
    <w:rsid w:val="000A3E30"/>
    <w:rsid w:val="000A49A9"/>
    <w:rsid w:val="000A547E"/>
    <w:rsid w:val="000A62E4"/>
    <w:rsid w:val="000A6F1A"/>
    <w:rsid w:val="000A733F"/>
    <w:rsid w:val="000A766B"/>
    <w:rsid w:val="000A7B17"/>
    <w:rsid w:val="000B04F1"/>
    <w:rsid w:val="000B24BD"/>
    <w:rsid w:val="000B38F0"/>
    <w:rsid w:val="000B4157"/>
    <w:rsid w:val="000B43D0"/>
    <w:rsid w:val="000B47A4"/>
    <w:rsid w:val="000B4B42"/>
    <w:rsid w:val="000B4E62"/>
    <w:rsid w:val="000B5516"/>
    <w:rsid w:val="000B5AD0"/>
    <w:rsid w:val="000B5BAC"/>
    <w:rsid w:val="000B5C42"/>
    <w:rsid w:val="000B662E"/>
    <w:rsid w:val="000B73F2"/>
    <w:rsid w:val="000B76F1"/>
    <w:rsid w:val="000C10C8"/>
    <w:rsid w:val="000C1FF9"/>
    <w:rsid w:val="000C2C4D"/>
    <w:rsid w:val="000C3BEA"/>
    <w:rsid w:val="000C47D2"/>
    <w:rsid w:val="000C4F49"/>
    <w:rsid w:val="000C5DBE"/>
    <w:rsid w:val="000C615F"/>
    <w:rsid w:val="000C6574"/>
    <w:rsid w:val="000C723E"/>
    <w:rsid w:val="000C7787"/>
    <w:rsid w:val="000C7C02"/>
    <w:rsid w:val="000D04E6"/>
    <w:rsid w:val="000D16F3"/>
    <w:rsid w:val="000D1AFF"/>
    <w:rsid w:val="000D3115"/>
    <w:rsid w:val="000D3645"/>
    <w:rsid w:val="000D3752"/>
    <w:rsid w:val="000D5977"/>
    <w:rsid w:val="000D7CE5"/>
    <w:rsid w:val="000E0862"/>
    <w:rsid w:val="000E293F"/>
    <w:rsid w:val="000E2D27"/>
    <w:rsid w:val="000E3AD0"/>
    <w:rsid w:val="000E3DC9"/>
    <w:rsid w:val="000E5071"/>
    <w:rsid w:val="000E50C9"/>
    <w:rsid w:val="000E6A10"/>
    <w:rsid w:val="000E75E5"/>
    <w:rsid w:val="000F0EB6"/>
    <w:rsid w:val="000F141B"/>
    <w:rsid w:val="000F378C"/>
    <w:rsid w:val="000F474F"/>
    <w:rsid w:val="000F54E4"/>
    <w:rsid w:val="000F6838"/>
    <w:rsid w:val="000F7D5D"/>
    <w:rsid w:val="000F7E38"/>
    <w:rsid w:val="001001DD"/>
    <w:rsid w:val="001002A6"/>
    <w:rsid w:val="001030DF"/>
    <w:rsid w:val="001033FB"/>
    <w:rsid w:val="0010535A"/>
    <w:rsid w:val="001067E3"/>
    <w:rsid w:val="00106AD1"/>
    <w:rsid w:val="00106C91"/>
    <w:rsid w:val="001070EA"/>
    <w:rsid w:val="001074B4"/>
    <w:rsid w:val="00107521"/>
    <w:rsid w:val="00107980"/>
    <w:rsid w:val="00110D19"/>
    <w:rsid w:val="00112674"/>
    <w:rsid w:val="00113201"/>
    <w:rsid w:val="00113919"/>
    <w:rsid w:val="00113DF3"/>
    <w:rsid w:val="001148E1"/>
    <w:rsid w:val="00114A75"/>
    <w:rsid w:val="0011582F"/>
    <w:rsid w:val="00115CAB"/>
    <w:rsid w:val="00116B2D"/>
    <w:rsid w:val="00116DEA"/>
    <w:rsid w:val="00120797"/>
    <w:rsid w:val="00120C48"/>
    <w:rsid w:val="00121D7F"/>
    <w:rsid w:val="0012501F"/>
    <w:rsid w:val="001250B8"/>
    <w:rsid w:val="00126371"/>
    <w:rsid w:val="001270AC"/>
    <w:rsid w:val="00127539"/>
    <w:rsid w:val="001279A3"/>
    <w:rsid w:val="00127CDE"/>
    <w:rsid w:val="00127F5B"/>
    <w:rsid w:val="00130A94"/>
    <w:rsid w:val="00131023"/>
    <w:rsid w:val="00131691"/>
    <w:rsid w:val="00131946"/>
    <w:rsid w:val="00131BAD"/>
    <w:rsid w:val="00133D5D"/>
    <w:rsid w:val="00133E1E"/>
    <w:rsid w:val="0013450D"/>
    <w:rsid w:val="0013576C"/>
    <w:rsid w:val="001374E7"/>
    <w:rsid w:val="001378F6"/>
    <w:rsid w:val="001379DB"/>
    <w:rsid w:val="00137BE5"/>
    <w:rsid w:val="00137D62"/>
    <w:rsid w:val="00140814"/>
    <w:rsid w:val="0014322D"/>
    <w:rsid w:val="00144326"/>
    <w:rsid w:val="00145508"/>
    <w:rsid w:val="00145E72"/>
    <w:rsid w:val="00145F30"/>
    <w:rsid w:val="00146323"/>
    <w:rsid w:val="00146CAF"/>
    <w:rsid w:val="00146D27"/>
    <w:rsid w:val="00147792"/>
    <w:rsid w:val="00147A7E"/>
    <w:rsid w:val="00147BF8"/>
    <w:rsid w:val="00150A2C"/>
    <w:rsid w:val="00151924"/>
    <w:rsid w:val="001519A9"/>
    <w:rsid w:val="00153EFE"/>
    <w:rsid w:val="00154086"/>
    <w:rsid w:val="0015599E"/>
    <w:rsid w:val="00156133"/>
    <w:rsid w:val="001567DF"/>
    <w:rsid w:val="00157693"/>
    <w:rsid w:val="00160EAE"/>
    <w:rsid w:val="00162002"/>
    <w:rsid w:val="001623DA"/>
    <w:rsid w:val="00162CB2"/>
    <w:rsid w:val="0016309E"/>
    <w:rsid w:val="001631C6"/>
    <w:rsid w:val="00164AAA"/>
    <w:rsid w:val="00164C69"/>
    <w:rsid w:val="001652C8"/>
    <w:rsid w:val="001654FE"/>
    <w:rsid w:val="001668C4"/>
    <w:rsid w:val="00166BC8"/>
    <w:rsid w:val="00171154"/>
    <w:rsid w:val="00171996"/>
    <w:rsid w:val="00171A28"/>
    <w:rsid w:val="00171BD1"/>
    <w:rsid w:val="001727C0"/>
    <w:rsid w:val="00172ED2"/>
    <w:rsid w:val="00173762"/>
    <w:rsid w:val="001753BA"/>
    <w:rsid w:val="001760DD"/>
    <w:rsid w:val="00177E8A"/>
    <w:rsid w:val="00180ACA"/>
    <w:rsid w:val="00181A5E"/>
    <w:rsid w:val="001820B6"/>
    <w:rsid w:val="00184015"/>
    <w:rsid w:val="001842BA"/>
    <w:rsid w:val="00184946"/>
    <w:rsid w:val="00184B9A"/>
    <w:rsid w:val="001859BD"/>
    <w:rsid w:val="00185ABD"/>
    <w:rsid w:val="00185CA1"/>
    <w:rsid w:val="0018622C"/>
    <w:rsid w:val="001873AE"/>
    <w:rsid w:val="00187A75"/>
    <w:rsid w:val="0019105D"/>
    <w:rsid w:val="001913D9"/>
    <w:rsid w:val="00191C11"/>
    <w:rsid w:val="00192A28"/>
    <w:rsid w:val="00193E92"/>
    <w:rsid w:val="00194252"/>
    <w:rsid w:val="0019735D"/>
    <w:rsid w:val="001A0214"/>
    <w:rsid w:val="001A0C6A"/>
    <w:rsid w:val="001A3234"/>
    <w:rsid w:val="001A3619"/>
    <w:rsid w:val="001A3693"/>
    <w:rsid w:val="001A3D84"/>
    <w:rsid w:val="001A3EA9"/>
    <w:rsid w:val="001A57CD"/>
    <w:rsid w:val="001A6CF2"/>
    <w:rsid w:val="001A7E78"/>
    <w:rsid w:val="001B32D3"/>
    <w:rsid w:val="001B32E8"/>
    <w:rsid w:val="001B3695"/>
    <w:rsid w:val="001B40C8"/>
    <w:rsid w:val="001B427B"/>
    <w:rsid w:val="001B4D79"/>
    <w:rsid w:val="001B51E9"/>
    <w:rsid w:val="001B5379"/>
    <w:rsid w:val="001B5858"/>
    <w:rsid w:val="001B5A32"/>
    <w:rsid w:val="001B7D2F"/>
    <w:rsid w:val="001C03CB"/>
    <w:rsid w:val="001C12D7"/>
    <w:rsid w:val="001C19D6"/>
    <w:rsid w:val="001C1DBE"/>
    <w:rsid w:val="001C45EA"/>
    <w:rsid w:val="001C4CE8"/>
    <w:rsid w:val="001C5052"/>
    <w:rsid w:val="001C555D"/>
    <w:rsid w:val="001C58FD"/>
    <w:rsid w:val="001C6216"/>
    <w:rsid w:val="001C7714"/>
    <w:rsid w:val="001D0CEF"/>
    <w:rsid w:val="001D13B8"/>
    <w:rsid w:val="001D3FED"/>
    <w:rsid w:val="001D42CB"/>
    <w:rsid w:val="001D47CE"/>
    <w:rsid w:val="001D47E3"/>
    <w:rsid w:val="001D4D7A"/>
    <w:rsid w:val="001D563B"/>
    <w:rsid w:val="001D59A8"/>
    <w:rsid w:val="001D60A8"/>
    <w:rsid w:val="001D60DF"/>
    <w:rsid w:val="001D72EF"/>
    <w:rsid w:val="001E0017"/>
    <w:rsid w:val="001E05EF"/>
    <w:rsid w:val="001E138F"/>
    <w:rsid w:val="001E22E7"/>
    <w:rsid w:val="001E31CD"/>
    <w:rsid w:val="001E6612"/>
    <w:rsid w:val="001E70E5"/>
    <w:rsid w:val="001E724D"/>
    <w:rsid w:val="001E7624"/>
    <w:rsid w:val="001E7736"/>
    <w:rsid w:val="001E787E"/>
    <w:rsid w:val="001F191B"/>
    <w:rsid w:val="001F1BF0"/>
    <w:rsid w:val="001F1E04"/>
    <w:rsid w:val="001F2A2A"/>
    <w:rsid w:val="001F2E2C"/>
    <w:rsid w:val="001F3DAC"/>
    <w:rsid w:val="001F41E0"/>
    <w:rsid w:val="001F4ADC"/>
    <w:rsid w:val="001F5DB5"/>
    <w:rsid w:val="001F5E60"/>
    <w:rsid w:val="001F7C08"/>
    <w:rsid w:val="002001D2"/>
    <w:rsid w:val="00202959"/>
    <w:rsid w:val="00202EB9"/>
    <w:rsid w:val="00204F80"/>
    <w:rsid w:val="002053C6"/>
    <w:rsid w:val="002077F6"/>
    <w:rsid w:val="002079D4"/>
    <w:rsid w:val="00210E0A"/>
    <w:rsid w:val="00211619"/>
    <w:rsid w:val="00212DD8"/>
    <w:rsid w:val="00212F0F"/>
    <w:rsid w:val="0021383F"/>
    <w:rsid w:val="002138D8"/>
    <w:rsid w:val="00213E55"/>
    <w:rsid w:val="00214EC4"/>
    <w:rsid w:val="002150EC"/>
    <w:rsid w:val="00215A12"/>
    <w:rsid w:val="002160B8"/>
    <w:rsid w:val="00216A7E"/>
    <w:rsid w:val="00220436"/>
    <w:rsid w:val="00220E15"/>
    <w:rsid w:val="00220E9F"/>
    <w:rsid w:val="00221599"/>
    <w:rsid w:val="00221DC9"/>
    <w:rsid w:val="00221E7E"/>
    <w:rsid w:val="00222DF0"/>
    <w:rsid w:val="00223097"/>
    <w:rsid w:val="00223C24"/>
    <w:rsid w:val="00223D3C"/>
    <w:rsid w:val="00224155"/>
    <w:rsid w:val="0022436C"/>
    <w:rsid w:val="0022440F"/>
    <w:rsid w:val="0022474A"/>
    <w:rsid w:val="002255BA"/>
    <w:rsid w:val="002272F2"/>
    <w:rsid w:val="00231514"/>
    <w:rsid w:val="0023188B"/>
    <w:rsid w:val="00231D7A"/>
    <w:rsid w:val="00232458"/>
    <w:rsid w:val="002326BA"/>
    <w:rsid w:val="00232EFE"/>
    <w:rsid w:val="00233FBB"/>
    <w:rsid w:val="00235836"/>
    <w:rsid w:val="0023626D"/>
    <w:rsid w:val="00237326"/>
    <w:rsid w:val="00240038"/>
    <w:rsid w:val="002404A6"/>
    <w:rsid w:val="002418FF"/>
    <w:rsid w:val="002425C9"/>
    <w:rsid w:val="00242DD4"/>
    <w:rsid w:val="002440F8"/>
    <w:rsid w:val="00244185"/>
    <w:rsid w:val="00245E80"/>
    <w:rsid w:val="00246662"/>
    <w:rsid w:val="002470C4"/>
    <w:rsid w:val="00247844"/>
    <w:rsid w:val="00251B9D"/>
    <w:rsid w:val="00253635"/>
    <w:rsid w:val="00253CE8"/>
    <w:rsid w:val="00253E50"/>
    <w:rsid w:val="002544B4"/>
    <w:rsid w:val="00254B21"/>
    <w:rsid w:val="00255C01"/>
    <w:rsid w:val="00255E84"/>
    <w:rsid w:val="00256CC0"/>
    <w:rsid w:val="00257166"/>
    <w:rsid w:val="0025749E"/>
    <w:rsid w:val="00257EA8"/>
    <w:rsid w:val="00260140"/>
    <w:rsid w:val="00260164"/>
    <w:rsid w:val="002601FC"/>
    <w:rsid w:val="00261269"/>
    <w:rsid w:val="002617A3"/>
    <w:rsid w:val="0026192C"/>
    <w:rsid w:val="00261CB8"/>
    <w:rsid w:val="0026298B"/>
    <w:rsid w:val="00264167"/>
    <w:rsid w:val="00264591"/>
    <w:rsid w:val="002645FC"/>
    <w:rsid w:val="00265A62"/>
    <w:rsid w:val="00266689"/>
    <w:rsid w:val="002670D8"/>
    <w:rsid w:val="00267173"/>
    <w:rsid w:val="002679DC"/>
    <w:rsid w:val="00270B90"/>
    <w:rsid w:val="0027398C"/>
    <w:rsid w:val="00274107"/>
    <w:rsid w:val="002750BA"/>
    <w:rsid w:val="002802B5"/>
    <w:rsid w:val="00280824"/>
    <w:rsid w:val="00281426"/>
    <w:rsid w:val="00281E61"/>
    <w:rsid w:val="0028242B"/>
    <w:rsid w:val="00282478"/>
    <w:rsid w:val="00282524"/>
    <w:rsid w:val="00282566"/>
    <w:rsid w:val="00282B4C"/>
    <w:rsid w:val="0028300C"/>
    <w:rsid w:val="00283579"/>
    <w:rsid w:val="0028381D"/>
    <w:rsid w:val="00283AAD"/>
    <w:rsid w:val="002842D5"/>
    <w:rsid w:val="00284CF8"/>
    <w:rsid w:val="002854CE"/>
    <w:rsid w:val="0028554E"/>
    <w:rsid w:val="00285AC0"/>
    <w:rsid w:val="00285D8B"/>
    <w:rsid w:val="00290DBD"/>
    <w:rsid w:val="0029128C"/>
    <w:rsid w:val="002919D2"/>
    <w:rsid w:val="00292A49"/>
    <w:rsid w:val="00292A87"/>
    <w:rsid w:val="00293B3E"/>
    <w:rsid w:val="0029424D"/>
    <w:rsid w:val="002944A1"/>
    <w:rsid w:val="002949E1"/>
    <w:rsid w:val="00295E69"/>
    <w:rsid w:val="00296E85"/>
    <w:rsid w:val="002A00E1"/>
    <w:rsid w:val="002A05F0"/>
    <w:rsid w:val="002A0FDB"/>
    <w:rsid w:val="002A1392"/>
    <w:rsid w:val="002A1F34"/>
    <w:rsid w:val="002A2989"/>
    <w:rsid w:val="002A2A70"/>
    <w:rsid w:val="002A3383"/>
    <w:rsid w:val="002A397D"/>
    <w:rsid w:val="002A4617"/>
    <w:rsid w:val="002A5F04"/>
    <w:rsid w:val="002A662D"/>
    <w:rsid w:val="002A66CA"/>
    <w:rsid w:val="002A6959"/>
    <w:rsid w:val="002A6965"/>
    <w:rsid w:val="002A6AFB"/>
    <w:rsid w:val="002A6E6A"/>
    <w:rsid w:val="002A7238"/>
    <w:rsid w:val="002A7250"/>
    <w:rsid w:val="002A7324"/>
    <w:rsid w:val="002A7772"/>
    <w:rsid w:val="002A782A"/>
    <w:rsid w:val="002A7BA7"/>
    <w:rsid w:val="002B1F85"/>
    <w:rsid w:val="002B37A4"/>
    <w:rsid w:val="002B45AA"/>
    <w:rsid w:val="002B4DDA"/>
    <w:rsid w:val="002B53C3"/>
    <w:rsid w:val="002B55D7"/>
    <w:rsid w:val="002B6A1F"/>
    <w:rsid w:val="002B75BC"/>
    <w:rsid w:val="002C109F"/>
    <w:rsid w:val="002C1364"/>
    <w:rsid w:val="002C1B9A"/>
    <w:rsid w:val="002C2125"/>
    <w:rsid w:val="002C2327"/>
    <w:rsid w:val="002C2DCE"/>
    <w:rsid w:val="002C2F4F"/>
    <w:rsid w:val="002C3546"/>
    <w:rsid w:val="002C3CEF"/>
    <w:rsid w:val="002C4061"/>
    <w:rsid w:val="002C4226"/>
    <w:rsid w:val="002C515E"/>
    <w:rsid w:val="002C5C35"/>
    <w:rsid w:val="002C798E"/>
    <w:rsid w:val="002D0820"/>
    <w:rsid w:val="002D194E"/>
    <w:rsid w:val="002D1CA2"/>
    <w:rsid w:val="002D2AAE"/>
    <w:rsid w:val="002D3E1C"/>
    <w:rsid w:val="002D3EF9"/>
    <w:rsid w:val="002D498F"/>
    <w:rsid w:val="002D5E77"/>
    <w:rsid w:val="002D63AC"/>
    <w:rsid w:val="002D712E"/>
    <w:rsid w:val="002D7727"/>
    <w:rsid w:val="002E191D"/>
    <w:rsid w:val="002E2CBF"/>
    <w:rsid w:val="002E341B"/>
    <w:rsid w:val="002E3895"/>
    <w:rsid w:val="002E4C6D"/>
    <w:rsid w:val="002E5677"/>
    <w:rsid w:val="002E5C5D"/>
    <w:rsid w:val="002E738E"/>
    <w:rsid w:val="002F1021"/>
    <w:rsid w:val="002F1663"/>
    <w:rsid w:val="002F3A5B"/>
    <w:rsid w:val="002F3DBE"/>
    <w:rsid w:val="002F4A3C"/>
    <w:rsid w:val="002F6960"/>
    <w:rsid w:val="002F6A53"/>
    <w:rsid w:val="002F7D71"/>
    <w:rsid w:val="00301209"/>
    <w:rsid w:val="00302DEB"/>
    <w:rsid w:val="00303234"/>
    <w:rsid w:val="00303959"/>
    <w:rsid w:val="00303A39"/>
    <w:rsid w:val="003042E6"/>
    <w:rsid w:val="00305F30"/>
    <w:rsid w:val="00305F70"/>
    <w:rsid w:val="003066F1"/>
    <w:rsid w:val="00310301"/>
    <w:rsid w:val="0031257F"/>
    <w:rsid w:val="003126F2"/>
    <w:rsid w:val="00313A09"/>
    <w:rsid w:val="00313A9E"/>
    <w:rsid w:val="00316774"/>
    <w:rsid w:val="00316ECC"/>
    <w:rsid w:val="00317612"/>
    <w:rsid w:val="00320BDC"/>
    <w:rsid w:val="00320D2A"/>
    <w:rsid w:val="00320FCA"/>
    <w:rsid w:val="00321E75"/>
    <w:rsid w:val="0032242C"/>
    <w:rsid w:val="00322C31"/>
    <w:rsid w:val="003231F5"/>
    <w:rsid w:val="00323584"/>
    <w:rsid w:val="00323AD9"/>
    <w:rsid w:val="0032483B"/>
    <w:rsid w:val="00325483"/>
    <w:rsid w:val="003269FC"/>
    <w:rsid w:val="00326EC4"/>
    <w:rsid w:val="00327572"/>
    <w:rsid w:val="00327B1F"/>
    <w:rsid w:val="00327E0A"/>
    <w:rsid w:val="00331D0F"/>
    <w:rsid w:val="00331DC3"/>
    <w:rsid w:val="003331C0"/>
    <w:rsid w:val="00333F63"/>
    <w:rsid w:val="003343D2"/>
    <w:rsid w:val="00334935"/>
    <w:rsid w:val="00334C6F"/>
    <w:rsid w:val="00334DC4"/>
    <w:rsid w:val="00335597"/>
    <w:rsid w:val="003358DB"/>
    <w:rsid w:val="00335B3D"/>
    <w:rsid w:val="003363A5"/>
    <w:rsid w:val="00337E34"/>
    <w:rsid w:val="00340CA3"/>
    <w:rsid w:val="0034105A"/>
    <w:rsid w:val="00341605"/>
    <w:rsid w:val="00342DD1"/>
    <w:rsid w:val="00342E0B"/>
    <w:rsid w:val="00343D3A"/>
    <w:rsid w:val="00344DE8"/>
    <w:rsid w:val="00345E5E"/>
    <w:rsid w:val="003460D7"/>
    <w:rsid w:val="00346483"/>
    <w:rsid w:val="003500D7"/>
    <w:rsid w:val="00350696"/>
    <w:rsid w:val="0035109B"/>
    <w:rsid w:val="00351EC5"/>
    <w:rsid w:val="003523D5"/>
    <w:rsid w:val="00353075"/>
    <w:rsid w:val="00353282"/>
    <w:rsid w:val="00353F78"/>
    <w:rsid w:val="0035576B"/>
    <w:rsid w:val="0035581C"/>
    <w:rsid w:val="00356918"/>
    <w:rsid w:val="0035785F"/>
    <w:rsid w:val="003579A0"/>
    <w:rsid w:val="00357E40"/>
    <w:rsid w:val="003600EE"/>
    <w:rsid w:val="00360423"/>
    <w:rsid w:val="00362A6A"/>
    <w:rsid w:val="00362F8B"/>
    <w:rsid w:val="003636DB"/>
    <w:rsid w:val="00363C13"/>
    <w:rsid w:val="00363F9D"/>
    <w:rsid w:val="00366F37"/>
    <w:rsid w:val="003703C3"/>
    <w:rsid w:val="00370D5D"/>
    <w:rsid w:val="00372D0C"/>
    <w:rsid w:val="003734D9"/>
    <w:rsid w:val="00375F2B"/>
    <w:rsid w:val="00376D49"/>
    <w:rsid w:val="00377E0E"/>
    <w:rsid w:val="00377E71"/>
    <w:rsid w:val="00380057"/>
    <w:rsid w:val="00380889"/>
    <w:rsid w:val="00380E58"/>
    <w:rsid w:val="00381C4B"/>
    <w:rsid w:val="0038208C"/>
    <w:rsid w:val="00383149"/>
    <w:rsid w:val="00384914"/>
    <w:rsid w:val="00384A8B"/>
    <w:rsid w:val="00384C06"/>
    <w:rsid w:val="003852E4"/>
    <w:rsid w:val="00385D45"/>
    <w:rsid w:val="00386012"/>
    <w:rsid w:val="00386D5A"/>
    <w:rsid w:val="00387ADC"/>
    <w:rsid w:val="00387E89"/>
    <w:rsid w:val="00390653"/>
    <w:rsid w:val="00390912"/>
    <w:rsid w:val="00390C0C"/>
    <w:rsid w:val="00391657"/>
    <w:rsid w:val="00392F60"/>
    <w:rsid w:val="003932EB"/>
    <w:rsid w:val="00394B99"/>
    <w:rsid w:val="00394BDF"/>
    <w:rsid w:val="00395D5B"/>
    <w:rsid w:val="00396659"/>
    <w:rsid w:val="00396CED"/>
    <w:rsid w:val="003970F6"/>
    <w:rsid w:val="00397154"/>
    <w:rsid w:val="003A1152"/>
    <w:rsid w:val="003A1C6E"/>
    <w:rsid w:val="003A2344"/>
    <w:rsid w:val="003A26DC"/>
    <w:rsid w:val="003A33D1"/>
    <w:rsid w:val="003A3D72"/>
    <w:rsid w:val="003A46B3"/>
    <w:rsid w:val="003A54E1"/>
    <w:rsid w:val="003A5F82"/>
    <w:rsid w:val="003A68BB"/>
    <w:rsid w:val="003B0BFB"/>
    <w:rsid w:val="003B0C68"/>
    <w:rsid w:val="003B30C1"/>
    <w:rsid w:val="003B4D53"/>
    <w:rsid w:val="003B4FB2"/>
    <w:rsid w:val="003B5EB4"/>
    <w:rsid w:val="003B718E"/>
    <w:rsid w:val="003B7785"/>
    <w:rsid w:val="003B7974"/>
    <w:rsid w:val="003C01F9"/>
    <w:rsid w:val="003C0B66"/>
    <w:rsid w:val="003C1716"/>
    <w:rsid w:val="003C3565"/>
    <w:rsid w:val="003C3E59"/>
    <w:rsid w:val="003C4B20"/>
    <w:rsid w:val="003C5E10"/>
    <w:rsid w:val="003C651C"/>
    <w:rsid w:val="003C6EB2"/>
    <w:rsid w:val="003C794E"/>
    <w:rsid w:val="003C795A"/>
    <w:rsid w:val="003D01F5"/>
    <w:rsid w:val="003D0777"/>
    <w:rsid w:val="003D07BF"/>
    <w:rsid w:val="003D11A3"/>
    <w:rsid w:val="003D1AB2"/>
    <w:rsid w:val="003D23F1"/>
    <w:rsid w:val="003D2C68"/>
    <w:rsid w:val="003D2EDE"/>
    <w:rsid w:val="003D44E6"/>
    <w:rsid w:val="003D49B2"/>
    <w:rsid w:val="003D5582"/>
    <w:rsid w:val="003D7C26"/>
    <w:rsid w:val="003E0026"/>
    <w:rsid w:val="003E0F47"/>
    <w:rsid w:val="003E15FA"/>
    <w:rsid w:val="003E2AD4"/>
    <w:rsid w:val="003E3273"/>
    <w:rsid w:val="003E3859"/>
    <w:rsid w:val="003E3DE4"/>
    <w:rsid w:val="003E407F"/>
    <w:rsid w:val="003E40F2"/>
    <w:rsid w:val="003E41C8"/>
    <w:rsid w:val="003E4556"/>
    <w:rsid w:val="003E4746"/>
    <w:rsid w:val="003E52A0"/>
    <w:rsid w:val="003E65DD"/>
    <w:rsid w:val="003E67C4"/>
    <w:rsid w:val="003E6ACF"/>
    <w:rsid w:val="003E6D7D"/>
    <w:rsid w:val="003E7CA5"/>
    <w:rsid w:val="003F0D82"/>
    <w:rsid w:val="003F1202"/>
    <w:rsid w:val="003F29D4"/>
    <w:rsid w:val="003F344A"/>
    <w:rsid w:val="003F3B57"/>
    <w:rsid w:val="003F5675"/>
    <w:rsid w:val="003F6014"/>
    <w:rsid w:val="003F7361"/>
    <w:rsid w:val="003F7F22"/>
    <w:rsid w:val="0040051B"/>
    <w:rsid w:val="00400F5B"/>
    <w:rsid w:val="004038A8"/>
    <w:rsid w:val="00405971"/>
    <w:rsid w:val="00407074"/>
    <w:rsid w:val="00410A63"/>
    <w:rsid w:val="00410AAE"/>
    <w:rsid w:val="00411811"/>
    <w:rsid w:val="00412318"/>
    <w:rsid w:val="004149DB"/>
    <w:rsid w:val="00414AF5"/>
    <w:rsid w:val="00415304"/>
    <w:rsid w:val="00415AA6"/>
    <w:rsid w:val="00415B2F"/>
    <w:rsid w:val="00417239"/>
    <w:rsid w:val="00420ECF"/>
    <w:rsid w:val="00421CEE"/>
    <w:rsid w:val="00421DFF"/>
    <w:rsid w:val="004251D6"/>
    <w:rsid w:val="0042557E"/>
    <w:rsid w:val="004256FB"/>
    <w:rsid w:val="00425B45"/>
    <w:rsid w:val="00426067"/>
    <w:rsid w:val="004269DA"/>
    <w:rsid w:val="00426F59"/>
    <w:rsid w:val="0042749D"/>
    <w:rsid w:val="00431342"/>
    <w:rsid w:val="00431F0E"/>
    <w:rsid w:val="004320FF"/>
    <w:rsid w:val="00432559"/>
    <w:rsid w:val="00433A60"/>
    <w:rsid w:val="004372EF"/>
    <w:rsid w:val="00437825"/>
    <w:rsid w:val="00440221"/>
    <w:rsid w:val="004419FA"/>
    <w:rsid w:val="00442448"/>
    <w:rsid w:val="00442BE5"/>
    <w:rsid w:val="004431C6"/>
    <w:rsid w:val="0044455D"/>
    <w:rsid w:val="004448A8"/>
    <w:rsid w:val="004468F1"/>
    <w:rsid w:val="00447678"/>
    <w:rsid w:val="004479A4"/>
    <w:rsid w:val="00450BC7"/>
    <w:rsid w:val="00454551"/>
    <w:rsid w:val="004546DF"/>
    <w:rsid w:val="00454B4B"/>
    <w:rsid w:val="00454D54"/>
    <w:rsid w:val="00455876"/>
    <w:rsid w:val="0045595F"/>
    <w:rsid w:val="00457F83"/>
    <w:rsid w:val="00461141"/>
    <w:rsid w:val="00461CBE"/>
    <w:rsid w:val="004629A5"/>
    <w:rsid w:val="0046312C"/>
    <w:rsid w:val="004643A4"/>
    <w:rsid w:val="004661BE"/>
    <w:rsid w:val="004661EF"/>
    <w:rsid w:val="00466F59"/>
    <w:rsid w:val="00470316"/>
    <w:rsid w:val="004712D9"/>
    <w:rsid w:val="00471996"/>
    <w:rsid w:val="0047245C"/>
    <w:rsid w:val="00472689"/>
    <w:rsid w:val="00473AAC"/>
    <w:rsid w:val="00474639"/>
    <w:rsid w:val="00474684"/>
    <w:rsid w:val="00474B4B"/>
    <w:rsid w:val="00474E30"/>
    <w:rsid w:val="004759A2"/>
    <w:rsid w:val="0047600E"/>
    <w:rsid w:val="004765D5"/>
    <w:rsid w:val="00482D0C"/>
    <w:rsid w:val="00483551"/>
    <w:rsid w:val="00483A1A"/>
    <w:rsid w:val="004846E0"/>
    <w:rsid w:val="00485F02"/>
    <w:rsid w:val="00486FBF"/>
    <w:rsid w:val="0048795C"/>
    <w:rsid w:val="00487E42"/>
    <w:rsid w:val="00490236"/>
    <w:rsid w:val="00490A01"/>
    <w:rsid w:val="0049144B"/>
    <w:rsid w:val="004927D1"/>
    <w:rsid w:val="004947D5"/>
    <w:rsid w:val="004954C6"/>
    <w:rsid w:val="004A00E8"/>
    <w:rsid w:val="004A074E"/>
    <w:rsid w:val="004A104E"/>
    <w:rsid w:val="004A183D"/>
    <w:rsid w:val="004A398A"/>
    <w:rsid w:val="004A47E5"/>
    <w:rsid w:val="004A5EAE"/>
    <w:rsid w:val="004A629B"/>
    <w:rsid w:val="004A6BE7"/>
    <w:rsid w:val="004A730D"/>
    <w:rsid w:val="004A7597"/>
    <w:rsid w:val="004B116A"/>
    <w:rsid w:val="004B13C9"/>
    <w:rsid w:val="004B25AD"/>
    <w:rsid w:val="004B2600"/>
    <w:rsid w:val="004B2E61"/>
    <w:rsid w:val="004B4BC8"/>
    <w:rsid w:val="004B593E"/>
    <w:rsid w:val="004B60FC"/>
    <w:rsid w:val="004B6761"/>
    <w:rsid w:val="004B6C9E"/>
    <w:rsid w:val="004B7411"/>
    <w:rsid w:val="004C0410"/>
    <w:rsid w:val="004C225F"/>
    <w:rsid w:val="004C3A98"/>
    <w:rsid w:val="004C41A2"/>
    <w:rsid w:val="004C445E"/>
    <w:rsid w:val="004C4480"/>
    <w:rsid w:val="004C51AB"/>
    <w:rsid w:val="004C5297"/>
    <w:rsid w:val="004C581D"/>
    <w:rsid w:val="004C5DDA"/>
    <w:rsid w:val="004C60B3"/>
    <w:rsid w:val="004C7529"/>
    <w:rsid w:val="004C7543"/>
    <w:rsid w:val="004C7C35"/>
    <w:rsid w:val="004D1258"/>
    <w:rsid w:val="004D3A3E"/>
    <w:rsid w:val="004D42D5"/>
    <w:rsid w:val="004D79E8"/>
    <w:rsid w:val="004E1218"/>
    <w:rsid w:val="004E1A59"/>
    <w:rsid w:val="004E21FF"/>
    <w:rsid w:val="004E2DE8"/>
    <w:rsid w:val="004E3151"/>
    <w:rsid w:val="004E33CD"/>
    <w:rsid w:val="004E47F1"/>
    <w:rsid w:val="004E518D"/>
    <w:rsid w:val="004E587C"/>
    <w:rsid w:val="004E5887"/>
    <w:rsid w:val="004E6B66"/>
    <w:rsid w:val="004E74F5"/>
    <w:rsid w:val="004F0213"/>
    <w:rsid w:val="004F0AB6"/>
    <w:rsid w:val="004F2448"/>
    <w:rsid w:val="004F262C"/>
    <w:rsid w:val="004F2A89"/>
    <w:rsid w:val="004F398F"/>
    <w:rsid w:val="004F3D11"/>
    <w:rsid w:val="004F4577"/>
    <w:rsid w:val="004F50B3"/>
    <w:rsid w:val="004F53E0"/>
    <w:rsid w:val="004F5DDD"/>
    <w:rsid w:val="004F672E"/>
    <w:rsid w:val="004F6EC7"/>
    <w:rsid w:val="004F7BC3"/>
    <w:rsid w:val="004F7EDA"/>
    <w:rsid w:val="005014D0"/>
    <w:rsid w:val="0050159B"/>
    <w:rsid w:val="0050248E"/>
    <w:rsid w:val="00502A6F"/>
    <w:rsid w:val="00502E32"/>
    <w:rsid w:val="0050308A"/>
    <w:rsid w:val="00503C31"/>
    <w:rsid w:val="00503DA0"/>
    <w:rsid w:val="00504323"/>
    <w:rsid w:val="0050459B"/>
    <w:rsid w:val="005049DD"/>
    <w:rsid w:val="00505B7A"/>
    <w:rsid w:val="00505C90"/>
    <w:rsid w:val="005062E2"/>
    <w:rsid w:val="005067F0"/>
    <w:rsid w:val="0050772F"/>
    <w:rsid w:val="00511072"/>
    <w:rsid w:val="00512CF4"/>
    <w:rsid w:val="00513729"/>
    <w:rsid w:val="00513EA3"/>
    <w:rsid w:val="00514D15"/>
    <w:rsid w:val="005170B6"/>
    <w:rsid w:val="0052022D"/>
    <w:rsid w:val="005216AE"/>
    <w:rsid w:val="00521889"/>
    <w:rsid w:val="00521C11"/>
    <w:rsid w:val="00523A22"/>
    <w:rsid w:val="00523A71"/>
    <w:rsid w:val="00523D8B"/>
    <w:rsid w:val="00523EB8"/>
    <w:rsid w:val="0052547F"/>
    <w:rsid w:val="00525992"/>
    <w:rsid w:val="0052683E"/>
    <w:rsid w:val="0053052A"/>
    <w:rsid w:val="00530811"/>
    <w:rsid w:val="005309D7"/>
    <w:rsid w:val="00532614"/>
    <w:rsid w:val="005332E7"/>
    <w:rsid w:val="00533579"/>
    <w:rsid w:val="005346BB"/>
    <w:rsid w:val="0053508F"/>
    <w:rsid w:val="00536E0C"/>
    <w:rsid w:val="00537C58"/>
    <w:rsid w:val="005406C8"/>
    <w:rsid w:val="00542115"/>
    <w:rsid w:val="005429EA"/>
    <w:rsid w:val="00543F17"/>
    <w:rsid w:val="005443C7"/>
    <w:rsid w:val="00545971"/>
    <w:rsid w:val="00545DF5"/>
    <w:rsid w:val="005464A9"/>
    <w:rsid w:val="005466C1"/>
    <w:rsid w:val="00546F34"/>
    <w:rsid w:val="00547BBF"/>
    <w:rsid w:val="00550090"/>
    <w:rsid w:val="005503A8"/>
    <w:rsid w:val="005505BE"/>
    <w:rsid w:val="00550980"/>
    <w:rsid w:val="005511C9"/>
    <w:rsid w:val="00552404"/>
    <w:rsid w:val="00552A47"/>
    <w:rsid w:val="0055411C"/>
    <w:rsid w:val="00554E4B"/>
    <w:rsid w:val="005557E2"/>
    <w:rsid w:val="00555BD4"/>
    <w:rsid w:val="005568A3"/>
    <w:rsid w:val="005570CD"/>
    <w:rsid w:val="00560600"/>
    <w:rsid w:val="0056141C"/>
    <w:rsid w:val="00561BA8"/>
    <w:rsid w:val="00562E82"/>
    <w:rsid w:val="00562E9B"/>
    <w:rsid w:val="00563BAA"/>
    <w:rsid w:val="00563BFF"/>
    <w:rsid w:val="00563CA4"/>
    <w:rsid w:val="00566810"/>
    <w:rsid w:val="00566E9C"/>
    <w:rsid w:val="00567A13"/>
    <w:rsid w:val="00567FDD"/>
    <w:rsid w:val="005704BC"/>
    <w:rsid w:val="0057071A"/>
    <w:rsid w:val="00570BDE"/>
    <w:rsid w:val="00573E34"/>
    <w:rsid w:val="00574940"/>
    <w:rsid w:val="0057551C"/>
    <w:rsid w:val="00583272"/>
    <w:rsid w:val="00583DFB"/>
    <w:rsid w:val="005840FA"/>
    <w:rsid w:val="0058531F"/>
    <w:rsid w:val="00585823"/>
    <w:rsid w:val="00586E34"/>
    <w:rsid w:val="00590E9F"/>
    <w:rsid w:val="00591A9F"/>
    <w:rsid w:val="00591DE3"/>
    <w:rsid w:val="00592B23"/>
    <w:rsid w:val="00593527"/>
    <w:rsid w:val="0059411B"/>
    <w:rsid w:val="0059412D"/>
    <w:rsid w:val="00594F27"/>
    <w:rsid w:val="00595009"/>
    <w:rsid w:val="005957E1"/>
    <w:rsid w:val="00595873"/>
    <w:rsid w:val="00595AB7"/>
    <w:rsid w:val="00596426"/>
    <w:rsid w:val="00596DBC"/>
    <w:rsid w:val="00596F86"/>
    <w:rsid w:val="005979F2"/>
    <w:rsid w:val="005A0508"/>
    <w:rsid w:val="005A132A"/>
    <w:rsid w:val="005A4DAF"/>
    <w:rsid w:val="005A575A"/>
    <w:rsid w:val="005A5B2D"/>
    <w:rsid w:val="005A77FB"/>
    <w:rsid w:val="005B148E"/>
    <w:rsid w:val="005B14B5"/>
    <w:rsid w:val="005B3D53"/>
    <w:rsid w:val="005B40DF"/>
    <w:rsid w:val="005B44D1"/>
    <w:rsid w:val="005B464F"/>
    <w:rsid w:val="005B49FF"/>
    <w:rsid w:val="005B576E"/>
    <w:rsid w:val="005B5FB8"/>
    <w:rsid w:val="005B687C"/>
    <w:rsid w:val="005B6A3F"/>
    <w:rsid w:val="005C1251"/>
    <w:rsid w:val="005C1B56"/>
    <w:rsid w:val="005C1CBF"/>
    <w:rsid w:val="005C1FF7"/>
    <w:rsid w:val="005C2432"/>
    <w:rsid w:val="005C5858"/>
    <w:rsid w:val="005C7E64"/>
    <w:rsid w:val="005D0457"/>
    <w:rsid w:val="005D08C5"/>
    <w:rsid w:val="005D0936"/>
    <w:rsid w:val="005D0A65"/>
    <w:rsid w:val="005D0E5F"/>
    <w:rsid w:val="005D1B26"/>
    <w:rsid w:val="005D3635"/>
    <w:rsid w:val="005D3A23"/>
    <w:rsid w:val="005D3A46"/>
    <w:rsid w:val="005D4C1C"/>
    <w:rsid w:val="005D525B"/>
    <w:rsid w:val="005D6EEA"/>
    <w:rsid w:val="005D764C"/>
    <w:rsid w:val="005D787C"/>
    <w:rsid w:val="005E21B2"/>
    <w:rsid w:val="005E274D"/>
    <w:rsid w:val="005E2833"/>
    <w:rsid w:val="005E3FE7"/>
    <w:rsid w:val="005E4CED"/>
    <w:rsid w:val="005E57B8"/>
    <w:rsid w:val="005E7C66"/>
    <w:rsid w:val="005F060D"/>
    <w:rsid w:val="005F2540"/>
    <w:rsid w:val="005F3E9D"/>
    <w:rsid w:val="005F455D"/>
    <w:rsid w:val="005F4E65"/>
    <w:rsid w:val="005F58A0"/>
    <w:rsid w:val="0060009A"/>
    <w:rsid w:val="006020FF"/>
    <w:rsid w:val="00602F2D"/>
    <w:rsid w:val="006048C9"/>
    <w:rsid w:val="00604D12"/>
    <w:rsid w:val="00606041"/>
    <w:rsid w:val="00610231"/>
    <w:rsid w:val="006107A7"/>
    <w:rsid w:val="00610FD6"/>
    <w:rsid w:val="00611BE7"/>
    <w:rsid w:val="00611E1F"/>
    <w:rsid w:val="006138C2"/>
    <w:rsid w:val="00620326"/>
    <w:rsid w:val="006203FF"/>
    <w:rsid w:val="00620FF0"/>
    <w:rsid w:val="00621F35"/>
    <w:rsid w:val="0062224A"/>
    <w:rsid w:val="00622357"/>
    <w:rsid w:val="006228CA"/>
    <w:rsid w:val="00622FB8"/>
    <w:rsid w:val="0062474A"/>
    <w:rsid w:val="00625853"/>
    <w:rsid w:val="00625A78"/>
    <w:rsid w:val="00625C2C"/>
    <w:rsid w:val="006264BE"/>
    <w:rsid w:val="00630AE6"/>
    <w:rsid w:val="006322A1"/>
    <w:rsid w:val="00632AC4"/>
    <w:rsid w:val="006336A5"/>
    <w:rsid w:val="006341B8"/>
    <w:rsid w:val="006349BF"/>
    <w:rsid w:val="00634BAC"/>
    <w:rsid w:val="006357A0"/>
    <w:rsid w:val="0063673C"/>
    <w:rsid w:val="0064021B"/>
    <w:rsid w:val="00640A10"/>
    <w:rsid w:val="00640C62"/>
    <w:rsid w:val="006411DF"/>
    <w:rsid w:val="00641484"/>
    <w:rsid w:val="00642427"/>
    <w:rsid w:val="00642FF7"/>
    <w:rsid w:val="00644E94"/>
    <w:rsid w:val="006453BB"/>
    <w:rsid w:val="00645665"/>
    <w:rsid w:val="00646E71"/>
    <w:rsid w:val="00647307"/>
    <w:rsid w:val="00647E96"/>
    <w:rsid w:val="0065067A"/>
    <w:rsid w:val="00651108"/>
    <w:rsid w:val="0065536C"/>
    <w:rsid w:val="006562BE"/>
    <w:rsid w:val="00657FE4"/>
    <w:rsid w:val="0066168E"/>
    <w:rsid w:val="00661A16"/>
    <w:rsid w:val="00661BB0"/>
    <w:rsid w:val="00662062"/>
    <w:rsid w:val="006634A9"/>
    <w:rsid w:val="00663E1E"/>
    <w:rsid w:val="00665522"/>
    <w:rsid w:val="0066616D"/>
    <w:rsid w:val="00666716"/>
    <w:rsid w:val="00666770"/>
    <w:rsid w:val="00667023"/>
    <w:rsid w:val="00670749"/>
    <w:rsid w:val="00670F21"/>
    <w:rsid w:val="006714DE"/>
    <w:rsid w:val="006725E9"/>
    <w:rsid w:val="0067402B"/>
    <w:rsid w:val="0067416A"/>
    <w:rsid w:val="00674556"/>
    <w:rsid w:val="00674EB9"/>
    <w:rsid w:val="006772E5"/>
    <w:rsid w:val="00677381"/>
    <w:rsid w:val="006774D5"/>
    <w:rsid w:val="006820D5"/>
    <w:rsid w:val="00682985"/>
    <w:rsid w:val="0068388F"/>
    <w:rsid w:val="006839E9"/>
    <w:rsid w:val="00686C33"/>
    <w:rsid w:val="006877E9"/>
    <w:rsid w:val="00687A40"/>
    <w:rsid w:val="00690282"/>
    <w:rsid w:val="006904F2"/>
    <w:rsid w:val="00691106"/>
    <w:rsid w:val="006923D2"/>
    <w:rsid w:val="006928D5"/>
    <w:rsid w:val="0069427D"/>
    <w:rsid w:val="00695A6C"/>
    <w:rsid w:val="00695F29"/>
    <w:rsid w:val="006962FB"/>
    <w:rsid w:val="006975C5"/>
    <w:rsid w:val="006A31D5"/>
    <w:rsid w:val="006A328D"/>
    <w:rsid w:val="006A3555"/>
    <w:rsid w:val="006A4619"/>
    <w:rsid w:val="006A68B2"/>
    <w:rsid w:val="006B06A8"/>
    <w:rsid w:val="006B1EA1"/>
    <w:rsid w:val="006B2D7B"/>
    <w:rsid w:val="006B360A"/>
    <w:rsid w:val="006B407B"/>
    <w:rsid w:val="006B49F5"/>
    <w:rsid w:val="006B4D38"/>
    <w:rsid w:val="006B5268"/>
    <w:rsid w:val="006B5C3F"/>
    <w:rsid w:val="006B624D"/>
    <w:rsid w:val="006B6CB9"/>
    <w:rsid w:val="006B70F9"/>
    <w:rsid w:val="006B79E9"/>
    <w:rsid w:val="006C0418"/>
    <w:rsid w:val="006C0838"/>
    <w:rsid w:val="006C14F3"/>
    <w:rsid w:val="006C1A45"/>
    <w:rsid w:val="006C2002"/>
    <w:rsid w:val="006C41C2"/>
    <w:rsid w:val="006C43F3"/>
    <w:rsid w:val="006C47B3"/>
    <w:rsid w:val="006C50B9"/>
    <w:rsid w:val="006C547D"/>
    <w:rsid w:val="006C5972"/>
    <w:rsid w:val="006C5F75"/>
    <w:rsid w:val="006C78C9"/>
    <w:rsid w:val="006D123A"/>
    <w:rsid w:val="006D2CCA"/>
    <w:rsid w:val="006D319F"/>
    <w:rsid w:val="006D5157"/>
    <w:rsid w:val="006D5583"/>
    <w:rsid w:val="006D6184"/>
    <w:rsid w:val="006D6C1C"/>
    <w:rsid w:val="006D6E38"/>
    <w:rsid w:val="006D70A1"/>
    <w:rsid w:val="006E0E78"/>
    <w:rsid w:val="006E18C7"/>
    <w:rsid w:val="006E65D5"/>
    <w:rsid w:val="006F0B7F"/>
    <w:rsid w:val="006F0F44"/>
    <w:rsid w:val="006F1629"/>
    <w:rsid w:val="006F1A93"/>
    <w:rsid w:val="006F205C"/>
    <w:rsid w:val="006F2728"/>
    <w:rsid w:val="006F3E2E"/>
    <w:rsid w:val="006F45E8"/>
    <w:rsid w:val="006F472F"/>
    <w:rsid w:val="006F6159"/>
    <w:rsid w:val="006F71CC"/>
    <w:rsid w:val="006F7677"/>
    <w:rsid w:val="0070037F"/>
    <w:rsid w:val="00700389"/>
    <w:rsid w:val="00702ACB"/>
    <w:rsid w:val="0070480D"/>
    <w:rsid w:val="00704B61"/>
    <w:rsid w:val="00706824"/>
    <w:rsid w:val="00706F1E"/>
    <w:rsid w:val="00706FFB"/>
    <w:rsid w:val="00707A01"/>
    <w:rsid w:val="007100CB"/>
    <w:rsid w:val="00710D5E"/>
    <w:rsid w:val="0071152D"/>
    <w:rsid w:val="007134B9"/>
    <w:rsid w:val="007163AE"/>
    <w:rsid w:val="00720F1B"/>
    <w:rsid w:val="00721F7E"/>
    <w:rsid w:val="00723702"/>
    <w:rsid w:val="007244A1"/>
    <w:rsid w:val="00724734"/>
    <w:rsid w:val="007248E2"/>
    <w:rsid w:val="0072499F"/>
    <w:rsid w:val="00725333"/>
    <w:rsid w:val="007256D5"/>
    <w:rsid w:val="00725B2B"/>
    <w:rsid w:val="00727521"/>
    <w:rsid w:val="00730449"/>
    <w:rsid w:val="00730AE6"/>
    <w:rsid w:val="0073140B"/>
    <w:rsid w:val="0073169F"/>
    <w:rsid w:val="00731A9F"/>
    <w:rsid w:val="00732BB9"/>
    <w:rsid w:val="0073329A"/>
    <w:rsid w:val="0073370F"/>
    <w:rsid w:val="00734568"/>
    <w:rsid w:val="00735860"/>
    <w:rsid w:val="00735BB8"/>
    <w:rsid w:val="00735E0F"/>
    <w:rsid w:val="00736286"/>
    <w:rsid w:val="007368F0"/>
    <w:rsid w:val="00736E27"/>
    <w:rsid w:val="0074038B"/>
    <w:rsid w:val="00741930"/>
    <w:rsid w:val="00741EE8"/>
    <w:rsid w:val="00742000"/>
    <w:rsid w:val="0074220D"/>
    <w:rsid w:val="00743240"/>
    <w:rsid w:val="0074395B"/>
    <w:rsid w:val="0074489F"/>
    <w:rsid w:val="00744C19"/>
    <w:rsid w:val="00744E49"/>
    <w:rsid w:val="007454D0"/>
    <w:rsid w:val="00747015"/>
    <w:rsid w:val="00747626"/>
    <w:rsid w:val="007479BD"/>
    <w:rsid w:val="00750796"/>
    <w:rsid w:val="00750A51"/>
    <w:rsid w:val="00750B29"/>
    <w:rsid w:val="0075168C"/>
    <w:rsid w:val="007519C6"/>
    <w:rsid w:val="00751E85"/>
    <w:rsid w:val="00752A7A"/>
    <w:rsid w:val="00753E4E"/>
    <w:rsid w:val="00756DED"/>
    <w:rsid w:val="007571AE"/>
    <w:rsid w:val="007575FA"/>
    <w:rsid w:val="007604BA"/>
    <w:rsid w:val="0076093A"/>
    <w:rsid w:val="00761F45"/>
    <w:rsid w:val="00763212"/>
    <w:rsid w:val="0076373B"/>
    <w:rsid w:val="00765521"/>
    <w:rsid w:val="00765CEC"/>
    <w:rsid w:val="00767261"/>
    <w:rsid w:val="00767381"/>
    <w:rsid w:val="00770AC4"/>
    <w:rsid w:val="007719EA"/>
    <w:rsid w:val="007722A6"/>
    <w:rsid w:val="00772F26"/>
    <w:rsid w:val="00774004"/>
    <w:rsid w:val="00774E71"/>
    <w:rsid w:val="00774EAA"/>
    <w:rsid w:val="00775CE9"/>
    <w:rsid w:val="007770CF"/>
    <w:rsid w:val="007777C9"/>
    <w:rsid w:val="00777DB4"/>
    <w:rsid w:val="007801B5"/>
    <w:rsid w:val="00781151"/>
    <w:rsid w:val="007815EE"/>
    <w:rsid w:val="00781753"/>
    <w:rsid w:val="00781C9E"/>
    <w:rsid w:val="00781D38"/>
    <w:rsid w:val="007827F3"/>
    <w:rsid w:val="007829BE"/>
    <w:rsid w:val="007836FE"/>
    <w:rsid w:val="0078458D"/>
    <w:rsid w:val="00785354"/>
    <w:rsid w:val="0078620B"/>
    <w:rsid w:val="0078712F"/>
    <w:rsid w:val="0078755D"/>
    <w:rsid w:val="0078764C"/>
    <w:rsid w:val="00790581"/>
    <w:rsid w:val="00790B11"/>
    <w:rsid w:val="00790B50"/>
    <w:rsid w:val="00790EA5"/>
    <w:rsid w:val="00791497"/>
    <w:rsid w:val="00794AF5"/>
    <w:rsid w:val="00796019"/>
    <w:rsid w:val="00797746"/>
    <w:rsid w:val="00797C80"/>
    <w:rsid w:val="007A06A8"/>
    <w:rsid w:val="007A08D9"/>
    <w:rsid w:val="007A1B8C"/>
    <w:rsid w:val="007A4423"/>
    <w:rsid w:val="007A506C"/>
    <w:rsid w:val="007A5A4B"/>
    <w:rsid w:val="007A671B"/>
    <w:rsid w:val="007A6E58"/>
    <w:rsid w:val="007A73D9"/>
    <w:rsid w:val="007B0400"/>
    <w:rsid w:val="007B06C8"/>
    <w:rsid w:val="007B220A"/>
    <w:rsid w:val="007B3209"/>
    <w:rsid w:val="007B381B"/>
    <w:rsid w:val="007B3F2F"/>
    <w:rsid w:val="007B4BEB"/>
    <w:rsid w:val="007B5D54"/>
    <w:rsid w:val="007B6715"/>
    <w:rsid w:val="007B78DA"/>
    <w:rsid w:val="007C016E"/>
    <w:rsid w:val="007C0E42"/>
    <w:rsid w:val="007C245A"/>
    <w:rsid w:val="007C30DB"/>
    <w:rsid w:val="007C4EA6"/>
    <w:rsid w:val="007C63E5"/>
    <w:rsid w:val="007C7085"/>
    <w:rsid w:val="007D0C64"/>
    <w:rsid w:val="007D1332"/>
    <w:rsid w:val="007D19CB"/>
    <w:rsid w:val="007D2D11"/>
    <w:rsid w:val="007D3680"/>
    <w:rsid w:val="007D3793"/>
    <w:rsid w:val="007D647E"/>
    <w:rsid w:val="007D7B1D"/>
    <w:rsid w:val="007E01BA"/>
    <w:rsid w:val="007E01F5"/>
    <w:rsid w:val="007E19D3"/>
    <w:rsid w:val="007E23E7"/>
    <w:rsid w:val="007E2C0B"/>
    <w:rsid w:val="007E30A2"/>
    <w:rsid w:val="007E437B"/>
    <w:rsid w:val="007E4401"/>
    <w:rsid w:val="007E586A"/>
    <w:rsid w:val="007E79C3"/>
    <w:rsid w:val="007F0D55"/>
    <w:rsid w:val="007F14F4"/>
    <w:rsid w:val="007F1BDE"/>
    <w:rsid w:val="007F2D77"/>
    <w:rsid w:val="007F3929"/>
    <w:rsid w:val="007F424B"/>
    <w:rsid w:val="007F49DA"/>
    <w:rsid w:val="007F4C46"/>
    <w:rsid w:val="007F6E43"/>
    <w:rsid w:val="007F7AEB"/>
    <w:rsid w:val="00800DC1"/>
    <w:rsid w:val="00800E47"/>
    <w:rsid w:val="00802638"/>
    <w:rsid w:val="00803E6A"/>
    <w:rsid w:val="00804F17"/>
    <w:rsid w:val="00804FF7"/>
    <w:rsid w:val="008059CE"/>
    <w:rsid w:val="00805C17"/>
    <w:rsid w:val="00805E69"/>
    <w:rsid w:val="00807621"/>
    <w:rsid w:val="00807787"/>
    <w:rsid w:val="00807ABF"/>
    <w:rsid w:val="00810052"/>
    <w:rsid w:val="00810610"/>
    <w:rsid w:val="00810AAC"/>
    <w:rsid w:val="00810DA6"/>
    <w:rsid w:val="0081226B"/>
    <w:rsid w:val="00812DFD"/>
    <w:rsid w:val="00813334"/>
    <w:rsid w:val="00813F42"/>
    <w:rsid w:val="00815AFE"/>
    <w:rsid w:val="00817BA9"/>
    <w:rsid w:val="00817BB1"/>
    <w:rsid w:val="00817BE9"/>
    <w:rsid w:val="00820202"/>
    <w:rsid w:val="008204A1"/>
    <w:rsid w:val="00820613"/>
    <w:rsid w:val="00820667"/>
    <w:rsid w:val="00820D9C"/>
    <w:rsid w:val="008225D0"/>
    <w:rsid w:val="00824C13"/>
    <w:rsid w:val="00824CA7"/>
    <w:rsid w:val="0082511F"/>
    <w:rsid w:val="00826032"/>
    <w:rsid w:val="0082617E"/>
    <w:rsid w:val="00826310"/>
    <w:rsid w:val="00826609"/>
    <w:rsid w:val="00827080"/>
    <w:rsid w:val="0082730E"/>
    <w:rsid w:val="008273EC"/>
    <w:rsid w:val="00827B5D"/>
    <w:rsid w:val="00831141"/>
    <w:rsid w:val="00831157"/>
    <w:rsid w:val="00832163"/>
    <w:rsid w:val="00832255"/>
    <w:rsid w:val="008324EF"/>
    <w:rsid w:val="008328F7"/>
    <w:rsid w:val="00833B84"/>
    <w:rsid w:val="00834528"/>
    <w:rsid w:val="0083468F"/>
    <w:rsid w:val="0083485F"/>
    <w:rsid w:val="0083487E"/>
    <w:rsid w:val="00834E51"/>
    <w:rsid w:val="008352B0"/>
    <w:rsid w:val="00836390"/>
    <w:rsid w:val="00836FEC"/>
    <w:rsid w:val="00837434"/>
    <w:rsid w:val="00841185"/>
    <w:rsid w:val="008417BF"/>
    <w:rsid w:val="00842583"/>
    <w:rsid w:val="00842798"/>
    <w:rsid w:val="008427AB"/>
    <w:rsid w:val="00842E72"/>
    <w:rsid w:val="00843926"/>
    <w:rsid w:val="00844074"/>
    <w:rsid w:val="0084637A"/>
    <w:rsid w:val="008468E4"/>
    <w:rsid w:val="008471BC"/>
    <w:rsid w:val="008473E2"/>
    <w:rsid w:val="00847513"/>
    <w:rsid w:val="00850327"/>
    <w:rsid w:val="008505CD"/>
    <w:rsid w:val="008508C2"/>
    <w:rsid w:val="00852200"/>
    <w:rsid w:val="0085293E"/>
    <w:rsid w:val="00852FB5"/>
    <w:rsid w:val="0085321E"/>
    <w:rsid w:val="008547D2"/>
    <w:rsid w:val="00856AC9"/>
    <w:rsid w:val="00856B56"/>
    <w:rsid w:val="008576EF"/>
    <w:rsid w:val="0085794D"/>
    <w:rsid w:val="0086095A"/>
    <w:rsid w:val="00861609"/>
    <w:rsid w:val="00861CBC"/>
    <w:rsid w:val="00863A67"/>
    <w:rsid w:val="00863D6C"/>
    <w:rsid w:val="0086417C"/>
    <w:rsid w:val="00864B81"/>
    <w:rsid w:val="00866C46"/>
    <w:rsid w:val="00867672"/>
    <w:rsid w:val="0087003D"/>
    <w:rsid w:val="008701C1"/>
    <w:rsid w:val="00870DDD"/>
    <w:rsid w:val="00872199"/>
    <w:rsid w:val="008721EF"/>
    <w:rsid w:val="008724CF"/>
    <w:rsid w:val="00872D82"/>
    <w:rsid w:val="00874050"/>
    <w:rsid w:val="008745D7"/>
    <w:rsid w:val="00875701"/>
    <w:rsid w:val="008761FA"/>
    <w:rsid w:val="00876B75"/>
    <w:rsid w:val="008775B5"/>
    <w:rsid w:val="008777F7"/>
    <w:rsid w:val="00881FC5"/>
    <w:rsid w:val="0088314D"/>
    <w:rsid w:val="00883AF9"/>
    <w:rsid w:val="00884644"/>
    <w:rsid w:val="0088493B"/>
    <w:rsid w:val="00885164"/>
    <w:rsid w:val="00885FDC"/>
    <w:rsid w:val="00886305"/>
    <w:rsid w:val="00886A9A"/>
    <w:rsid w:val="0088735D"/>
    <w:rsid w:val="00887B75"/>
    <w:rsid w:val="00890299"/>
    <w:rsid w:val="00892621"/>
    <w:rsid w:val="00895344"/>
    <w:rsid w:val="0089592E"/>
    <w:rsid w:val="00896CFE"/>
    <w:rsid w:val="008A098E"/>
    <w:rsid w:val="008A2989"/>
    <w:rsid w:val="008A349D"/>
    <w:rsid w:val="008A3631"/>
    <w:rsid w:val="008A4F4A"/>
    <w:rsid w:val="008A5FBC"/>
    <w:rsid w:val="008A6607"/>
    <w:rsid w:val="008A6A37"/>
    <w:rsid w:val="008A7869"/>
    <w:rsid w:val="008B16A2"/>
    <w:rsid w:val="008B2953"/>
    <w:rsid w:val="008B2C41"/>
    <w:rsid w:val="008B2EEF"/>
    <w:rsid w:val="008B4D5E"/>
    <w:rsid w:val="008B5DF2"/>
    <w:rsid w:val="008B6577"/>
    <w:rsid w:val="008B67F5"/>
    <w:rsid w:val="008B6A16"/>
    <w:rsid w:val="008B755F"/>
    <w:rsid w:val="008B7E5D"/>
    <w:rsid w:val="008C0084"/>
    <w:rsid w:val="008C0BB1"/>
    <w:rsid w:val="008C1846"/>
    <w:rsid w:val="008C21AD"/>
    <w:rsid w:val="008C277A"/>
    <w:rsid w:val="008C34A7"/>
    <w:rsid w:val="008C4EC5"/>
    <w:rsid w:val="008C4FCC"/>
    <w:rsid w:val="008C6EFE"/>
    <w:rsid w:val="008D1193"/>
    <w:rsid w:val="008D1744"/>
    <w:rsid w:val="008D18D7"/>
    <w:rsid w:val="008D2F5C"/>
    <w:rsid w:val="008D3B31"/>
    <w:rsid w:val="008D44DC"/>
    <w:rsid w:val="008D4FA1"/>
    <w:rsid w:val="008D5AE7"/>
    <w:rsid w:val="008D787B"/>
    <w:rsid w:val="008D7932"/>
    <w:rsid w:val="008D79A7"/>
    <w:rsid w:val="008E0449"/>
    <w:rsid w:val="008E0A9B"/>
    <w:rsid w:val="008E1620"/>
    <w:rsid w:val="008E1CF4"/>
    <w:rsid w:val="008E24D4"/>
    <w:rsid w:val="008E37CE"/>
    <w:rsid w:val="008E6DC0"/>
    <w:rsid w:val="008E7B62"/>
    <w:rsid w:val="008E7D88"/>
    <w:rsid w:val="008F0CB2"/>
    <w:rsid w:val="008F16F1"/>
    <w:rsid w:val="008F18E5"/>
    <w:rsid w:val="008F26D2"/>
    <w:rsid w:val="008F5EA3"/>
    <w:rsid w:val="008F5F9C"/>
    <w:rsid w:val="008F647B"/>
    <w:rsid w:val="008F7E74"/>
    <w:rsid w:val="00900A2D"/>
    <w:rsid w:val="00903A41"/>
    <w:rsid w:val="00903F01"/>
    <w:rsid w:val="00904317"/>
    <w:rsid w:val="00904AA1"/>
    <w:rsid w:val="00904D46"/>
    <w:rsid w:val="00905323"/>
    <w:rsid w:val="00906313"/>
    <w:rsid w:val="00907F36"/>
    <w:rsid w:val="009106F3"/>
    <w:rsid w:val="00910A02"/>
    <w:rsid w:val="00910F3C"/>
    <w:rsid w:val="009114CD"/>
    <w:rsid w:val="00911B99"/>
    <w:rsid w:val="00912374"/>
    <w:rsid w:val="00914821"/>
    <w:rsid w:val="009153B9"/>
    <w:rsid w:val="00915FDE"/>
    <w:rsid w:val="009160E9"/>
    <w:rsid w:val="0091666A"/>
    <w:rsid w:val="009168C1"/>
    <w:rsid w:val="00916C27"/>
    <w:rsid w:val="009177FB"/>
    <w:rsid w:val="00920E09"/>
    <w:rsid w:val="00922885"/>
    <w:rsid w:val="00922FCA"/>
    <w:rsid w:val="009267B3"/>
    <w:rsid w:val="00927658"/>
    <w:rsid w:val="009312F4"/>
    <w:rsid w:val="00932E53"/>
    <w:rsid w:val="00933AEE"/>
    <w:rsid w:val="00933DA4"/>
    <w:rsid w:val="009341D4"/>
    <w:rsid w:val="00935D4A"/>
    <w:rsid w:val="00936328"/>
    <w:rsid w:val="00936B16"/>
    <w:rsid w:val="00940319"/>
    <w:rsid w:val="0094244F"/>
    <w:rsid w:val="00943335"/>
    <w:rsid w:val="009433CE"/>
    <w:rsid w:val="0094398C"/>
    <w:rsid w:val="00944885"/>
    <w:rsid w:val="009455D1"/>
    <w:rsid w:val="00945B5B"/>
    <w:rsid w:val="009466B9"/>
    <w:rsid w:val="0094791B"/>
    <w:rsid w:val="00947D95"/>
    <w:rsid w:val="00950146"/>
    <w:rsid w:val="00950180"/>
    <w:rsid w:val="00950207"/>
    <w:rsid w:val="00950F48"/>
    <w:rsid w:val="00950FD9"/>
    <w:rsid w:val="009527C4"/>
    <w:rsid w:val="00952AC0"/>
    <w:rsid w:val="00953933"/>
    <w:rsid w:val="00953A57"/>
    <w:rsid w:val="009552F5"/>
    <w:rsid w:val="00955D0D"/>
    <w:rsid w:val="0095600D"/>
    <w:rsid w:val="0095748B"/>
    <w:rsid w:val="00961E2D"/>
    <w:rsid w:val="00961FF9"/>
    <w:rsid w:val="0096359D"/>
    <w:rsid w:val="00963D9B"/>
    <w:rsid w:val="00972CE6"/>
    <w:rsid w:val="00974782"/>
    <w:rsid w:val="00974856"/>
    <w:rsid w:val="00974F4F"/>
    <w:rsid w:val="00975970"/>
    <w:rsid w:val="0097788F"/>
    <w:rsid w:val="00977A17"/>
    <w:rsid w:val="00980EF9"/>
    <w:rsid w:val="00981F03"/>
    <w:rsid w:val="009827DE"/>
    <w:rsid w:val="0098314E"/>
    <w:rsid w:val="009837F3"/>
    <w:rsid w:val="00983C4F"/>
    <w:rsid w:val="009846D0"/>
    <w:rsid w:val="00985067"/>
    <w:rsid w:val="00985D15"/>
    <w:rsid w:val="009860E6"/>
    <w:rsid w:val="009861DD"/>
    <w:rsid w:val="0098692E"/>
    <w:rsid w:val="00987B57"/>
    <w:rsid w:val="009900AB"/>
    <w:rsid w:val="00990A48"/>
    <w:rsid w:val="00990B72"/>
    <w:rsid w:val="00991910"/>
    <w:rsid w:val="00992168"/>
    <w:rsid w:val="00992546"/>
    <w:rsid w:val="00993BDF"/>
    <w:rsid w:val="00994083"/>
    <w:rsid w:val="0099448E"/>
    <w:rsid w:val="00994F5D"/>
    <w:rsid w:val="009951D4"/>
    <w:rsid w:val="00996819"/>
    <w:rsid w:val="00997E2B"/>
    <w:rsid w:val="009A12A4"/>
    <w:rsid w:val="009A203B"/>
    <w:rsid w:val="009A219E"/>
    <w:rsid w:val="009A269C"/>
    <w:rsid w:val="009A2BE9"/>
    <w:rsid w:val="009A3114"/>
    <w:rsid w:val="009A3497"/>
    <w:rsid w:val="009A3C25"/>
    <w:rsid w:val="009A6C02"/>
    <w:rsid w:val="009A77A3"/>
    <w:rsid w:val="009B1041"/>
    <w:rsid w:val="009B119C"/>
    <w:rsid w:val="009B142A"/>
    <w:rsid w:val="009B1442"/>
    <w:rsid w:val="009B1A7E"/>
    <w:rsid w:val="009B29E4"/>
    <w:rsid w:val="009B3C75"/>
    <w:rsid w:val="009B5BC4"/>
    <w:rsid w:val="009B69DD"/>
    <w:rsid w:val="009B6C89"/>
    <w:rsid w:val="009C0262"/>
    <w:rsid w:val="009C0C9B"/>
    <w:rsid w:val="009C1137"/>
    <w:rsid w:val="009C1144"/>
    <w:rsid w:val="009C116A"/>
    <w:rsid w:val="009C1932"/>
    <w:rsid w:val="009C1C3A"/>
    <w:rsid w:val="009C2798"/>
    <w:rsid w:val="009C3A43"/>
    <w:rsid w:val="009C50E2"/>
    <w:rsid w:val="009C51CE"/>
    <w:rsid w:val="009C56F5"/>
    <w:rsid w:val="009C73B0"/>
    <w:rsid w:val="009D0421"/>
    <w:rsid w:val="009D295F"/>
    <w:rsid w:val="009D2CCD"/>
    <w:rsid w:val="009D30E4"/>
    <w:rsid w:val="009D3228"/>
    <w:rsid w:val="009D3728"/>
    <w:rsid w:val="009D42FC"/>
    <w:rsid w:val="009D4367"/>
    <w:rsid w:val="009D46D6"/>
    <w:rsid w:val="009D481E"/>
    <w:rsid w:val="009D4A22"/>
    <w:rsid w:val="009D550C"/>
    <w:rsid w:val="009D559B"/>
    <w:rsid w:val="009D5885"/>
    <w:rsid w:val="009D606A"/>
    <w:rsid w:val="009D63B7"/>
    <w:rsid w:val="009D6A73"/>
    <w:rsid w:val="009D7070"/>
    <w:rsid w:val="009D7CFA"/>
    <w:rsid w:val="009E0D98"/>
    <w:rsid w:val="009E0F9B"/>
    <w:rsid w:val="009E10CE"/>
    <w:rsid w:val="009E1DF5"/>
    <w:rsid w:val="009E2393"/>
    <w:rsid w:val="009E45FA"/>
    <w:rsid w:val="009E47B6"/>
    <w:rsid w:val="009E6DF0"/>
    <w:rsid w:val="009E7132"/>
    <w:rsid w:val="009F0211"/>
    <w:rsid w:val="009F0A8E"/>
    <w:rsid w:val="009F2510"/>
    <w:rsid w:val="009F33D4"/>
    <w:rsid w:val="009F3660"/>
    <w:rsid w:val="009F40E6"/>
    <w:rsid w:val="009F486B"/>
    <w:rsid w:val="009F4A82"/>
    <w:rsid w:val="009F4F90"/>
    <w:rsid w:val="009F52F3"/>
    <w:rsid w:val="009F6E13"/>
    <w:rsid w:val="009F736B"/>
    <w:rsid w:val="00A002E2"/>
    <w:rsid w:val="00A00865"/>
    <w:rsid w:val="00A01CAB"/>
    <w:rsid w:val="00A01F3D"/>
    <w:rsid w:val="00A024F0"/>
    <w:rsid w:val="00A029FA"/>
    <w:rsid w:val="00A02E89"/>
    <w:rsid w:val="00A02ED6"/>
    <w:rsid w:val="00A03C11"/>
    <w:rsid w:val="00A04881"/>
    <w:rsid w:val="00A05597"/>
    <w:rsid w:val="00A055E4"/>
    <w:rsid w:val="00A06165"/>
    <w:rsid w:val="00A0672A"/>
    <w:rsid w:val="00A070CE"/>
    <w:rsid w:val="00A11BF5"/>
    <w:rsid w:val="00A121EF"/>
    <w:rsid w:val="00A1229D"/>
    <w:rsid w:val="00A13251"/>
    <w:rsid w:val="00A14B4F"/>
    <w:rsid w:val="00A14E0E"/>
    <w:rsid w:val="00A156D0"/>
    <w:rsid w:val="00A20C04"/>
    <w:rsid w:val="00A21F73"/>
    <w:rsid w:val="00A22659"/>
    <w:rsid w:val="00A23653"/>
    <w:rsid w:val="00A2385A"/>
    <w:rsid w:val="00A23C74"/>
    <w:rsid w:val="00A2415C"/>
    <w:rsid w:val="00A258D5"/>
    <w:rsid w:val="00A25CD8"/>
    <w:rsid w:val="00A263BA"/>
    <w:rsid w:val="00A271C2"/>
    <w:rsid w:val="00A27540"/>
    <w:rsid w:val="00A30A78"/>
    <w:rsid w:val="00A30FBE"/>
    <w:rsid w:val="00A31817"/>
    <w:rsid w:val="00A319C4"/>
    <w:rsid w:val="00A319F8"/>
    <w:rsid w:val="00A323D1"/>
    <w:rsid w:val="00A328AD"/>
    <w:rsid w:val="00A32CEE"/>
    <w:rsid w:val="00A33DD0"/>
    <w:rsid w:val="00A352C7"/>
    <w:rsid w:val="00A36173"/>
    <w:rsid w:val="00A36B01"/>
    <w:rsid w:val="00A379D8"/>
    <w:rsid w:val="00A40492"/>
    <w:rsid w:val="00A40FD0"/>
    <w:rsid w:val="00A42A80"/>
    <w:rsid w:val="00A45600"/>
    <w:rsid w:val="00A45E43"/>
    <w:rsid w:val="00A46E72"/>
    <w:rsid w:val="00A471B6"/>
    <w:rsid w:val="00A5023C"/>
    <w:rsid w:val="00A523B2"/>
    <w:rsid w:val="00A524E9"/>
    <w:rsid w:val="00A52640"/>
    <w:rsid w:val="00A52BF3"/>
    <w:rsid w:val="00A52C67"/>
    <w:rsid w:val="00A532ED"/>
    <w:rsid w:val="00A53E71"/>
    <w:rsid w:val="00A54C8E"/>
    <w:rsid w:val="00A55050"/>
    <w:rsid w:val="00A55638"/>
    <w:rsid w:val="00A55E38"/>
    <w:rsid w:val="00A56718"/>
    <w:rsid w:val="00A57A6C"/>
    <w:rsid w:val="00A60B69"/>
    <w:rsid w:val="00A61B17"/>
    <w:rsid w:val="00A6256D"/>
    <w:rsid w:val="00A63668"/>
    <w:rsid w:val="00A63F56"/>
    <w:rsid w:val="00A65557"/>
    <w:rsid w:val="00A65947"/>
    <w:rsid w:val="00A65BA9"/>
    <w:rsid w:val="00A66086"/>
    <w:rsid w:val="00A67C11"/>
    <w:rsid w:val="00A700DC"/>
    <w:rsid w:val="00A70CA4"/>
    <w:rsid w:val="00A70D8E"/>
    <w:rsid w:val="00A729AA"/>
    <w:rsid w:val="00A7301F"/>
    <w:rsid w:val="00A734E7"/>
    <w:rsid w:val="00A7553C"/>
    <w:rsid w:val="00A75AF9"/>
    <w:rsid w:val="00A762FE"/>
    <w:rsid w:val="00A76543"/>
    <w:rsid w:val="00A76A13"/>
    <w:rsid w:val="00A76D31"/>
    <w:rsid w:val="00A77C32"/>
    <w:rsid w:val="00A77CB9"/>
    <w:rsid w:val="00A81C9F"/>
    <w:rsid w:val="00A81FC5"/>
    <w:rsid w:val="00A8253F"/>
    <w:rsid w:val="00A82699"/>
    <w:rsid w:val="00A82FC1"/>
    <w:rsid w:val="00A83194"/>
    <w:rsid w:val="00A83FEC"/>
    <w:rsid w:val="00A84468"/>
    <w:rsid w:val="00A855CE"/>
    <w:rsid w:val="00A85FD7"/>
    <w:rsid w:val="00A86496"/>
    <w:rsid w:val="00A86FF2"/>
    <w:rsid w:val="00A87449"/>
    <w:rsid w:val="00A87725"/>
    <w:rsid w:val="00A87DC3"/>
    <w:rsid w:val="00A915D9"/>
    <w:rsid w:val="00A92498"/>
    <w:rsid w:val="00A93676"/>
    <w:rsid w:val="00A939FA"/>
    <w:rsid w:val="00A94220"/>
    <w:rsid w:val="00A958F9"/>
    <w:rsid w:val="00A969F5"/>
    <w:rsid w:val="00A9754D"/>
    <w:rsid w:val="00A97C6E"/>
    <w:rsid w:val="00AA1534"/>
    <w:rsid w:val="00AA24AE"/>
    <w:rsid w:val="00AA2D09"/>
    <w:rsid w:val="00AA3B89"/>
    <w:rsid w:val="00AA3D37"/>
    <w:rsid w:val="00AA466C"/>
    <w:rsid w:val="00AA541B"/>
    <w:rsid w:val="00AA6FE5"/>
    <w:rsid w:val="00AA7575"/>
    <w:rsid w:val="00AA7C34"/>
    <w:rsid w:val="00AB017F"/>
    <w:rsid w:val="00AB0D64"/>
    <w:rsid w:val="00AB2118"/>
    <w:rsid w:val="00AB2628"/>
    <w:rsid w:val="00AB2CFE"/>
    <w:rsid w:val="00AB3BB4"/>
    <w:rsid w:val="00AB4FBB"/>
    <w:rsid w:val="00AB5556"/>
    <w:rsid w:val="00AB775C"/>
    <w:rsid w:val="00AC045B"/>
    <w:rsid w:val="00AC1C97"/>
    <w:rsid w:val="00AC1F71"/>
    <w:rsid w:val="00AC2D50"/>
    <w:rsid w:val="00AC377E"/>
    <w:rsid w:val="00AC3AB0"/>
    <w:rsid w:val="00AC40BF"/>
    <w:rsid w:val="00AC4410"/>
    <w:rsid w:val="00AC467A"/>
    <w:rsid w:val="00AC5613"/>
    <w:rsid w:val="00AC6266"/>
    <w:rsid w:val="00AC68E2"/>
    <w:rsid w:val="00AC6D8F"/>
    <w:rsid w:val="00AC6E99"/>
    <w:rsid w:val="00AD09C4"/>
    <w:rsid w:val="00AD125E"/>
    <w:rsid w:val="00AD1D4B"/>
    <w:rsid w:val="00AD29CB"/>
    <w:rsid w:val="00AD455E"/>
    <w:rsid w:val="00AD56E2"/>
    <w:rsid w:val="00AD74A1"/>
    <w:rsid w:val="00AE0589"/>
    <w:rsid w:val="00AE1D2C"/>
    <w:rsid w:val="00AE2118"/>
    <w:rsid w:val="00AE2AA7"/>
    <w:rsid w:val="00AE376A"/>
    <w:rsid w:val="00AE4F6A"/>
    <w:rsid w:val="00AE5653"/>
    <w:rsid w:val="00AE6C83"/>
    <w:rsid w:val="00AE75D4"/>
    <w:rsid w:val="00AE7CAC"/>
    <w:rsid w:val="00AF00B6"/>
    <w:rsid w:val="00AF03AC"/>
    <w:rsid w:val="00AF055C"/>
    <w:rsid w:val="00AF0AF4"/>
    <w:rsid w:val="00AF0B41"/>
    <w:rsid w:val="00AF0DE9"/>
    <w:rsid w:val="00AF121B"/>
    <w:rsid w:val="00AF20FF"/>
    <w:rsid w:val="00AF21AF"/>
    <w:rsid w:val="00AF7171"/>
    <w:rsid w:val="00B00933"/>
    <w:rsid w:val="00B00A4F"/>
    <w:rsid w:val="00B00F00"/>
    <w:rsid w:val="00B015B1"/>
    <w:rsid w:val="00B02AF1"/>
    <w:rsid w:val="00B03905"/>
    <w:rsid w:val="00B03D57"/>
    <w:rsid w:val="00B043B2"/>
    <w:rsid w:val="00B05189"/>
    <w:rsid w:val="00B05C7F"/>
    <w:rsid w:val="00B07CE3"/>
    <w:rsid w:val="00B07FC9"/>
    <w:rsid w:val="00B1045F"/>
    <w:rsid w:val="00B1225F"/>
    <w:rsid w:val="00B1245F"/>
    <w:rsid w:val="00B12DAB"/>
    <w:rsid w:val="00B1303B"/>
    <w:rsid w:val="00B13614"/>
    <w:rsid w:val="00B15247"/>
    <w:rsid w:val="00B15EAF"/>
    <w:rsid w:val="00B16CE3"/>
    <w:rsid w:val="00B1709F"/>
    <w:rsid w:val="00B20917"/>
    <w:rsid w:val="00B209BD"/>
    <w:rsid w:val="00B20F38"/>
    <w:rsid w:val="00B21BB7"/>
    <w:rsid w:val="00B227E2"/>
    <w:rsid w:val="00B22D14"/>
    <w:rsid w:val="00B22FA9"/>
    <w:rsid w:val="00B2434F"/>
    <w:rsid w:val="00B24644"/>
    <w:rsid w:val="00B24A38"/>
    <w:rsid w:val="00B25088"/>
    <w:rsid w:val="00B25888"/>
    <w:rsid w:val="00B25EA5"/>
    <w:rsid w:val="00B27323"/>
    <w:rsid w:val="00B27C74"/>
    <w:rsid w:val="00B30834"/>
    <w:rsid w:val="00B31927"/>
    <w:rsid w:val="00B3263C"/>
    <w:rsid w:val="00B32B2F"/>
    <w:rsid w:val="00B32B70"/>
    <w:rsid w:val="00B334EB"/>
    <w:rsid w:val="00B348C0"/>
    <w:rsid w:val="00B348E7"/>
    <w:rsid w:val="00B34D5A"/>
    <w:rsid w:val="00B366E9"/>
    <w:rsid w:val="00B40915"/>
    <w:rsid w:val="00B41AFC"/>
    <w:rsid w:val="00B42517"/>
    <w:rsid w:val="00B432B5"/>
    <w:rsid w:val="00B43D7E"/>
    <w:rsid w:val="00B442D0"/>
    <w:rsid w:val="00B452B3"/>
    <w:rsid w:val="00B45813"/>
    <w:rsid w:val="00B45EBB"/>
    <w:rsid w:val="00B46069"/>
    <w:rsid w:val="00B477AF"/>
    <w:rsid w:val="00B5312D"/>
    <w:rsid w:val="00B53726"/>
    <w:rsid w:val="00B54345"/>
    <w:rsid w:val="00B54CFE"/>
    <w:rsid w:val="00B5510F"/>
    <w:rsid w:val="00B565DE"/>
    <w:rsid w:val="00B56B2F"/>
    <w:rsid w:val="00B5748B"/>
    <w:rsid w:val="00B576F2"/>
    <w:rsid w:val="00B579D4"/>
    <w:rsid w:val="00B60012"/>
    <w:rsid w:val="00B60274"/>
    <w:rsid w:val="00B6270D"/>
    <w:rsid w:val="00B62943"/>
    <w:rsid w:val="00B62E82"/>
    <w:rsid w:val="00B63909"/>
    <w:rsid w:val="00B64043"/>
    <w:rsid w:val="00B64601"/>
    <w:rsid w:val="00B64898"/>
    <w:rsid w:val="00B65B5E"/>
    <w:rsid w:val="00B65D8D"/>
    <w:rsid w:val="00B67710"/>
    <w:rsid w:val="00B7157B"/>
    <w:rsid w:val="00B71708"/>
    <w:rsid w:val="00B72605"/>
    <w:rsid w:val="00B73DF0"/>
    <w:rsid w:val="00B740C2"/>
    <w:rsid w:val="00B751CB"/>
    <w:rsid w:val="00B75288"/>
    <w:rsid w:val="00B76171"/>
    <w:rsid w:val="00B76F9A"/>
    <w:rsid w:val="00B77D39"/>
    <w:rsid w:val="00B8010D"/>
    <w:rsid w:val="00B81447"/>
    <w:rsid w:val="00B822C2"/>
    <w:rsid w:val="00B82684"/>
    <w:rsid w:val="00B83A2D"/>
    <w:rsid w:val="00B83F47"/>
    <w:rsid w:val="00B8433F"/>
    <w:rsid w:val="00B84DD6"/>
    <w:rsid w:val="00B8541F"/>
    <w:rsid w:val="00B85CD5"/>
    <w:rsid w:val="00B8675C"/>
    <w:rsid w:val="00B87FC9"/>
    <w:rsid w:val="00B90025"/>
    <w:rsid w:val="00B91291"/>
    <w:rsid w:val="00B9226A"/>
    <w:rsid w:val="00B938C1"/>
    <w:rsid w:val="00B93ADA"/>
    <w:rsid w:val="00B94B5E"/>
    <w:rsid w:val="00B95B2A"/>
    <w:rsid w:val="00B95CAC"/>
    <w:rsid w:val="00B9708A"/>
    <w:rsid w:val="00BA065F"/>
    <w:rsid w:val="00BA2168"/>
    <w:rsid w:val="00BA25BD"/>
    <w:rsid w:val="00BA3938"/>
    <w:rsid w:val="00BA463F"/>
    <w:rsid w:val="00BA4A60"/>
    <w:rsid w:val="00BA580B"/>
    <w:rsid w:val="00BA5BA1"/>
    <w:rsid w:val="00BA5CF8"/>
    <w:rsid w:val="00BA6818"/>
    <w:rsid w:val="00BA68C3"/>
    <w:rsid w:val="00BA73E0"/>
    <w:rsid w:val="00BB0978"/>
    <w:rsid w:val="00BB2633"/>
    <w:rsid w:val="00BB4EE1"/>
    <w:rsid w:val="00BB5256"/>
    <w:rsid w:val="00BB5C44"/>
    <w:rsid w:val="00BB6D10"/>
    <w:rsid w:val="00BB757F"/>
    <w:rsid w:val="00BB7592"/>
    <w:rsid w:val="00BB7761"/>
    <w:rsid w:val="00BB7805"/>
    <w:rsid w:val="00BB7CE5"/>
    <w:rsid w:val="00BC0062"/>
    <w:rsid w:val="00BC0443"/>
    <w:rsid w:val="00BC04B4"/>
    <w:rsid w:val="00BC0822"/>
    <w:rsid w:val="00BC0DE7"/>
    <w:rsid w:val="00BC0EAD"/>
    <w:rsid w:val="00BC0FB4"/>
    <w:rsid w:val="00BC1862"/>
    <w:rsid w:val="00BC2181"/>
    <w:rsid w:val="00BC2681"/>
    <w:rsid w:val="00BC289D"/>
    <w:rsid w:val="00BC2A43"/>
    <w:rsid w:val="00BC3BB6"/>
    <w:rsid w:val="00BC3E95"/>
    <w:rsid w:val="00BC5542"/>
    <w:rsid w:val="00BC6BEE"/>
    <w:rsid w:val="00BC7A59"/>
    <w:rsid w:val="00BD046C"/>
    <w:rsid w:val="00BD057B"/>
    <w:rsid w:val="00BD0A59"/>
    <w:rsid w:val="00BD0C6F"/>
    <w:rsid w:val="00BD34C4"/>
    <w:rsid w:val="00BD3CCE"/>
    <w:rsid w:val="00BD3E3E"/>
    <w:rsid w:val="00BD56D5"/>
    <w:rsid w:val="00BD58CF"/>
    <w:rsid w:val="00BD6091"/>
    <w:rsid w:val="00BD701B"/>
    <w:rsid w:val="00BE1DB8"/>
    <w:rsid w:val="00BE1F25"/>
    <w:rsid w:val="00BE2371"/>
    <w:rsid w:val="00BE2461"/>
    <w:rsid w:val="00BE423C"/>
    <w:rsid w:val="00BE4703"/>
    <w:rsid w:val="00BE5093"/>
    <w:rsid w:val="00BE7114"/>
    <w:rsid w:val="00BE724D"/>
    <w:rsid w:val="00BF0D8B"/>
    <w:rsid w:val="00BF10C5"/>
    <w:rsid w:val="00BF2008"/>
    <w:rsid w:val="00BF3504"/>
    <w:rsid w:val="00BF36B9"/>
    <w:rsid w:val="00BF3FB2"/>
    <w:rsid w:val="00BF519D"/>
    <w:rsid w:val="00BF5A24"/>
    <w:rsid w:val="00BF6052"/>
    <w:rsid w:val="00BF7818"/>
    <w:rsid w:val="00C00673"/>
    <w:rsid w:val="00C01185"/>
    <w:rsid w:val="00C013C9"/>
    <w:rsid w:val="00C01B5A"/>
    <w:rsid w:val="00C02165"/>
    <w:rsid w:val="00C02BCD"/>
    <w:rsid w:val="00C03418"/>
    <w:rsid w:val="00C035E7"/>
    <w:rsid w:val="00C045C1"/>
    <w:rsid w:val="00C05896"/>
    <w:rsid w:val="00C05BC8"/>
    <w:rsid w:val="00C05D5B"/>
    <w:rsid w:val="00C05FBD"/>
    <w:rsid w:val="00C06324"/>
    <w:rsid w:val="00C1024E"/>
    <w:rsid w:val="00C102B5"/>
    <w:rsid w:val="00C1038E"/>
    <w:rsid w:val="00C10E7E"/>
    <w:rsid w:val="00C110EA"/>
    <w:rsid w:val="00C113E4"/>
    <w:rsid w:val="00C1227C"/>
    <w:rsid w:val="00C136E5"/>
    <w:rsid w:val="00C1410A"/>
    <w:rsid w:val="00C146F5"/>
    <w:rsid w:val="00C154F7"/>
    <w:rsid w:val="00C157D9"/>
    <w:rsid w:val="00C20B72"/>
    <w:rsid w:val="00C213DF"/>
    <w:rsid w:val="00C21B67"/>
    <w:rsid w:val="00C22DD3"/>
    <w:rsid w:val="00C23F2E"/>
    <w:rsid w:val="00C25448"/>
    <w:rsid w:val="00C27426"/>
    <w:rsid w:val="00C300D3"/>
    <w:rsid w:val="00C30137"/>
    <w:rsid w:val="00C30E28"/>
    <w:rsid w:val="00C31639"/>
    <w:rsid w:val="00C31850"/>
    <w:rsid w:val="00C31F14"/>
    <w:rsid w:val="00C31F69"/>
    <w:rsid w:val="00C3280E"/>
    <w:rsid w:val="00C34E82"/>
    <w:rsid w:val="00C350F3"/>
    <w:rsid w:val="00C365F5"/>
    <w:rsid w:val="00C368E6"/>
    <w:rsid w:val="00C36FD8"/>
    <w:rsid w:val="00C37472"/>
    <w:rsid w:val="00C37DA3"/>
    <w:rsid w:val="00C4119F"/>
    <w:rsid w:val="00C41E90"/>
    <w:rsid w:val="00C42D39"/>
    <w:rsid w:val="00C42F48"/>
    <w:rsid w:val="00C43860"/>
    <w:rsid w:val="00C4537A"/>
    <w:rsid w:val="00C459C0"/>
    <w:rsid w:val="00C46676"/>
    <w:rsid w:val="00C4740B"/>
    <w:rsid w:val="00C4749C"/>
    <w:rsid w:val="00C4776B"/>
    <w:rsid w:val="00C5243F"/>
    <w:rsid w:val="00C5258F"/>
    <w:rsid w:val="00C527C8"/>
    <w:rsid w:val="00C52D08"/>
    <w:rsid w:val="00C54521"/>
    <w:rsid w:val="00C54E5A"/>
    <w:rsid w:val="00C54FCA"/>
    <w:rsid w:val="00C600DE"/>
    <w:rsid w:val="00C60EDA"/>
    <w:rsid w:val="00C6268C"/>
    <w:rsid w:val="00C67ADA"/>
    <w:rsid w:val="00C70DD5"/>
    <w:rsid w:val="00C71BF2"/>
    <w:rsid w:val="00C74B52"/>
    <w:rsid w:val="00C74E41"/>
    <w:rsid w:val="00C75C44"/>
    <w:rsid w:val="00C76F61"/>
    <w:rsid w:val="00C81EBF"/>
    <w:rsid w:val="00C82B67"/>
    <w:rsid w:val="00C82C4E"/>
    <w:rsid w:val="00C83F78"/>
    <w:rsid w:val="00C840FC"/>
    <w:rsid w:val="00C849CB"/>
    <w:rsid w:val="00C84E24"/>
    <w:rsid w:val="00C86691"/>
    <w:rsid w:val="00C873AD"/>
    <w:rsid w:val="00C87DEA"/>
    <w:rsid w:val="00C900A9"/>
    <w:rsid w:val="00C91887"/>
    <w:rsid w:val="00C91A03"/>
    <w:rsid w:val="00C91EA8"/>
    <w:rsid w:val="00C93A87"/>
    <w:rsid w:val="00C94BA6"/>
    <w:rsid w:val="00C95168"/>
    <w:rsid w:val="00C9552C"/>
    <w:rsid w:val="00C958E0"/>
    <w:rsid w:val="00C95C25"/>
    <w:rsid w:val="00C97733"/>
    <w:rsid w:val="00CA05FB"/>
    <w:rsid w:val="00CA1503"/>
    <w:rsid w:val="00CA1D1E"/>
    <w:rsid w:val="00CA2504"/>
    <w:rsid w:val="00CA2614"/>
    <w:rsid w:val="00CA2748"/>
    <w:rsid w:val="00CA2822"/>
    <w:rsid w:val="00CA3AB6"/>
    <w:rsid w:val="00CA4BAB"/>
    <w:rsid w:val="00CA4FE8"/>
    <w:rsid w:val="00CA6616"/>
    <w:rsid w:val="00CA668A"/>
    <w:rsid w:val="00CA6D00"/>
    <w:rsid w:val="00CA7AD9"/>
    <w:rsid w:val="00CB0359"/>
    <w:rsid w:val="00CB0741"/>
    <w:rsid w:val="00CB1ABB"/>
    <w:rsid w:val="00CB1F83"/>
    <w:rsid w:val="00CB2651"/>
    <w:rsid w:val="00CB2DA3"/>
    <w:rsid w:val="00CB4158"/>
    <w:rsid w:val="00CB4BA4"/>
    <w:rsid w:val="00CB5800"/>
    <w:rsid w:val="00CB6C30"/>
    <w:rsid w:val="00CB7B81"/>
    <w:rsid w:val="00CB7ECC"/>
    <w:rsid w:val="00CC03C6"/>
    <w:rsid w:val="00CC0427"/>
    <w:rsid w:val="00CC185D"/>
    <w:rsid w:val="00CC2878"/>
    <w:rsid w:val="00CC355E"/>
    <w:rsid w:val="00CC3772"/>
    <w:rsid w:val="00CC3F77"/>
    <w:rsid w:val="00CC4031"/>
    <w:rsid w:val="00CC4302"/>
    <w:rsid w:val="00CC4526"/>
    <w:rsid w:val="00CC4A7B"/>
    <w:rsid w:val="00CC4ADD"/>
    <w:rsid w:val="00CC4FBE"/>
    <w:rsid w:val="00CC57F2"/>
    <w:rsid w:val="00CC7C37"/>
    <w:rsid w:val="00CD064D"/>
    <w:rsid w:val="00CD0AE5"/>
    <w:rsid w:val="00CD211D"/>
    <w:rsid w:val="00CD253C"/>
    <w:rsid w:val="00CD2B9F"/>
    <w:rsid w:val="00CD3A75"/>
    <w:rsid w:val="00CD3FB3"/>
    <w:rsid w:val="00CD7010"/>
    <w:rsid w:val="00CD73B0"/>
    <w:rsid w:val="00CD7D58"/>
    <w:rsid w:val="00CE1E18"/>
    <w:rsid w:val="00CE340F"/>
    <w:rsid w:val="00CE3C5B"/>
    <w:rsid w:val="00CE3F5F"/>
    <w:rsid w:val="00CE40A4"/>
    <w:rsid w:val="00CE4484"/>
    <w:rsid w:val="00CE4E0C"/>
    <w:rsid w:val="00CE5376"/>
    <w:rsid w:val="00CE55FE"/>
    <w:rsid w:val="00CE6A64"/>
    <w:rsid w:val="00CF0596"/>
    <w:rsid w:val="00CF08A2"/>
    <w:rsid w:val="00CF128C"/>
    <w:rsid w:val="00CF20A8"/>
    <w:rsid w:val="00CF33E4"/>
    <w:rsid w:val="00CF3728"/>
    <w:rsid w:val="00CF6F8A"/>
    <w:rsid w:val="00CF7827"/>
    <w:rsid w:val="00D0000C"/>
    <w:rsid w:val="00D0023D"/>
    <w:rsid w:val="00D0041B"/>
    <w:rsid w:val="00D00619"/>
    <w:rsid w:val="00D009F1"/>
    <w:rsid w:val="00D01CA2"/>
    <w:rsid w:val="00D02F70"/>
    <w:rsid w:val="00D038C5"/>
    <w:rsid w:val="00D041B7"/>
    <w:rsid w:val="00D0757B"/>
    <w:rsid w:val="00D07B32"/>
    <w:rsid w:val="00D104F8"/>
    <w:rsid w:val="00D119D6"/>
    <w:rsid w:val="00D12773"/>
    <w:rsid w:val="00D133E1"/>
    <w:rsid w:val="00D148A5"/>
    <w:rsid w:val="00D14EC9"/>
    <w:rsid w:val="00D16563"/>
    <w:rsid w:val="00D16FA4"/>
    <w:rsid w:val="00D21F00"/>
    <w:rsid w:val="00D24591"/>
    <w:rsid w:val="00D24FC5"/>
    <w:rsid w:val="00D26EC9"/>
    <w:rsid w:val="00D27861"/>
    <w:rsid w:val="00D27884"/>
    <w:rsid w:val="00D279C2"/>
    <w:rsid w:val="00D27DB5"/>
    <w:rsid w:val="00D30128"/>
    <w:rsid w:val="00D30862"/>
    <w:rsid w:val="00D30C96"/>
    <w:rsid w:val="00D30D6E"/>
    <w:rsid w:val="00D311D6"/>
    <w:rsid w:val="00D31774"/>
    <w:rsid w:val="00D317DA"/>
    <w:rsid w:val="00D31996"/>
    <w:rsid w:val="00D33170"/>
    <w:rsid w:val="00D33E3D"/>
    <w:rsid w:val="00D34BC2"/>
    <w:rsid w:val="00D357AA"/>
    <w:rsid w:val="00D3628A"/>
    <w:rsid w:val="00D364CC"/>
    <w:rsid w:val="00D37A5D"/>
    <w:rsid w:val="00D37AD9"/>
    <w:rsid w:val="00D4063D"/>
    <w:rsid w:val="00D40F73"/>
    <w:rsid w:val="00D41E1C"/>
    <w:rsid w:val="00D43906"/>
    <w:rsid w:val="00D43E27"/>
    <w:rsid w:val="00D44E5F"/>
    <w:rsid w:val="00D4640C"/>
    <w:rsid w:val="00D46620"/>
    <w:rsid w:val="00D46FF5"/>
    <w:rsid w:val="00D5000D"/>
    <w:rsid w:val="00D50CF0"/>
    <w:rsid w:val="00D516C2"/>
    <w:rsid w:val="00D51D4D"/>
    <w:rsid w:val="00D5320B"/>
    <w:rsid w:val="00D54060"/>
    <w:rsid w:val="00D546B8"/>
    <w:rsid w:val="00D54EE4"/>
    <w:rsid w:val="00D55158"/>
    <w:rsid w:val="00D55469"/>
    <w:rsid w:val="00D55BC4"/>
    <w:rsid w:val="00D55D27"/>
    <w:rsid w:val="00D5604A"/>
    <w:rsid w:val="00D56B88"/>
    <w:rsid w:val="00D62859"/>
    <w:rsid w:val="00D62FC4"/>
    <w:rsid w:val="00D646F3"/>
    <w:rsid w:val="00D64D93"/>
    <w:rsid w:val="00D661A2"/>
    <w:rsid w:val="00D66776"/>
    <w:rsid w:val="00D676CE"/>
    <w:rsid w:val="00D70918"/>
    <w:rsid w:val="00D70EF5"/>
    <w:rsid w:val="00D71021"/>
    <w:rsid w:val="00D71BF2"/>
    <w:rsid w:val="00D72B20"/>
    <w:rsid w:val="00D72B39"/>
    <w:rsid w:val="00D72FFB"/>
    <w:rsid w:val="00D735AC"/>
    <w:rsid w:val="00D73C89"/>
    <w:rsid w:val="00D7646B"/>
    <w:rsid w:val="00D77865"/>
    <w:rsid w:val="00D807C4"/>
    <w:rsid w:val="00D80A1D"/>
    <w:rsid w:val="00D824ED"/>
    <w:rsid w:val="00D82769"/>
    <w:rsid w:val="00D8276C"/>
    <w:rsid w:val="00D82A0A"/>
    <w:rsid w:val="00D83239"/>
    <w:rsid w:val="00D835A8"/>
    <w:rsid w:val="00D83B10"/>
    <w:rsid w:val="00D83B7A"/>
    <w:rsid w:val="00D844D8"/>
    <w:rsid w:val="00D84C2A"/>
    <w:rsid w:val="00D8521C"/>
    <w:rsid w:val="00D857E0"/>
    <w:rsid w:val="00D901E2"/>
    <w:rsid w:val="00D92439"/>
    <w:rsid w:val="00D9266B"/>
    <w:rsid w:val="00D9376B"/>
    <w:rsid w:val="00D962FD"/>
    <w:rsid w:val="00DA0C41"/>
    <w:rsid w:val="00DA1A7A"/>
    <w:rsid w:val="00DA1C6C"/>
    <w:rsid w:val="00DA208D"/>
    <w:rsid w:val="00DA25DB"/>
    <w:rsid w:val="00DA2ABC"/>
    <w:rsid w:val="00DA3208"/>
    <w:rsid w:val="00DA6ABB"/>
    <w:rsid w:val="00DA70F0"/>
    <w:rsid w:val="00DA71C2"/>
    <w:rsid w:val="00DA76AB"/>
    <w:rsid w:val="00DB2275"/>
    <w:rsid w:val="00DB2601"/>
    <w:rsid w:val="00DB2FFA"/>
    <w:rsid w:val="00DB3180"/>
    <w:rsid w:val="00DB4ADB"/>
    <w:rsid w:val="00DB5375"/>
    <w:rsid w:val="00DB5B7A"/>
    <w:rsid w:val="00DB6DC9"/>
    <w:rsid w:val="00DB7354"/>
    <w:rsid w:val="00DC15E8"/>
    <w:rsid w:val="00DC243E"/>
    <w:rsid w:val="00DC387F"/>
    <w:rsid w:val="00DC3E92"/>
    <w:rsid w:val="00DC496F"/>
    <w:rsid w:val="00DC647F"/>
    <w:rsid w:val="00DC7156"/>
    <w:rsid w:val="00DC7B02"/>
    <w:rsid w:val="00DD0950"/>
    <w:rsid w:val="00DD1B25"/>
    <w:rsid w:val="00DD1CF0"/>
    <w:rsid w:val="00DD229D"/>
    <w:rsid w:val="00DD3E78"/>
    <w:rsid w:val="00DD440D"/>
    <w:rsid w:val="00DD597A"/>
    <w:rsid w:val="00DD5CD9"/>
    <w:rsid w:val="00DD68FC"/>
    <w:rsid w:val="00DE131C"/>
    <w:rsid w:val="00DE19A0"/>
    <w:rsid w:val="00DE222F"/>
    <w:rsid w:val="00DE2642"/>
    <w:rsid w:val="00DE2EFC"/>
    <w:rsid w:val="00DE2FB6"/>
    <w:rsid w:val="00DE52C4"/>
    <w:rsid w:val="00DE56D3"/>
    <w:rsid w:val="00DE65E9"/>
    <w:rsid w:val="00DE794E"/>
    <w:rsid w:val="00DE7B1A"/>
    <w:rsid w:val="00DE7D23"/>
    <w:rsid w:val="00DF074F"/>
    <w:rsid w:val="00DF13C4"/>
    <w:rsid w:val="00DF22B9"/>
    <w:rsid w:val="00DF28F8"/>
    <w:rsid w:val="00DF5758"/>
    <w:rsid w:val="00DF5B54"/>
    <w:rsid w:val="00DF725A"/>
    <w:rsid w:val="00DF75DB"/>
    <w:rsid w:val="00DF7C20"/>
    <w:rsid w:val="00E00420"/>
    <w:rsid w:val="00E022F1"/>
    <w:rsid w:val="00E028DA"/>
    <w:rsid w:val="00E0580F"/>
    <w:rsid w:val="00E058C5"/>
    <w:rsid w:val="00E05BDB"/>
    <w:rsid w:val="00E05C02"/>
    <w:rsid w:val="00E10D8A"/>
    <w:rsid w:val="00E13AC9"/>
    <w:rsid w:val="00E142AE"/>
    <w:rsid w:val="00E154D6"/>
    <w:rsid w:val="00E15713"/>
    <w:rsid w:val="00E1616A"/>
    <w:rsid w:val="00E168EB"/>
    <w:rsid w:val="00E16912"/>
    <w:rsid w:val="00E16E15"/>
    <w:rsid w:val="00E16E59"/>
    <w:rsid w:val="00E177EA"/>
    <w:rsid w:val="00E200CC"/>
    <w:rsid w:val="00E20E36"/>
    <w:rsid w:val="00E20E49"/>
    <w:rsid w:val="00E24BBE"/>
    <w:rsid w:val="00E24BE9"/>
    <w:rsid w:val="00E25E7E"/>
    <w:rsid w:val="00E262A7"/>
    <w:rsid w:val="00E26C39"/>
    <w:rsid w:val="00E27326"/>
    <w:rsid w:val="00E322D4"/>
    <w:rsid w:val="00E32B1B"/>
    <w:rsid w:val="00E33E9C"/>
    <w:rsid w:val="00E3447B"/>
    <w:rsid w:val="00E34FEB"/>
    <w:rsid w:val="00E3583A"/>
    <w:rsid w:val="00E3633D"/>
    <w:rsid w:val="00E369E0"/>
    <w:rsid w:val="00E37828"/>
    <w:rsid w:val="00E37D32"/>
    <w:rsid w:val="00E403FD"/>
    <w:rsid w:val="00E41138"/>
    <w:rsid w:val="00E41C66"/>
    <w:rsid w:val="00E4293E"/>
    <w:rsid w:val="00E433A7"/>
    <w:rsid w:val="00E45A98"/>
    <w:rsid w:val="00E46840"/>
    <w:rsid w:val="00E47C6E"/>
    <w:rsid w:val="00E523EB"/>
    <w:rsid w:val="00E52FC4"/>
    <w:rsid w:val="00E533B1"/>
    <w:rsid w:val="00E53415"/>
    <w:rsid w:val="00E53738"/>
    <w:rsid w:val="00E53A2B"/>
    <w:rsid w:val="00E54214"/>
    <w:rsid w:val="00E54510"/>
    <w:rsid w:val="00E555C1"/>
    <w:rsid w:val="00E559D1"/>
    <w:rsid w:val="00E5640D"/>
    <w:rsid w:val="00E56919"/>
    <w:rsid w:val="00E56EB0"/>
    <w:rsid w:val="00E570B5"/>
    <w:rsid w:val="00E57560"/>
    <w:rsid w:val="00E606E7"/>
    <w:rsid w:val="00E62F5B"/>
    <w:rsid w:val="00E63D93"/>
    <w:rsid w:val="00E647CC"/>
    <w:rsid w:val="00E64B3E"/>
    <w:rsid w:val="00E64F80"/>
    <w:rsid w:val="00E669D8"/>
    <w:rsid w:val="00E67567"/>
    <w:rsid w:val="00E67F9F"/>
    <w:rsid w:val="00E70193"/>
    <w:rsid w:val="00E705F1"/>
    <w:rsid w:val="00E716FB"/>
    <w:rsid w:val="00E73F60"/>
    <w:rsid w:val="00E75154"/>
    <w:rsid w:val="00E75A2F"/>
    <w:rsid w:val="00E76693"/>
    <w:rsid w:val="00E768B9"/>
    <w:rsid w:val="00E7692D"/>
    <w:rsid w:val="00E7799D"/>
    <w:rsid w:val="00E77E30"/>
    <w:rsid w:val="00E811E2"/>
    <w:rsid w:val="00E8419B"/>
    <w:rsid w:val="00E845AE"/>
    <w:rsid w:val="00E85A48"/>
    <w:rsid w:val="00E87296"/>
    <w:rsid w:val="00E87B74"/>
    <w:rsid w:val="00E87D1F"/>
    <w:rsid w:val="00E9095A"/>
    <w:rsid w:val="00E93403"/>
    <w:rsid w:val="00E938BD"/>
    <w:rsid w:val="00E94D4F"/>
    <w:rsid w:val="00E95204"/>
    <w:rsid w:val="00E95448"/>
    <w:rsid w:val="00E96144"/>
    <w:rsid w:val="00E96B11"/>
    <w:rsid w:val="00E97184"/>
    <w:rsid w:val="00E974D3"/>
    <w:rsid w:val="00EA04C1"/>
    <w:rsid w:val="00EA1307"/>
    <w:rsid w:val="00EA25E5"/>
    <w:rsid w:val="00EA309C"/>
    <w:rsid w:val="00EA3357"/>
    <w:rsid w:val="00EA45B7"/>
    <w:rsid w:val="00EA4764"/>
    <w:rsid w:val="00EA4EC4"/>
    <w:rsid w:val="00EA512C"/>
    <w:rsid w:val="00EA5C83"/>
    <w:rsid w:val="00EA647D"/>
    <w:rsid w:val="00EA6E0C"/>
    <w:rsid w:val="00EA7B64"/>
    <w:rsid w:val="00EA7E82"/>
    <w:rsid w:val="00EB1AEA"/>
    <w:rsid w:val="00EB307F"/>
    <w:rsid w:val="00EB33E0"/>
    <w:rsid w:val="00EB3DE5"/>
    <w:rsid w:val="00EB3FE1"/>
    <w:rsid w:val="00EB43F1"/>
    <w:rsid w:val="00EB4925"/>
    <w:rsid w:val="00EB4C4C"/>
    <w:rsid w:val="00EB5461"/>
    <w:rsid w:val="00EB58DC"/>
    <w:rsid w:val="00EB5D45"/>
    <w:rsid w:val="00EB6161"/>
    <w:rsid w:val="00EB7043"/>
    <w:rsid w:val="00EB710F"/>
    <w:rsid w:val="00EB7CBE"/>
    <w:rsid w:val="00EB7FA0"/>
    <w:rsid w:val="00EC0463"/>
    <w:rsid w:val="00EC4742"/>
    <w:rsid w:val="00EC4AA1"/>
    <w:rsid w:val="00EC5D8D"/>
    <w:rsid w:val="00EC6F3A"/>
    <w:rsid w:val="00EC76E6"/>
    <w:rsid w:val="00EC7EC1"/>
    <w:rsid w:val="00ED0063"/>
    <w:rsid w:val="00ED1CD1"/>
    <w:rsid w:val="00ED1D99"/>
    <w:rsid w:val="00ED26EB"/>
    <w:rsid w:val="00ED4D02"/>
    <w:rsid w:val="00ED5D02"/>
    <w:rsid w:val="00ED5D43"/>
    <w:rsid w:val="00ED69AA"/>
    <w:rsid w:val="00ED6DDA"/>
    <w:rsid w:val="00ED73A2"/>
    <w:rsid w:val="00ED7D6F"/>
    <w:rsid w:val="00EE003E"/>
    <w:rsid w:val="00EE0881"/>
    <w:rsid w:val="00EE135D"/>
    <w:rsid w:val="00EE20E0"/>
    <w:rsid w:val="00EE2B73"/>
    <w:rsid w:val="00EE2F4E"/>
    <w:rsid w:val="00EE2F80"/>
    <w:rsid w:val="00EE30E8"/>
    <w:rsid w:val="00EE3764"/>
    <w:rsid w:val="00EE37C3"/>
    <w:rsid w:val="00EE4F99"/>
    <w:rsid w:val="00EE5480"/>
    <w:rsid w:val="00EE59EA"/>
    <w:rsid w:val="00EE672F"/>
    <w:rsid w:val="00EF0F36"/>
    <w:rsid w:val="00EF10DA"/>
    <w:rsid w:val="00EF1D51"/>
    <w:rsid w:val="00EF337B"/>
    <w:rsid w:val="00EF47DB"/>
    <w:rsid w:val="00EF564C"/>
    <w:rsid w:val="00EF6ED6"/>
    <w:rsid w:val="00EF6FC6"/>
    <w:rsid w:val="00EF707F"/>
    <w:rsid w:val="00EF759D"/>
    <w:rsid w:val="00EF7709"/>
    <w:rsid w:val="00EF7D17"/>
    <w:rsid w:val="00EF7F55"/>
    <w:rsid w:val="00F00F6D"/>
    <w:rsid w:val="00F01398"/>
    <w:rsid w:val="00F01AEC"/>
    <w:rsid w:val="00F0245D"/>
    <w:rsid w:val="00F0297D"/>
    <w:rsid w:val="00F02DAF"/>
    <w:rsid w:val="00F030CB"/>
    <w:rsid w:val="00F03B96"/>
    <w:rsid w:val="00F050E8"/>
    <w:rsid w:val="00F055E6"/>
    <w:rsid w:val="00F056E1"/>
    <w:rsid w:val="00F05745"/>
    <w:rsid w:val="00F05973"/>
    <w:rsid w:val="00F0680E"/>
    <w:rsid w:val="00F0724B"/>
    <w:rsid w:val="00F10C79"/>
    <w:rsid w:val="00F10D3A"/>
    <w:rsid w:val="00F10F6F"/>
    <w:rsid w:val="00F12059"/>
    <w:rsid w:val="00F12D99"/>
    <w:rsid w:val="00F12EEB"/>
    <w:rsid w:val="00F1448E"/>
    <w:rsid w:val="00F14E13"/>
    <w:rsid w:val="00F14E4B"/>
    <w:rsid w:val="00F15CBF"/>
    <w:rsid w:val="00F16633"/>
    <w:rsid w:val="00F16E60"/>
    <w:rsid w:val="00F1718D"/>
    <w:rsid w:val="00F174A9"/>
    <w:rsid w:val="00F203FB"/>
    <w:rsid w:val="00F20AEC"/>
    <w:rsid w:val="00F21EE3"/>
    <w:rsid w:val="00F26F73"/>
    <w:rsid w:val="00F2717B"/>
    <w:rsid w:val="00F30B63"/>
    <w:rsid w:val="00F30EB9"/>
    <w:rsid w:val="00F31500"/>
    <w:rsid w:val="00F315E7"/>
    <w:rsid w:val="00F31931"/>
    <w:rsid w:val="00F31EB0"/>
    <w:rsid w:val="00F3224E"/>
    <w:rsid w:val="00F32886"/>
    <w:rsid w:val="00F33E4B"/>
    <w:rsid w:val="00F34291"/>
    <w:rsid w:val="00F400F6"/>
    <w:rsid w:val="00F4119C"/>
    <w:rsid w:val="00F418DA"/>
    <w:rsid w:val="00F41FA5"/>
    <w:rsid w:val="00F422AB"/>
    <w:rsid w:val="00F43610"/>
    <w:rsid w:val="00F44E15"/>
    <w:rsid w:val="00F50B7B"/>
    <w:rsid w:val="00F51284"/>
    <w:rsid w:val="00F51691"/>
    <w:rsid w:val="00F51856"/>
    <w:rsid w:val="00F538AF"/>
    <w:rsid w:val="00F5490C"/>
    <w:rsid w:val="00F54A7F"/>
    <w:rsid w:val="00F5509E"/>
    <w:rsid w:val="00F62BF2"/>
    <w:rsid w:val="00F62BF4"/>
    <w:rsid w:val="00F62BFE"/>
    <w:rsid w:val="00F6419D"/>
    <w:rsid w:val="00F64904"/>
    <w:rsid w:val="00F649B6"/>
    <w:rsid w:val="00F667CA"/>
    <w:rsid w:val="00F66980"/>
    <w:rsid w:val="00F66F8A"/>
    <w:rsid w:val="00F6719C"/>
    <w:rsid w:val="00F67733"/>
    <w:rsid w:val="00F67923"/>
    <w:rsid w:val="00F67DA1"/>
    <w:rsid w:val="00F72D0C"/>
    <w:rsid w:val="00F7381B"/>
    <w:rsid w:val="00F73CE8"/>
    <w:rsid w:val="00F74C6B"/>
    <w:rsid w:val="00F77960"/>
    <w:rsid w:val="00F80340"/>
    <w:rsid w:val="00F80736"/>
    <w:rsid w:val="00F83061"/>
    <w:rsid w:val="00F83646"/>
    <w:rsid w:val="00F84842"/>
    <w:rsid w:val="00F84BA1"/>
    <w:rsid w:val="00F859FE"/>
    <w:rsid w:val="00F85B88"/>
    <w:rsid w:val="00F85C48"/>
    <w:rsid w:val="00F86BC1"/>
    <w:rsid w:val="00F8723E"/>
    <w:rsid w:val="00F900AB"/>
    <w:rsid w:val="00F91162"/>
    <w:rsid w:val="00F91540"/>
    <w:rsid w:val="00F91D66"/>
    <w:rsid w:val="00F948A7"/>
    <w:rsid w:val="00F951A7"/>
    <w:rsid w:val="00F97AE9"/>
    <w:rsid w:val="00FA1014"/>
    <w:rsid w:val="00FA4168"/>
    <w:rsid w:val="00FA487F"/>
    <w:rsid w:val="00FA5A2F"/>
    <w:rsid w:val="00FA63EF"/>
    <w:rsid w:val="00FA7FE2"/>
    <w:rsid w:val="00FB026C"/>
    <w:rsid w:val="00FB047B"/>
    <w:rsid w:val="00FB1F3B"/>
    <w:rsid w:val="00FB1FA5"/>
    <w:rsid w:val="00FB21FF"/>
    <w:rsid w:val="00FB2478"/>
    <w:rsid w:val="00FB24E9"/>
    <w:rsid w:val="00FB2E5D"/>
    <w:rsid w:val="00FB366C"/>
    <w:rsid w:val="00FB375A"/>
    <w:rsid w:val="00FB39E4"/>
    <w:rsid w:val="00FB4461"/>
    <w:rsid w:val="00FB4909"/>
    <w:rsid w:val="00FB579B"/>
    <w:rsid w:val="00FB6781"/>
    <w:rsid w:val="00FB73FA"/>
    <w:rsid w:val="00FC124E"/>
    <w:rsid w:val="00FC1989"/>
    <w:rsid w:val="00FC1B21"/>
    <w:rsid w:val="00FC1D5C"/>
    <w:rsid w:val="00FC3105"/>
    <w:rsid w:val="00FC526C"/>
    <w:rsid w:val="00FC604B"/>
    <w:rsid w:val="00FC60F9"/>
    <w:rsid w:val="00FC6CDD"/>
    <w:rsid w:val="00FD02DD"/>
    <w:rsid w:val="00FD0AA4"/>
    <w:rsid w:val="00FD294F"/>
    <w:rsid w:val="00FD55BB"/>
    <w:rsid w:val="00FD5A4E"/>
    <w:rsid w:val="00FD5A91"/>
    <w:rsid w:val="00FD64B0"/>
    <w:rsid w:val="00FD6F2C"/>
    <w:rsid w:val="00FD7961"/>
    <w:rsid w:val="00FE1A6F"/>
    <w:rsid w:val="00FE1EE4"/>
    <w:rsid w:val="00FE2284"/>
    <w:rsid w:val="00FE33D0"/>
    <w:rsid w:val="00FE3732"/>
    <w:rsid w:val="00FE39AF"/>
    <w:rsid w:val="00FE3BA2"/>
    <w:rsid w:val="00FE4A6C"/>
    <w:rsid w:val="00FE4BD3"/>
    <w:rsid w:val="00FE51AC"/>
    <w:rsid w:val="00FE61A9"/>
    <w:rsid w:val="00FE7A4F"/>
    <w:rsid w:val="00FE7C58"/>
    <w:rsid w:val="00FE7FE5"/>
    <w:rsid w:val="00FF09EF"/>
    <w:rsid w:val="00FF0B56"/>
    <w:rsid w:val="00FF155C"/>
    <w:rsid w:val="00FF191A"/>
    <w:rsid w:val="00FF1CD9"/>
    <w:rsid w:val="00FF2385"/>
    <w:rsid w:val="00FF4700"/>
    <w:rsid w:val="00FF52BB"/>
    <w:rsid w:val="00FF5E9C"/>
    <w:rsid w:val="00FF727F"/>
    <w:rsid w:val="00FF7BD0"/>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041"/>
    <w:rPr>
      <w:rFonts w:ascii="Arial" w:hAnsi="Arial"/>
      <w:sz w:val="22"/>
      <w:szCs w:val="22"/>
      <w:lang w:bidi="en-US"/>
    </w:rPr>
  </w:style>
  <w:style w:type="paragraph" w:styleId="Heading1">
    <w:name w:val="heading 1"/>
    <w:basedOn w:val="Normal"/>
    <w:next w:val="Normal"/>
    <w:link w:val="Heading1Char"/>
    <w:qFormat/>
    <w:rsid w:val="00C54E5A"/>
    <w:pPr>
      <w:keepNext/>
      <w:spacing w:before="240" w:after="60"/>
      <w:outlineLvl w:val="0"/>
    </w:pPr>
    <w:rPr>
      <w:rFonts w:ascii="arial bold" w:eastAsia="SimSun" w:hAnsi="arial bold" w:cs="Arial"/>
      <w:b/>
      <w:bCs/>
      <w:kern w:val="32"/>
      <w:szCs w:val="32"/>
      <w:lang w:val="fr-CH" w:eastAsia="zh-CN" w:bidi="ar-SA"/>
    </w:rPr>
  </w:style>
  <w:style w:type="paragraph" w:styleId="Heading2">
    <w:name w:val="heading 2"/>
    <w:basedOn w:val="Normal"/>
    <w:next w:val="Normal"/>
    <w:link w:val="Heading2Char"/>
    <w:qFormat/>
    <w:rsid w:val="00255C01"/>
    <w:pPr>
      <w:keepNext/>
      <w:spacing w:before="240" w:after="60"/>
      <w:outlineLvl w:val="1"/>
    </w:pPr>
    <w:rPr>
      <w:rFonts w:eastAsia="SimSun" w:cs="Arial"/>
      <w:b/>
      <w:bCs/>
      <w:iCs/>
      <w:szCs w:val="28"/>
      <w:lang w:val="fr-CH" w:eastAsia="zh-CN" w:bidi="ar-SA"/>
    </w:rPr>
  </w:style>
  <w:style w:type="paragraph" w:styleId="Heading3">
    <w:name w:val="heading 3"/>
    <w:basedOn w:val="Normal"/>
    <w:next w:val="Normal"/>
    <w:link w:val="Heading3Char"/>
    <w:qFormat/>
    <w:rsid w:val="00C54E5A"/>
    <w:pPr>
      <w:keepNext/>
      <w:spacing w:before="240" w:after="60"/>
      <w:outlineLvl w:val="2"/>
    </w:pPr>
    <w:rPr>
      <w:rFonts w:eastAsia="SimSun" w:cs="Arial"/>
      <w:bCs/>
      <w:szCs w:val="26"/>
      <w:u w:val="single"/>
      <w:lang w:val="fr-CH" w:eastAsia="zh-CN" w:bidi="ar-SA"/>
    </w:rPr>
  </w:style>
  <w:style w:type="paragraph" w:styleId="Heading4">
    <w:name w:val="heading 4"/>
    <w:basedOn w:val="Normal"/>
    <w:next w:val="Normal"/>
    <w:link w:val="Heading4Char"/>
    <w:qFormat/>
    <w:rsid w:val="00255C01"/>
    <w:pPr>
      <w:keepNext/>
      <w:spacing w:before="240" w:after="60"/>
      <w:outlineLvl w:val="3"/>
    </w:pPr>
    <w:rPr>
      <w:rFonts w:eastAsia="SimSun" w:cs="Arial"/>
      <w:bCs/>
      <w:szCs w:val="28"/>
      <w:u w:val="single"/>
      <w:lang w:val="fr-CH"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5C01"/>
    <w:rPr>
      <w:rFonts w:ascii="Arial" w:eastAsia="SimSun" w:hAnsi="Arial" w:cs="Arial"/>
      <w:b/>
      <w:bCs/>
      <w:iCs/>
      <w:sz w:val="22"/>
      <w:szCs w:val="28"/>
      <w:lang w:val="fr-CH" w:eastAsia="zh-CN"/>
    </w:rPr>
  </w:style>
  <w:style w:type="character" w:customStyle="1" w:styleId="Heading2Char1">
    <w:name w:val="Heading 2 Char1"/>
    <w:aliases w:val="Part title Char"/>
    <w:basedOn w:val="DefaultParagraphFont"/>
    <w:uiPriority w:val="9"/>
    <w:rsid w:val="00212DD8"/>
    <w:rPr>
      <w:rFonts w:ascii="Times New Roman" w:eastAsiaTheme="majorEastAsia" w:hAnsi="Times New Roman" w:cstheme="majorBidi"/>
      <w:b/>
      <w:bCs/>
      <w:shd w:val="clear" w:color="auto" w:fill="FAFAFA"/>
    </w:rPr>
  </w:style>
  <w:style w:type="paragraph" w:styleId="Header">
    <w:name w:val="header"/>
    <w:basedOn w:val="Normal"/>
    <w:link w:val="HeaderChar"/>
    <w:uiPriority w:val="99"/>
    <w:unhideWhenUsed/>
    <w:rsid w:val="00A2415C"/>
    <w:pPr>
      <w:tabs>
        <w:tab w:val="center" w:pos="4320"/>
        <w:tab w:val="right" w:pos="8640"/>
      </w:tabs>
    </w:pPr>
  </w:style>
  <w:style w:type="character" w:customStyle="1" w:styleId="HeaderChar">
    <w:name w:val="Header Char"/>
    <w:basedOn w:val="DefaultParagraphFont"/>
    <w:link w:val="Header"/>
    <w:uiPriority w:val="99"/>
    <w:rsid w:val="00A2415C"/>
    <w:rPr>
      <w:lang w:val="en-GB"/>
    </w:rPr>
  </w:style>
  <w:style w:type="paragraph" w:styleId="Footer">
    <w:name w:val="footer"/>
    <w:basedOn w:val="Normal"/>
    <w:link w:val="FooterChar"/>
    <w:uiPriority w:val="99"/>
    <w:unhideWhenUsed/>
    <w:rsid w:val="00A2415C"/>
    <w:pPr>
      <w:tabs>
        <w:tab w:val="center" w:pos="4320"/>
        <w:tab w:val="right" w:pos="8640"/>
      </w:tabs>
    </w:pPr>
  </w:style>
  <w:style w:type="character" w:customStyle="1" w:styleId="FooterChar">
    <w:name w:val="Footer Char"/>
    <w:basedOn w:val="DefaultParagraphFont"/>
    <w:link w:val="Footer"/>
    <w:uiPriority w:val="99"/>
    <w:rsid w:val="00A2415C"/>
    <w:rPr>
      <w:lang w:val="en-GB"/>
    </w:rPr>
  </w:style>
  <w:style w:type="paragraph" w:styleId="ListParagraph">
    <w:name w:val="List Paragraph"/>
    <w:basedOn w:val="Normal"/>
    <w:uiPriority w:val="34"/>
    <w:qFormat/>
    <w:rsid w:val="00A2415C"/>
    <w:pPr>
      <w:ind w:left="720"/>
      <w:contextualSpacing/>
    </w:pPr>
  </w:style>
  <w:style w:type="paragraph" w:styleId="FootnoteText">
    <w:name w:val="footnote text"/>
    <w:basedOn w:val="Normal"/>
    <w:link w:val="FootnoteTextChar"/>
    <w:unhideWhenUsed/>
    <w:rsid w:val="00E559D1"/>
    <w:rPr>
      <w:sz w:val="24"/>
      <w:szCs w:val="24"/>
    </w:rPr>
  </w:style>
  <w:style w:type="character" w:customStyle="1" w:styleId="FootnoteTextChar">
    <w:name w:val="Footnote Text Char"/>
    <w:basedOn w:val="DefaultParagraphFont"/>
    <w:link w:val="FootnoteText"/>
    <w:rsid w:val="00E559D1"/>
    <w:rPr>
      <w:lang w:bidi="en-US"/>
    </w:rPr>
  </w:style>
  <w:style w:type="character" w:styleId="FootnoteReference">
    <w:name w:val="footnote reference"/>
    <w:basedOn w:val="DefaultParagraphFont"/>
    <w:unhideWhenUsed/>
    <w:rsid w:val="00E559D1"/>
    <w:rPr>
      <w:vertAlign w:val="superscript"/>
    </w:rPr>
  </w:style>
  <w:style w:type="character" w:styleId="Hyperlink">
    <w:name w:val="Hyperlink"/>
    <w:basedOn w:val="DefaultParagraphFont"/>
    <w:uiPriority w:val="99"/>
    <w:unhideWhenUsed/>
    <w:rsid w:val="007F1BDE"/>
    <w:rPr>
      <w:color w:val="0000FF" w:themeColor="hyperlink"/>
      <w:u w:val="single"/>
    </w:rPr>
  </w:style>
  <w:style w:type="table" w:styleId="TableGrid">
    <w:name w:val="Table Grid"/>
    <w:basedOn w:val="TableNormal"/>
    <w:uiPriority w:val="59"/>
    <w:rsid w:val="00220436"/>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E2F4E"/>
    <w:rPr>
      <w:rFonts w:ascii="Tahoma" w:hAnsi="Tahoma" w:cs="Tahoma"/>
      <w:sz w:val="16"/>
      <w:szCs w:val="16"/>
    </w:rPr>
  </w:style>
  <w:style w:type="character" w:customStyle="1" w:styleId="BalloonTextChar">
    <w:name w:val="Balloon Text Char"/>
    <w:basedOn w:val="DefaultParagraphFont"/>
    <w:link w:val="BalloonText"/>
    <w:uiPriority w:val="99"/>
    <w:semiHidden/>
    <w:rsid w:val="00EE2F4E"/>
    <w:rPr>
      <w:rFonts w:ascii="Tahoma" w:hAnsi="Tahoma" w:cs="Tahoma"/>
      <w:sz w:val="16"/>
      <w:szCs w:val="16"/>
      <w:lang w:bidi="en-US"/>
    </w:rPr>
  </w:style>
  <w:style w:type="character" w:customStyle="1" w:styleId="apple-converted-space">
    <w:name w:val="apple-converted-space"/>
    <w:basedOn w:val="DefaultParagraphFont"/>
    <w:rsid w:val="008471BC"/>
  </w:style>
  <w:style w:type="character" w:styleId="LineNumber">
    <w:name w:val="line number"/>
    <w:basedOn w:val="DefaultParagraphFont"/>
    <w:uiPriority w:val="99"/>
    <w:semiHidden/>
    <w:unhideWhenUsed/>
    <w:rsid w:val="002D0820"/>
  </w:style>
  <w:style w:type="paragraph" w:styleId="Revision">
    <w:name w:val="Revision"/>
    <w:hidden/>
    <w:uiPriority w:val="99"/>
    <w:semiHidden/>
    <w:rsid w:val="007770CF"/>
    <w:rPr>
      <w:sz w:val="22"/>
      <w:szCs w:val="22"/>
      <w:lang w:bidi="en-US"/>
    </w:rPr>
  </w:style>
  <w:style w:type="character" w:styleId="CommentReference">
    <w:name w:val="annotation reference"/>
    <w:basedOn w:val="DefaultParagraphFont"/>
    <w:uiPriority w:val="99"/>
    <w:semiHidden/>
    <w:unhideWhenUsed/>
    <w:rsid w:val="00884644"/>
    <w:rPr>
      <w:sz w:val="16"/>
      <w:szCs w:val="16"/>
    </w:rPr>
  </w:style>
  <w:style w:type="paragraph" w:styleId="CommentText">
    <w:name w:val="annotation text"/>
    <w:basedOn w:val="Normal"/>
    <w:link w:val="CommentTextChar"/>
    <w:uiPriority w:val="99"/>
    <w:semiHidden/>
    <w:unhideWhenUsed/>
    <w:rsid w:val="00884644"/>
    <w:rPr>
      <w:sz w:val="20"/>
      <w:szCs w:val="20"/>
    </w:rPr>
  </w:style>
  <w:style w:type="character" w:customStyle="1" w:styleId="CommentTextChar">
    <w:name w:val="Comment Text Char"/>
    <w:basedOn w:val="DefaultParagraphFont"/>
    <w:link w:val="CommentText"/>
    <w:uiPriority w:val="99"/>
    <w:semiHidden/>
    <w:rsid w:val="00884644"/>
    <w:rPr>
      <w:sz w:val="20"/>
      <w:szCs w:val="20"/>
      <w:lang w:bidi="en-US"/>
    </w:rPr>
  </w:style>
  <w:style w:type="paragraph" w:styleId="CommentSubject">
    <w:name w:val="annotation subject"/>
    <w:basedOn w:val="CommentText"/>
    <w:next w:val="CommentText"/>
    <w:link w:val="CommentSubjectChar"/>
    <w:uiPriority w:val="99"/>
    <w:semiHidden/>
    <w:unhideWhenUsed/>
    <w:rsid w:val="00884644"/>
    <w:rPr>
      <w:b/>
      <w:bCs/>
    </w:rPr>
  </w:style>
  <w:style w:type="character" w:customStyle="1" w:styleId="CommentSubjectChar">
    <w:name w:val="Comment Subject Char"/>
    <w:basedOn w:val="CommentTextChar"/>
    <w:link w:val="CommentSubject"/>
    <w:uiPriority w:val="99"/>
    <w:semiHidden/>
    <w:rsid w:val="00884644"/>
    <w:rPr>
      <w:b/>
      <w:bCs/>
      <w:sz w:val="20"/>
      <w:szCs w:val="20"/>
      <w:lang w:bidi="en-US"/>
    </w:rPr>
  </w:style>
  <w:style w:type="character" w:styleId="FollowedHyperlink">
    <w:name w:val="FollowedHyperlink"/>
    <w:basedOn w:val="DefaultParagraphFont"/>
    <w:uiPriority w:val="99"/>
    <w:semiHidden/>
    <w:unhideWhenUsed/>
    <w:rsid w:val="00290DBD"/>
    <w:rPr>
      <w:color w:val="800080" w:themeColor="followedHyperlink"/>
      <w:u w:val="single"/>
    </w:rPr>
  </w:style>
  <w:style w:type="paragraph" w:styleId="EndnoteText">
    <w:name w:val="endnote text"/>
    <w:basedOn w:val="Normal"/>
    <w:link w:val="EndnoteTextChar"/>
    <w:uiPriority w:val="99"/>
    <w:semiHidden/>
    <w:unhideWhenUsed/>
    <w:rsid w:val="004B7411"/>
    <w:rPr>
      <w:sz w:val="20"/>
      <w:szCs w:val="20"/>
    </w:rPr>
  </w:style>
  <w:style w:type="character" w:customStyle="1" w:styleId="EndnoteTextChar">
    <w:name w:val="Endnote Text Char"/>
    <w:basedOn w:val="DefaultParagraphFont"/>
    <w:link w:val="EndnoteText"/>
    <w:uiPriority w:val="99"/>
    <w:semiHidden/>
    <w:rsid w:val="004B7411"/>
    <w:rPr>
      <w:sz w:val="20"/>
      <w:szCs w:val="20"/>
      <w:lang w:bidi="en-US"/>
    </w:rPr>
  </w:style>
  <w:style w:type="character" w:styleId="EndnoteReference">
    <w:name w:val="endnote reference"/>
    <w:basedOn w:val="DefaultParagraphFont"/>
    <w:uiPriority w:val="99"/>
    <w:semiHidden/>
    <w:unhideWhenUsed/>
    <w:rsid w:val="004B7411"/>
    <w:rPr>
      <w:vertAlign w:val="superscript"/>
    </w:rPr>
  </w:style>
  <w:style w:type="paragraph" w:styleId="NormalWeb">
    <w:name w:val="Normal (Web)"/>
    <w:basedOn w:val="Normal"/>
    <w:uiPriority w:val="99"/>
    <w:unhideWhenUsed/>
    <w:rsid w:val="00490236"/>
    <w:pPr>
      <w:spacing w:before="100" w:beforeAutospacing="1" w:after="100" w:afterAutospacing="1"/>
    </w:pPr>
    <w:rPr>
      <w:rFonts w:ascii="Times New Roman" w:eastAsia="Times New Roman" w:hAnsi="Times New Roman" w:cs="Times New Roman"/>
      <w:sz w:val="24"/>
      <w:szCs w:val="24"/>
      <w:lang w:bidi="ar-SA"/>
    </w:rPr>
  </w:style>
  <w:style w:type="paragraph" w:customStyle="1" w:styleId="Body">
    <w:name w:val="Body"/>
    <w:rsid w:val="00DE222F"/>
    <w:pPr>
      <w:pBdr>
        <w:top w:val="nil"/>
        <w:left w:val="nil"/>
        <w:bottom w:val="nil"/>
        <w:right w:val="nil"/>
        <w:between w:val="nil"/>
        <w:bar w:val="nil"/>
      </w:pBdr>
    </w:pPr>
    <w:rPr>
      <w:rFonts w:ascii="Helvetica" w:eastAsia="Arial Unicode MS" w:hAnsi="Helvetica" w:cs="Arial Unicode MS"/>
      <w:color w:val="000000"/>
      <w:sz w:val="22"/>
      <w:szCs w:val="22"/>
      <w:bdr w:val="nil"/>
      <w:lang w:val="es-ES_tradnl"/>
    </w:rPr>
  </w:style>
  <w:style w:type="character" w:styleId="PageNumber">
    <w:name w:val="page number"/>
    <w:basedOn w:val="DefaultParagraphFont"/>
    <w:uiPriority w:val="99"/>
    <w:semiHidden/>
    <w:unhideWhenUsed/>
    <w:rsid w:val="006839E9"/>
  </w:style>
  <w:style w:type="paragraph" w:customStyle="1" w:styleId="ONUME">
    <w:name w:val="ONUM E"/>
    <w:basedOn w:val="BodyText"/>
    <w:rsid w:val="00606041"/>
    <w:pPr>
      <w:numPr>
        <w:numId w:val="6"/>
      </w:numPr>
      <w:spacing w:after="220"/>
    </w:pPr>
    <w:rPr>
      <w:rFonts w:eastAsia="SimSun" w:cs="Arial"/>
      <w:szCs w:val="20"/>
      <w:lang w:val="fr-CH" w:eastAsia="zh-CN" w:bidi="ar-SA"/>
    </w:rPr>
  </w:style>
  <w:style w:type="paragraph" w:styleId="BodyText">
    <w:name w:val="Body Text"/>
    <w:basedOn w:val="Normal"/>
    <w:link w:val="BodyTextChar"/>
    <w:uiPriority w:val="99"/>
    <w:semiHidden/>
    <w:unhideWhenUsed/>
    <w:rsid w:val="00606041"/>
    <w:pPr>
      <w:spacing w:after="120"/>
    </w:pPr>
  </w:style>
  <w:style w:type="character" w:customStyle="1" w:styleId="BodyTextChar">
    <w:name w:val="Body Text Char"/>
    <w:basedOn w:val="DefaultParagraphFont"/>
    <w:link w:val="BodyText"/>
    <w:uiPriority w:val="99"/>
    <w:semiHidden/>
    <w:rsid w:val="00606041"/>
    <w:rPr>
      <w:rFonts w:ascii="Arial" w:hAnsi="Arial"/>
      <w:sz w:val="22"/>
      <w:szCs w:val="22"/>
      <w:lang w:bidi="en-US"/>
    </w:rPr>
  </w:style>
  <w:style w:type="paragraph" w:customStyle="1" w:styleId="ONUMFS">
    <w:name w:val="ONUM FS"/>
    <w:basedOn w:val="BodyText"/>
    <w:rsid w:val="00606041"/>
    <w:pPr>
      <w:numPr>
        <w:numId w:val="7"/>
      </w:numPr>
      <w:spacing w:after="220"/>
    </w:pPr>
    <w:rPr>
      <w:rFonts w:eastAsia="SimSun" w:cs="Arial"/>
      <w:szCs w:val="20"/>
      <w:lang w:val="fr-CH" w:eastAsia="zh-CN" w:bidi="ar-SA"/>
    </w:rPr>
  </w:style>
  <w:style w:type="character" w:customStyle="1" w:styleId="Heading1Char">
    <w:name w:val="Heading 1 Char"/>
    <w:basedOn w:val="DefaultParagraphFont"/>
    <w:link w:val="Heading1"/>
    <w:rsid w:val="00C54E5A"/>
    <w:rPr>
      <w:rFonts w:ascii="arial bold" w:eastAsia="SimSun" w:hAnsi="arial bold" w:cs="Arial"/>
      <w:b/>
      <w:bCs/>
      <w:kern w:val="32"/>
      <w:sz w:val="22"/>
      <w:szCs w:val="32"/>
      <w:lang w:val="fr-CH" w:eastAsia="zh-CN"/>
    </w:rPr>
  </w:style>
  <w:style w:type="character" w:customStyle="1" w:styleId="Heading3Char">
    <w:name w:val="Heading 3 Char"/>
    <w:basedOn w:val="DefaultParagraphFont"/>
    <w:link w:val="Heading3"/>
    <w:rsid w:val="00C54E5A"/>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255C01"/>
    <w:rPr>
      <w:rFonts w:ascii="Arial" w:eastAsia="SimSun" w:hAnsi="Arial" w:cs="Arial"/>
      <w:bCs/>
      <w:sz w:val="22"/>
      <w:szCs w:val="28"/>
      <w:u w:val="single"/>
      <w:lang w:val="fr-CH" w:eastAsia="zh-CN"/>
    </w:rPr>
  </w:style>
  <w:style w:type="paragraph" w:customStyle="1" w:styleId="Endofdocument-Annex">
    <w:name w:val="[End of document - Annex]"/>
    <w:basedOn w:val="Normal"/>
    <w:rsid w:val="0026192C"/>
    <w:pPr>
      <w:ind w:left="5534"/>
    </w:pPr>
    <w:rPr>
      <w:rFonts w:eastAsia="SimSun" w:cs="Arial"/>
      <w:szCs w:val="20"/>
      <w:lang w:eastAsia="zh-CN" w:bidi="ar-SA"/>
    </w:rPr>
  </w:style>
  <w:style w:type="paragraph" w:styleId="TOCHeading">
    <w:name w:val="TOC Heading"/>
    <w:basedOn w:val="Heading1"/>
    <w:next w:val="Normal"/>
    <w:uiPriority w:val="39"/>
    <w:unhideWhenUsed/>
    <w:qFormat/>
    <w:rsid w:val="00202EB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1F1BF0"/>
    <w:pPr>
      <w:tabs>
        <w:tab w:val="left" w:pos="567"/>
        <w:tab w:val="right" w:leader="dot" w:pos="9072"/>
      </w:tabs>
      <w:spacing w:after="220"/>
    </w:pPr>
    <w:rPr>
      <w:b/>
    </w:rPr>
  </w:style>
  <w:style w:type="paragraph" w:styleId="TOC2">
    <w:name w:val="toc 2"/>
    <w:basedOn w:val="Normal"/>
    <w:next w:val="Normal"/>
    <w:autoRedefine/>
    <w:uiPriority w:val="39"/>
    <w:unhideWhenUsed/>
    <w:rsid w:val="001F1BF0"/>
    <w:pPr>
      <w:tabs>
        <w:tab w:val="left" w:pos="567"/>
        <w:tab w:val="right" w:leader="dot" w:pos="9072"/>
      </w:tabs>
      <w:spacing w:before="220" w:after="220"/>
    </w:pPr>
    <w:rPr>
      <w:b/>
    </w:rPr>
  </w:style>
  <w:style w:type="paragraph" w:styleId="TOC3">
    <w:name w:val="toc 3"/>
    <w:basedOn w:val="Normal"/>
    <w:next w:val="Normal"/>
    <w:autoRedefine/>
    <w:uiPriority w:val="39"/>
    <w:unhideWhenUsed/>
    <w:rsid w:val="001F1BF0"/>
    <w:pPr>
      <w:tabs>
        <w:tab w:val="left" w:pos="1134"/>
        <w:tab w:val="right" w:leader="dot" w:pos="9072"/>
      </w:tabs>
      <w:spacing w:after="100"/>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041"/>
    <w:rPr>
      <w:rFonts w:ascii="Arial" w:hAnsi="Arial"/>
      <w:sz w:val="22"/>
      <w:szCs w:val="22"/>
      <w:lang w:bidi="en-US"/>
    </w:rPr>
  </w:style>
  <w:style w:type="paragraph" w:styleId="Heading1">
    <w:name w:val="heading 1"/>
    <w:basedOn w:val="Normal"/>
    <w:next w:val="Normal"/>
    <w:link w:val="Heading1Char"/>
    <w:qFormat/>
    <w:rsid w:val="00C54E5A"/>
    <w:pPr>
      <w:keepNext/>
      <w:spacing w:before="240" w:after="60"/>
      <w:outlineLvl w:val="0"/>
    </w:pPr>
    <w:rPr>
      <w:rFonts w:ascii="arial bold" w:eastAsia="SimSun" w:hAnsi="arial bold" w:cs="Arial"/>
      <w:b/>
      <w:bCs/>
      <w:kern w:val="32"/>
      <w:szCs w:val="32"/>
      <w:lang w:val="fr-CH" w:eastAsia="zh-CN" w:bidi="ar-SA"/>
    </w:rPr>
  </w:style>
  <w:style w:type="paragraph" w:styleId="Heading2">
    <w:name w:val="heading 2"/>
    <w:basedOn w:val="Normal"/>
    <w:next w:val="Normal"/>
    <w:link w:val="Heading2Char"/>
    <w:qFormat/>
    <w:rsid w:val="00255C01"/>
    <w:pPr>
      <w:keepNext/>
      <w:spacing w:before="240" w:after="60"/>
      <w:outlineLvl w:val="1"/>
    </w:pPr>
    <w:rPr>
      <w:rFonts w:eastAsia="SimSun" w:cs="Arial"/>
      <w:b/>
      <w:bCs/>
      <w:iCs/>
      <w:szCs w:val="28"/>
      <w:lang w:val="fr-CH" w:eastAsia="zh-CN" w:bidi="ar-SA"/>
    </w:rPr>
  </w:style>
  <w:style w:type="paragraph" w:styleId="Heading3">
    <w:name w:val="heading 3"/>
    <w:basedOn w:val="Normal"/>
    <w:next w:val="Normal"/>
    <w:link w:val="Heading3Char"/>
    <w:qFormat/>
    <w:rsid w:val="00C54E5A"/>
    <w:pPr>
      <w:keepNext/>
      <w:spacing w:before="240" w:after="60"/>
      <w:outlineLvl w:val="2"/>
    </w:pPr>
    <w:rPr>
      <w:rFonts w:eastAsia="SimSun" w:cs="Arial"/>
      <w:bCs/>
      <w:szCs w:val="26"/>
      <w:u w:val="single"/>
      <w:lang w:val="fr-CH" w:eastAsia="zh-CN" w:bidi="ar-SA"/>
    </w:rPr>
  </w:style>
  <w:style w:type="paragraph" w:styleId="Heading4">
    <w:name w:val="heading 4"/>
    <w:basedOn w:val="Normal"/>
    <w:next w:val="Normal"/>
    <w:link w:val="Heading4Char"/>
    <w:qFormat/>
    <w:rsid w:val="00255C01"/>
    <w:pPr>
      <w:keepNext/>
      <w:spacing w:before="240" w:after="60"/>
      <w:outlineLvl w:val="3"/>
    </w:pPr>
    <w:rPr>
      <w:rFonts w:eastAsia="SimSun" w:cs="Arial"/>
      <w:bCs/>
      <w:szCs w:val="28"/>
      <w:u w:val="single"/>
      <w:lang w:val="fr-CH"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5C01"/>
    <w:rPr>
      <w:rFonts w:ascii="Arial" w:eastAsia="SimSun" w:hAnsi="Arial" w:cs="Arial"/>
      <w:b/>
      <w:bCs/>
      <w:iCs/>
      <w:sz w:val="22"/>
      <w:szCs w:val="28"/>
      <w:lang w:val="fr-CH" w:eastAsia="zh-CN"/>
    </w:rPr>
  </w:style>
  <w:style w:type="character" w:customStyle="1" w:styleId="Heading2Char1">
    <w:name w:val="Heading 2 Char1"/>
    <w:aliases w:val="Part title Char"/>
    <w:basedOn w:val="DefaultParagraphFont"/>
    <w:uiPriority w:val="9"/>
    <w:rsid w:val="00212DD8"/>
    <w:rPr>
      <w:rFonts w:ascii="Times New Roman" w:eastAsiaTheme="majorEastAsia" w:hAnsi="Times New Roman" w:cstheme="majorBidi"/>
      <w:b/>
      <w:bCs/>
      <w:shd w:val="clear" w:color="auto" w:fill="FAFAFA"/>
    </w:rPr>
  </w:style>
  <w:style w:type="paragraph" w:styleId="Header">
    <w:name w:val="header"/>
    <w:basedOn w:val="Normal"/>
    <w:link w:val="HeaderChar"/>
    <w:uiPriority w:val="99"/>
    <w:unhideWhenUsed/>
    <w:rsid w:val="00A2415C"/>
    <w:pPr>
      <w:tabs>
        <w:tab w:val="center" w:pos="4320"/>
        <w:tab w:val="right" w:pos="8640"/>
      </w:tabs>
    </w:pPr>
  </w:style>
  <w:style w:type="character" w:customStyle="1" w:styleId="HeaderChar">
    <w:name w:val="Header Char"/>
    <w:basedOn w:val="DefaultParagraphFont"/>
    <w:link w:val="Header"/>
    <w:uiPriority w:val="99"/>
    <w:rsid w:val="00A2415C"/>
    <w:rPr>
      <w:lang w:val="en-GB"/>
    </w:rPr>
  </w:style>
  <w:style w:type="paragraph" w:styleId="Footer">
    <w:name w:val="footer"/>
    <w:basedOn w:val="Normal"/>
    <w:link w:val="FooterChar"/>
    <w:uiPriority w:val="99"/>
    <w:unhideWhenUsed/>
    <w:rsid w:val="00A2415C"/>
    <w:pPr>
      <w:tabs>
        <w:tab w:val="center" w:pos="4320"/>
        <w:tab w:val="right" w:pos="8640"/>
      </w:tabs>
    </w:pPr>
  </w:style>
  <w:style w:type="character" w:customStyle="1" w:styleId="FooterChar">
    <w:name w:val="Footer Char"/>
    <w:basedOn w:val="DefaultParagraphFont"/>
    <w:link w:val="Footer"/>
    <w:uiPriority w:val="99"/>
    <w:rsid w:val="00A2415C"/>
    <w:rPr>
      <w:lang w:val="en-GB"/>
    </w:rPr>
  </w:style>
  <w:style w:type="paragraph" w:styleId="ListParagraph">
    <w:name w:val="List Paragraph"/>
    <w:basedOn w:val="Normal"/>
    <w:uiPriority w:val="34"/>
    <w:qFormat/>
    <w:rsid w:val="00A2415C"/>
    <w:pPr>
      <w:ind w:left="720"/>
      <w:contextualSpacing/>
    </w:pPr>
  </w:style>
  <w:style w:type="paragraph" w:styleId="FootnoteText">
    <w:name w:val="footnote text"/>
    <w:basedOn w:val="Normal"/>
    <w:link w:val="FootnoteTextChar"/>
    <w:unhideWhenUsed/>
    <w:rsid w:val="00E559D1"/>
    <w:rPr>
      <w:sz w:val="24"/>
      <w:szCs w:val="24"/>
    </w:rPr>
  </w:style>
  <w:style w:type="character" w:customStyle="1" w:styleId="FootnoteTextChar">
    <w:name w:val="Footnote Text Char"/>
    <w:basedOn w:val="DefaultParagraphFont"/>
    <w:link w:val="FootnoteText"/>
    <w:rsid w:val="00E559D1"/>
    <w:rPr>
      <w:lang w:bidi="en-US"/>
    </w:rPr>
  </w:style>
  <w:style w:type="character" w:styleId="FootnoteReference">
    <w:name w:val="footnote reference"/>
    <w:basedOn w:val="DefaultParagraphFont"/>
    <w:unhideWhenUsed/>
    <w:rsid w:val="00E559D1"/>
    <w:rPr>
      <w:vertAlign w:val="superscript"/>
    </w:rPr>
  </w:style>
  <w:style w:type="character" w:styleId="Hyperlink">
    <w:name w:val="Hyperlink"/>
    <w:basedOn w:val="DefaultParagraphFont"/>
    <w:uiPriority w:val="99"/>
    <w:unhideWhenUsed/>
    <w:rsid w:val="007F1BDE"/>
    <w:rPr>
      <w:color w:val="0000FF" w:themeColor="hyperlink"/>
      <w:u w:val="single"/>
    </w:rPr>
  </w:style>
  <w:style w:type="table" w:styleId="TableGrid">
    <w:name w:val="Table Grid"/>
    <w:basedOn w:val="TableNormal"/>
    <w:uiPriority w:val="59"/>
    <w:rsid w:val="00220436"/>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E2F4E"/>
    <w:rPr>
      <w:rFonts w:ascii="Tahoma" w:hAnsi="Tahoma" w:cs="Tahoma"/>
      <w:sz w:val="16"/>
      <w:szCs w:val="16"/>
    </w:rPr>
  </w:style>
  <w:style w:type="character" w:customStyle="1" w:styleId="BalloonTextChar">
    <w:name w:val="Balloon Text Char"/>
    <w:basedOn w:val="DefaultParagraphFont"/>
    <w:link w:val="BalloonText"/>
    <w:uiPriority w:val="99"/>
    <w:semiHidden/>
    <w:rsid w:val="00EE2F4E"/>
    <w:rPr>
      <w:rFonts w:ascii="Tahoma" w:hAnsi="Tahoma" w:cs="Tahoma"/>
      <w:sz w:val="16"/>
      <w:szCs w:val="16"/>
      <w:lang w:bidi="en-US"/>
    </w:rPr>
  </w:style>
  <w:style w:type="character" w:customStyle="1" w:styleId="apple-converted-space">
    <w:name w:val="apple-converted-space"/>
    <w:basedOn w:val="DefaultParagraphFont"/>
    <w:rsid w:val="008471BC"/>
  </w:style>
  <w:style w:type="character" w:styleId="LineNumber">
    <w:name w:val="line number"/>
    <w:basedOn w:val="DefaultParagraphFont"/>
    <w:uiPriority w:val="99"/>
    <w:semiHidden/>
    <w:unhideWhenUsed/>
    <w:rsid w:val="002D0820"/>
  </w:style>
  <w:style w:type="paragraph" w:styleId="Revision">
    <w:name w:val="Revision"/>
    <w:hidden/>
    <w:uiPriority w:val="99"/>
    <w:semiHidden/>
    <w:rsid w:val="007770CF"/>
    <w:rPr>
      <w:sz w:val="22"/>
      <w:szCs w:val="22"/>
      <w:lang w:bidi="en-US"/>
    </w:rPr>
  </w:style>
  <w:style w:type="character" w:styleId="CommentReference">
    <w:name w:val="annotation reference"/>
    <w:basedOn w:val="DefaultParagraphFont"/>
    <w:uiPriority w:val="99"/>
    <w:semiHidden/>
    <w:unhideWhenUsed/>
    <w:rsid w:val="00884644"/>
    <w:rPr>
      <w:sz w:val="16"/>
      <w:szCs w:val="16"/>
    </w:rPr>
  </w:style>
  <w:style w:type="paragraph" w:styleId="CommentText">
    <w:name w:val="annotation text"/>
    <w:basedOn w:val="Normal"/>
    <w:link w:val="CommentTextChar"/>
    <w:uiPriority w:val="99"/>
    <w:semiHidden/>
    <w:unhideWhenUsed/>
    <w:rsid w:val="00884644"/>
    <w:rPr>
      <w:sz w:val="20"/>
      <w:szCs w:val="20"/>
    </w:rPr>
  </w:style>
  <w:style w:type="character" w:customStyle="1" w:styleId="CommentTextChar">
    <w:name w:val="Comment Text Char"/>
    <w:basedOn w:val="DefaultParagraphFont"/>
    <w:link w:val="CommentText"/>
    <w:uiPriority w:val="99"/>
    <w:semiHidden/>
    <w:rsid w:val="00884644"/>
    <w:rPr>
      <w:sz w:val="20"/>
      <w:szCs w:val="20"/>
      <w:lang w:bidi="en-US"/>
    </w:rPr>
  </w:style>
  <w:style w:type="paragraph" w:styleId="CommentSubject">
    <w:name w:val="annotation subject"/>
    <w:basedOn w:val="CommentText"/>
    <w:next w:val="CommentText"/>
    <w:link w:val="CommentSubjectChar"/>
    <w:uiPriority w:val="99"/>
    <w:semiHidden/>
    <w:unhideWhenUsed/>
    <w:rsid w:val="00884644"/>
    <w:rPr>
      <w:b/>
      <w:bCs/>
    </w:rPr>
  </w:style>
  <w:style w:type="character" w:customStyle="1" w:styleId="CommentSubjectChar">
    <w:name w:val="Comment Subject Char"/>
    <w:basedOn w:val="CommentTextChar"/>
    <w:link w:val="CommentSubject"/>
    <w:uiPriority w:val="99"/>
    <w:semiHidden/>
    <w:rsid w:val="00884644"/>
    <w:rPr>
      <w:b/>
      <w:bCs/>
      <w:sz w:val="20"/>
      <w:szCs w:val="20"/>
      <w:lang w:bidi="en-US"/>
    </w:rPr>
  </w:style>
  <w:style w:type="character" w:styleId="FollowedHyperlink">
    <w:name w:val="FollowedHyperlink"/>
    <w:basedOn w:val="DefaultParagraphFont"/>
    <w:uiPriority w:val="99"/>
    <w:semiHidden/>
    <w:unhideWhenUsed/>
    <w:rsid w:val="00290DBD"/>
    <w:rPr>
      <w:color w:val="800080" w:themeColor="followedHyperlink"/>
      <w:u w:val="single"/>
    </w:rPr>
  </w:style>
  <w:style w:type="paragraph" w:styleId="EndnoteText">
    <w:name w:val="endnote text"/>
    <w:basedOn w:val="Normal"/>
    <w:link w:val="EndnoteTextChar"/>
    <w:uiPriority w:val="99"/>
    <w:semiHidden/>
    <w:unhideWhenUsed/>
    <w:rsid w:val="004B7411"/>
    <w:rPr>
      <w:sz w:val="20"/>
      <w:szCs w:val="20"/>
    </w:rPr>
  </w:style>
  <w:style w:type="character" w:customStyle="1" w:styleId="EndnoteTextChar">
    <w:name w:val="Endnote Text Char"/>
    <w:basedOn w:val="DefaultParagraphFont"/>
    <w:link w:val="EndnoteText"/>
    <w:uiPriority w:val="99"/>
    <w:semiHidden/>
    <w:rsid w:val="004B7411"/>
    <w:rPr>
      <w:sz w:val="20"/>
      <w:szCs w:val="20"/>
      <w:lang w:bidi="en-US"/>
    </w:rPr>
  </w:style>
  <w:style w:type="character" w:styleId="EndnoteReference">
    <w:name w:val="endnote reference"/>
    <w:basedOn w:val="DefaultParagraphFont"/>
    <w:uiPriority w:val="99"/>
    <w:semiHidden/>
    <w:unhideWhenUsed/>
    <w:rsid w:val="004B7411"/>
    <w:rPr>
      <w:vertAlign w:val="superscript"/>
    </w:rPr>
  </w:style>
  <w:style w:type="paragraph" w:styleId="NormalWeb">
    <w:name w:val="Normal (Web)"/>
    <w:basedOn w:val="Normal"/>
    <w:uiPriority w:val="99"/>
    <w:unhideWhenUsed/>
    <w:rsid w:val="00490236"/>
    <w:pPr>
      <w:spacing w:before="100" w:beforeAutospacing="1" w:after="100" w:afterAutospacing="1"/>
    </w:pPr>
    <w:rPr>
      <w:rFonts w:ascii="Times New Roman" w:eastAsia="Times New Roman" w:hAnsi="Times New Roman" w:cs="Times New Roman"/>
      <w:sz w:val="24"/>
      <w:szCs w:val="24"/>
      <w:lang w:bidi="ar-SA"/>
    </w:rPr>
  </w:style>
  <w:style w:type="paragraph" w:customStyle="1" w:styleId="Body">
    <w:name w:val="Body"/>
    <w:rsid w:val="00DE222F"/>
    <w:pPr>
      <w:pBdr>
        <w:top w:val="nil"/>
        <w:left w:val="nil"/>
        <w:bottom w:val="nil"/>
        <w:right w:val="nil"/>
        <w:between w:val="nil"/>
        <w:bar w:val="nil"/>
      </w:pBdr>
    </w:pPr>
    <w:rPr>
      <w:rFonts w:ascii="Helvetica" w:eastAsia="Arial Unicode MS" w:hAnsi="Helvetica" w:cs="Arial Unicode MS"/>
      <w:color w:val="000000"/>
      <w:sz w:val="22"/>
      <w:szCs w:val="22"/>
      <w:bdr w:val="nil"/>
      <w:lang w:val="es-ES_tradnl"/>
    </w:rPr>
  </w:style>
  <w:style w:type="character" w:styleId="PageNumber">
    <w:name w:val="page number"/>
    <w:basedOn w:val="DefaultParagraphFont"/>
    <w:uiPriority w:val="99"/>
    <w:semiHidden/>
    <w:unhideWhenUsed/>
    <w:rsid w:val="006839E9"/>
  </w:style>
  <w:style w:type="paragraph" w:customStyle="1" w:styleId="ONUME">
    <w:name w:val="ONUM E"/>
    <w:basedOn w:val="BodyText"/>
    <w:rsid w:val="00606041"/>
    <w:pPr>
      <w:numPr>
        <w:numId w:val="6"/>
      </w:numPr>
      <w:spacing w:after="220"/>
    </w:pPr>
    <w:rPr>
      <w:rFonts w:eastAsia="SimSun" w:cs="Arial"/>
      <w:szCs w:val="20"/>
      <w:lang w:val="fr-CH" w:eastAsia="zh-CN" w:bidi="ar-SA"/>
    </w:rPr>
  </w:style>
  <w:style w:type="paragraph" w:styleId="BodyText">
    <w:name w:val="Body Text"/>
    <w:basedOn w:val="Normal"/>
    <w:link w:val="BodyTextChar"/>
    <w:uiPriority w:val="99"/>
    <w:semiHidden/>
    <w:unhideWhenUsed/>
    <w:rsid w:val="00606041"/>
    <w:pPr>
      <w:spacing w:after="120"/>
    </w:pPr>
  </w:style>
  <w:style w:type="character" w:customStyle="1" w:styleId="BodyTextChar">
    <w:name w:val="Body Text Char"/>
    <w:basedOn w:val="DefaultParagraphFont"/>
    <w:link w:val="BodyText"/>
    <w:uiPriority w:val="99"/>
    <w:semiHidden/>
    <w:rsid w:val="00606041"/>
    <w:rPr>
      <w:rFonts w:ascii="Arial" w:hAnsi="Arial"/>
      <w:sz w:val="22"/>
      <w:szCs w:val="22"/>
      <w:lang w:bidi="en-US"/>
    </w:rPr>
  </w:style>
  <w:style w:type="paragraph" w:customStyle="1" w:styleId="ONUMFS">
    <w:name w:val="ONUM FS"/>
    <w:basedOn w:val="BodyText"/>
    <w:rsid w:val="00606041"/>
    <w:pPr>
      <w:numPr>
        <w:numId w:val="7"/>
      </w:numPr>
      <w:spacing w:after="220"/>
    </w:pPr>
    <w:rPr>
      <w:rFonts w:eastAsia="SimSun" w:cs="Arial"/>
      <w:szCs w:val="20"/>
      <w:lang w:val="fr-CH" w:eastAsia="zh-CN" w:bidi="ar-SA"/>
    </w:rPr>
  </w:style>
  <w:style w:type="character" w:customStyle="1" w:styleId="Heading1Char">
    <w:name w:val="Heading 1 Char"/>
    <w:basedOn w:val="DefaultParagraphFont"/>
    <w:link w:val="Heading1"/>
    <w:rsid w:val="00C54E5A"/>
    <w:rPr>
      <w:rFonts w:ascii="arial bold" w:eastAsia="SimSun" w:hAnsi="arial bold" w:cs="Arial"/>
      <w:b/>
      <w:bCs/>
      <w:kern w:val="32"/>
      <w:sz w:val="22"/>
      <w:szCs w:val="32"/>
      <w:lang w:val="fr-CH" w:eastAsia="zh-CN"/>
    </w:rPr>
  </w:style>
  <w:style w:type="character" w:customStyle="1" w:styleId="Heading3Char">
    <w:name w:val="Heading 3 Char"/>
    <w:basedOn w:val="DefaultParagraphFont"/>
    <w:link w:val="Heading3"/>
    <w:rsid w:val="00C54E5A"/>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255C01"/>
    <w:rPr>
      <w:rFonts w:ascii="Arial" w:eastAsia="SimSun" w:hAnsi="Arial" w:cs="Arial"/>
      <w:bCs/>
      <w:sz w:val="22"/>
      <w:szCs w:val="28"/>
      <w:u w:val="single"/>
      <w:lang w:val="fr-CH" w:eastAsia="zh-CN"/>
    </w:rPr>
  </w:style>
  <w:style w:type="paragraph" w:customStyle="1" w:styleId="Endofdocument-Annex">
    <w:name w:val="[End of document - Annex]"/>
    <w:basedOn w:val="Normal"/>
    <w:rsid w:val="0026192C"/>
    <w:pPr>
      <w:ind w:left="5534"/>
    </w:pPr>
    <w:rPr>
      <w:rFonts w:eastAsia="SimSun" w:cs="Arial"/>
      <w:szCs w:val="20"/>
      <w:lang w:eastAsia="zh-CN" w:bidi="ar-SA"/>
    </w:rPr>
  </w:style>
  <w:style w:type="paragraph" w:styleId="TOCHeading">
    <w:name w:val="TOC Heading"/>
    <w:basedOn w:val="Heading1"/>
    <w:next w:val="Normal"/>
    <w:uiPriority w:val="39"/>
    <w:unhideWhenUsed/>
    <w:qFormat/>
    <w:rsid w:val="00202EB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1F1BF0"/>
    <w:pPr>
      <w:tabs>
        <w:tab w:val="left" w:pos="567"/>
        <w:tab w:val="right" w:leader="dot" w:pos="9072"/>
      </w:tabs>
      <w:spacing w:after="220"/>
    </w:pPr>
    <w:rPr>
      <w:b/>
    </w:rPr>
  </w:style>
  <w:style w:type="paragraph" w:styleId="TOC2">
    <w:name w:val="toc 2"/>
    <w:basedOn w:val="Normal"/>
    <w:next w:val="Normal"/>
    <w:autoRedefine/>
    <w:uiPriority w:val="39"/>
    <w:unhideWhenUsed/>
    <w:rsid w:val="001F1BF0"/>
    <w:pPr>
      <w:tabs>
        <w:tab w:val="left" w:pos="567"/>
        <w:tab w:val="right" w:leader="dot" w:pos="9072"/>
      </w:tabs>
      <w:spacing w:before="220" w:after="220"/>
    </w:pPr>
    <w:rPr>
      <w:b/>
    </w:rPr>
  </w:style>
  <w:style w:type="paragraph" w:styleId="TOC3">
    <w:name w:val="toc 3"/>
    <w:basedOn w:val="Normal"/>
    <w:next w:val="Normal"/>
    <w:autoRedefine/>
    <w:uiPriority w:val="39"/>
    <w:unhideWhenUsed/>
    <w:rsid w:val="001F1BF0"/>
    <w:pPr>
      <w:tabs>
        <w:tab w:val="left" w:pos="1134"/>
        <w:tab w:val="right" w:leader="dot" w:pos="9072"/>
      </w:tabs>
      <w:spacing w:after="10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40950">
      <w:bodyDiv w:val="1"/>
      <w:marLeft w:val="0"/>
      <w:marRight w:val="0"/>
      <w:marTop w:val="0"/>
      <w:marBottom w:val="0"/>
      <w:divBdr>
        <w:top w:val="none" w:sz="0" w:space="0" w:color="auto"/>
        <w:left w:val="none" w:sz="0" w:space="0" w:color="auto"/>
        <w:bottom w:val="none" w:sz="0" w:space="0" w:color="auto"/>
        <w:right w:val="none" w:sz="0" w:space="0" w:color="auto"/>
      </w:divBdr>
    </w:div>
    <w:div w:id="957420154">
      <w:bodyDiv w:val="1"/>
      <w:marLeft w:val="0"/>
      <w:marRight w:val="0"/>
      <w:marTop w:val="0"/>
      <w:marBottom w:val="0"/>
      <w:divBdr>
        <w:top w:val="none" w:sz="0" w:space="0" w:color="auto"/>
        <w:left w:val="none" w:sz="0" w:space="0" w:color="auto"/>
        <w:bottom w:val="none" w:sz="0" w:space="0" w:color="auto"/>
        <w:right w:val="none" w:sz="0" w:space="0" w:color="auto"/>
      </w:divBdr>
    </w:div>
    <w:div w:id="1140027762">
      <w:bodyDiv w:val="1"/>
      <w:marLeft w:val="0"/>
      <w:marRight w:val="0"/>
      <w:marTop w:val="0"/>
      <w:marBottom w:val="0"/>
      <w:divBdr>
        <w:top w:val="none" w:sz="0" w:space="0" w:color="auto"/>
        <w:left w:val="none" w:sz="0" w:space="0" w:color="auto"/>
        <w:bottom w:val="none" w:sz="0" w:space="0" w:color="auto"/>
        <w:right w:val="none" w:sz="0" w:space="0" w:color="auto"/>
      </w:divBdr>
    </w:div>
    <w:div w:id="1420952328">
      <w:bodyDiv w:val="1"/>
      <w:marLeft w:val="0"/>
      <w:marRight w:val="0"/>
      <w:marTop w:val="0"/>
      <w:marBottom w:val="0"/>
      <w:divBdr>
        <w:top w:val="none" w:sz="0" w:space="0" w:color="auto"/>
        <w:left w:val="none" w:sz="0" w:space="0" w:color="auto"/>
        <w:bottom w:val="none" w:sz="0" w:space="0" w:color="auto"/>
        <w:right w:val="none" w:sz="0" w:space="0" w:color="auto"/>
      </w:divBdr>
    </w:div>
    <w:div w:id="1503278198">
      <w:bodyDiv w:val="1"/>
      <w:marLeft w:val="0"/>
      <w:marRight w:val="0"/>
      <w:marTop w:val="0"/>
      <w:marBottom w:val="0"/>
      <w:divBdr>
        <w:top w:val="none" w:sz="0" w:space="0" w:color="auto"/>
        <w:left w:val="none" w:sz="0" w:space="0" w:color="auto"/>
        <w:bottom w:val="none" w:sz="0" w:space="0" w:color="auto"/>
        <w:right w:val="none" w:sz="0" w:space="0" w:color="auto"/>
      </w:divBdr>
    </w:div>
    <w:div w:id="1718436075">
      <w:bodyDiv w:val="1"/>
      <w:marLeft w:val="0"/>
      <w:marRight w:val="0"/>
      <w:marTop w:val="0"/>
      <w:marBottom w:val="0"/>
      <w:divBdr>
        <w:top w:val="none" w:sz="0" w:space="0" w:color="auto"/>
        <w:left w:val="none" w:sz="0" w:space="0" w:color="auto"/>
        <w:bottom w:val="none" w:sz="0" w:space="0" w:color="auto"/>
        <w:right w:val="none" w:sz="0" w:space="0" w:color="auto"/>
      </w:divBdr>
      <w:divsChild>
        <w:div w:id="1588810040">
          <w:marLeft w:val="0"/>
          <w:marRight w:val="0"/>
          <w:marTop w:val="0"/>
          <w:marBottom w:val="0"/>
          <w:divBdr>
            <w:top w:val="none" w:sz="0" w:space="0" w:color="auto"/>
            <w:left w:val="none" w:sz="0" w:space="0" w:color="auto"/>
            <w:bottom w:val="none" w:sz="0" w:space="0" w:color="auto"/>
            <w:right w:val="none" w:sz="0" w:space="0" w:color="auto"/>
          </w:divBdr>
          <w:divsChild>
            <w:div w:id="1050694554">
              <w:marLeft w:val="0"/>
              <w:marRight w:val="0"/>
              <w:marTop w:val="0"/>
              <w:marBottom w:val="0"/>
              <w:divBdr>
                <w:top w:val="none" w:sz="0" w:space="0" w:color="auto"/>
                <w:left w:val="none" w:sz="0" w:space="0" w:color="auto"/>
                <w:bottom w:val="none" w:sz="0" w:space="0" w:color="auto"/>
                <w:right w:val="none" w:sz="0" w:space="0" w:color="auto"/>
              </w:divBdr>
              <w:divsChild>
                <w:div w:id="190728088">
                  <w:marLeft w:val="0"/>
                  <w:marRight w:val="0"/>
                  <w:marTop w:val="0"/>
                  <w:marBottom w:val="0"/>
                  <w:divBdr>
                    <w:top w:val="none" w:sz="0" w:space="0" w:color="auto"/>
                    <w:left w:val="none" w:sz="0" w:space="0" w:color="auto"/>
                    <w:bottom w:val="none" w:sz="0" w:space="0" w:color="auto"/>
                    <w:right w:val="none" w:sz="0" w:space="0" w:color="auto"/>
                  </w:divBdr>
                  <w:divsChild>
                    <w:div w:id="1603536176">
                      <w:marLeft w:val="0"/>
                      <w:marRight w:val="0"/>
                      <w:marTop w:val="0"/>
                      <w:marBottom w:val="345"/>
                      <w:divBdr>
                        <w:top w:val="none" w:sz="0" w:space="0" w:color="auto"/>
                        <w:left w:val="none" w:sz="0" w:space="0" w:color="auto"/>
                        <w:bottom w:val="none" w:sz="0" w:space="0" w:color="auto"/>
                        <w:right w:val="none" w:sz="0" w:space="0" w:color="auto"/>
                      </w:divBdr>
                      <w:divsChild>
                        <w:div w:id="1345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2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217446" TargetMode="External"/><Relationship Id="rId3" Type="http://schemas.openxmlformats.org/officeDocument/2006/relationships/hyperlink" Target="http://www.wipo.int/meetings/fr/doc_details.jsp?doc_id=92813" TargetMode="External"/><Relationship Id="rId7" Type="http://schemas.openxmlformats.org/officeDocument/2006/relationships/hyperlink" Target="http://www.wipo.int/export/sites/www/about-wipo/en/oversight/iaod/evaluation/pdf/evaluation_policy_2010.pdf" TargetMode="External"/><Relationship Id="rId2" Type="http://schemas.openxmlformats.org/officeDocument/2006/relationships/hyperlink" Target="http://www.wipo.int/meetings/fr/doc_details.jsp?doc_id=92232" TargetMode="External"/><Relationship Id="rId1" Type="http://schemas.openxmlformats.org/officeDocument/2006/relationships/hyperlink" Target="http://www.wipo.int/ip-development/fr/agenda/index.html" TargetMode="External"/><Relationship Id="rId6" Type="http://schemas.openxmlformats.org/officeDocument/2006/relationships/hyperlink" Target="http://www.wipo.int/export/sites/www/ip%20development/en/agenda/pdf/inceptionreport06082015.pdf" TargetMode="External"/><Relationship Id="rId5" Type="http://schemas.openxmlformats.org/officeDocument/2006/relationships/hyperlink" Target="http://www.wipo.int/ip-development/fr/agenda/news/2015/news_0003.html" TargetMode="External"/><Relationship Id="rId4" Type="http://schemas.openxmlformats.org/officeDocument/2006/relationships/hyperlink" Target="http://www.wipo.int/ip-development/fr/agenda/coordination_mechanis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C0007-373A-4BF6-8A1D-44E38D96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42</Pages>
  <Words>19001</Words>
  <Characters>109257</Characters>
  <Application>Microsoft Office Word</Application>
  <DocSecurity>0</DocSecurity>
  <Lines>1883</Lines>
  <Paragraphs>724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CONSULTANT</Company>
  <LinksUpToDate>false</LinksUpToDate>
  <CharactersWithSpaces>127534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Roffe</dc:creator>
  <cp:lastModifiedBy>OLIVIÉ Karen</cp:lastModifiedBy>
  <cp:revision>4</cp:revision>
  <cp:lastPrinted>2016-08-18T08:25:00Z</cp:lastPrinted>
  <dcterms:created xsi:type="dcterms:W3CDTF">2016-09-01T09:16:00Z</dcterms:created>
  <dcterms:modified xsi:type="dcterms:W3CDTF">2016-09-01T11:35:00Z</dcterms:modified>
</cp:coreProperties>
</file>