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A613E" w:rsidRPr="00DA613E" w:rsidTr="00E47E94">
        <w:tc>
          <w:tcPr>
            <w:tcW w:w="4513" w:type="dxa"/>
            <w:tcBorders>
              <w:bottom w:val="single" w:sz="4" w:space="0" w:color="auto"/>
            </w:tcBorders>
            <w:tcMar>
              <w:bottom w:w="170" w:type="dxa"/>
            </w:tcMar>
          </w:tcPr>
          <w:p w:rsidR="001734F7" w:rsidRPr="00DA613E" w:rsidRDefault="001734F7" w:rsidP="00DA613E">
            <w:pPr>
              <w:rPr>
                <w:lang w:val="fr-FR"/>
              </w:rPr>
            </w:pPr>
            <w:bookmarkStart w:id="0" w:name="_GoBack"/>
            <w:bookmarkEnd w:id="0"/>
          </w:p>
        </w:tc>
        <w:tc>
          <w:tcPr>
            <w:tcW w:w="4337" w:type="dxa"/>
            <w:tcBorders>
              <w:bottom w:val="single" w:sz="4" w:space="0" w:color="auto"/>
            </w:tcBorders>
            <w:tcMar>
              <w:left w:w="0" w:type="dxa"/>
              <w:right w:w="0" w:type="dxa"/>
            </w:tcMar>
          </w:tcPr>
          <w:p w:rsidR="001734F7" w:rsidRPr="00DA613E" w:rsidRDefault="001734F7" w:rsidP="00DA613E">
            <w:pPr>
              <w:rPr>
                <w:lang w:val="fr-FR"/>
              </w:rPr>
            </w:pPr>
            <w:r w:rsidRPr="00DA613E">
              <w:rPr>
                <w:noProof/>
                <w:lang w:eastAsia="en-US"/>
              </w:rPr>
              <w:drawing>
                <wp:inline distT="0" distB="0" distL="0" distR="0" wp14:anchorId="1244D6B0" wp14:editId="75ECDC93">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734F7" w:rsidRPr="00DA613E" w:rsidRDefault="001734F7" w:rsidP="00DA613E">
            <w:pPr>
              <w:jc w:val="right"/>
              <w:rPr>
                <w:lang w:val="fr-FR"/>
              </w:rPr>
            </w:pPr>
            <w:r w:rsidRPr="00DA613E">
              <w:rPr>
                <w:b/>
                <w:sz w:val="40"/>
                <w:szCs w:val="40"/>
                <w:lang w:val="fr-FR"/>
              </w:rPr>
              <w:t>F</w:t>
            </w:r>
          </w:p>
        </w:tc>
      </w:tr>
      <w:tr w:rsidR="00DA613E" w:rsidRPr="00DA613E" w:rsidTr="00E47E94">
        <w:trPr>
          <w:trHeight w:hRule="exact" w:val="340"/>
        </w:trPr>
        <w:tc>
          <w:tcPr>
            <w:tcW w:w="9356" w:type="dxa"/>
            <w:gridSpan w:val="3"/>
            <w:tcBorders>
              <w:top w:val="single" w:sz="4" w:space="0" w:color="auto"/>
            </w:tcBorders>
            <w:tcMar>
              <w:top w:w="170" w:type="dxa"/>
              <w:left w:w="0" w:type="dxa"/>
              <w:right w:w="0" w:type="dxa"/>
            </w:tcMar>
            <w:vAlign w:val="bottom"/>
          </w:tcPr>
          <w:p w:rsidR="001734F7" w:rsidRPr="00DA613E" w:rsidRDefault="001734F7" w:rsidP="00DA613E">
            <w:pPr>
              <w:jc w:val="right"/>
              <w:rPr>
                <w:rFonts w:ascii="Arial Black" w:hAnsi="Arial Black"/>
                <w:caps/>
                <w:sz w:val="15"/>
                <w:lang w:val="fr-FR"/>
              </w:rPr>
            </w:pPr>
            <w:r w:rsidRPr="00DA613E">
              <w:rPr>
                <w:rFonts w:ascii="Arial Black" w:hAnsi="Arial Black"/>
                <w:caps/>
                <w:sz w:val="15"/>
                <w:lang w:val="fr-FR"/>
              </w:rPr>
              <w:t>CDIP/17/</w:t>
            </w:r>
            <w:bookmarkStart w:id="1" w:name="Code"/>
            <w:bookmarkEnd w:id="1"/>
            <w:r w:rsidRPr="00DA613E">
              <w:rPr>
                <w:rFonts w:ascii="Arial Black" w:hAnsi="Arial Black"/>
                <w:caps/>
                <w:sz w:val="15"/>
                <w:lang w:val="fr-FR"/>
              </w:rPr>
              <w:t xml:space="preserve">5 </w:t>
            </w:r>
          </w:p>
        </w:tc>
      </w:tr>
      <w:tr w:rsidR="00DA613E" w:rsidRPr="00DA613E" w:rsidTr="00E47E94">
        <w:trPr>
          <w:trHeight w:hRule="exact" w:val="170"/>
        </w:trPr>
        <w:tc>
          <w:tcPr>
            <w:tcW w:w="9356" w:type="dxa"/>
            <w:gridSpan w:val="3"/>
            <w:noWrap/>
            <w:tcMar>
              <w:left w:w="0" w:type="dxa"/>
              <w:right w:w="0" w:type="dxa"/>
            </w:tcMar>
            <w:vAlign w:val="bottom"/>
          </w:tcPr>
          <w:p w:rsidR="001734F7" w:rsidRPr="00DA613E" w:rsidRDefault="001734F7" w:rsidP="00DA613E">
            <w:pPr>
              <w:jc w:val="right"/>
              <w:rPr>
                <w:rFonts w:ascii="Arial Black" w:hAnsi="Arial Black"/>
                <w:caps/>
                <w:sz w:val="15"/>
                <w:lang w:val="fr-FR"/>
              </w:rPr>
            </w:pPr>
            <w:r w:rsidRPr="00DA613E">
              <w:rPr>
                <w:rFonts w:ascii="Arial Black" w:hAnsi="Arial Black"/>
                <w:caps/>
                <w:sz w:val="15"/>
                <w:lang w:val="fr-FR"/>
              </w:rPr>
              <w:t xml:space="preserve">ORIGINAL : </w:t>
            </w:r>
            <w:bookmarkStart w:id="2" w:name="Original"/>
            <w:bookmarkEnd w:id="2"/>
            <w:r w:rsidRPr="00DA613E">
              <w:rPr>
                <w:rFonts w:ascii="Arial Black" w:hAnsi="Arial Black"/>
                <w:caps/>
                <w:sz w:val="15"/>
                <w:lang w:val="fr-FR"/>
              </w:rPr>
              <w:t>anglais</w:t>
            </w:r>
          </w:p>
        </w:tc>
      </w:tr>
      <w:tr w:rsidR="001734F7" w:rsidRPr="00DA613E" w:rsidTr="00E47E94">
        <w:trPr>
          <w:trHeight w:hRule="exact" w:val="198"/>
        </w:trPr>
        <w:tc>
          <w:tcPr>
            <w:tcW w:w="9356" w:type="dxa"/>
            <w:gridSpan w:val="3"/>
            <w:tcMar>
              <w:left w:w="0" w:type="dxa"/>
              <w:right w:w="0" w:type="dxa"/>
            </w:tcMar>
            <w:vAlign w:val="bottom"/>
          </w:tcPr>
          <w:p w:rsidR="001734F7" w:rsidRPr="00DA613E" w:rsidRDefault="001734F7" w:rsidP="00DA613E">
            <w:pPr>
              <w:jc w:val="right"/>
              <w:rPr>
                <w:rFonts w:ascii="Arial Black" w:hAnsi="Arial Black"/>
                <w:caps/>
                <w:sz w:val="15"/>
                <w:lang w:val="fr-FR"/>
              </w:rPr>
            </w:pPr>
            <w:r w:rsidRPr="00DA613E">
              <w:rPr>
                <w:rFonts w:ascii="Arial Black" w:hAnsi="Arial Black"/>
                <w:caps/>
                <w:sz w:val="15"/>
                <w:lang w:val="fr-FR"/>
              </w:rPr>
              <w:t xml:space="preserve">DATE : </w:t>
            </w:r>
            <w:bookmarkStart w:id="3" w:name="Date"/>
            <w:bookmarkEnd w:id="3"/>
            <w:r w:rsidRPr="00DA613E">
              <w:rPr>
                <w:rFonts w:ascii="Arial Black" w:hAnsi="Arial Black"/>
                <w:caps/>
                <w:sz w:val="15"/>
                <w:lang w:val="fr-FR"/>
              </w:rPr>
              <w:t>12 FéVRIer 2016</w:t>
            </w:r>
          </w:p>
        </w:tc>
      </w:tr>
    </w:tbl>
    <w:p w:rsidR="001734F7" w:rsidRPr="00DA613E" w:rsidRDefault="001734F7" w:rsidP="00DA613E">
      <w:pPr>
        <w:rPr>
          <w:lang w:val="fr-FR"/>
        </w:rPr>
      </w:pPr>
    </w:p>
    <w:p w:rsidR="001734F7" w:rsidRPr="00DA613E" w:rsidRDefault="001734F7" w:rsidP="00DA613E">
      <w:pPr>
        <w:rPr>
          <w:lang w:val="fr-FR"/>
        </w:rPr>
      </w:pPr>
    </w:p>
    <w:p w:rsidR="001734F7" w:rsidRPr="00DA613E" w:rsidRDefault="001734F7" w:rsidP="00DA613E">
      <w:pPr>
        <w:rPr>
          <w:lang w:val="fr-FR"/>
        </w:rPr>
      </w:pPr>
    </w:p>
    <w:p w:rsidR="001734F7" w:rsidRPr="00DA613E" w:rsidRDefault="001734F7" w:rsidP="00DA613E">
      <w:pPr>
        <w:rPr>
          <w:lang w:val="fr-FR"/>
        </w:rPr>
      </w:pPr>
    </w:p>
    <w:p w:rsidR="001734F7" w:rsidRPr="00DA613E" w:rsidRDefault="001734F7" w:rsidP="00DA613E">
      <w:pPr>
        <w:rPr>
          <w:lang w:val="fr-FR"/>
        </w:rPr>
      </w:pPr>
    </w:p>
    <w:p w:rsidR="001734F7" w:rsidRPr="00DA613E" w:rsidRDefault="001734F7" w:rsidP="00DA613E">
      <w:pPr>
        <w:rPr>
          <w:b/>
          <w:sz w:val="28"/>
          <w:szCs w:val="28"/>
          <w:lang w:val="fr-FR"/>
        </w:rPr>
      </w:pPr>
      <w:r w:rsidRPr="00DA613E">
        <w:rPr>
          <w:b/>
          <w:sz w:val="28"/>
          <w:szCs w:val="28"/>
          <w:lang w:val="fr-FR"/>
        </w:rPr>
        <w:t>Comité du développement et de la propriété intellectuelle (CDIP)</w:t>
      </w:r>
    </w:p>
    <w:p w:rsidR="001734F7" w:rsidRPr="00DA613E" w:rsidRDefault="001734F7" w:rsidP="00DA613E">
      <w:pPr>
        <w:rPr>
          <w:lang w:val="fr-FR"/>
        </w:rPr>
      </w:pPr>
    </w:p>
    <w:p w:rsidR="001734F7" w:rsidRPr="00DA613E" w:rsidRDefault="001734F7" w:rsidP="00DA613E">
      <w:pPr>
        <w:rPr>
          <w:lang w:val="fr-FR"/>
        </w:rPr>
      </w:pPr>
    </w:p>
    <w:p w:rsidR="001734F7" w:rsidRPr="00DA613E" w:rsidRDefault="001734F7" w:rsidP="00DA613E">
      <w:pPr>
        <w:rPr>
          <w:b/>
          <w:sz w:val="24"/>
          <w:szCs w:val="24"/>
          <w:lang w:val="fr-FR"/>
        </w:rPr>
      </w:pPr>
      <w:r w:rsidRPr="00DA613E">
        <w:rPr>
          <w:b/>
          <w:sz w:val="24"/>
          <w:szCs w:val="24"/>
          <w:lang w:val="fr-FR"/>
        </w:rPr>
        <w:t>Dix</w:t>
      </w:r>
      <w:r w:rsidR="000D09AB" w:rsidRPr="00DA613E">
        <w:rPr>
          <w:b/>
          <w:sz w:val="24"/>
          <w:szCs w:val="24"/>
          <w:lang w:val="fr-FR"/>
        </w:rPr>
        <w:noBreakHyphen/>
      </w:r>
      <w:r w:rsidRPr="00DA613E">
        <w:rPr>
          <w:b/>
          <w:sz w:val="24"/>
          <w:szCs w:val="24"/>
          <w:lang w:val="fr-FR"/>
        </w:rPr>
        <w:t>septième session</w:t>
      </w:r>
    </w:p>
    <w:p w:rsidR="001734F7" w:rsidRPr="00DA613E" w:rsidRDefault="001734F7" w:rsidP="00DA613E">
      <w:pPr>
        <w:rPr>
          <w:b/>
          <w:sz w:val="24"/>
          <w:szCs w:val="24"/>
          <w:lang w:val="fr-FR"/>
        </w:rPr>
      </w:pPr>
      <w:r w:rsidRPr="00DA613E">
        <w:rPr>
          <w:b/>
          <w:sz w:val="24"/>
          <w:szCs w:val="24"/>
          <w:lang w:val="fr-FR"/>
        </w:rPr>
        <w:t>Genève, 11 – 15 avril 2016</w:t>
      </w:r>
    </w:p>
    <w:p w:rsidR="001734F7" w:rsidRPr="00DA613E" w:rsidRDefault="001734F7" w:rsidP="00DA613E">
      <w:pPr>
        <w:rPr>
          <w:lang w:val="fr-FR"/>
        </w:rPr>
      </w:pPr>
    </w:p>
    <w:p w:rsidR="001734F7" w:rsidRPr="00DA613E" w:rsidRDefault="001734F7" w:rsidP="00DA613E">
      <w:pPr>
        <w:rPr>
          <w:lang w:val="fr-FR"/>
        </w:rPr>
      </w:pPr>
    </w:p>
    <w:p w:rsidR="001734F7" w:rsidRPr="00DA613E" w:rsidRDefault="001734F7" w:rsidP="00DA613E">
      <w:pPr>
        <w:rPr>
          <w:lang w:val="fr-FR"/>
        </w:rPr>
      </w:pPr>
    </w:p>
    <w:p w:rsidR="001734F7" w:rsidRPr="00DA613E" w:rsidRDefault="009D3DB7" w:rsidP="00DA613E">
      <w:pPr>
        <w:rPr>
          <w:caps/>
          <w:sz w:val="24"/>
          <w:lang w:val="fr-FR"/>
        </w:rPr>
      </w:pPr>
      <w:r w:rsidRPr="00DA613E">
        <w:rPr>
          <w:caps/>
          <w:sz w:val="24"/>
          <w:lang w:val="fr-FR"/>
        </w:rPr>
        <w:t>MÉCANISME DE MISE à</w:t>
      </w:r>
      <w:r w:rsidR="00996F30" w:rsidRPr="00DA613E">
        <w:rPr>
          <w:caps/>
          <w:sz w:val="24"/>
          <w:lang w:val="fr-FR"/>
        </w:rPr>
        <w:t xml:space="preserve"> JOUR DE LA BASE DE DONNÉES CONSACRÉE AUX ÉLÉMENTS DE FLEXIBILITÉ</w:t>
      </w:r>
    </w:p>
    <w:p w:rsidR="00163F88" w:rsidRPr="00DA613E" w:rsidRDefault="00163F88" w:rsidP="00DA613E">
      <w:pPr>
        <w:rPr>
          <w:lang w:val="fr-FR"/>
        </w:rPr>
      </w:pPr>
    </w:p>
    <w:p w:rsidR="00163F88" w:rsidRPr="00DA613E" w:rsidRDefault="00BB3A8A" w:rsidP="00DA613E">
      <w:pPr>
        <w:rPr>
          <w:i/>
          <w:lang w:val="fr-FR"/>
        </w:rPr>
      </w:pPr>
      <w:bookmarkStart w:id="4" w:name="Prepared"/>
      <w:bookmarkEnd w:id="4"/>
      <w:r w:rsidRPr="00DA613E">
        <w:rPr>
          <w:i/>
          <w:lang w:val="fr-FR"/>
        </w:rPr>
        <w:t>Docu</w:t>
      </w:r>
      <w:r w:rsidR="00996F30" w:rsidRPr="00DA613E">
        <w:rPr>
          <w:i/>
          <w:lang w:val="fr-FR"/>
        </w:rPr>
        <w:t>m</w:t>
      </w:r>
      <w:r w:rsidRPr="00DA613E">
        <w:rPr>
          <w:i/>
          <w:lang w:val="fr-FR"/>
        </w:rPr>
        <w:t>e</w:t>
      </w:r>
      <w:r w:rsidR="00996F30" w:rsidRPr="00DA613E">
        <w:rPr>
          <w:i/>
          <w:lang w:val="fr-FR"/>
        </w:rPr>
        <w:t>n</w:t>
      </w:r>
      <w:r w:rsidRPr="00DA613E">
        <w:rPr>
          <w:i/>
          <w:lang w:val="fr-FR"/>
        </w:rPr>
        <w:t>t</w:t>
      </w:r>
      <w:r w:rsidR="00996F30" w:rsidRPr="00DA613E">
        <w:rPr>
          <w:i/>
          <w:lang w:val="fr-FR"/>
        </w:rPr>
        <w:t xml:space="preserve"> établi par le Secrétariat</w:t>
      </w:r>
    </w:p>
    <w:p w:rsidR="00163F88" w:rsidRPr="00DA613E" w:rsidRDefault="00163F88" w:rsidP="00DA613E">
      <w:pPr>
        <w:rPr>
          <w:i/>
          <w:lang w:val="fr-FR"/>
        </w:rPr>
      </w:pPr>
    </w:p>
    <w:p w:rsidR="00163F88" w:rsidRPr="00DA613E" w:rsidRDefault="00163F88" w:rsidP="00DA613E">
      <w:pPr>
        <w:rPr>
          <w:lang w:val="fr-FR"/>
        </w:rPr>
      </w:pPr>
    </w:p>
    <w:p w:rsidR="00163F88" w:rsidRPr="00DA613E" w:rsidRDefault="00163F88" w:rsidP="00DA613E">
      <w:pPr>
        <w:rPr>
          <w:lang w:val="fr-FR"/>
        </w:rPr>
      </w:pPr>
    </w:p>
    <w:p w:rsidR="00163F88" w:rsidRPr="00DA613E" w:rsidRDefault="00163F88" w:rsidP="00DA613E">
      <w:pPr>
        <w:rPr>
          <w:szCs w:val="22"/>
          <w:lang w:val="fr-FR"/>
        </w:rPr>
      </w:pPr>
    </w:p>
    <w:p w:rsidR="00163F88" w:rsidRPr="00DA613E" w:rsidRDefault="00163F88" w:rsidP="00DA613E">
      <w:pPr>
        <w:rPr>
          <w:szCs w:val="22"/>
          <w:lang w:val="fr-FR"/>
        </w:rPr>
      </w:pPr>
    </w:p>
    <w:p w:rsidR="00163F88" w:rsidRPr="00DA613E" w:rsidRDefault="000D09AB" w:rsidP="00DA613E">
      <w:pPr>
        <w:pStyle w:val="ONUMFS"/>
        <w:rPr>
          <w:lang w:val="fr-FR"/>
        </w:rPr>
      </w:pPr>
      <w:r w:rsidRPr="00DA613E">
        <w:rPr>
          <w:lang w:val="fr-FR"/>
        </w:rPr>
        <w:t xml:space="preserve">À </w:t>
      </w:r>
      <w:r w:rsidR="006F17AC" w:rsidRPr="00DA613E">
        <w:rPr>
          <w:lang w:val="fr-FR"/>
        </w:rPr>
        <w:t>sa seizième</w:t>
      </w:r>
      <w:r w:rsidR="00974E05" w:rsidRPr="00DA613E">
        <w:rPr>
          <w:lang w:val="fr-FR"/>
        </w:rPr>
        <w:t> </w:t>
      </w:r>
      <w:r w:rsidR="006F17AC" w:rsidRPr="00DA613E">
        <w:rPr>
          <w:lang w:val="fr-FR"/>
        </w:rPr>
        <w:t xml:space="preserve">session, le </w:t>
      </w:r>
      <w:r w:rsidRPr="00DA613E">
        <w:rPr>
          <w:lang w:val="fr-FR"/>
        </w:rPr>
        <w:t>C</w:t>
      </w:r>
      <w:r w:rsidR="006F17AC" w:rsidRPr="00DA613E">
        <w:rPr>
          <w:lang w:val="fr-FR"/>
        </w:rPr>
        <w:t>omité du développement et de la propriété intellectuelle (CDIP) a prié le Secrétariat de proposer un mécanisme permettant d</w:t>
      </w:r>
      <w:r w:rsidR="001734F7" w:rsidRPr="00DA613E">
        <w:rPr>
          <w:lang w:val="fr-FR"/>
        </w:rPr>
        <w:t>’</w:t>
      </w:r>
      <w:r w:rsidR="006F17AC" w:rsidRPr="00DA613E">
        <w:rPr>
          <w:lang w:val="fr-FR"/>
        </w:rPr>
        <w:t>effectuer une mise à jour périodique de la base de données consacrée aux éléments de flexibilité, compte tenu des observations formulées par les États membres.</w:t>
      </w:r>
    </w:p>
    <w:p w:rsidR="00163F88" w:rsidRPr="00DA613E" w:rsidRDefault="006F17AC" w:rsidP="00DA613E">
      <w:pPr>
        <w:pStyle w:val="ONUMFS"/>
        <w:rPr>
          <w:lang w:val="fr-FR"/>
        </w:rPr>
      </w:pPr>
      <w:r w:rsidRPr="00DA613E">
        <w:rPr>
          <w:lang w:val="fr-FR"/>
        </w:rPr>
        <w:t>Comme suite à cette demande, l</w:t>
      </w:r>
      <w:r w:rsidR="001734F7" w:rsidRPr="00DA613E">
        <w:rPr>
          <w:lang w:val="fr-FR"/>
        </w:rPr>
        <w:t>’</w:t>
      </w:r>
      <w:r w:rsidRPr="00DA613E">
        <w:rPr>
          <w:lang w:val="fr-FR"/>
        </w:rPr>
        <w:t xml:space="preserve">annexe du présent document propose </w:t>
      </w:r>
      <w:r w:rsidR="003718C0" w:rsidRPr="00DA613E">
        <w:rPr>
          <w:lang w:val="fr-FR"/>
        </w:rPr>
        <w:t>différentes</w:t>
      </w:r>
      <w:r w:rsidRPr="00DA613E">
        <w:rPr>
          <w:lang w:val="fr-FR"/>
        </w:rPr>
        <w:t xml:space="preserve"> </w:t>
      </w:r>
      <w:r w:rsidR="003718C0" w:rsidRPr="00DA613E">
        <w:rPr>
          <w:lang w:val="fr-FR"/>
        </w:rPr>
        <w:t>solution</w:t>
      </w:r>
      <w:r w:rsidRPr="00DA613E">
        <w:rPr>
          <w:lang w:val="fr-FR"/>
        </w:rPr>
        <w:t>s pour mettre à jour cette base de données.</w:t>
      </w:r>
    </w:p>
    <w:p w:rsidR="00163F88" w:rsidRPr="00DA613E" w:rsidRDefault="006F17AC" w:rsidP="00DA613E">
      <w:pPr>
        <w:pStyle w:val="ONUMFS"/>
        <w:spacing w:after="0"/>
        <w:ind w:left="5533"/>
        <w:rPr>
          <w:i/>
          <w:lang w:val="fr-FR"/>
        </w:rPr>
      </w:pPr>
      <w:r w:rsidRPr="00DA613E">
        <w:rPr>
          <w:i/>
          <w:lang w:val="fr-FR"/>
        </w:rPr>
        <w:t>Le CDIP est invité à examiner les informations contenues dans l</w:t>
      </w:r>
      <w:r w:rsidR="001734F7" w:rsidRPr="00DA613E">
        <w:rPr>
          <w:i/>
          <w:lang w:val="fr-FR"/>
        </w:rPr>
        <w:t>’</w:t>
      </w:r>
      <w:r w:rsidRPr="00DA613E">
        <w:rPr>
          <w:i/>
          <w:lang w:val="fr-FR"/>
        </w:rPr>
        <w:t>annexe du présent document.</w:t>
      </w:r>
    </w:p>
    <w:p w:rsidR="00163F88" w:rsidRPr="00DA613E" w:rsidRDefault="00163F88" w:rsidP="00DA613E">
      <w:pPr>
        <w:rPr>
          <w:lang w:val="fr-FR"/>
        </w:rPr>
      </w:pPr>
    </w:p>
    <w:p w:rsidR="00163F88" w:rsidRPr="00DA613E" w:rsidRDefault="00163F88" w:rsidP="00DA613E">
      <w:pPr>
        <w:rPr>
          <w:lang w:val="fr-FR"/>
        </w:rPr>
      </w:pPr>
    </w:p>
    <w:p w:rsidR="00163F88" w:rsidRPr="00DA613E" w:rsidRDefault="00163F88" w:rsidP="00DA613E">
      <w:pPr>
        <w:rPr>
          <w:lang w:val="fr-FR"/>
        </w:rPr>
      </w:pPr>
    </w:p>
    <w:p w:rsidR="001734F7" w:rsidRPr="00DA613E" w:rsidRDefault="00827F61" w:rsidP="00DA613E">
      <w:pPr>
        <w:tabs>
          <w:tab w:val="left" w:pos="4950"/>
        </w:tabs>
        <w:ind w:left="5534"/>
        <w:rPr>
          <w:lang w:val="fr-FR"/>
        </w:rPr>
      </w:pPr>
      <w:r w:rsidRPr="00DA613E">
        <w:rPr>
          <w:lang w:val="fr-FR"/>
        </w:rPr>
        <w:tab/>
      </w:r>
      <w:r w:rsidR="006F17AC" w:rsidRPr="00DA613E">
        <w:rPr>
          <w:lang w:val="fr-FR"/>
        </w:rPr>
        <w:t>[L</w:t>
      </w:r>
      <w:r w:rsidR="001734F7" w:rsidRPr="00DA613E">
        <w:rPr>
          <w:lang w:val="fr-FR"/>
        </w:rPr>
        <w:t>’</w:t>
      </w:r>
      <w:r w:rsidR="006F17AC" w:rsidRPr="00DA613E">
        <w:rPr>
          <w:lang w:val="fr-FR"/>
        </w:rPr>
        <w:t>annexe suit]</w:t>
      </w:r>
    </w:p>
    <w:p w:rsidR="00163F88" w:rsidRPr="00DA613E" w:rsidRDefault="00163F88" w:rsidP="00DA613E">
      <w:pPr>
        <w:rPr>
          <w:i/>
          <w:lang w:val="fr-FR"/>
        </w:rPr>
      </w:pPr>
    </w:p>
    <w:p w:rsidR="00163F88" w:rsidRPr="00DA613E" w:rsidRDefault="00163F88" w:rsidP="00DA613E">
      <w:pPr>
        <w:rPr>
          <w:lang w:val="fr-FR"/>
        </w:rPr>
      </w:pPr>
    </w:p>
    <w:p w:rsidR="00163F88" w:rsidRPr="00DA613E" w:rsidRDefault="00163F88" w:rsidP="00DA613E">
      <w:pPr>
        <w:rPr>
          <w:lang w:val="fr-FR"/>
        </w:rPr>
      </w:pPr>
    </w:p>
    <w:p w:rsidR="00163F88" w:rsidRPr="00DA613E" w:rsidRDefault="00163F88" w:rsidP="00DA613E">
      <w:pPr>
        <w:rPr>
          <w:lang w:val="fr-FR"/>
        </w:rPr>
      </w:pPr>
    </w:p>
    <w:p w:rsidR="00163F88" w:rsidRPr="00DA613E" w:rsidRDefault="00163F88" w:rsidP="00DA613E">
      <w:pPr>
        <w:rPr>
          <w:lang w:val="fr-FR"/>
        </w:rPr>
      </w:pPr>
    </w:p>
    <w:p w:rsidR="00C9356A" w:rsidRPr="00DA613E" w:rsidRDefault="00C9356A" w:rsidP="00DA613E">
      <w:pPr>
        <w:rPr>
          <w:lang w:val="fr-FR"/>
        </w:rPr>
        <w:sectPr w:rsidR="00C9356A" w:rsidRPr="00DA613E" w:rsidSect="000E001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163F88" w:rsidRPr="00DA613E" w:rsidRDefault="000D09AB" w:rsidP="00DA613E">
      <w:pPr>
        <w:pStyle w:val="Heading1"/>
        <w:rPr>
          <w:lang w:val="fr-FR"/>
        </w:rPr>
      </w:pPr>
      <w:r w:rsidRPr="00DA613E">
        <w:rPr>
          <w:lang w:val="fr-FR"/>
        </w:rPr>
        <w:lastRenderedPageBreak/>
        <w:t>I.</w:t>
      </w:r>
      <w:r w:rsidRPr="00DA613E">
        <w:rPr>
          <w:lang w:val="fr-FR"/>
        </w:rPr>
        <w:tab/>
        <w:t>GÉNÉRALITÉS</w:t>
      </w:r>
    </w:p>
    <w:p w:rsidR="00163F88" w:rsidRPr="00DA613E" w:rsidRDefault="00163F88" w:rsidP="00DA613E">
      <w:pPr>
        <w:pStyle w:val="NormalWeb"/>
        <w:kinsoku w:val="0"/>
        <w:overflowPunct w:val="0"/>
        <w:spacing w:before="96"/>
        <w:textAlignment w:val="baseline"/>
        <w:rPr>
          <w:rFonts w:ascii="Arial" w:eastAsiaTheme="minorEastAsia" w:hAnsi="Arial" w:cs="Arial"/>
          <w:sz w:val="22"/>
          <w:szCs w:val="22"/>
          <w:lang w:val="fr-FR"/>
        </w:rPr>
      </w:pPr>
    </w:p>
    <w:p w:rsidR="001734F7" w:rsidRPr="00DA613E" w:rsidRDefault="00CD360B" w:rsidP="00DA613E">
      <w:pPr>
        <w:pStyle w:val="ONUMFS"/>
        <w:numPr>
          <w:ilvl w:val="0"/>
          <w:numId w:val="35"/>
        </w:numPr>
        <w:rPr>
          <w:szCs w:val="22"/>
          <w:lang w:val="fr-FR"/>
        </w:rPr>
      </w:pPr>
      <w:r w:rsidRPr="00DA613E">
        <w:rPr>
          <w:lang w:val="fr-FR"/>
        </w:rPr>
        <w:t>La base de données consacrée aux éléments de flexibilité dans le système de la propriété intellectuelle (ci</w:t>
      </w:r>
      <w:r w:rsidR="000D09AB" w:rsidRPr="00DA613E">
        <w:rPr>
          <w:lang w:val="fr-FR"/>
        </w:rPr>
        <w:noBreakHyphen/>
      </w:r>
      <w:r w:rsidRPr="00DA613E">
        <w:rPr>
          <w:lang w:val="fr-FR"/>
        </w:rPr>
        <w:t>après dénommé</w:t>
      </w:r>
      <w:r w:rsidR="00086F66" w:rsidRPr="00DA613E">
        <w:rPr>
          <w:lang w:val="fr-FR"/>
        </w:rPr>
        <w:t>e</w:t>
      </w:r>
      <w:r w:rsidR="005C57FC" w:rsidRPr="00DA613E">
        <w:rPr>
          <w:lang w:val="fr-FR"/>
        </w:rPr>
        <w:t xml:space="preserve"> </w:t>
      </w:r>
      <w:r w:rsidR="00974E05" w:rsidRPr="00DA613E">
        <w:rPr>
          <w:lang w:val="fr-FR"/>
        </w:rPr>
        <w:t>“</w:t>
      </w:r>
      <w:r w:rsidR="005C57FC" w:rsidRPr="00DA613E">
        <w:rPr>
          <w:lang w:val="fr-FR"/>
        </w:rPr>
        <w:t>base de données</w:t>
      </w:r>
      <w:r w:rsidR="00974E05" w:rsidRPr="00DA613E">
        <w:rPr>
          <w:lang w:val="fr-FR"/>
        </w:rPr>
        <w:t>”</w:t>
      </w:r>
      <w:r w:rsidRPr="00DA613E">
        <w:rPr>
          <w:lang w:val="fr-FR"/>
        </w:rPr>
        <w:t xml:space="preserve">) a été publiée en </w:t>
      </w:r>
      <w:r w:rsidR="001734F7" w:rsidRPr="00DA613E">
        <w:rPr>
          <w:lang w:val="fr-FR"/>
        </w:rPr>
        <w:t>juin 20</w:t>
      </w:r>
      <w:r w:rsidRPr="00DA613E">
        <w:rPr>
          <w:lang w:val="fr-FR"/>
        </w:rPr>
        <w:t>13, comme convenu par le comité à sa sixième</w:t>
      </w:r>
      <w:r w:rsidR="00974E05" w:rsidRPr="00DA613E">
        <w:rPr>
          <w:lang w:val="fr-FR"/>
        </w:rPr>
        <w:t> </w:t>
      </w:r>
      <w:r w:rsidRPr="00DA613E">
        <w:rPr>
          <w:lang w:val="fr-FR"/>
        </w:rPr>
        <w:t>session</w:t>
      </w:r>
      <w:r w:rsidR="00974E05" w:rsidRPr="00DA613E">
        <w:rPr>
          <w:lang w:val="fr-FR"/>
        </w:rPr>
        <w:t> </w:t>
      </w:r>
      <w:r w:rsidRPr="00DA613E">
        <w:rPr>
          <w:lang w:val="fr-FR"/>
        </w:rPr>
        <w:t xml:space="preserve">: </w:t>
      </w:r>
      <w:r w:rsidR="00C91D8A">
        <w:fldChar w:fldCharType="begin"/>
      </w:r>
      <w:r w:rsidR="00C91D8A" w:rsidRPr="00C91D8A">
        <w:rPr>
          <w:lang w:val="fr-CH"/>
        </w:rPr>
        <w:instrText xml:space="preserve"> HYPERLINK "http://www.wipo.int/ip-development/en/agenda/flexibilities/search.jsp" </w:instrText>
      </w:r>
      <w:r w:rsidR="00C91D8A">
        <w:fldChar w:fldCharType="separate"/>
      </w:r>
      <w:r w:rsidRPr="00DA613E">
        <w:rPr>
          <w:rStyle w:val="Hyperlink"/>
          <w:color w:val="auto"/>
          <w:lang w:val="fr-FR"/>
        </w:rPr>
        <w:t>http://www.wipo.int/ip</w:t>
      </w:r>
      <w:r w:rsidR="000D09AB" w:rsidRPr="00DA613E">
        <w:rPr>
          <w:rStyle w:val="Hyperlink"/>
          <w:color w:val="auto"/>
          <w:lang w:val="fr-FR"/>
        </w:rPr>
        <w:noBreakHyphen/>
      </w:r>
      <w:r w:rsidRPr="00DA613E">
        <w:rPr>
          <w:rStyle w:val="Hyperlink"/>
          <w:color w:val="auto"/>
          <w:lang w:val="fr-FR"/>
        </w:rPr>
        <w:t>development/en/agenda/flexibilities/search.jsp</w:t>
      </w:r>
      <w:r w:rsidR="00C91D8A">
        <w:rPr>
          <w:rStyle w:val="Hyperlink"/>
          <w:color w:val="auto"/>
          <w:lang w:val="fr-FR"/>
        </w:rPr>
        <w:fldChar w:fldCharType="end"/>
      </w:r>
      <w:r w:rsidRPr="00DA613E">
        <w:rPr>
          <w:lang w:val="fr-FR"/>
        </w:rPr>
        <w:t>.</w:t>
      </w:r>
      <w:r w:rsidR="00496D2F" w:rsidRPr="00DA613E">
        <w:rPr>
          <w:lang w:val="fr-FR"/>
        </w:rPr>
        <w:t xml:space="preserve"> </w:t>
      </w:r>
      <w:r w:rsidR="00463A28" w:rsidRPr="00DA613E">
        <w:rPr>
          <w:lang w:val="fr-FR"/>
        </w:rPr>
        <w:t xml:space="preserve"> </w:t>
      </w:r>
      <w:r w:rsidRPr="00DA613E">
        <w:rPr>
          <w:lang w:val="fr-FR"/>
        </w:rPr>
        <w:t>Elle comportait une liste d</w:t>
      </w:r>
      <w:r w:rsidR="001734F7" w:rsidRPr="00DA613E">
        <w:rPr>
          <w:lang w:val="fr-FR"/>
        </w:rPr>
        <w:t>’</w:t>
      </w:r>
      <w:r w:rsidRPr="00DA613E">
        <w:rPr>
          <w:lang w:val="fr-FR"/>
        </w:rPr>
        <w:t xml:space="preserve">éléments de flexibilité </w:t>
      </w:r>
      <w:r w:rsidR="00086F66" w:rsidRPr="00DA613E">
        <w:rPr>
          <w:lang w:val="fr-FR"/>
        </w:rPr>
        <w:t>provenant du</w:t>
      </w:r>
      <w:r w:rsidRPr="00DA613E">
        <w:rPr>
          <w:lang w:val="fr-FR"/>
        </w:rPr>
        <w:t xml:space="preserve"> document intitulé </w:t>
      </w:r>
      <w:r w:rsidR="00690F96" w:rsidRPr="00DA613E">
        <w:rPr>
          <w:i/>
          <w:lang w:val="fr-FR"/>
        </w:rPr>
        <w:t>Éléments de flexibilité relatifs aux brevets dans le cadre juridique multilatéral et leur mise en œuvre législative aux niveaux national et régional</w:t>
      </w:r>
      <w:r w:rsidR="00690F96" w:rsidRPr="00DA613E">
        <w:rPr>
          <w:lang w:val="fr-FR"/>
        </w:rPr>
        <w:t xml:space="preserve"> </w:t>
      </w:r>
      <w:r w:rsidRPr="00DA613E">
        <w:rPr>
          <w:lang w:val="fr-FR"/>
        </w:rPr>
        <w:t>(CDIP/5/4</w:t>
      </w:r>
      <w:r w:rsidR="00974E05" w:rsidRPr="00DA613E">
        <w:rPr>
          <w:lang w:val="fr-FR"/>
        </w:rPr>
        <w:t> </w:t>
      </w:r>
      <w:proofErr w:type="spellStart"/>
      <w:r w:rsidRPr="00DA613E">
        <w:rPr>
          <w:lang w:val="fr-FR"/>
        </w:rPr>
        <w:t>Rev</w:t>
      </w:r>
      <w:proofErr w:type="spellEnd"/>
      <w:r w:rsidRPr="00DA613E">
        <w:rPr>
          <w:lang w:val="fr-FR"/>
        </w:rPr>
        <w:t xml:space="preserve">.), </w:t>
      </w:r>
      <w:r w:rsidR="001734F7" w:rsidRPr="00DA613E">
        <w:rPr>
          <w:lang w:val="fr-FR"/>
        </w:rPr>
        <w:t>à savoir</w:t>
      </w:r>
      <w:r w:rsidR="00974E05" w:rsidRPr="00DA613E">
        <w:rPr>
          <w:lang w:val="fr-FR"/>
        </w:rPr>
        <w:t> </w:t>
      </w:r>
      <w:r w:rsidRPr="00DA613E">
        <w:rPr>
          <w:lang w:val="fr-FR"/>
        </w:rPr>
        <w:t>:</w:t>
      </w:r>
    </w:p>
    <w:p w:rsidR="00163F88" w:rsidRPr="00DA613E" w:rsidRDefault="00163F88" w:rsidP="00DA613E">
      <w:pPr>
        <w:rPr>
          <w:szCs w:val="22"/>
          <w:lang w:val="fr-FR"/>
        </w:rPr>
      </w:pPr>
    </w:p>
    <w:p w:rsidR="001734F7" w:rsidRPr="00DA613E" w:rsidRDefault="00CD360B" w:rsidP="00DA613E">
      <w:pPr>
        <w:pStyle w:val="ONUME"/>
        <w:numPr>
          <w:ilvl w:val="0"/>
          <w:numId w:val="0"/>
        </w:numPr>
        <w:ind w:left="567"/>
        <w:rPr>
          <w:lang w:val="fr-FR"/>
        </w:rPr>
      </w:pPr>
      <w:r w:rsidRPr="00DA613E">
        <w:rPr>
          <w:lang w:val="fr-FR"/>
        </w:rPr>
        <w:t xml:space="preserve">a) </w:t>
      </w:r>
      <w:r w:rsidR="009D3DB7" w:rsidRPr="00DA613E">
        <w:rPr>
          <w:lang w:val="fr-FR"/>
        </w:rPr>
        <w:tab/>
      </w:r>
      <w:r w:rsidR="00B54496" w:rsidRPr="00DA613E">
        <w:rPr>
          <w:lang w:val="fr-FR"/>
        </w:rPr>
        <w:t>les l</w:t>
      </w:r>
      <w:r w:rsidRPr="00DA613E">
        <w:rPr>
          <w:lang w:val="fr-FR"/>
        </w:rPr>
        <w:t xml:space="preserve">icences obligatoires et </w:t>
      </w:r>
      <w:r w:rsidR="00086F66" w:rsidRPr="00DA613E">
        <w:rPr>
          <w:lang w:val="fr-FR"/>
        </w:rPr>
        <w:t>l’</w:t>
      </w:r>
      <w:r w:rsidRPr="00DA613E">
        <w:rPr>
          <w:lang w:val="fr-FR"/>
        </w:rPr>
        <w:t>utilisation par les pouvoirs publics</w:t>
      </w:r>
      <w:r w:rsidR="0046099A" w:rsidRPr="00DA613E">
        <w:rPr>
          <w:lang w:val="fr-FR"/>
        </w:rPr>
        <w:t>,</w:t>
      </w:r>
    </w:p>
    <w:p w:rsidR="001734F7" w:rsidRPr="00DA613E" w:rsidRDefault="00CD360B" w:rsidP="00DA613E">
      <w:pPr>
        <w:pStyle w:val="ONUME"/>
        <w:numPr>
          <w:ilvl w:val="0"/>
          <w:numId w:val="0"/>
        </w:numPr>
        <w:ind w:left="567"/>
        <w:rPr>
          <w:lang w:val="fr-FR"/>
        </w:rPr>
      </w:pPr>
      <w:r w:rsidRPr="00DA613E">
        <w:rPr>
          <w:lang w:val="fr-FR"/>
        </w:rPr>
        <w:t>b)</w:t>
      </w:r>
      <w:r w:rsidR="00B54496" w:rsidRPr="00DA613E">
        <w:rPr>
          <w:lang w:val="fr-FR"/>
        </w:rPr>
        <w:t xml:space="preserve"> </w:t>
      </w:r>
      <w:r w:rsidR="009D3DB7" w:rsidRPr="00DA613E">
        <w:rPr>
          <w:lang w:val="fr-FR"/>
        </w:rPr>
        <w:tab/>
      </w:r>
      <w:r w:rsidR="00B54496" w:rsidRPr="00DA613E">
        <w:rPr>
          <w:lang w:val="fr-FR"/>
        </w:rPr>
        <w:t>l</w:t>
      </w:r>
      <w:r w:rsidR="001734F7" w:rsidRPr="00DA613E">
        <w:rPr>
          <w:lang w:val="fr-FR"/>
        </w:rPr>
        <w:t>’</w:t>
      </w:r>
      <w:r w:rsidR="00B54496" w:rsidRPr="00DA613E">
        <w:rPr>
          <w:lang w:val="fr-FR"/>
        </w:rPr>
        <w:t>é</w:t>
      </w:r>
      <w:r w:rsidRPr="00DA613E">
        <w:rPr>
          <w:lang w:val="fr-FR"/>
        </w:rPr>
        <w:t>puisement des droits</w:t>
      </w:r>
      <w:r w:rsidR="0046099A" w:rsidRPr="00DA613E">
        <w:rPr>
          <w:lang w:val="fr-FR"/>
        </w:rPr>
        <w:t>,</w:t>
      </w:r>
    </w:p>
    <w:p w:rsidR="00163F88" w:rsidRPr="00DA613E" w:rsidRDefault="00CD360B" w:rsidP="00DA613E">
      <w:pPr>
        <w:pStyle w:val="ONUME"/>
        <w:numPr>
          <w:ilvl w:val="0"/>
          <w:numId w:val="0"/>
        </w:numPr>
        <w:ind w:left="567"/>
        <w:rPr>
          <w:lang w:val="fr-FR"/>
        </w:rPr>
      </w:pPr>
      <w:r w:rsidRPr="00DA613E">
        <w:rPr>
          <w:lang w:val="fr-FR"/>
        </w:rPr>
        <w:t>c)</w:t>
      </w:r>
      <w:r w:rsidR="00AE4318" w:rsidRPr="00DA613E">
        <w:rPr>
          <w:lang w:val="fr-FR"/>
        </w:rPr>
        <w:t xml:space="preserve"> </w:t>
      </w:r>
      <w:r w:rsidR="009D3DB7" w:rsidRPr="00DA613E">
        <w:rPr>
          <w:lang w:val="fr-FR"/>
        </w:rPr>
        <w:tab/>
      </w:r>
      <w:r w:rsidR="00AE4318" w:rsidRPr="00DA613E">
        <w:rPr>
          <w:lang w:val="fr-FR"/>
        </w:rPr>
        <w:t>l</w:t>
      </w:r>
      <w:r w:rsidR="001734F7" w:rsidRPr="00DA613E">
        <w:rPr>
          <w:lang w:val="fr-FR"/>
        </w:rPr>
        <w:t>’</w:t>
      </w:r>
      <w:r w:rsidR="00AE4318" w:rsidRPr="00DA613E">
        <w:rPr>
          <w:lang w:val="fr-FR"/>
        </w:rPr>
        <w:t>e</w:t>
      </w:r>
      <w:r w:rsidRPr="00DA613E">
        <w:rPr>
          <w:lang w:val="fr-FR"/>
        </w:rPr>
        <w:t>xception dite “pour l</w:t>
      </w:r>
      <w:r w:rsidR="001734F7" w:rsidRPr="00DA613E">
        <w:rPr>
          <w:lang w:val="fr-FR"/>
        </w:rPr>
        <w:t>’</w:t>
      </w:r>
      <w:r w:rsidRPr="00DA613E">
        <w:rPr>
          <w:lang w:val="fr-FR"/>
        </w:rPr>
        <w:t>examen réglementaire”</w:t>
      </w:r>
      <w:r w:rsidR="0046099A" w:rsidRPr="00DA613E">
        <w:rPr>
          <w:lang w:val="fr-FR"/>
        </w:rPr>
        <w:t>,</w:t>
      </w:r>
    </w:p>
    <w:p w:rsidR="001734F7" w:rsidRPr="00DA613E" w:rsidRDefault="001B6212" w:rsidP="00DA613E">
      <w:pPr>
        <w:pStyle w:val="ONUME"/>
        <w:numPr>
          <w:ilvl w:val="0"/>
          <w:numId w:val="0"/>
        </w:numPr>
        <w:ind w:left="567"/>
        <w:rPr>
          <w:lang w:val="fr-FR"/>
        </w:rPr>
      </w:pPr>
      <w:r w:rsidRPr="00DA613E">
        <w:rPr>
          <w:lang w:val="fr-FR"/>
        </w:rPr>
        <w:t xml:space="preserve">d) </w:t>
      </w:r>
      <w:r w:rsidR="009D3DB7" w:rsidRPr="00DA613E">
        <w:rPr>
          <w:lang w:val="fr-FR"/>
        </w:rPr>
        <w:tab/>
      </w:r>
      <w:r w:rsidR="00AE4318" w:rsidRPr="00DA613E">
        <w:rPr>
          <w:lang w:val="fr-FR"/>
        </w:rPr>
        <w:t>l</w:t>
      </w:r>
      <w:r w:rsidR="001734F7" w:rsidRPr="00DA613E">
        <w:rPr>
          <w:lang w:val="fr-FR"/>
        </w:rPr>
        <w:t>’</w:t>
      </w:r>
      <w:r w:rsidR="00AE4318" w:rsidRPr="00DA613E">
        <w:rPr>
          <w:lang w:val="fr-FR"/>
        </w:rPr>
        <w:t>e</w:t>
      </w:r>
      <w:r w:rsidRPr="00DA613E">
        <w:rPr>
          <w:lang w:val="fr-FR"/>
        </w:rPr>
        <w:t>xce</w:t>
      </w:r>
      <w:r w:rsidR="0046099A" w:rsidRPr="00DA613E">
        <w:rPr>
          <w:lang w:val="fr-FR"/>
        </w:rPr>
        <w:t>ption en faveur de la recherche</w:t>
      </w:r>
      <w:r w:rsidR="00564128" w:rsidRPr="00DA613E">
        <w:rPr>
          <w:lang w:val="fr-FR"/>
        </w:rPr>
        <w:t>;</w:t>
      </w:r>
      <w:r w:rsidRPr="00DA613E">
        <w:rPr>
          <w:lang w:val="fr-FR"/>
        </w:rPr>
        <w:t xml:space="preserve"> </w:t>
      </w:r>
      <w:r w:rsidR="00974E05" w:rsidRPr="00DA613E">
        <w:rPr>
          <w:lang w:val="fr-FR"/>
        </w:rPr>
        <w:t xml:space="preserve"> </w:t>
      </w:r>
      <w:r w:rsidRPr="00DA613E">
        <w:rPr>
          <w:lang w:val="fr-FR"/>
        </w:rPr>
        <w:t>et</w:t>
      </w:r>
    </w:p>
    <w:p w:rsidR="00163F88" w:rsidRPr="00DA613E" w:rsidRDefault="001B6212" w:rsidP="00DA613E">
      <w:pPr>
        <w:pStyle w:val="ONUME"/>
        <w:numPr>
          <w:ilvl w:val="0"/>
          <w:numId w:val="0"/>
        </w:numPr>
        <w:ind w:left="567"/>
        <w:rPr>
          <w:lang w:val="fr-FR"/>
        </w:rPr>
      </w:pPr>
      <w:r w:rsidRPr="00DA613E">
        <w:rPr>
          <w:lang w:val="fr-FR"/>
        </w:rPr>
        <w:t xml:space="preserve">e) </w:t>
      </w:r>
      <w:r w:rsidR="009D3DB7" w:rsidRPr="00DA613E">
        <w:rPr>
          <w:lang w:val="fr-FR"/>
        </w:rPr>
        <w:tab/>
      </w:r>
      <w:r w:rsidRPr="00DA613E">
        <w:rPr>
          <w:lang w:val="fr-FR"/>
        </w:rPr>
        <w:t>les exclusions de la protection par modèle d</w:t>
      </w:r>
      <w:r w:rsidR="001734F7" w:rsidRPr="00DA613E">
        <w:rPr>
          <w:lang w:val="fr-FR"/>
        </w:rPr>
        <w:t>’</w:t>
      </w:r>
      <w:r w:rsidRPr="00DA613E">
        <w:rPr>
          <w:lang w:val="fr-FR"/>
        </w:rPr>
        <w:t>utilité.</w:t>
      </w:r>
    </w:p>
    <w:p w:rsidR="00163F88" w:rsidRPr="00DA613E" w:rsidRDefault="00A328F4" w:rsidP="00DA613E">
      <w:pPr>
        <w:pStyle w:val="ONUMFS"/>
        <w:rPr>
          <w:lang w:val="fr-FR"/>
        </w:rPr>
      </w:pPr>
      <w:r w:rsidRPr="00DA613E">
        <w:rPr>
          <w:lang w:val="fr-FR"/>
        </w:rPr>
        <w:t xml:space="preserve">Suite à une demande du </w:t>
      </w:r>
      <w:r w:rsidR="00086F66" w:rsidRPr="00DA613E">
        <w:rPr>
          <w:lang w:val="fr-FR"/>
        </w:rPr>
        <w:t>CDIP</w:t>
      </w:r>
      <w:r w:rsidRPr="00DA613E">
        <w:rPr>
          <w:lang w:val="fr-FR"/>
        </w:rPr>
        <w:t xml:space="preserve"> à sa quinzième</w:t>
      </w:r>
      <w:r w:rsidR="00974E05" w:rsidRPr="00DA613E">
        <w:rPr>
          <w:lang w:val="fr-FR"/>
        </w:rPr>
        <w:t> </w:t>
      </w:r>
      <w:r w:rsidRPr="00DA613E">
        <w:rPr>
          <w:lang w:val="fr-FR"/>
        </w:rPr>
        <w:t>session, le Secrétariat a mis à jour la base de données pour y inclure de nouvelles dispositions légales issues des documents CDIP/7/3</w:t>
      </w:r>
      <w:r w:rsidR="00974E05" w:rsidRPr="00DA613E">
        <w:rPr>
          <w:lang w:val="fr-FR"/>
        </w:rPr>
        <w:t> </w:t>
      </w:r>
      <w:proofErr w:type="spellStart"/>
      <w:r w:rsidRPr="00DA613E">
        <w:rPr>
          <w:lang w:val="fr-FR"/>
        </w:rPr>
        <w:t>Add</w:t>
      </w:r>
      <w:proofErr w:type="spellEnd"/>
      <w:r w:rsidRPr="00DA613E">
        <w:rPr>
          <w:lang w:val="fr-FR"/>
        </w:rPr>
        <w:t>., CDIP/13/10</w:t>
      </w:r>
      <w:r w:rsidR="00974E05" w:rsidRPr="00DA613E">
        <w:rPr>
          <w:lang w:val="fr-FR"/>
        </w:rPr>
        <w:t> </w:t>
      </w:r>
      <w:proofErr w:type="spellStart"/>
      <w:r w:rsidRPr="00DA613E">
        <w:rPr>
          <w:lang w:val="fr-FR"/>
        </w:rPr>
        <w:t>Rev</w:t>
      </w:r>
      <w:proofErr w:type="spellEnd"/>
      <w:r w:rsidRPr="00DA613E">
        <w:rPr>
          <w:lang w:val="fr-FR"/>
        </w:rPr>
        <w:t xml:space="preserve">. </w:t>
      </w:r>
      <w:r w:rsidR="000D09AB" w:rsidRPr="00DA613E">
        <w:rPr>
          <w:lang w:val="fr-FR"/>
        </w:rPr>
        <w:t xml:space="preserve">et CDIP/15/6 </w:t>
      </w:r>
      <w:r w:rsidRPr="00DA613E">
        <w:rPr>
          <w:lang w:val="fr-FR"/>
        </w:rPr>
        <w:t xml:space="preserve">sur les </w:t>
      </w:r>
      <w:r w:rsidR="00BD118D" w:rsidRPr="00DA613E">
        <w:rPr>
          <w:lang w:val="fr-FR"/>
        </w:rPr>
        <w:t>éléments de flexibilité relatifs aux brevets dans le cadre juridique multilatéral et leur mise en œuvre législative aux niveaux national et régional</w:t>
      </w:r>
      <w:r w:rsidRPr="00DA613E">
        <w:rPr>
          <w:lang w:val="fr-FR"/>
        </w:rPr>
        <w:t>, concernant les neuf</w:t>
      </w:r>
      <w:r w:rsidR="00974E05" w:rsidRPr="00DA613E">
        <w:rPr>
          <w:lang w:val="fr-FR"/>
        </w:rPr>
        <w:t> </w:t>
      </w:r>
      <w:r w:rsidRPr="00DA613E">
        <w:rPr>
          <w:lang w:val="fr-FR"/>
        </w:rPr>
        <w:t>éléments de flexibilité suivants</w:t>
      </w:r>
      <w:r w:rsidR="00974E05" w:rsidRPr="00DA613E">
        <w:rPr>
          <w:lang w:val="fr-FR"/>
        </w:rPr>
        <w:t> </w:t>
      </w:r>
      <w:r w:rsidRPr="00DA613E">
        <w:rPr>
          <w:lang w:val="fr-FR"/>
        </w:rPr>
        <w:t>:</w:t>
      </w:r>
    </w:p>
    <w:p w:rsidR="00163F88" w:rsidRPr="00DA613E" w:rsidRDefault="00163F88" w:rsidP="00DA613E">
      <w:pPr>
        <w:pStyle w:val="ListParagraph"/>
        <w:ind w:left="1069"/>
        <w:rPr>
          <w:lang w:val="fr-FR"/>
        </w:rPr>
      </w:pPr>
    </w:p>
    <w:p w:rsidR="00163F88" w:rsidRPr="00DA613E" w:rsidRDefault="00A328F4" w:rsidP="00DA613E">
      <w:pPr>
        <w:pStyle w:val="ONUME"/>
        <w:numPr>
          <w:ilvl w:val="0"/>
          <w:numId w:val="0"/>
        </w:numPr>
        <w:ind w:left="567"/>
        <w:rPr>
          <w:lang w:val="fr-FR"/>
        </w:rPr>
      </w:pPr>
      <w:r w:rsidRPr="00DA613E">
        <w:rPr>
          <w:lang w:val="fr-FR"/>
        </w:rPr>
        <w:t xml:space="preserve">f) </w:t>
      </w:r>
      <w:r w:rsidR="009D3DB7" w:rsidRPr="00DA613E">
        <w:rPr>
          <w:lang w:val="fr-FR"/>
        </w:rPr>
        <w:tab/>
      </w:r>
      <w:r w:rsidR="00D617C2" w:rsidRPr="00DA613E">
        <w:rPr>
          <w:lang w:val="fr-FR"/>
        </w:rPr>
        <w:t>les p</w:t>
      </w:r>
      <w:r w:rsidRPr="00DA613E">
        <w:rPr>
          <w:lang w:val="fr-FR"/>
        </w:rPr>
        <w:t xml:space="preserve">ériodes de </w:t>
      </w:r>
      <w:r w:rsidR="00564128" w:rsidRPr="00DA613E">
        <w:rPr>
          <w:lang w:val="fr-FR"/>
        </w:rPr>
        <w:t>transition,</w:t>
      </w:r>
    </w:p>
    <w:p w:rsidR="00163F88" w:rsidRPr="00DA613E" w:rsidRDefault="00A328F4" w:rsidP="00DA613E">
      <w:pPr>
        <w:pStyle w:val="ONUME"/>
        <w:numPr>
          <w:ilvl w:val="0"/>
          <w:numId w:val="0"/>
        </w:numPr>
        <w:ind w:left="567"/>
        <w:rPr>
          <w:lang w:val="fr-FR"/>
        </w:rPr>
      </w:pPr>
      <w:r w:rsidRPr="00DA613E">
        <w:rPr>
          <w:lang w:val="fr-FR"/>
        </w:rPr>
        <w:t xml:space="preserve">g) </w:t>
      </w:r>
      <w:r w:rsidR="009D3DB7" w:rsidRPr="00DA613E">
        <w:rPr>
          <w:lang w:val="fr-FR"/>
        </w:rPr>
        <w:tab/>
      </w:r>
      <w:r w:rsidR="00C31FA2" w:rsidRPr="00DA613E">
        <w:rPr>
          <w:lang w:val="fr-FR"/>
        </w:rPr>
        <w:t>la b</w:t>
      </w:r>
      <w:r w:rsidRPr="00DA613E">
        <w:rPr>
          <w:lang w:val="fr-FR"/>
        </w:rPr>
        <w:t>revetabilité des substances existant dans la nature</w:t>
      </w:r>
      <w:r w:rsidR="00564128" w:rsidRPr="00DA613E">
        <w:rPr>
          <w:lang w:val="fr-FR"/>
        </w:rPr>
        <w:t>,</w:t>
      </w:r>
    </w:p>
    <w:p w:rsidR="00163F88" w:rsidRPr="00DA613E" w:rsidRDefault="00A328F4" w:rsidP="00DA613E">
      <w:pPr>
        <w:pStyle w:val="ONUME"/>
        <w:numPr>
          <w:ilvl w:val="0"/>
          <w:numId w:val="0"/>
        </w:numPr>
        <w:ind w:left="567"/>
        <w:rPr>
          <w:lang w:val="fr-FR"/>
        </w:rPr>
      </w:pPr>
      <w:r w:rsidRPr="00DA613E">
        <w:rPr>
          <w:lang w:val="fr-FR"/>
        </w:rPr>
        <w:t xml:space="preserve">h) </w:t>
      </w:r>
      <w:r w:rsidR="009D3DB7" w:rsidRPr="00DA613E">
        <w:rPr>
          <w:lang w:val="fr-FR"/>
        </w:rPr>
        <w:tab/>
      </w:r>
      <w:r w:rsidR="002845EA" w:rsidRPr="00DA613E">
        <w:rPr>
          <w:lang w:val="fr-FR"/>
        </w:rPr>
        <w:t>les é</w:t>
      </w:r>
      <w:r w:rsidRPr="00DA613E">
        <w:rPr>
          <w:lang w:val="fr-FR"/>
        </w:rPr>
        <w:t>léments de fl</w:t>
      </w:r>
      <w:r w:rsidR="00564128" w:rsidRPr="00DA613E">
        <w:rPr>
          <w:lang w:val="fr-FR"/>
        </w:rPr>
        <w:t xml:space="preserve">exibilité </w:t>
      </w:r>
      <w:r w:rsidR="00086F66" w:rsidRPr="00DA613E">
        <w:rPr>
          <w:lang w:val="fr-FR"/>
        </w:rPr>
        <w:t>relatifs</w:t>
      </w:r>
      <w:r w:rsidR="00564128" w:rsidRPr="00DA613E">
        <w:rPr>
          <w:lang w:val="fr-FR"/>
        </w:rPr>
        <w:t xml:space="preserve"> à la divulgation,</w:t>
      </w:r>
    </w:p>
    <w:p w:rsidR="001734F7" w:rsidRPr="00DA613E" w:rsidRDefault="00A328F4" w:rsidP="00DA613E">
      <w:pPr>
        <w:pStyle w:val="ONUME"/>
        <w:numPr>
          <w:ilvl w:val="0"/>
          <w:numId w:val="0"/>
        </w:numPr>
        <w:ind w:left="567"/>
        <w:rPr>
          <w:lang w:val="fr-FR"/>
        </w:rPr>
      </w:pPr>
      <w:r w:rsidRPr="00DA613E">
        <w:rPr>
          <w:lang w:val="fr-FR"/>
        </w:rPr>
        <w:t xml:space="preserve">i) </w:t>
      </w:r>
      <w:r w:rsidR="009D3DB7" w:rsidRPr="00DA613E">
        <w:rPr>
          <w:lang w:val="fr-FR"/>
        </w:rPr>
        <w:tab/>
      </w:r>
      <w:r w:rsidR="00545437" w:rsidRPr="00DA613E">
        <w:rPr>
          <w:lang w:val="fr-FR"/>
        </w:rPr>
        <w:t>l</w:t>
      </w:r>
      <w:r w:rsidR="001734F7" w:rsidRPr="00DA613E">
        <w:rPr>
          <w:lang w:val="fr-FR"/>
        </w:rPr>
        <w:t>’</w:t>
      </w:r>
      <w:r w:rsidR="00545437" w:rsidRPr="00DA613E">
        <w:rPr>
          <w:lang w:val="fr-FR"/>
        </w:rPr>
        <w:t>e</w:t>
      </w:r>
      <w:r w:rsidR="00564128" w:rsidRPr="00DA613E">
        <w:rPr>
          <w:lang w:val="fr-FR"/>
        </w:rPr>
        <w:t xml:space="preserve">xamen </w:t>
      </w:r>
      <w:r w:rsidR="00086F66" w:rsidRPr="00DA613E">
        <w:rPr>
          <w:lang w:val="fr-FR"/>
        </w:rPr>
        <w:t>quant au</w:t>
      </w:r>
      <w:r w:rsidR="00564128" w:rsidRPr="00DA613E">
        <w:rPr>
          <w:lang w:val="fr-FR"/>
        </w:rPr>
        <w:t xml:space="preserve"> fond,</w:t>
      </w:r>
    </w:p>
    <w:p w:rsidR="00163F88" w:rsidRPr="00DA613E" w:rsidRDefault="001C441C" w:rsidP="00DA613E">
      <w:pPr>
        <w:pStyle w:val="ONUME"/>
        <w:numPr>
          <w:ilvl w:val="0"/>
          <w:numId w:val="0"/>
        </w:numPr>
        <w:ind w:left="1134" w:hanging="567"/>
        <w:rPr>
          <w:lang w:val="fr-FR"/>
        </w:rPr>
      </w:pPr>
      <w:r w:rsidRPr="00DA613E">
        <w:rPr>
          <w:lang w:val="fr-FR"/>
        </w:rPr>
        <w:t xml:space="preserve">j) </w:t>
      </w:r>
      <w:r w:rsidR="009D3DB7" w:rsidRPr="00DA613E">
        <w:rPr>
          <w:lang w:val="fr-FR"/>
        </w:rPr>
        <w:tab/>
      </w:r>
      <w:r w:rsidR="0059495B" w:rsidRPr="00DA613E">
        <w:rPr>
          <w:lang w:val="fr-FR"/>
        </w:rPr>
        <w:t>le c</w:t>
      </w:r>
      <w:r w:rsidRPr="00DA613E">
        <w:rPr>
          <w:lang w:val="fr-FR"/>
        </w:rPr>
        <w:t>ontrôle d</w:t>
      </w:r>
      <w:r w:rsidR="001734F7" w:rsidRPr="00DA613E">
        <w:rPr>
          <w:lang w:val="fr-FR"/>
        </w:rPr>
        <w:t>’</w:t>
      </w:r>
      <w:r w:rsidRPr="00DA613E">
        <w:rPr>
          <w:lang w:val="fr-FR"/>
        </w:rPr>
        <w:t>office des clauses contractuelles anticoncurrentielles par les offices de propriété intellectuelle dans les accords</w:t>
      </w:r>
      <w:r w:rsidR="00564128" w:rsidRPr="00DA613E">
        <w:rPr>
          <w:lang w:val="fr-FR"/>
        </w:rPr>
        <w:t xml:space="preserve"> de licence,</w:t>
      </w:r>
    </w:p>
    <w:p w:rsidR="001734F7" w:rsidRPr="00DA613E" w:rsidRDefault="001C441C" w:rsidP="00DA613E">
      <w:pPr>
        <w:pStyle w:val="ONUME"/>
        <w:numPr>
          <w:ilvl w:val="0"/>
          <w:numId w:val="0"/>
        </w:numPr>
        <w:ind w:left="567"/>
        <w:rPr>
          <w:lang w:val="fr-FR"/>
        </w:rPr>
      </w:pPr>
      <w:r w:rsidRPr="00DA613E">
        <w:rPr>
          <w:lang w:val="fr-FR"/>
        </w:rPr>
        <w:t xml:space="preserve">k) </w:t>
      </w:r>
      <w:r w:rsidR="009D3DB7" w:rsidRPr="00DA613E">
        <w:rPr>
          <w:lang w:val="fr-FR"/>
        </w:rPr>
        <w:tab/>
      </w:r>
      <w:r w:rsidR="00CD0674" w:rsidRPr="00DA613E">
        <w:rPr>
          <w:lang w:val="fr-FR"/>
        </w:rPr>
        <w:t xml:space="preserve">la </w:t>
      </w:r>
      <w:r w:rsidR="0053294F" w:rsidRPr="00DA613E">
        <w:rPr>
          <w:lang w:val="fr-FR"/>
        </w:rPr>
        <w:t>portée de l</w:t>
      </w:r>
      <w:r w:rsidR="001734F7" w:rsidRPr="00DA613E">
        <w:rPr>
          <w:lang w:val="fr-FR"/>
        </w:rPr>
        <w:t>’</w:t>
      </w:r>
      <w:r w:rsidR="0053294F" w:rsidRPr="00DA613E">
        <w:rPr>
          <w:lang w:val="fr-FR"/>
        </w:rPr>
        <w:t xml:space="preserve">exclusion de la brevetabilité </w:t>
      </w:r>
      <w:r w:rsidR="00086F66" w:rsidRPr="00DA613E">
        <w:rPr>
          <w:lang w:val="fr-FR"/>
        </w:rPr>
        <w:t>concernant les</w:t>
      </w:r>
      <w:r w:rsidR="0053294F" w:rsidRPr="00DA613E">
        <w:rPr>
          <w:lang w:val="fr-FR"/>
        </w:rPr>
        <w:t xml:space="preserve"> végétaux</w:t>
      </w:r>
      <w:r w:rsidR="00564128" w:rsidRPr="00DA613E">
        <w:rPr>
          <w:lang w:val="fr-FR"/>
        </w:rPr>
        <w:t>,</w:t>
      </w:r>
    </w:p>
    <w:p w:rsidR="00163F88" w:rsidRPr="00DA613E" w:rsidRDefault="001C441C" w:rsidP="00DA613E">
      <w:pPr>
        <w:pStyle w:val="ONUME"/>
        <w:numPr>
          <w:ilvl w:val="0"/>
          <w:numId w:val="0"/>
        </w:numPr>
        <w:ind w:left="1134" w:hanging="567"/>
        <w:rPr>
          <w:lang w:val="fr-FR"/>
        </w:rPr>
      </w:pPr>
      <w:r w:rsidRPr="00DA613E">
        <w:rPr>
          <w:lang w:val="fr-FR"/>
        </w:rPr>
        <w:t xml:space="preserve">l) </w:t>
      </w:r>
      <w:r w:rsidR="009D3DB7" w:rsidRPr="00DA613E">
        <w:rPr>
          <w:lang w:val="fr-FR"/>
        </w:rPr>
        <w:tab/>
      </w:r>
      <w:r w:rsidR="0053294F" w:rsidRPr="00DA613E">
        <w:rPr>
          <w:lang w:val="fr-FR"/>
        </w:rPr>
        <w:t>la</w:t>
      </w:r>
      <w:r w:rsidRPr="00DA613E">
        <w:rPr>
          <w:lang w:val="fr-FR"/>
        </w:rPr>
        <w:t xml:space="preserve"> </w:t>
      </w:r>
      <w:r w:rsidR="00613B48" w:rsidRPr="00DA613E">
        <w:rPr>
          <w:lang w:val="fr-FR"/>
        </w:rPr>
        <w:t>brevetabilité, ou l</w:t>
      </w:r>
      <w:r w:rsidR="001734F7" w:rsidRPr="00DA613E">
        <w:rPr>
          <w:lang w:val="fr-FR"/>
        </w:rPr>
        <w:t>’</w:t>
      </w:r>
      <w:r w:rsidR="00354F6B" w:rsidRPr="00DA613E">
        <w:rPr>
          <w:lang w:val="fr-FR"/>
        </w:rPr>
        <w:t>e</w:t>
      </w:r>
      <w:r w:rsidR="00613B48" w:rsidRPr="00DA613E">
        <w:rPr>
          <w:lang w:val="fr-FR"/>
        </w:rPr>
        <w:t>xclusion de la brevetabilité, des inventions relatives à des logiciels</w:t>
      </w:r>
      <w:r w:rsidR="00564128" w:rsidRPr="00DA613E">
        <w:rPr>
          <w:lang w:val="fr-FR"/>
        </w:rPr>
        <w:t>,</w:t>
      </w:r>
    </w:p>
    <w:p w:rsidR="00163F88" w:rsidRPr="00DA613E" w:rsidRDefault="001C441C" w:rsidP="00DA613E">
      <w:pPr>
        <w:pStyle w:val="ONUME"/>
        <w:numPr>
          <w:ilvl w:val="0"/>
          <w:numId w:val="0"/>
        </w:numPr>
        <w:ind w:left="1134" w:hanging="567"/>
        <w:rPr>
          <w:lang w:val="fr-FR"/>
        </w:rPr>
      </w:pPr>
      <w:r w:rsidRPr="00DA613E">
        <w:rPr>
          <w:lang w:val="fr-FR"/>
        </w:rPr>
        <w:t xml:space="preserve">m) </w:t>
      </w:r>
      <w:r w:rsidR="009D3DB7" w:rsidRPr="00DA613E">
        <w:rPr>
          <w:lang w:val="fr-FR"/>
        </w:rPr>
        <w:tab/>
      </w:r>
      <w:r w:rsidR="00613B48" w:rsidRPr="00DA613E">
        <w:rPr>
          <w:lang w:val="fr-FR"/>
        </w:rPr>
        <w:t xml:space="preserve">la </w:t>
      </w:r>
      <w:r w:rsidRPr="00DA613E">
        <w:rPr>
          <w:lang w:val="fr-FR"/>
        </w:rPr>
        <w:t>possibilité d</w:t>
      </w:r>
      <w:r w:rsidR="001734F7" w:rsidRPr="00DA613E">
        <w:rPr>
          <w:lang w:val="fr-FR"/>
        </w:rPr>
        <w:t>’</w:t>
      </w:r>
      <w:r w:rsidRPr="00DA613E">
        <w:rPr>
          <w:lang w:val="fr-FR"/>
        </w:rPr>
        <w:t>appliquer ou non des sanctions pénales aux fins de l</w:t>
      </w:r>
      <w:r w:rsidR="001734F7" w:rsidRPr="00DA613E">
        <w:rPr>
          <w:lang w:val="fr-FR"/>
        </w:rPr>
        <w:t>’</w:t>
      </w:r>
      <w:r w:rsidRPr="00DA613E">
        <w:rPr>
          <w:lang w:val="fr-FR"/>
        </w:rPr>
        <w:t xml:space="preserve">application des droits de brevet; </w:t>
      </w:r>
      <w:r w:rsidR="00974E05" w:rsidRPr="00DA613E">
        <w:rPr>
          <w:lang w:val="fr-FR"/>
        </w:rPr>
        <w:t xml:space="preserve"> </w:t>
      </w:r>
      <w:r w:rsidRPr="00DA613E">
        <w:rPr>
          <w:lang w:val="fr-FR"/>
        </w:rPr>
        <w:t>et</w:t>
      </w:r>
    </w:p>
    <w:p w:rsidR="00163F88" w:rsidRPr="00DA613E" w:rsidRDefault="001C441C" w:rsidP="00DA613E">
      <w:pPr>
        <w:pStyle w:val="ONUME"/>
        <w:numPr>
          <w:ilvl w:val="0"/>
          <w:numId w:val="0"/>
        </w:numPr>
        <w:ind w:left="1134" w:hanging="567"/>
        <w:rPr>
          <w:lang w:val="fr-FR"/>
        </w:rPr>
      </w:pPr>
      <w:r w:rsidRPr="00DA613E">
        <w:rPr>
          <w:lang w:val="fr-FR"/>
        </w:rPr>
        <w:t xml:space="preserve">n) </w:t>
      </w:r>
      <w:r w:rsidR="009D3DB7" w:rsidRPr="00DA613E">
        <w:rPr>
          <w:lang w:val="fr-FR"/>
        </w:rPr>
        <w:tab/>
      </w:r>
      <w:r w:rsidR="004D4FB3" w:rsidRPr="00DA613E">
        <w:rPr>
          <w:lang w:val="fr-FR"/>
        </w:rPr>
        <w:t xml:space="preserve">les </w:t>
      </w:r>
      <w:r w:rsidRPr="00DA613E">
        <w:rPr>
          <w:lang w:val="fr-FR"/>
        </w:rPr>
        <w:t>mesures liées à la sécurité nationale (dénommées “exceptions concernant la sécurité”).</w:t>
      </w:r>
    </w:p>
    <w:p w:rsidR="00163F88" w:rsidRPr="00DA613E" w:rsidRDefault="00163F88" w:rsidP="00DA613E">
      <w:pPr>
        <w:pStyle w:val="ListParagraph"/>
        <w:ind w:left="1072"/>
        <w:rPr>
          <w:lang w:val="fr-FR"/>
        </w:rPr>
      </w:pPr>
    </w:p>
    <w:p w:rsidR="00163F88" w:rsidRPr="00DA613E" w:rsidRDefault="001C441C" w:rsidP="00DA613E">
      <w:pPr>
        <w:pStyle w:val="ONUMFS"/>
        <w:rPr>
          <w:lang w:val="fr-FR"/>
        </w:rPr>
      </w:pPr>
      <w:r w:rsidRPr="00DA613E">
        <w:rPr>
          <w:lang w:val="fr-FR"/>
        </w:rPr>
        <w:t xml:space="preserve">De plus, des tableaux indiquant les différentes catégories de dispositions portant sur les éléments de flexibilité </w:t>
      </w:r>
      <w:r w:rsidR="00086F66" w:rsidRPr="00DA613E">
        <w:rPr>
          <w:lang w:val="fr-FR"/>
        </w:rPr>
        <w:t xml:space="preserve">particuliers </w:t>
      </w:r>
      <w:r w:rsidRPr="00DA613E">
        <w:rPr>
          <w:lang w:val="fr-FR"/>
        </w:rPr>
        <w:t>figurant dans les documents susmentionnés ont aussi été ajoutés à la base de données.</w:t>
      </w:r>
    </w:p>
    <w:p w:rsidR="00163F88" w:rsidRPr="00DA613E" w:rsidRDefault="00163F88" w:rsidP="00DA613E">
      <w:pPr>
        <w:autoSpaceDE w:val="0"/>
        <w:autoSpaceDN w:val="0"/>
        <w:adjustRightInd w:val="0"/>
        <w:rPr>
          <w:szCs w:val="22"/>
          <w:lang w:val="fr-FR"/>
        </w:rPr>
      </w:pPr>
    </w:p>
    <w:p w:rsidR="00163F88" w:rsidRPr="00DA613E" w:rsidRDefault="0002006A" w:rsidP="00DA613E">
      <w:pPr>
        <w:pStyle w:val="ONUMFS"/>
        <w:rPr>
          <w:lang w:val="fr-FR"/>
        </w:rPr>
      </w:pPr>
      <w:r w:rsidRPr="00DA613E">
        <w:rPr>
          <w:lang w:val="fr-FR"/>
        </w:rPr>
        <w:t>À</w:t>
      </w:r>
      <w:r w:rsidR="001C441C" w:rsidRPr="00DA613E">
        <w:rPr>
          <w:lang w:val="fr-FR"/>
        </w:rPr>
        <w:t xml:space="preserve"> la seizième</w:t>
      </w:r>
      <w:r w:rsidR="00974E05" w:rsidRPr="00DA613E">
        <w:rPr>
          <w:lang w:val="fr-FR"/>
        </w:rPr>
        <w:t> </w:t>
      </w:r>
      <w:r w:rsidR="001C441C" w:rsidRPr="00DA613E">
        <w:rPr>
          <w:lang w:val="fr-FR"/>
        </w:rPr>
        <w:t>session</w:t>
      </w:r>
      <w:r w:rsidR="001734F7" w:rsidRPr="00DA613E">
        <w:rPr>
          <w:lang w:val="fr-FR"/>
        </w:rPr>
        <w:t xml:space="preserve"> du CDI</w:t>
      </w:r>
      <w:r w:rsidR="001C441C" w:rsidRPr="00DA613E">
        <w:rPr>
          <w:lang w:val="fr-FR"/>
        </w:rPr>
        <w:t xml:space="preserve">P, un rapport sur la mise à jour de la base de données consacrée aux éléments de flexibilité contenu dans le document répertorié sous la cote CDIP/16/15 a été </w:t>
      </w:r>
      <w:r w:rsidR="00086F66" w:rsidRPr="00DA613E">
        <w:rPr>
          <w:lang w:val="fr-FR"/>
        </w:rPr>
        <w:t>examiné</w:t>
      </w:r>
      <w:r w:rsidR="001C441C" w:rsidRPr="00DA613E">
        <w:rPr>
          <w:lang w:val="fr-FR"/>
        </w:rPr>
        <w:t>.</w:t>
      </w:r>
      <w:r w:rsidR="00051F65" w:rsidRPr="00DA613E">
        <w:rPr>
          <w:lang w:val="fr-FR"/>
        </w:rPr>
        <w:t xml:space="preserve"> </w:t>
      </w:r>
      <w:r w:rsidR="00974E05" w:rsidRPr="00DA613E">
        <w:rPr>
          <w:lang w:val="fr-FR"/>
        </w:rPr>
        <w:t xml:space="preserve"> </w:t>
      </w:r>
      <w:r w:rsidR="00D66936" w:rsidRPr="00DA613E">
        <w:rPr>
          <w:lang w:val="fr-FR"/>
        </w:rPr>
        <w:t xml:space="preserve">Le rapport mettait notamment en avant le contenu actuel de la base de données, qui contient </w:t>
      </w:r>
      <w:r w:rsidR="00974E05" w:rsidRPr="00DA613E">
        <w:rPr>
          <w:lang w:val="fr-FR"/>
        </w:rPr>
        <w:t>1371</w:t>
      </w:r>
      <w:r w:rsidR="000D09AB" w:rsidRPr="00DA613E">
        <w:rPr>
          <w:lang w:val="fr-FR"/>
        </w:rPr>
        <w:t xml:space="preserve"> dispositions, provenant de 202 </w:t>
      </w:r>
      <w:r w:rsidR="00D66936" w:rsidRPr="00DA613E">
        <w:rPr>
          <w:lang w:val="fr-FR"/>
        </w:rPr>
        <w:t>ressort</w:t>
      </w:r>
      <w:r w:rsidR="000D09AB" w:rsidRPr="00DA613E">
        <w:rPr>
          <w:lang w:val="fr-FR"/>
        </w:rPr>
        <w:t>s juridiques, concernant les 14 </w:t>
      </w:r>
      <w:r w:rsidR="00D66936" w:rsidRPr="00DA613E">
        <w:rPr>
          <w:lang w:val="fr-FR"/>
        </w:rPr>
        <w:t>éléments de flexibilité énumérés précédemment.</w:t>
      </w:r>
      <w:r w:rsidR="00111B45" w:rsidRPr="00DA613E">
        <w:rPr>
          <w:lang w:val="fr-FR"/>
        </w:rPr>
        <w:t xml:space="preserve"> </w:t>
      </w:r>
      <w:r w:rsidR="00974E05" w:rsidRPr="00DA613E">
        <w:rPr>
          <w:lang w:val="fr-FR"/>
        </w:rPr>
        <w:t xml:space="preserve"> </w:t>
      </w:r>
      <w:r w:rsidR="00D66936" w:rsidRPr="00DA613E">
        <w:rPr>
          <w:lang w:val="fr-FR"/>
        </w:rPr>
        <w:t>Le comité a prié le Secrétariat de proposer à sa prochaine session un mécanisme permettant d</w:t>
      </w:r>
      <w:r w:rsidR="001734F7" w:rsidRPr="00DA613E">
        <w:rPr>
          <w:lang w:val="fr-FR"/>
        </w:rPr>
        <w:t>’</w:t>
      </w:r>
      <w:r w:rsidR="00D66936" w:rsidRPr="00DA613E">
        <w:rPr>
          <w:lang w:val="fr-FR"/>
        </w:rPr>
        <w:t>effectuer une mise à jour périodique de la base de données, compte tenu des observations formulées par les États membres.</w:t>
      </w:r>
    </w:p>
    <w:p w:rsidR="00163F88" w:rsidRPr="00DA613E" w:rsidRDefault="00EE19EF" w:rsidP="00DA613E">
      <w:pPr>
        <w:pStyle w:val="ONUMFS"/>
        <w:rPr>
          <w:b/>
          <w:lang w:val="fr-FR"/>
        </w:rPr>
      </w:pPr>
      <w:r w:rsidRPr="00DA613E">
        <w:rPr>
          <w:lang w:val="fr-FR"/>
        </w:rPr>
        <w:t>Étant donné que la régularité des mises à jour des dispositions des lois nationales devant être intégrées à la base de données ne peut pas être évaluée actuellement, il sera important de faire en sorte que le mécanisme de mise à jour de la base de données n</w:t>
      </w:r>
      <w:r w:rsidR="001734F7" w:rsidRPr="00DA613E">
        <w:rPr>
          <w:lang w:val="fr-FR"/>
        </w:rPr>
        <w:t>’</w:t>
      </w:r>
      <w:r w:rsidRPr="00DA613E">
        <w:rPr>
          <w:lang w:val="fr-FR"/>
        </w:rPr>
        <w:t>aboutisse pas à une utilisation non optimale de ressources humaines et financières par l</w:t>
      </w:r>
      <w:r w:rsidR="001734F7" w:rsidRPr="00DA613E">
        <w:rPr>
          <w:lang w:val="fr-FR"/>
        </w:rPr>
        <w:t>’</w:t>
      </w:r>
      <w:r w:rsidRPr="00DA613E">
        <w:rPr>
          <w:lang w:val="fr-FR"/>
        </w:rPr>
        <w:t>Organisation.</w:t>
      </w:r>
      <w:r w:rsidR="00F17777" w:rsidRPr="00DA613E">
        <w:rPr>
          <w:lang w:val="fr-FR"/>
        </w:rPr>
        <w:t xml:space="preserve"> </w:t>
      </w:r>
      <w:r w:rsidR="00970C28" w:rsidRPr="00DA613E">
        <w:rPr>
          <w:lang w:val="fr-FR"/>
        </w:rPr>
        <w:t xml:space="preserve"> </w:t>
      </w:r>
      <w:r w:rsidR="00BB3A8A" w:rsidRPr="00DA613E">
        <w:rPr>
          <w:lang w:val="fr-FR"/>
        </w:rPr>
        <w:t>Conformément à cette exigence, les deux</w:t>
      </w:r>
      <w:r w:rsidR="00974E05" w:rsidRPr="00DA613E">
        <w:rPr>
          <w:lang w:val="fr-FR"/>
        </w:rPr>
        <w:t> </w:t>
      </w:r>
      <w:r w:rsidR="00A67061" w:rsidRPr="00DA613E">
        <w:rPr>
          <w:lang w:val="fr-FR"/>
        </w:rPr>
        <w:t>propositions</w:t>
      </w:r>
      <w:r w:rsidR="00BB3A8A" w:rsidRPr="00DA613E">
        <w:rPr>
          <w:lang w:val="fr-FR"/>
        </w:rPr>
        <w:t xml:space="preserve"> suivantes sont considérées comme des mécanismes à la fois peu intrusifs et adaptables qui visent à répondre aux besoins des États membres.</w:t>
      </w:r>
    </w:p>
    <w:p w:rsidR="001734F7" w:rsidRPr="00DA613E" w:rsidRDefault="009D3DB7" w:rsidP="00DA613E">
      <w:pPr>
        <w:pStyle w:val="Heading1"/>
        <w:rPr>
          <w:lang w:val="fr-FR"/>
        </w:rPr>
      </w:pPr>
      <w:r w:rsidRPr="00DA613E">
        <w:rPr>
          <w:lang w:val="fr-FR"/>
        </w:rPr>
        <w:t>II.</w:t>
      </w:r>
      <w:r w:rsidRPr="00DA613E">
        <w:rPr>
          <w:lang w:val="fr-FR"/>
        </w:rPr>
        <w:tab/>
        <w:t>MÉCANISME DE MISE à</w:t>
      </w:r>
      <w:r w:rsidR="00993DCD" w:rsidRPr="00DA613E">
        <w:rPr>
          <w:lang w:val="fr-FR"/>
        </w:rPr>
        <w:t xml:space="preserve"> JOUR DE LA BASE DE DONNÉES CONSACRÉE AUX ÉLÉMENTS DE FLEXIBILITÉ</w:t>
      </w:r>
    </w:p>
    <w:p w:rsidR="00163F88" w:rsidRPr="00DA613E" w:rsidRDefault="00163F88" w:rsidP="00DA613E">
      <w:pPr>
        <w:pStyle w:val="ListParagraph"/>
        <w:ind w:left="567"/>
        <w:rPr>
          <w:b/>
          <w:u w:val="single"/>
          <w:lang w:val="fr-FR"/>
        </w:rPr>
      </w:pPr>
    </w:p>
    <w:p w:rsidR="00163F88" w:rsidRPr="00DA613E" w:rsidRDefault="00993DCD" w:rsidP="00DA613E">
      <w:pPr>
        <w:pStyle w:val="ONUME"/>
        <w:numPr>
          <w:ilvl w:val="0"/>
          <w:numId w:val="0"/>
        </w:numPr>
        <w:rPr>
          <w:bCs/>
          <w:u w:val="single"/>
          <w:lang w:val="fr-FR"/>
        </w:rPr>
      </w:pPr>
      <w:r w:rsidRPr="00DA613E">
        <w:rPr>
          <w:bCs/>
          <w:u w:val="single"/>
          <w:lang w:val="fr-FR"/>
        </w:rPr>
        <w:t>Première p</w:t>
      </w:r>
      <w:r w:rsidR="0098681C" w:rsidRPr="00DA613E">
        <w:rPr>
          <w:bCs/>
          <w:u w:val="single"/>
          <w:lang w:val="fr-FR"/>
        </w:rPr>
        <w:t>roposition</w:t>
      </w:r>
    </w:p>
    <w:p w:rsidR="001734F7" w:rsidRPr="00DA613E" w:rsidRDefault="00993DCD" w:rsidP="00DA613E">
      <w:pPr>
        <w:pStyle w:val="ONUMFS"/>
        <w:rPr>
          <w:lang w:val="fr-FR"/>
        </w:rPr>
      </w:pPr>
      <w:r w:rsidRPr="00DA613E">
        <w:rPr>
          <w:lang w:val="fr-FR"/>
        </w:rPr>
        <w:t>Au moyen d</w:t>
      </w:r>
      <w:r w:rsidR="001734F7" w:rsidRPr="00DA613E">
        <w:rPr>
          <w:lang w:val="fr-FR"/>
        </w:rPr>
        <w:t>’</w:t>
      </w:r>
      <w:r w:rsidRPr="00DA613E">
        <w:rPr>
          <w:lang w:val="fr-FR"/>
        </w:rPr>
        <w:t xml:space="preserve">une communication officielle, les États membres font part au Secrétariat des mises à jour concernant leurs dispositions </w:t>
      </w:r>
      <w:r w:rsidR="00086F66" w:rsidRPr="00DA613E">
        <w:rPr>
          <w:lang w:val="fr-FR"/>
        </w:rPr>
        <w:t xml:space="preserve">nationales </w:t>
      </w:r>
      <w:r w:rsidRPr="00DA613E">
        <w:rPr>
          <w:lang w:val="fr-FR"/>
        </w:rPr>
        <w:t>en rapport avec les éléments de flexibilité inclus dans la base de données.</w:t>
      </w:r>
    </w:p>
    <w:p w:rsidR="001734F7" w:rsidRPr="00DA613E" w:rsidRDefault="00993DCD" w:rsidP="00DA613E">
      <w:pPr>
        <w:pStyle w:val="ONUMFS"/>
        <w:rPr>
          <w:lang w:val="fr-FR"/>
        </w:rPr>
      </w:pPr>
      <w:r w:rsidRPr="00DA613E">
        <w:rPr>
          <w:lang w:val="fr-FR"/>
        </w:rPr>
        <w:t xml:space="preserve">La mise à jour est immédiatement intégrée à la base de données, dans un nouveau champ appelé </w:t>
      </w:r>
      <w:r w:rsidR="00974E05" w:rsidRPr="00DA613E">
        <w:rPr>
          <w:lang w:val="fr-FR"/>
        </w:rPr>
        <w:t>“</w:t>
      </w:r>
      <w:r w:rsidRPr="00DA613E">
        <w:rPr>
          <w:lang w:val="fr-FR"/>
        </w:rPr>
        <w:t xml:space="preserve">Mises à jour </w:t>
      </w:r>
      <w:r w:rsidR="003565AF" w:rsidRPr="00DA613E">
        <w:rPr>
          <w:lang w:val="fr-FR"/>
        </w:rPr>
        <w:t>effectuées par les</w:t>
      </w:r>
      <w:r w:rsidRPr="00DA613E">
        <w:rPr>
          <w:lang w:val="fr-FR"/>
        </w:rPr>
        <w:t xml:space="preserve"> États membres</w:t>
      </w:r>
      <w:r w:rsidR="00974E05" w:rsidRPr="00DA613E">
        <w:rPr>
          <w:lang w:val="fr-FR"/>
        </w:rPr>
        <w:t xml:space="preserve">”. </w:t>
      </w:r>
      <w:r w:rsidR="00C6648C" w:rsidRPr="00DA613E">
        <w:rPr>
          <w:lang w:val="fr-FR"/>
        </w:rPr>
        <w:t xml:space="preserve"> </w:t>
      </w:r>
      <w:r w:rsidRPr="00DA613E">
        <w:rPr>
          <w:lang w:val="fr-FR"/>
        </w:rPr>
        <w:t>Le champ indique clairement que le Secrétariat n</w:t>
      </w:r>
      <w:r w:rsidR="001734F7" w:rsidRPr="00DA613E">
        <w:rPr>
          <w:lang w:val="fr-FR"/>
        </w:rPr>
        <w:t>’</w:t>
      </w:r>
      <w:r w:rsidRPr="00DA613E">
        <w:rPr>
          <w:lang w:val="fr-FR"/>
        </w:rPr>
        <w:t xml:space="preserve">a pas vérifié </w:t>
      </w:r>
      <w:r w:rsidR="00C56A51" w:rsidRPr="00DA613E">
        <w:rPr>
          <w:lang w:val="fr-FR"/>
        </w:rPr>
        <w:t>la conformité</w:t>
      </w:r>
      <w:r w:rsidRPr="00DA613E">
        <w:rPr>
          <w:lang w:val="fr-FR"/>
        </w:rPr>
        <w:t xml:space="preserve"> </w:t>
      </w:r>
      <w:r w:rsidR="00C56A51" w:rsidRPr="00DA613E">
        <w:rPr>
          <w:lang w:val="fr-FR"/>
        </w:rPr>
        <w:t>d</w:t>
      </w:r>
      <w:r w:rsidRPr="00DA613E">
        <w:rPr>
          <w:lang w:val="fr-FR"/>
        </w:rPr>
        <w:t xml:space="preserve">es dispositions </w:t>
      </w:r>
      <w:r w:rsidR="00BD28BB" w:rsidRPr="00DA613E">
        <w:rPr>
          <w:lang w:val="fr-FR"/>
        </w:rPr>
        <w:t>avec les</w:t>
      </w:r>
      <w:r w:rsidRPr="00DA613E">
        <w:rPr>
          <w:lang w:val="fr-FR"/>
        </w:rPr>
        <w:t xml:space="preserve"> éléments de flexibilité visés.</w:t>
      </w:r>
    </w:p>
    <w:p w:rsidR="001734F7" w:rsidRPr="00DA613E" w:rsidRDefault="00FD4F62" w:rsidP="00DA613E">
      <w:pPr>
        <w:pStyle w:val="ONUMFS"/>
        <w:rPr>
          <w:lang w:val="fr-FR"/>
        </w:rPr>
      </w:pPr>
      <w:r w:rsidRPr="00DA613E">
        <w:rPr>
          <w:lang w:val="fr-FR"/>
        </w:rPr>
        <w:t>La base de données affiche p</w:t>
      </w:r>
      <w:r w:rsidR="00405C60" w:rsidRPr="00DA613E">
        <w:rPr>
          <w:lang w:val="fr-FR"/>
        </w:rPr>
        <w:t xml:space="preserve">ar conséquent les </w:t>
      </w:r>
      <w:r w:rsidRPr="00DA613E">
        <w:rPr>
          <w:lang w:val="fr-FR"/>
        </w:rPr>
        <w:t xml:space="preserve">dispositions </w:t>
      </w:r>
      <w:r w:rsidR="001A738E" w:rsidRPr="00DA613E">
        <w:rPr>
          <w:lang w:val="fr-FR"/>
        </w:rPr>
        <w:t>d</w:t>
      </w:r>
      <w:r w:rsidRPr="00DA613E">
        <w:rPr>
          <w:lang w:val="fr-FR"/>
        </w:rPr>
        <w:t xml:space="preserve">es législations nationales relatives à la propriété intellectuelle </w:t>
      </w:r>
      <w:r w:rsidR="001A738E" w:rsidRPr="00DA613E">
        <w:rPr>
          <w:lang w:val="fr-FR"/>
        </w:rPr>
        <w:t>tirées</w:t>
      </w:r>
      <w:r w:rsidR="002975BC" w:rsidRPr="00DA613E">
        <w:rPr>
          <w:lang w:val="fr-FR"/>
        </w:rPr>
        <w:t xml:space="preserve"> d</w:t>
      </w:r>
      <w:r w:rsidR="004B2EF7" w:rsidRPr="00DA613E">
        <w:rPr>
          <w:lang w:val="fr-FR"/>
        </w:rPr>
        <w:t>es documents</w:t>
      </w:r>
      <w:r w:rsidR="00405C60" w:rsidRPr="00DA613E">
        <w:rPr>
          <w:lang w:val="fr-FR"/>
        </w:rPr>
        <w:t xml:space="preserve"> relatifs aux éléments de flexibilité </w:t>
      </w:r>
      <w:r w:rsidR="0029551A" w:rsidRPr="00DA613E">
        <w:rPr>
          <w:lang w:val="fr-FR"/>
        </w:rPr>
        <w:t>examiné</w:t>
      </w:r>
      <w:r w:rsidR="00405C60" w:rsidRPr="00DA613E">
        <w:rPr>
          <w:lang w:val="fr-FR"/>
        </w:rPr>
        <w:t>s par</w:t>
      </w:r>
      <w:r w:rsidR="001734F7" w:rsidRPr="00DA613E">
        <w:rPr>
          <w:lang w:val="fr-FR"/>
        </w:rPr>
        <w:t xml:space="preserve"> le CDI</w:t>
      </w:r>
      <w:r w:rsidR="00405C60" w:rsidRPr="00DA613E">
        <w:rPr>
          <w:lang w:val="fr-FR"/>
        </w:rPr>
        <w:t>P</w:t>
      </w:r>
      <w:r w:rsidR="00F63E4F" w:rsidRPr="00DA613E">
        <w:rPr>
          <w:rStyle w:val="FootnoteReference"/>
          <w:lang w:val="fr-FR"/>
        </w:rPr>
        <w:footnoteReference w:id="2"/>
      </w:r>
      <w:r w:rsidRPr="00DA613E">
        <w:rPr>
          <w:lang w:val="fr-FR"/>
        </w:rPr>
        <w:t xml:space="preserve"> et, dans un champ séparé, les mises à jour notifiées par les États membres.</w:t>
      </w:r>
    </w:p>
    <w:p w:rsidR="00163F88" w:rsidRPr="00DA613E" w:rsidRDefault="008D6D1E" w:rsidP="00DA613E">
      <w:pPr>
        <w:pStyle w:val="ONUMFS"/>
        <w:rPr>
          <w:lang w:val="fr-FR"/>
        </w:rPr>
      </w:pPr>
      <w:r w:rsidRPr="00DA613E">
        <w:rPr>
          <w:lang w:val="fr-FR"/>
        </w:rPr>
        <w:t>L</w:t>
      </w:r>
      <w:r w:rsidR="00FD4F62" w:rsidRPr="00DA613E">
        <w:rPr>
          <w:lang w:val="fr-FR"/>
        </w:rPr>
        <w:t>e secrétariat présente un rapport par an</w:t>
      </w:r>
      <w:r w:rsidR="001734F7" w:rsidRPr="00DA613E">
        <w:rPr>
          <w:lang w:val="fr-FR"/>
        </w:rPr>
        <w:t xml:space="preserve"> au CDI</w:t>
      </w:r>
      <w:r w:rsidR="00FD4F62" w:rsidRPr="00DA613E">
        <w:rPr>
          <w:lang w:val="fr-FR"/>
        </w:rPr>
        <w:t xml:space="preserve">P sur les mises à jour </w:t>
      </w:r>
      <w:r w:rsidR="00086F66" w:rsidRPr="00DA613E">
        <w:rPr>
          <w:lang w:val="fr-FR"/>
        </w:rPr>
        <w:t xml:space="preserve">de </w:t>
      </w:r>
      <w:r w:rsidR="00FD4F62" w:rsidRPr="00DA613E">
        <w:rPr>
          <w:lang w:val="fr-FR"/>
        </w:rPr>
        <w:t>la base de données.</w:t>
      </w:r>
    </w:p>
    <w:p w:rsidR="00163F88" w:rsidRPr="00DA613E" w:rsidRDefault="009C51F7" w:rsidP="00DA613E">
      <w:pPr>
        <w:pStyle w:val="ONUME"/>
        <w:numPr>
          <w:ilvl w:val="0"/>
          <w:numId w:val="0"/>
        </w:numPr>
        <w:rPr>
          <w:bCs/>
          <w:u w:val="single"/>
          <w:lang w:val="fr-FR"/>
        </w:rPr>
      </w:pPr>
      <w:r w:rsidRPr="00DA613E">
        <w:rPr>
          <w:bCs/>
          <w:u w:val="single"/>
          <w:lang w:val="fr-FR"/>
        </w:rPr>
        <w:t>D</w:t>
      </w:r>
      <w:r w:rsidR="00FD4F62" w:rsidRPr="00DA613E">
        <w:rPr>
          <w:bCs/>
          <w:u w:val="single"/>
          <w:lang w:val="fr-FR"/>
        </w:rPr>
        <w:t>euxième possibilité</w:t>
      </w:r>
    </w:p>
    <w:p w:rsidR="001734F7" w:rsidRPr="00DA613E" w:rsidRDefault="00163F88" w:rsidP="00DA613E">
      <w:pPr>
        <w:pStyle w:val="ONUMFS"/>
        <w:rPr>
          <w:lang w:val="fr-FR"/>
        </w:rPr>
      </w:pPr>
      <w:r w:rsidRPr="00DA613E">
        <w:rPr>
          <w:lang w:val="fr-FR"/>
        </w:rPr>
        <w:t>Au moyen d</w:t>
      </w:r>
      <w:r w:rsidR="001734F7" w:rsidRPr="00DA613E">
        <w:rPr>
          <w:lang w:val="fr-FR"/>
        </w:rPr>
        <w:t>’</w:t>
      </w:r>
      <w:r w:rsidRPr="00DA613E">
        <w:rPr>
          <w:lang w:val="fr-FR"/>
        </w:rPr>
        <w:t xml:space="preserve">une communication officielle, les États membres font part au Secrétariat des mises à jour concernant leurs dispositions </w:t>
      </w:r>
      <w:r w:rsidR="00086F66" w:rsidRPr="00DA613E">
        <w:rPr>
          <w:lang w:val="fr-FR"/>
        </w:rPr>
        <w:t xml:space="preserve">nationales </w:t>
      </w:r>
      <w:r w:rsidRPr="00DA613E">
        <w:rPr>
          <w:lang w:val="fr-FR"/>
        </w:rPr>
        <w:t>en rapport avec les éléments de flexibilité inclus dans la base de données.</w:t>
      </w:r>
    </w:p>
    <w:p w:rsidR="001734F7" w:rsidRPr="00DA613E" w:rsidRDefault="00762F4F" w:rsidP="00DA613E">
      <w:pPr>
        <w:pStyle w:val="ONUMFS"/>
        <w:rPr>
          <w:lang w:val="fr-FR"/>
        </w:rPr>
      </w:pPr>
      <w:r w:rsidRPr="00DA613E">
        <w:rPr>
          <w:lang w:val="fr-FR"/>
        </w:rPr>
        <w:t>La</w:t>
      </w:r>
      <w:r w:rsidR="00BC7319" w:rsidRPr="00DA613E">
        <w:rPr>
          <w:lang w:val="fr-FR"/>
        </w:rPr>
        <w:t xml:space="preserve"> ou les</w:t>
      </w:r>
      <w:r w:rsidRPr="00DA613E">
        <w:rPr>
          <w:lang w:val="fr-FR"/>
        </w:rPr>
        <w:t xml:space="preserve"> mise</w:t>
      </w:r>
      <w:r w:rsidR="00BC7319" w:rsidRPr="00DA613E">
        <w:rPr>
          <w:lang w:val="fr-FR"/>
        </w:rPr>
        <w:t>(s)</w:t>
      </w:r>
      <w:r w:rsidRPr="00DA613E">
        <w:rPr>
          <w:lang w:val="fr-FR"/>
        </w:rPr>
        <w:t xml:space="preserve"> à jour notifiée</w:t>
      </w:r>
      <w:r w:rsidR="00BC7319" w:rsidRPr="00DA613E">
        <w:rPr>
          <w:lang w:val="fr-FR"/>
        </w:rPr>
        <w:t>(s)</w:t>
      </w:r>
      <w:r w:rsidRPr="00DA613E">
        <w:rPr>
          <w:lang w:val="fr-FR"/>
        </w:rPr>
        <w:t xml:space="preserve"> par les États membres peu</w:t>
      </w:r>
      <w:r w:rsidR="00BC7319" w:rsidRPr="00DA613E">
        <w:rPr>
          <w:lang w:val="fr-FR"/>
        </w:rPr>
        <w:t>ven</w:t>
      </w:r>
      <w:r w:rsidRPr="00DA613E">
        <w:rPr>
          <w:lang w:val="fr-FR"/>
        </w:rPr>
        <w:t>t concerner</w:t>
      </w:r>
      <w:r w:rsidR="00974E05" w:rsidRPr="00DA613E">
        <w:rPr>
          <w:lang w:val="fr-FR"/>
        </w:rPr>
        <w:t> </w:t>
      </w:r>
      <w:r w:rsidRPr="00DA613E">
        <w:rPr>
          <w:lang w:val="fr-FR"/>
        </w:rPr>
        <w:t>:</w:t>
      </w:r>
    </w:p>
    <w:p w:rsidR="00163F88" w:rsidRPr="00DA613E" w:rsidRDefault="00762F4F" w:rsidP="00DA613E">
      <w:pPr>
        <w:pStyle w:val="ONUME"/>
        <w:numPr>
          <w:ilvl w:val="0"/>
          <w:numId w:val="0"/>
        </w:numPr>
        <w:tabs>
          <w:tab w:val="num" w:pos="567"/>
          <w:tab w:val="left" w:pos="1134"/>
        </w:tabs>
        <w:ind w:left="1134" w:hanging="567"/>
        <w:rPr>
          <w:lang w:val="fr-FR"/>
        </w:rPr>
      </w:pPr>
      <w:r w:rsidRPr="00DA613E">
        <w:rPr>
          <w:lang w:val="fr-FR"/>
        </w:rPr>
        <w:t xml:space="preserve">i) </w:t>
      </w:r>
      <w:r w:rsidR="009D3DB7" w:rsidRPr="00DA613E">
        <w:rPr>
          <w:lang w:val="fr-FR"/>
        </w:rPr>
        <w:tab/>
      </w:r>
      <w:r w:rsidRPr="00DA613E">
        <w:rPr>
          <w:lang w:val="fr-FR"/>
        </w:rPr>
        <w:t>une modification d</w:t>
      </w:r>
      <w:r w:rsidR="001734F7" w:rsidRPr="00DA613E">
        <w:rPr>
          <w:lang w:val="fr-FR"/>
        </w:rPr>
        <w:t>’</w:t>
      </w:r>
      <w:r w:rsidRPr="00DA613E">
        <w:rPr>
          <w:lang w:val="fr-FR"/>
        </w:rPr>
        <w:t>un ou de plusieurs articles déjà contenu</w:t>
      </w:r>
      <w:r w:rsidR="00FA3B54" w:rsidRPr="00DA613E">
        <w:rPr>
          <w:lang w:val="fr-FR"/>
        </w:rPr>
        <w:t>(</w:t>
      </w:r>
      <w:r w:rsidRPr="00DA613E">
        <w:rPr>
          <w:lang w:val="fr-FR"/>
        </w:rPr>
        <w:t>s</w:t>
      </w:r>
      <w:r w:rsidR="00FA3B54" w:rsidRPr="00DA613E">
        <w:rPr>
          <w:lang w:val="fr-FR"/>
        </w:rPr>
        <w:t>)</w:t>
      </w:r>
      <w:r w:rsidRPr="00DA613E">
        <w:rPr>
          <w:lang w:val="fr-FR"/>
        </w:rPr>
        <w:t xml:space="preserve"> dans la base de données; </w:t>
      </w:r>
      <w:r w:rsidR="00974E05" w:rsidRPr="00DA613E">
        <w:rPr>
          <w:lang w:val="fr-FR"/>
        </w:rPr>
        <w:t xml:space="preserve"> </w:t>
      </w:r>
      <w:r w:rsidRPr="00DA613E">
        <w:rPr>
          <w:lang w:val="fr-FR"/>
        </w:rPr>
        <w:t>et</w:t>
      </w:r>
    </w:p>
    <w:p w:rsidR="00163F88" w:rsidRPr="00DA613E" w:rsidRDefault="00762F4F" w:rsidP="00DA613E">
      <w:pPr>
        <w:pStyle w:val="ONUME"/>
        <w:numPr>
          <w:ilvl w:val="0"/>
          <w:numId w:val="0"/>
        </w:numPr>
        <w:tabs>
          <w:tab w:val="num" w:pos="567"/>
          <w:tab w:val="left" w:pos="1134"/>
        </w:tabs>
        <w:ind w:left="1134" w:hanging="567"/>
        <w:rPr>
          <w:lang w:val="fr-FR"/>
        </w:rPr>
      </w:pPr>
      <w:r w:rsidRPr="00DA613E">
        <w:rPr>
          <w:lang w:val="fr-FR"/>
        </w:rPr>
        <w:lastRenderedPageBreak/>
        <w:t xml:space="preserve">ii) </w:t>
      </w:r>
      <w:r w:rsidR="009D3DB7" w:rsidRPr="00DA613E">
        <w:rPr>
          <w:lang w:val="fr-FR"/>
        </w:rPr>
        <w:tab/>
      </w:r>
      <w:r w:rsidRPr="00DA613E">
        <w:rPr>
          <w:lang w:val="fr-FR"/>
        </w:rPr>
        <w:t>un ou des article(s) nouveau(x) adopté</w:t>
      </w:r>
      <w:r w:rsidR="00535805" w:rsidRPr="00DA613E">
        <w:rPr>
          <w:lang w:val="fr-FR"/>
        </w:rPr>
        <w:t>(s)</w:t>
      </w:r>
      <w:r w:rsidR="008D6D1E" w:rsidRPr="00DA613E">
        <w:rPr>
          <w:lang w:val="fr-FR"/>
        </w:rPr>
        <w:t xml:space="preserve"> </w:t>
      </w:r>
      <w:r w:rsidR="00086F66" w:rsidRPr="00DA613E">
        <w:rPr>
          <w:lang w:val="fr-FR"/>
        </w:rPr>
        <w:t xml:space="preserve">récemment </w:t>
      </w:r>
      <w:r w:rsidR="008D6D1E" w:rsidRPr="00DA613E">
        <w:rPr>
          <w:lang w:val="fr-FR"/>
        </w:rPr>
        <w:t>dans leur</w:t>
      </w:r>
      <w:r w:rsidRPr="00DA613E">
        <w:rPr>
          <w:lang w:val="fr-FR"/>
        </w:rPr>
        <w:t xml:space="preserve"> législation nationale concernant les éléments de flexibilité contenus dans la base de données.</w:t>
      </w:r>
    </w:p>
    <w:p w:rsidR="00163F88" w:rsidRPr="00DA613E" w:rsidRDefault="00000469" w:rsidP="00DA613E">
      <w:pPr>
        <w:pStyle w:val="ONUMFS"/>
        <w:rPr>
          <w:lang w:val="fr-FR"/>
        </w:rPr>
      </w:pPr>
      <w:r w:rsidRPr="00DA613E">
        <w:rPr>
          <w:lang w:val="fr-FR"/>
        </w:rPr>
        <w:t xml:space="preserve">Le Secrétariat </w:t>
      </w:r>
      <w:r w:rsidR="00086F66" w:rsidRPr="00DA613E">
        <w:rPr>
          <w:lang w:val="fr-FR"/>
        </w:rPr>
        <w:t>entreprend de</w:t>
      </w:r>
      <w:r w:rsidRPr="00DA613E">
        <w:rPr>
          <w:lang w:val="fr-FR"/>
        </w:rPr>
        <w:t xml:space="preserve"> déterminer si la mise à jour est conforme à la portée et aux critères convenus par le Comité lors de l</w:t>
      </w:r>
      <w:r w:rsidR="001734F7" w:rsidRPr="00DA613E">
        <w:rPr>
          <w:lang w:val="fr-FR"/>
        </w:rPr>
        <w:t>’</w:t>
      </w:r>
      <w:r w:rsidRPr="00DA613E">
        <w:rPr>
          <w:lang w:val="fr-FR"/>
        </w:rPr>
        <w:t>examen des éléments de flexibilités particuliers.</w:t>
      </w:r>
    </w:p>
    <w:p w:rsidR="001734F7" w:rsidRPr="00DA613E" w:rsidRDefault="00A3444A" w:rsidP="00DA613E">
      <w:pPr>
        <w:pStyle w:val="ONUMFS"/>
        <w:rPr>
          <w:lang w:val="fr-FR"/>
        </w:rPr>
      </w:pPr>
      <w:r w:rsidRPr="00DA613E">
        <w:rPr>
          <w:lang w:val="fr-FR"/>
        </w:rPr>
        <w:t>Si la ou les mise(s) à jour sont conformes à la portée et aux critères visés au paragraphe</w:t>
      </w:r>
      <w:r w:rsidR="00974E05" w:rsidRPr="00DA613E">
        <w:rPr>
          <w:lang w:val="fr-FR"/>
        </w:rPr>
        <w:t> </w:t>
      </w:r>
      <w:r w:rsidRPr="00DA613E">
        <w:rPr>
          <w:lang w:val="fr-FR"/>
        </w:rPr>
        <w:t>12, le Secrétariat publie</w:t>
      </w:r>
      <w:r w:rsidR="00086F66" w:rsidRPr="00DA613E">
        <w:rPr>
          <w:lang w:val="fr-FR"/>
        </w:rPr>
        <w:t>,</w:t>
      </w:r>
      <w:r w:rsidRPr="00DA613E">
        <w:rPr>
          <w:lang w:val="fr-FR"/>
        </w:rPr>
        <w:t xml:space="preserve"> </w:t>
      </w:r>
      <w:r w:rsidR="00086F66" w:rsidRPr="00DA613E">
        <w:rPr>
          <w:lang w:val="fr-FR"/>
        </w:rPr>
        <w:t xml:space="preserve">dans un délai de six mois, </w:t>
      </w:r>
      <w:r w:rsidRPr="00DA613E">
        <w:rPr>
          <w:lang w:val="fr-FR"/>
        </w:rPr>
        <w:t>les dispositions mises à jour dans la base de données.</w:t>
      </w:r>
    </w:p>
    <w:p w:rsidR="00163F88" w:rsidRPr="00DA613E" w:rsidRDefault="00A3444A" w:rsidP="00DA613E">
      <w:pPr>
        <w:pStyle w:val="ONUMFS"/>
        <w:rPr>
          <w:lang w:val="fr-FR"/>
        </w:rPr>
      </w:pPr>
      <w:r w:rsidRPr="00DA613E">
        <w:rPr>
          <w:lang w:val="fr-FR"/>
        </w:rPr>
        <w:t>Si la mise à jour n</w:t>
      </w:r>
      <w:r w:rsidR="001734F7" w:rsidRPr="00DA613E">
        <w:rPr>
          <w:lang w:val="fr-FR"/>
        </w:rPr>
        <w:t>’</w:t>
      </w:r>
      <w:r w:rsidRPr="00DA613E">
        <w:rPr>
          <w:lang w:val="fr-FR"/>
        </w:rPr>
        <w:t>est pas conforme à la portée et aux critères susmentionnés, le Secrétariat fait part à l</w:t>
      </w:r>
      <w:r w:rsidR="001734F7" w:rsidRPr="00DA613E">
        <w:rPr>
          <w:lang w:val="fr-FR"/>
        </w:rPr>
        <w:t>’</w:t>
      </w:r>
      <w:r w:rsidRPr="00DA613E">
        <w:rPr>
          <w:lang w:val="fr-FR"/>
        </w:rPr>
        <w:t>État membre concerné des raisons pour lesquelles la base de données n</w:t>
      </w:r>
      <w:r w:rsidR="001734F7" w:rsidRPr="00DA613E">
        <w:rPr>
          <w:lang w:val="fr-FR"/>
        </w:rPr>
        <w:t>’</w:t>
      </w:r>
      <w:r w:rsidRPr="00DA613E">
        <w:rPr>
          <w:lang w:val="fr-FR"/>
        </w:rPr>
        <w:t>est pas mise à jour.</w:t>
      </w:r>
    </w:p>
    <w:p w:rsidR="00163F88" w:rsidRPr="00DA613E" w:rsidRDefault="00A3444A" w:rsidP="00DA613E">
      <w:pPr>
        <w:pStyle w:val="ONUMFS"/>
        <w:rPr>
          <w:lang w:val="fr-FR"/>
        </w:rPr>
      </w:pPr>
      <w:r w:rsidRPr="00DA613E">
        <w:rPr>
          <w:lang w:val="fr-FR"/>
        </w:rPr>
        <w:t>Le Secrétariat présente un rapport par an</w:t>
      </w:r>
      <w:r w:rsidR="001734F7" w:rsidRPr="00DA613E">
        <w:rPr>
          <w:lang w:val="fr-FR"/>
        </w:rPr>
        <w:t xml:space="preserve"> au CDI</w:t>
      </w:r>
      <w:r w:rsidRPr="00DA613E">
        <w:rPr>
          <w:lang w:val="fr-FR"/>
        </w:rPr>
        <w:t>P sur les mises à jour apportées à la base de données.</w:t>
      </w:r>
    </w:p>
    <w:p w:rsidR="00163F88" w:rsidRPr="00DA613E" w:rsidRDefault="00A3444A" w:rsidP="00DA613E">
      <w:pPr>
        <w:pStyle w:val="ONUMFS"/>
        <w:rPr>
          <w:lang w:val="fr-FR"/>
        </w:rPr>
      </w:pPr>
      <w:r w:rsidRPr="00DA613E">
        <w:rPr>
          <w:lang w:val="fr-FR"/>
        </w:rPr>
        <w:t xml:space="preserve">Il est à noter que les mises à jour seront introduites </w:t>
      </w:r>
      <w:r w:rsidR="00086F66" w:rsidRPr="00DA613E">
        <w:rPr>
          <w:lang w:val="fr-FR"/>
        </w:rPr>
        <w:t xml:space="preserve">uniquement </w:t>
      </w:r>
      <w:r w:rsidRPr="00DA613E">
        <w:rPr>
          <w:lang w:val="fr-FR"/>
        </w:rPr>
        <w:t xml:space="preserve">dans la base de données et </w:t>
      </w:r>
      <w:r w:rsidR="00086F66" w:rsidRPr="00DA613E">
        <w:rPr>
          <w:lang w:val="fr-FR"/>
        </w:rPr>
        <w:t xml:space="preserve">que ni </w:t>
      </w:r>
      <w:r w:rsidRPr="00DA613E">
        <w:rPr>
          <w:lang w:val="fr-FR"/>
        </w:rPr>
        <w:t xml:space="preserve">les documents sources actuels </w:t>
      </w:r>
      <w:r w:rsidR="00086F66" w:rsidRPr="00DA613E">
        <w:rPr>
          <w:lang w:val="fr-FR"/>
        </w:rPr>
        <w:t>ni aucun</w:t>
      </w:r>
      <w:r w:rsidRPr="00DA613E">
        <w:rPr>
          <w:lang w:val="fr-FR"/>
        </w:rPr>
        <w:t xml:space="preserve"> autre document pertinent ne ser</w:t>
      </w:r>
      <w:r w:rsidR="00312D48" w:rsidRPr="00DA613E">
        <w:rPr>
          <w:lang w:val="fr-FR"/>
        </w:rPr>
        <w:t>ont</w:t>
      </w:r>
      <w:r w:rsidRPr="00DA613E">
        <w:rPr>
          <w:lang w:val="fr-FR"/>
        </w:rPr>
        <w:t xml:space="preserve"> modifié</w:t>
      </w:r>
      <w:r w:rsidR="00312D48" w:rsidRPr="00DA613E">
        <w:rPr>
          <w:lang w:val="fr-FR"/>
        </w:rPr>
        <w:t>s</w:t>
      </w:r>
      <w:r w:rsidRPr="00DA613E">
        <w:rPr>
          <w:lang w:val="fr-FR"/>
        </w:rPr>
        <w:t>.</w:t>
      </w:r>
    </w:p>
    <w:p w:rsidR="00163F88" w:rsidRPr="00DA613E" w:rsidRDefault="00A3444A" w:rsidP="00DA613E">
      <w:pPr>
        <w:pStyle w:val="ONUMFS"/>
        <w:spacing w:after="0"/>
        <w:rPr>
          <w:lang w:val="fr-FR"/>
        </w:rPr>
      </w:pPr>
      <w:r w:rsidRPr="00DA613E">
        <w:rPr>
          <w:lang w:val="fr-FR"/>
        </w:rPr>
        <w:t>Quelle que soit la décision du comité sur les p</w:t>
      </w:r>
      <w:r w:rsidR="00FD5515" w:rsidRPr="00DA613E">
        <w:rPr>
          <w:lang w:val="fr-FR"/>
        </w:rPr>
        <w:t>ropositions</w:t>
      </w:r>
      <w:r w:rsidRPr="00DA613E">
        <w:rPr>
          <w:lang w:val="fr-FR"/>
        </w:rPr>
        <w:t xml:space="preserve"> </w:t>
      </w:r>
      <w:r w:rsidR="003E777A" w:rsidRPr="00DA613E">
        <w:rPr>
          <w:lang w:val="fr-FR"/>
        </w:rPr>
        <w:t>présentées</w:t>
      </w:r>
      <w:r w:rsidRPr="00DA613E">
        <w:rPr>
          <w:lang w:val="fr-FR"/>
        </w:rPr>
        <w:t xml:space="preserve"> ci</w:t>
      </w:r>
      <w:r w:rsidR="000D09AB" w:rsidRPr="00DA613E">
        <w:rPr>
          <w:lang w:val="fr-FR"/>
        </w:rPr>
        <w:noBreakHyphen/>
      </w:r>
      <w:r w:rsidRPr="00DA613E">
        <w:rPr>
          <w:lang w:val="fr-FR"/>
        </w:rPr>
        <w:t xml:space="preserve">dessus, les ressources humaines et financières allouées à cette tâche doivent être réexaminées, </w:t>
      </w:r>
      <w:r w:rsidR="00312D48" w:rsidRPr="00DA613E">
        <w:rPr>
          <w:lang w:val="fr-FR"/>
        </w:rPr>
        <w:t>dans le cas où</w:t>
      </w:r>
      <w:r w:rsidRPr="00DA613E">
        <w:rPr>
          <w:lang w:val="fr-FR"/>
        </w:rPr>
        <w:t xml:space="preserve"> le nombre de mises à jour </w:t>
      </w:r>
      <w:r w:rsidR="00312D48" w:rsidRPr="00DA613E">
        <w:rPr>
          <w:lang w:val="fr-FR"/>
        </w:rPr>
        <w:t>serait</w:t>
      </w:r>
      <w:r w:rsidRPr="00DA613E">
        <w:rPr>
          <w:lang w:val="fr-FR"/>
        </w:rPr>
        <w:t xml:space="preserve"> plus important que la capacité actuelle du Secrétariat à faire face à cette tâche.</w:t>
      </w:r>
    </w:p>
    <w:p w:rsidR="00163F88" w:rsidRPr="00DA613E" w:rsidRDefault="00163F88" w:rsidP="00DA613E">
      <w:pPr>
        <w:pStyle w:val="ONUME"/>
        <w:numPr>
          <w:ilvl w:val="0"/>
          <w:numId w:val="0"/>
        </w:numPr>
        <w:spacing w:after="0"/>
        <w:rPr>
          <w:lang w:val="fr-FR"/>
        </w:rPr>
      </w:pPr>
    </w:p>
    <w:p w:rsidR="00163F88" w:rsidRPr="00DA613E" w:rsidRDefault="00163F88" w:rsidP="00DA613E">
      <w:pPr>
        <w:pStyle w:val="ONUME"/>
        <w:numPr>
          <w:ilvl w:val="0"/>
          <w:numId w:val="0"/>
        </w:numPr>
        <w:spacing w:after="0"/>
        <w:rPr>
          <w:lang w:val="fr-FR"/>
        </w:rPr>
      </w:pPr>
    </w:p>
    <w:p w:rsidR="00163F88" w:rsidRPr="00DA613E" w:rsidRDefault="00163F88" w:rsidP="00DA613E">
      <w:pPr>
        <w:pStyle w:val="Endofdocument-Annex"/>
        <w:ind w:left="0"/>
        <w:rPr>
          <w:lang w:val="fr-FR"/>
        </w:rPr>
      </w:pPr>
    </w:p>
    <w:p w:rsidR="00163F88" w:rsidRPr="00DA613E" w:rsidRDefault="00A3444A" w:rsidP="00DA613E">
      <w:pPr>
        <w:pStyle w:val="Endofdocument-Annex"/>
        <w:rPr>
          <w:lang w:val="fr-FR"/>
        </w:rPr>
      </w:pPr>
      <w:r w:rsidRPr="00DA613E">
        <w:rPr>
          <w:lang w:val="fr-FR"/>
        </w:rPr>
        <w:t>[Fin de l</w:t>
      </w:r>
      <w:r w:rsidR="001734F7" w:rsidRPr="00DA613E">
        <w:rPr>
          <w:lang w:val="fr-FR"/>
        </w:rPr>
        <w:t>’</w:t>
      </w:r>
      <w:r w:rsidRPr="00DA613E">
        <w:rPr>
          <w:lang w:val="fr-FR"/>
        </w:rPr>
        <w:t>annexe et du document]</w:t>
      </w:r>
    </w:p>
    <w:p w:rsidR="00163F88" w:rsidRPr="00DA613E" w:rsidRDefault="00163F88" w:rsidP="00DA613E">
      <w:pPr>
        <w:pStyle w:val="Endofdocument-Annex"/>
        <w:rPr>
          <w:lang w:val="fr-FR"/>
        </w:rPr>
      </w:pPr>
    </w:p>
    <w:sectPr w:rsidR="00163F88" w:rsidRPr="00DA613E" w:rsidSect="00790748">
      <w:headerReference w:type="default" r:id="rId16"/>
      <w:headerReference w:type="first" r:id="rId17"/>
      <w:footerReference w:type="first" r:id="rId18"/>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1C" w:rsidRDefault="0009771C">
      <w:r>
        <w:separator/>
      </w:r>
    </w:p>
  </w:endnote>
  <w:endnote w:type="continuationSeparator" w:id="0">
    <w:p w:rsidR="0009771C" w:rsidRDefault="0009771C" w:rsidP="003B38C1">
      <w:r>
        <w:separator/>
      </w:r>
    </w:p>
    <w:p w:rsidR="0009771C" w:rsidRPr="003B38C1" w:rsidRDefault="0009771C" w:rsidP="003B38C1">
      <w:pPr>
        <w:spacing w:after="60"/>
        <w:rPr>
          <w:sz w:val="17"/>
        </w:rPr>
      </w:pPr>
      <w:r>
        <w:rPr>
          <w:sz w:val="17"/>
        </w:rPr>
        <w:t>[Endnote continued from previous page]</w:t>
      </w:r>
    </w:p>
  </w:endnote>
  <w:endnote w:type="continuationNotice" w:id="1">
    <w:p w:rsidR="0009771C" w:rsidRPr="003B38C1" w:rsidRDefault="000977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B7" w:rsidRDefault="009D3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B7" w:rsidRDefault="009D3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B7" w:rsidRDefault="009D3D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117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1C" w:rsidRDefault="0009771C">
      <w:r>
        <w:separator/>
      </w:r>
    </w:p>
  </w:footnote>
  <w:footnote w:type="continuationSeparator" w:id="0">
    <w:p w:rsidR="0009771C" w:rsidRDefault="0009771C" w:rsidP="008B60B2">
      <w:r>
        <w:separator/>
      </w:r>
    </w:p>
    <w:p w:rsidR="0009771C" w:rsidRPr="00ED77FB" w:rsidRDefault="0009771C" w:rsidP="008B60B2">
      <w:pPr>
        <w:spacing w:after="60"/>
        <w:rPr>
          <w:sz w:val="17"/>
          <w:szCs w:val="17"/>
        </w:rPr>
      </w:pPr>
      <w:r w:rsidRPr="00ED77FB">
        <w:rPr>
          <w:sz w:val="17"/>
          <w:szCs w:val="17"/>
        </w:rPr>
        <w:t>[Footnote continued from previous page]</w:t>
      </w:r>
    </w:p>
  </w:footnote>
  <w:footnote w:type="continuationNotice" w:id="1">
    <w:p w:rsidR="0009771C" w:rsidRPr="00ED77FB" w:rsidRDefault="0009771C" w:rsidP="008B60B2">
      <w:pPr>
        <w:spacing w:before="60"/>
        <w:jc w:val="right"/>
        <w:rPr>
          <w:sz w:val="17"/>
          <w:szCs w:val="17"/>
        </w:rPr>
      </w:pPr>
      <w:r w:rsidRPr="00ED77FB">
        <w:rPr>
          <w:sz w:val="17"/>
          <w:szCs w:val="17"/>
        </w:rPr>
        <w:t>[Footnote continued on next page]</w:t>
      </w:r>
    </w:p>
  </w:footnote>
  <w:footnote w:id="2">
    <w:p w:rsidR="00F63E4F" w:rsidRPr="00DA613E" w:rsidRDefault="00F63E4F" w:rsidP="00DA613E">
      <w:pPr>
        <w:pStyle w:val="FootnoteText"/>
        <w:rPr>
          <w:lang w:val="fr-CH"/>
        </w:rPr>
      </w:pPr>
      <w:r>
        <w:rPr>
          <w:rStyle w:val="FootnoteReference"/>
        </w:rPr>
        <w:footnoteRef/>
      </w:r>
      <w:r w:rsidRPr="00FD4F62">
        <w:rPr>
          <w:lang w:val="fr-CH"/>
        </w:rPr>
        <w:t xml:space="preserve"> </w:t>
      </w:r>
      <w:r w:rsidR="000D09AB">
        <w:rPr>
          <w:lang w:val="fr-CH"/>
        </w:rPr>
        <w:tab/>
      </w:r>
      <w:r w:rsidRPr="00FD4F62">
        <w:rPr>
          <w:color w:val="000000"/>
          <w:lang w:val="fr-CH"/>
        </w:rPr>
        <w:t>Comme indiqué auparavant, la base de</w:t>
      </w:r>
      <w:r w:rsidRPr="00FD4F62">
        <w:rPr>
          <w:color w:val="008000"/>
          <w:lang w:val="fr-CH"/>
        </w:rPr>
        <w:t xml:space="preserve"> </w:t>
      </w:r>
      <w:r w:rsidRPr="00FD4F62">
        <w:rPr>
          <w:color w:val="000000"/>
          <w:lang w:val="fr-CH"/>
        </w:rPr>
        <w:t xml:space="preserve"> </w:t>
      </w:r>
      <w:r w:rsidRPr="00DA613E">
        <w:rPr>
          <w:lang w:val="fr-CH"/>
        </w:rPr>
        <w:t xml:space="preserve">données contient actuellement des dispositions provenant des documents de l’OMPI sur les éléments de flexibilité relatifs aux brevets dans le cadre juridique multilatéral et leur mise en œuvre législative aux niveaux national et régional (à savoir les documents CDIP/5/4, </w:t>
      </w:r>
      <w:r w:rsidRPr="00DA613E">
        <w:rPr>
          <w:u w:val="single"/>
          <w:lang w:val="fr-CH"/>
        </w:rPr>
        <w:t xml:space="preserve">CDIP/7/3 </w:t>
      </w:r>
      <w:proofErr w:type="spellStart"/>
      <w:r w:rsidRPr="00DA613E">
        <w:rPr>
          <w:u w:val="single"/>
          <w:lang w:val="fr-CH"/>
        </w:rPr>
        <w:t>Add</w:t>
      </w:r>
      <w:proofErr w:type="spellEnd"/>
      <w:r w:rsidRPr="00DA613E">
        <w:rPr>
          <w:u w:val="single"/>
          <w:lang w:val="fr-CH"/>
        </w:rPr>
        <w:t>.</w:t>
      </w:r>
      <w:r w:rsidRPr="00DA613E">
        <w:rPr>
          <w:lang w:val="fr-CH"/>
        </w:rPr>
        <w:t xml:space="preserve">, CDIP/13/10 </w:t>
      </w:r>
      <w:proofErr w:type="spellStart"/>
      <w:r w:rsidRPr="00DA613E">
        <w:rPr>
          <w:lang w:val="fr-CH"/>
        </w:rPr>
        <w:t>Rev</w:t>
      </w:r>
      <w:proofErr w:type="spellEnd"/>
      <w:r w:rsidRPr="00DA613E">
        <w:rPr>
          <w:lang w:val="fr-CH"/>
        </w:rPr>
        <w:t xml:space="preserve">. et </w:t>
      </w:r>
      <w:r w:rsidRPr="00DA613E">
        <w:rPr>
          <w:u w:val="single"/>
          <w:lang w:val="fr-CH"/>
        </w:rPr>
        <w:t>CDIP/15/6</w:t>
      </w:r>
      <w:r w:rsidRPr="00DA613E">
        <w:rPr>
          <w:lang w:val="fr-CH"/>
        </w:rPr>
        <w:t>).</w:t>
      </w:r>
    </w:p>
    <w:p w:rsidR="00F63E4F" w:rsidRPr="00FD4F62" w:rsidRDefault="00F63E4F" w:rsidP="00F63E4F">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B7" w:rsidRDefault="009D3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117F8A" w:rsidP="00477D6B">
    <w:pPr>
      <w:jc w:val="right"/>
    </w:pPr>
    <w:bookmarkStart w:id="5" w:name="Code2"/>
    <w:bookmarkEnd w:id="5"/>
    <w:r>
      <w:t>CDIP/16/3</w:t>
    </w:r>
  </w:p>
  <w:p w:rsidR="00117F8A" w:rsidRDefault="00117F8A" w:rsidP="00477D6B">
    <w:pPr>
      <w:jc w:val="right"/>
    </w:pPr>
    <w:proofErr w:type="gramStart"/>
    <w:r>
      <w:t>page</w:t>
    </w:r>
    <w:proofErr w:type="gramEnd"/>
    <w:r>
      <w:t xml:space="preserve"> </w:t>
    </w:r>
    <w:r>
      <w:fldChar w:fldCharType="begin"/>
    </w:r>
    <w:r>
      <w:instrText xml:space="preserve"> PAGE  \* MERGEFORMAT </w:instrText>
    </w:r>
    <w:r>
      <w:fldChar w:fldCharType="separate"/>
    </w:r>
    <w:r w:rsidR="00DA613E">
      <w:rPr>
        <w:noProof/>
      </w:rPr>
      <w:t>2</w:t>
    </w:r>
    <w:r>
      <w:fldChar w:fldCharType="end"/>
    </w:r>
  </w:p>
  <w:p w:rsidR="00117F8A" w:rsidRDefault="00117F8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B7" w:rsidRDefault="009D3D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344216" w:rsidP="00BA0CE1">
    <w:pPr>
      <w:pStyle w:val="Header"/>
      <w:jc w:val="right"/>
      <w:rPr>
        <w:lang w:val="fr-CH"/>
      </w:rPr>
    </w:pPr>
    <w:r>
      <w:rPr>
        <w:lang w:val="fr-CH"/>
      </w:rPr>
      <w:t>CDIP/17/5</w:t>
    </w:r>
  </w:p>
  <w:p w:rsidR="00117F8A" w:rsidRDefault="007423A2" w:rsidP="00BA0CE1">
    <w:pPr>
      <w:pStyle w:val="Header"/>
      <w:jc w:val="right"/>
      <w:rPr>
        <w:lang w:val="fr-CH"/>
      </w:rPr>
    </w:pPr>
    <w:r>
      <w:rPr>
        <w:lang w:val="fr-CH"/>
      </w:rPr>
      <w:t>Annex</w:t>
    </w:r>
    <w:r w:rsidR="001734F7">
      <w:rPr>
        <w:lang w:val="fr-CH"/>
      </w:rPr>
      <w:t>e</w:t>
    </w:r>
    <w:r w:rsidR="00117F8A">
      <w:rPr>
        <w:lang w:val="fr-CH"/>
      </w:rPr>
      <w:t xml:space="preserve">, page </w:t>
    </w:r>
    <w:r w:rsidR="00117F8A" w:rsidRPr="00790748">
      <w:rPr>
        <w:lang w:val="fr-CH"/>
      </w:rPr>
      <w:fldChar w:fldCharType="begin"/>
    </w:r>
    <w:r w:rsidR="00117F8A" w:rsidRPr="00790748">
      <w:rPr>
        <w:lang w:val="fr-CH"/>
      </w:rPr>
      <w:instrText xml:space="preserve"> PAGE   \* MERGEFORMAT </w:instrText>
    </w:r>
    <w:r w:rsidR="00117F8A" w:rsidRPr="00790748">
      <w:rPr>
        <w:lang w:val="fr-CH"/>
      </w:rPr>
      <w:fldChar w:fldCharType="separate"/>
    </w:r>
    <w:r w:rsidR="00C91D8A">
      <w:rPr>
        <w:noProof/>
        <w:lang w:val="fr-CH"/>
      </w:rPr>
      <w:t>3</w:t>
    </w:r>
    <w:r w:rsidR="00117F8A" w:rsidRPr="00790748">
      <w:rPr>
        <w:noProof/>
        <w:lang w:val="fr-CH"/>
      </w:rPr>
      <w:fldChar w:fldCharType="end"/>
    </w:r>
  </w:p>
  <w:p w:rsidR="00117F8A" w:rsidRPr="00DD4C78" w:rsidRDefault="00117F8A" w:rsidP="00BA0CE1">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875B16" w:rsidP="00790748">
    <w:pPr>
      <w:pStyle w:val="Header"/>
      <w:jc w:val="right"/>
    </w:pPr>
    <w:r>
      <w:t>CDIP/17/5</w:t>
    </w:r>
  </w:p>
  <w:p w:rsidR="00117F8A" w:rsidRDefault="007423A2" w:rsidP="00790748">
    <w:pPr>
      <w:pStyle w:val="Header"/>
      <w:jc w:val="right"/>
    </w:pPr>
    <w:r>
      <w:t>ANNEX</w:t>
    </w:r>
    <w:r w:rsidR="001734F7">
      <w:t>E</w:t>
    </w:r>
  </w:p>
  <w:p w:rsidR="00117F8A" w:rsidRDefault="00117F8A" w:rsidP="00790748">
    <w:pPr>
      <w:pStyle w:val="Header"/>
      <w:jc w:val="right"/>
    </w:pPr>
  </w:p>
  <w:p w:rsidR="00117F8A" w:rsidRDefault="00117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7592040E"/>
    <w:lvl w:ilvl="0">
      <w:start w:val="7"/>
      <w:numFmt w:val="decimal"/>
      <w:pStyle w:val="ONUME"/>
      <w:lvlText w:val="%1."/>
      <w:lvlJc w:val="left"/>
      <w:pPr>
        <w:tabs>
          <w:tab w:val="num" w:pos="1134"/>
        </w:tabs>
        <w:ind w:left="567" w:firstLine="0"/>
      </w:pPr>
      <w:rPr>
        <w:rFonts w:hint="default"/>
        <w:b w:val="0"/>
        <w:i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0A53044"/>
    <w:multiLevelType w:val="hybridMultilevel"/>
    <w:tmpl w:val="9E0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F7C82"/>
    <w:multiLevelType w:val="hybridMultilevel"/>
    <w:tmpl w:val="FA74DE98"/>
    <w:lvl w:ilvl="0" w:tplc="50CCF344">
      <w:start w:val="1"/>
      <w:numFmt w:val="lowerRoman"/>
      <w:lvlText w:val="%1)"/>
      <w:lvlJc w:val="left"/>
      <w:pPr>
        <w:ind w:left="1884" w:hanging="75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6565F2B"/>
    <w:multiLevelType w:val="hybridMultilevel"/>
    <w:tmpl w:val="76F6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0A3"/>
    <w:multiLevelType w:val="multilevel"/>
    <w:tmpl w:val="8AF66484"/>
    <w:lvl w:ilvl="0">
      <w:start w:val="1"/>
      <w:numFmt w:val="decimal"/>
      <w:lvlRestart w:val="0"/>
      <w:lvlText w:val="%1."/>
      <w:lvlJc w:val="left"/>
      <w:pPr>
        <w:tabs>
          <w:tab w:val="num" w:pos="1134"/>
        </w:tabs>
        <w:ind w:left="567" w:firstLine="0"/>
      </w:pPr>
      <w:rPr>
        <w:rFonts w:hint="default"/>
        <w:b w:val="0"/>
        <w:i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6B56D3"/>
    <w:multiLevelType w:val="hybridMultilevel"/>
    <w:tmpl w:val="4426D0C0"/>
    <w:lvl w:ilvl="0" w:tplc="CB5E8BE0">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A241F"/>
    <w:multiLevelType w:val="hybridMultilevel"/>
    <w:tmpl w:val="DD0CA400"/>
    <w:lvl w:ilvl="0" w:tplc="2E8C2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38C0729"/>
    <w:multiLevelType w:val="hybridMultilevel"/>
    <w:tmpl w:val="BD5E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930DE"/>
    <w:multiLevelType w:val="hybridMultilevel"/>
    <w:tmpl w:val="08FC0712"/>
    <w:lvl w:ilvl="0" w:tplc="A60CAD62">
      <w:start w:val="1"/>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7A60F5"/>
    <w:multiLevelType w:val="hybridMultilevel"/>
    <w:tmpl w:val="261EB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83CE9"/>
    <w:multiLevelType w:val="multilevel"/>
    <w:tmpl w:val="7542046C"/>
    <w:lvl w:ilvl="0">
      <w:start w:val="1"/>
      <w:numFmt w:val="lowerRoman"/>
      <w:lvlRestart w:val="0"/>
      <w:lvlText w:val="(%1)"/>
      <w:lvlJc w:val="left"/>
      <w:pPr>
        <w:tabs>
          <w:tab w:val="num" w:pos="1134"/>
        </w:tabs>
        <w:ind w:left="1134" w:firstLine="0"/>
      </w:pPr>
      <w:rPr>
        <w:rFonts w:ascii="Arial" w:eastAsia="SimSun" w:hAnsi="Arial" w:cs="Arial" w:hint="default"/>
        <w:color w:val="auto"/>
      </w:rPr>
    </w:lvl>
    <w:lvl w:ilvl="1">
      <w:start w:val="1"/>
      <w:numFmt w:val="lowerRoman"/>
      <w:lvlText w:val="(%2)"/>
      <w:lvlJc w:val="left"/>
      <w:pPr>
        <w:tabs>
          <w:tab w:val="num" w:pos="2268"/>
        </w:tabs>
        <w:ind w:left="1701" w:firstLine="0"/>
      </w:pPr>
      <w:rPr>
        <w:rFonts w:hint="default"/>
      </w:rPr>
    </w:lvl>
    <w:lvl w:ilvl="2">
      <w:start w:val="1"/>
      <w:numFmt w:val="lowerRoman"/>
      <w:lvlText w:val="(%3)"/>
      <w:lvlJc w:val="left"/>
      <w:pPr>
        <w:tabs>
          <w:tab w:val="num" w:pos="2835"/>
        </w:tabs>
        <w:ind w:left="2268" w:firstLine="0"/>
      </w:pPr>
      <w:rPr>
        <w:rFonts w:hint="default"/>
      </w:rPr>
    </w:lvl>
    <w:lvl w:ilvl="3">
      <w:start w:val="1"/>
      <w:numFmt w:val="bullet"/>
      <w:lvlText w:val=""/>
      <w:lvlJc w:val="left"/>
      <w:pPr>
        <w:tabs>
          <w:tab w:val="num" w:pos="3402"/>
        </w:tabs>
        <w:ind w:left="2835" w:firstLine="0"/>
      </w:pPr>
      <w:rPr>
        <w:rFonts w:hint="default"/>
      </w:rPr>
    </w:lvl>
    <w:lvl w:ilvl="4">
      <w:start w:val="1"/>
      <w:numFmt w:val="bullet"/>
      <w:lvlText w:val=""/>
      <w:lvlJc w:val="left"/>
      <w:pPr>
        <w:tabs>
          <w:tab w:val="num" w:pos="3969"/>
        </w:tabs>
        <w:ind w:left="3402" w:firstLine="0"/>
      </w:pPr>
      <w:rPr>
        <w:rFonts w:hint="default"/>
      </w:rPr>
    </w:lvl>
    <w:lvl w:ilvl="5">
      <w:start w:val="1"/>
      <w:numFmt w:val="bullet"/>
      <w:lvlText w:val=""/>
      <w:lvlJc w:val="left"/>
      <w:pPr>
        <w:tabs>
          <w:tab w:val="num" w:pos="4536"/>
        </w:tabs>
        <w:ind w:left="3969" w:firstLine="0"/>
      </w:pPr>
      <w:rPr>
        <w:rFonts w:hint="default"/>
      </w:rPr>
    </w:lvl>
    <w:lvl w:ilvl="6">
      <w:start w:val="1"/>
      <w:numFmt w:val="bullet"/>
      <w:lvlText w:val=""/>
      <w:lvlJc w:val="left"/>
      <w:pPr>
        <w:tabs>
          <w:tab w:val="num" w:pos="5103"/>
        </w:tabs>
        <w:ind w:left="4536" w:firstLine="0"/>
      </w:pPr>
      <w:rPr>
        <w:rFonts w:hint="default"/>
      </w:rPr>
    </w:lvl>
    <w:lvl w:ilvl="7">
      <w:start w:val="1"/>
      <w:numFmt w:val="bullet"/>
      <w:lvlText w:val=""/>
      <w:lvlJc w:val="left"/>
      <w:pPr>
        <w:tabs>
          <w:tab w:val="num" w:pos="5669"/>
        </w:tabs>
        <w:ind w:left="5103" w:firstLine="0"/>
      </w:pPr>
      <w:rPr>
        <w:rFonts w:hint="default"/>
      </w:rPr>
    </w:lvl>
    <w:lvl w:ilvl="8">
      <w:start w:val="1"/>
      <w:numFmt w:val="bullet"/>
      <w:lvlText w:val=""/>
      <w:lvlJc w:val="left"/>
      <w:pPr>
        <w:tabs>
          <w:tab w:val="num" w:pos="6236"/>
        </w:tabs>
        <w:ind w:left="5669" w:firstLine="0"/>
      </w:pPr>
      <w:rPr>
        <w:rFonts w:hint="default"/>
      </w:rPr>
    </w:lvl>
  </w:abstractNum>
  <w:abstractNum w:abstractNumId="17">
    <w:nsid w:val="73DD2976"/>
    <w:multiLevelType w:val="hybridMultilevel"/>
    <w:tmpl w:val="AECA0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4"/>
  </w:num>
  <w:num w:numId="5">
    <w:abstractNumId w:val="13"/>
  </w:num>
  <w:num w:numId="6">
    <w:abstractNumId w:val="4"/>
  </w:num>
  <w:num w:numId="7">
    <w:abstractNumId w:val="6"/>
  </w:num>
  <w:num w:numId="8">
    <w:abstractNumId w:val="15"/>
  </w:num>
  <w:num w:numId="9">
    <w:abstractNumId w:val="9"/>
  </w:num>
  <w:num w:numId="10">
    <w:abstractNumId w:val="10"/>
  </w:num>
  <w:num w:numId="11">
    <w:abstractNumId w:val="7"/>
  </w:num>
  <w:num w:numId="12">
    <w:abstractNumId w:val="11"/>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1"/>
  </w:num>
  <w:num w:numId="18">
    <w:abstractNumId w:val="0"/>
  </w:num>
  <w:num w:numId="19">
    <w:abstractNumId w:val="0"/>
  </w:num>
  <w:num w:numId="20">
    <w:abstractNumId w:val="2"/>
  </w:num>
  <w:num w:numId="21">
    <w:abstractNumId w:val="0"/>
  </w:num>
  <w:num w:numId="22">
    <w:abstractNumId w:val="0"/>
  </w:num>
  <w:num w:numId="23">
    <w:abstractNumId w:val="16"/>
  </w:num>
  <w:num w:numId="24">
    <w:abstractNumId w:val="0"/>
  </w:num>
  <w:num w:numId="25">
    <w:abstractNumId w:val="0"/>
  </w:num>
  <w:num w:numId="26">
    <w:abstractNumId w:val="0"/>
  </w:num>
  <w:num w:numId="27">
    <w:abstractNumId w:val="0"/>
  </w:num>
  <w:num w:numId="28">
    <w:abstractNumId w:val="0"/>
  </w:num>
  <w:num w:numId="29">
    <w:abstractNumId w:val="8"/>
  </w:num>
  <w:num w:numId="30">
    <w:abstractNumId w:val="0"/>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
    <w:docVar w:name="TextBaseURL" w:val="empty"/>
    <w:docVar w:name="UILng" w:val="en"/>
  </w:docVars>
  <w:rsids>
    <w:rsidRoot w:val="00827F61"/>
    <w:rsid w:val="00000469"/>
    <w:rsid w:val="00003627"/>
    <w:rsid w:val="00003BE6"/>
    <w:rsid w:val="00010A81"/>
    <w:rsid w:val="00011F41"/>
    <w:rsid w:val="0002006A"/>
    <w:rsid w:val="00027C1B"/>
    <w:rsid w:val="00035DDA"/>
    <w:rsid w:val="000366EA"/>
    <w:rsid w:val="0004361E"/>
    <w:rsid w:val="00043CAA"/>
    <w:rsid w:val="00045F9F"/>
    <w:rsid w:val="00046235"/>
    <w:rsid w:val="00051F65"/>
    <w:rsid w:val="00052D3F"/>
    <w:rsid w:val="00061712"/>
    <w:rsid w:val="0007477A"/>
    <w:rsid w:val="00075432"/>
    <w:rsid w:val="000835E5"/>
    <w:rsid w:val="00086F66"/>
    <w:rsid w:val="00092EEA"/>
    <w:rsid w:val="00094EE8"/>
    <w:rsid w:val="000968ED"/>
    <w:rsid w:val="0009771C"/>
    <w:rsid w:val="000A0DE2"/>
    <w:rsid w:val="000A2ABC"/>
    <w:rsid w:val="000A7840"/>
    <w:rsid w:val="000C3CE8"/>
    <w:rsid w:val="000C511C"/>
    <w:rsid w:val="000C51E3"/>
    <w:rsid w:val="000D09AB"/>
    <w:rsid w:val="000D23C2"/>
    <w:rsid w:val="000D7C2F"/>
    <w:rsid w:val="000D7F01"/>
    <w:rsid w:val="000E001A"/>
    <w:rsid w:val="000E147B"/>
    <w:rsid w:val="000E2879"/>
    <w:rsid w:val="000E6CBC"/>
    <w:rsid w:val="000F45DD"/>
    <w:rsid w:val="000F5E56"/>
    <w:rsid w:val="001000E6"/>
    <w:rsid w:val="00111B45"/>
    <w:rsid w:val="00116436"/>
    <w:rsid w:val="00117F8A"/>
    <w:rsid w:val="001223C8"/>
    <w:rsid w:val="00122517"/>
    <w:rsid w:val="0012610D"/>
    <w:rsid w:val="001320D5"/>
    <w:rsid w:val="001362EE"/>
    <w:rsid w:val="00152195"/>
    <w:rsid w:val="00163F88"/>
    <w:rsid w:val="00165216"/>
    <w:rsid w:val="001734F7"/>
    <w:rsid w:val="001755E3"/>
    <w:rsid w:val="001832A6"/>
    <w:rsid w:val="00191A29"/>
    <w:rsid w:val="0019236A"/>
    <w:rsid w:val="001A3236"/>
    <w:rsid w:val="001A738E"/>
    <w:rsid w:val="001B6212"/>
    <w:rsid w:val="001C3683"/>
    <w:rsid w:val="001C441C"/>
    <w:rsid w:val="001C44B1"/>
    <w:rsid w:val="001C5579"/>
    <w:rsid w:val="001E255A"/>
    <w:rsid w:val="001E3C7A"/>
    <w:rsid w:val="001E7ADA"/>
    <w:rsid w:val="001F1E46"/>
    <w:rsid w:val="001F2782"/>
    <w:rsid w:val="002019D3"/>
    <w:rsid w:val="00207A08"/>
    <w:rsid w:val="00207AC8"/>
    <w:rsid w:val="00226EEE"/>
    <w:rsid w:val="002419ED"/>
    <w:rsid w:val="002444DB"/>
    <w:rsid w:val="0025304C"/>
    <w:rsid w:val="0026101E"/>
    <w:rsid w:val="0026227E"/>
    <w:rsid w:val="002634C4"/>
    <w:rsid w:val="002679A5"/>
    <w:rsid w:val="0027556F"/>
    <w:rsid w:val="00275C5C"/>
    <w:rsid w:val="00282572"/>
    <w:rsid w:val="00283E6B"/>
    <w:rsid w:val="002845EA"/>
    <w:rsid w:val="00284DFA"/>
    <w:rsid w:val="002928D3"/>
    <w:rsid w:val="00292A49"/>
    <w:rsid w:val="0029551A"/>
    <w:rsid w:val="002975BC"/>
    <w:rsid w:val="002A2FF8"/>
    <w:rsid w:val="002B2297"/>
    <w:rsid w:val="002B4E42"/>
    <w:rsid w:val="002C263F"/>
    <w:rsid w:val="002C2C9C"/>
    <w:rsid w:val="002D236D"/>
    <w:rsid w:val="002E2787"/>
    <w:rsid w:val="002E2F01"/>
    <w:rsid w:val="002E591E"/>
    <w:rsid w:val="002F1AFB"/>
    <w:rsid w:val="002F1FE6"/>
    <w:rsid w:val="002F2E47"/>
    <w:rsid w:val="002F4E68"/>
    <w:rsid w:val="002F772F"/>
    <w:rsid w:val="00304E10"/>
    <w:rsid w:val="00307B7B"/>
    <w:rsid w:val="003106AA"/>
    <w:rsid w:val="003112CE"/>
    <w:rsid w:val="00312D48"/>
    <w:rsid w:val="00312F7F"/>
    <w:rsid w:val="00314672"/>
    <w:rsid w:val="00314764"/>
    <w:rsid w:val="00314DFF"/>
    <w:rsid w:val="00317A35"/>
    <w:rsid w:val="00322772"/>
    <w:rsid w:val="00324388"/>
    <w:rsid w:val="00324E38"/>
    <w:rsid w:val="00331BEE"/>
    <w:rsid w:val="00337076"/>
    <w:rsid w:val="00344216"/>
    <w:rsid w:val="00353310"/>
    <w:rsid w:val="0035396C"/>
    <w:rsid w:val="00353C48"/>
    <w:rsid w:val="00354EC2"/>
    <w:rsid w:val="00354F6B"/>
    <w:rsid w:val="003565AF"/>
    <w:rsid w:val="00356E98"/>
    <w:rsid w:val="00360E3D"/>
    <w:rsid w:val="00361450"/>
    <w:rsid w:val="00362E2C"/>
    <w:rsid w:val="003635AF"/>
    <w:rsid w:val="003673CF"/>
    <w:rsid w:val="003718C0"/>
    <w:rsid w:val="00371BE4"/>
    <w:rsid w:val="00372449"/>
    <w:rsid w:val="003769D7"/>
    <w:rsid w:val="003837AE"/>
    <w:rsid w:val="003845C1"/>
    <w:rsid w:val="00385D93"/>
    <w:rsid w:val="003875F6"/>
    <w:rsid w:val="00394C94"/>
    <w:rsid w:val="003A0D96"/>
    <w:rsid w:val="003A5543"/>
    <w:rsid w:val="003A6F89"/>
    <w:rsid w:val="003B0B71"/>
    <w:rsid w:val="003B38C1"/>
    <w:rsid w:val="003B5819"/>
    <w:rsid w:val="003C06C1"/>
    <w:rsid w:val="003C3E71"/>
    <w:rsid w:val="003C5725"/>
    <w:rsid w:val="003D606B"/>
    <w:rsid w:val="003D6138"/>
    <w:rsid w:val="003D67A2"/>
    <w:rsid w:val="003D79D9"/>
    <w:rsid w:val="003E350C"/>
    <w:rsid w:val="003E777A"/>
    <w:rsid w:val="003F2159"/>
    <w:rsid w:val="003F5B3E"/>
    <w:rsid w:val="00405C60"/>
    <w:rsid w:val="00406CDE"/>
    <w:rsid w:val="00410A3B"/>
    <w:rsid w:val="00412717"/>
    <w:rsid w:val="00420183"/>
    <w:rsid w:val="00420C0A"/>
    <w:rsid w:val="00420D52"/>
    <w:rsid w:val="00420DE1"/>
    <w:rsid w:val="00423E3E"/>
    <w:rsid w:val="00427AF4"/>
    <w:rsid w:val="00431F89"/>
    <w:rsid w:val="00433582"/>
    <w:rsid w:val="004345D5"/>
    <w:rsid w:val="00441BF3"/>
    <w:rsid w:val="004557A8"/>
    <w:rsid w:val="00457C76"/>
    <w:rsid w:val="0046099A"/>
    <w:rsid w:val="00463A28"/>
    <w:rsid w:val="004647DA"/>
    <w:rsid w:val="00474062"/>
    <w:rsid w:val="00477D6B"/>
    <w:rsid w:val="004823F6"/>
    <w:rsid w:val="00492127"/>
    <w:rsid w:val="0049620F"/>
    <w:rsid w:val="00496D2F"/>
    <w:rsid w:val="004B2EF7"/>
    <w:rsid w:val="004B6F61"/>
    <w:rsid w:val="004D1FF3"/>
    <w:rsid w:val="004D4FB3"/>
    <w:rsid w:val="004D60B2"/>
    <w:rsid w:val="004E2FA3"/>
    <w:rsid w:val="004E3036"/>
    <w:rsid w:val="004E339B"/>
    <w:rsid w:val="004E5A16"/>
    <w:rsid w:val="004E6B66"/>
    <w:rsid w:val="004F232F"/>
    <w:rsid w:val="004F2FA7"/>
    <w:rsid w:val="005019FF"/>
    <w:rsid w:val="00507532"/>
    <w:rsid w:val="00520C62"/>
    <w:rsid w:val="00524FCE"/>
    <w:rsid w:val="00526F4B"/>
    <w:rsid w:val="0053057A"/>
    <w:rsid w:val="00530E4E"/>
    <w:rsid w:val="005318E2"/>
    <w:rsid w:val="0053294F"/>
    <w:rsid w:val="0053407C"/>
    <w:rsid w:val="00535805"/>
    <w:rsid w:val="00543C2F"/>
    <w:rsid w:val="00545437"/>
    <w:rsid w:val="005502F9"/>
    <w:rsid w:val="00550AC3"/>
    <w:rsid w:val="00550AEE"/>
    <w:rsid w:val="00552572"/>
    <w:rsid w:val="00560A29"/>
    <w:rsid w:val="00564128"/>
    <w:rsid w:val="00580E86"/>
    <w:rsid w:val="0059495B"/>
    <w:rsid w:val="005A0DF4"/>
    <w:rsid w:val="005A19ED"/>
    <w:rsid w:val="005A4679"/>
    <w:rsid w:val="005A4946"/>
    <w:rsid w:val="005B2639"/>
    <w:rsid w:val="005B2C59"/>
    <w:rsid w:val="005C57FC"/>
    <w:rsid w:val="005C6649"/>
    <w:rsid w:val="005D54C3"/>
    <w:rsid w:val="005D65B9"/>
    <w:rsid w:val="005E0C34"/>
    <w:rsid w:val="005E4AE2"/>
    <w:rsid w:val="005F33A1"/>
    <w:rsid w:val="005F4794"/>
    <w:rsid w:val="00605827"/>
    <w:rsid w:val="00613B48"/>
    <w:rsid w:val="0061439B"/>
    <w:rsid w:val="006155D1"/>
    <w:rsid w:val="006258FC"/>
    <w:rsid w:val="0063096E"/>
    <w:rsid w:val="0063142C"/>
    <w:rsid w:val="0064332F"/>
    <w:rsid w:val="00646050"/>
    <w:rsid w:val="006524CF"/>
    <w:rsid w:val="006534E9"/>
    <w:rsid w:val="00663023"/>
    <w:rsid w:val="006713CA"/>
    <w:rsid w:val="006748B7"/>
    <w:rsid w:val="00675CFC"/>
    <w:rsid w:val="0067644E"/>
    <w:rsid w:val="00676644"/>
    <w:rsid w:val="00676C5C"/>
    <w:rsid w:val="00690F96"/>
    <w:rsid w:val="00693BCA"/>
    <w:rsid w:val="006A10BE"/>
    <w:rsid w:val="006A7ADC"/>
    <w:rsid w:val="006B0378"/>
    <w:rsid w:val="006C4BF6"/>
    <w:rsid w:val="006C56AB"/>
    <w:rsid w:val="006D4DC9"/>
    <w:rsid w:val="006E407E"/>
    <w:rsid w:val="006E4A37"/>
    <w:rsid w:val="006F16D0"/>
    <w:rsid w:val="006F17AC"/>
    <w:rsid w:val="0070070D"/>
    <w:rsid w:val="00712679"/>
    <w:rsid w:val="007127C2"/>
    <w:rsid w:val="00727563"/>
    <w:rsid w:val="0073082A"/>
    <w:rsid w:val="007315FF"/>
    <w:rsid w:val="007341D0"/>
    <w:rsid w:val="00735653"/>
    <w:rsid w:val="00736EF3"/>
    <w:rsid w:val="007423A2"/>
    <w:rsid w:val="007452F1"/>
    <w:rsid w:val="0075338C"/>
    <w:rsid w:val="00761A95"/>
    <w:rsid w:val="00762F4F"/>
    <w:rsid w:val="00764174"/>
    <w:rsid w:val="0077259B"/>
    <w:rsid w:val="00774B99"/>
    <w:rsid w:val="00775162"/>
    <w:rsid w:val="00775190"/>
    <w:rsid w:val="007878BF"/>
    <w:rsid w:val="00790748"/>
    <w:rsid w:val="007948AB"/>
    <w:rsid w:val="00795449"/>
    <w:rsid w:val="007A182C"/>
    <w:rsid w:val="007A48BB"/>
    <w:rsid w:val="007B19B7"/>
    <w:rsid w:val="007B45D6"/>
    <w:rsid w:val="007B5F9A"/>
    <w:rsid w:val="007B6D74"/>
    <w:rsid w:val="007C6BFC"/>
    <w:rsid w:val="007D0D0C"/>
    <w:rsid w:val="007D1613"/>
    <w:rsid w:val="007F11AC"/>
    <w:rsid w:val="007F4932"/>
    <w:rsid w:val="00823713"/>
    <w:rsid w:val="00827F61"/>
    <w:rsid w:val="00830524"/>
    <w:rsid w:val="00847320"/>
    <w:rsid w:val="00850915"/>
    <w:rsid w:val="008550B5"/>
    <w:rsid w:val="00856896"/>
    <w:rsid w:val="00867249"/>
    <w:rsid w:val="00873BE9"/>
    <w:rsid w:val="00874699"/>
    <w:rsid w:val="00875B16"/>
    <w:rsid w:val="0089640E"/>
    <w:rsid w:val="008A43CE"/>
    <w:rsid w:val="008A64B1"/>
    <w:rsid w:val="008B2CC1"/>
    <w:rsid w:val="008B60B2"/>
    <w:rsid w:val="008C57E2"/>
    <w:rsid w:val="008D0634"/>
    <w:rsid w:val="008D43AF"/>
    <w:rsid w:val="008D6D1E"/>
    <w:rsid w:val="008E415C"/>
    <w:rsid w:val="008F34EA"/>
    <w:rsid w:val="008F4EA9"/>
    <w:rsid w:val="00903FDA"/>
    <w:rsid w:val="0090731E"/>
    <w:rsid w:val="00916EE2"/>
    <w:rsid w:val="00920B26"/>
    <w:rsid w:val="00923EA1"/>
    <w:rsid w:val="00932704"/>
    <w:rsid w:val="00937ACE"/>
    <w:rsid w:val="00937B99"/>
    <w:rsid w:val="009435B1"/>
    <w:rsid w:val="009458A4"/>
    <w:rsid w:val="00950414"/>
    <w:rsid w:val="00952DBB"/>
    <w:rsid w:val="0095678B"/>
    <w:rsid w:val="009570F9"/>
    <w:rsid w:val="0096181D"/>
    <w:rsid w:val="00966A22"/>
    <w:rsid w:val="0096722F"/>
    <w:rsid w:val="00970C28"/>
    <w:rsid w:val="00974E05"/>
    <w:rsid w:val="00977BB9"/>
    <w:rsid w:val="00980843"/>
    <w:rsid w:val="0098507A"/>
    <w:rsid w:val="0098681C"/>
    <w:rsid w:val="0099343F"/>
    <w:rsid w:val="0099358E"/>
    <w:rsid w:val="00993DCD"/>
    <w:rsid w:val="009949FE"/>
    <w:rsid w:val="00996F30"/>
    <w:rsid w:val="009A5468"/>
    <w:rsid w:val="009B1D2B"/>
    <w:rsid w:val="009B749B"/>
    <w:rsid w:val="009C51F7"/>
    <w:rsid w:val="009D2738"/>
    <w:rsid w:val="009D3DB7"/>
    <w:rsid w:val="009E2791"/>
    <w:rsid w:val="009E289D"/>
    <w:rsid w:val="009E3F6F"/>
    <w:rsid w:val="009F499F"/>
    <w:rsid w:val="009F6187"/>
    <w:rsid w:val="009F6D44"/>
    <w:rsid w:val="009F7616"/>
    <w:rsid w:val="00A00234"/>
    <w:rsid w:val="00A110A4"/>
    <w:rsid w:val="00A12CD0"/>
    <w:rsid w:val="00A13B4C"/>
    <w:rsid w:val="00A14814"/>
    <w:rsid w:val="00A252A7"/>
    <w:rsid w:val="00A328F4"/>
    <w:rsid w:val="00A3444A"/>
    <w:rsid w:val="00A37E3D"/>
    <w:rsid w:val="00A42DAF"/>
    <w:rsid w:val="00A45BD8"/>
    <w:rsid w:val="00A5124A"/>
    <w:rsid w:val="00A61F0D"/>
    <w:rsid w:val="00A64259"/>
    <w:rsid w:val="00A67061"/>
    <w:rsid w:val="00A869B7"/>
    <w:rsid w:val="00A87281"/>
    <w:rsid w:val="00A87E0B"/>
    <w:rsid w:val="00AA157D"/>
    <w:rsid w:val="00AC0C8D"/>
    <w:rsid w:val="00AC205C"/>
    <w:rsid w:val="00AC230E"/>
    <w:rsid w:val="00AC3336"/>
    <w:rsid w:val="00AC4C9E"/>
    <w:rsid w:val="00AD1DB6"/>
    <w:rsid w:val="00AE4318"/>
    <w:rsid w:val="00AE5CAE"/>
    <w:rsid w:val="00AE5DB2"/>
    <w:rsid w:val="00AE61A1"/>
    <w:rsid w:val="00AE7216"/>
    <w:rsid w:val="00AF0A6B"/>
    <w:rsid w:val="00AF6EF2"/>
    <w:rsid w:val="00B044DA"/>
    <w:rsid w:val="00B05A69"/>
    <w:rsid w:val="00B07E1E"/>
    <w:rsid w:val="00B10C5F"/>
    <w:rsid w:val="00B134DA"/>
    <w:rsid w:val="00B14E25"/>
    <w:rsid w:val="00B15B66"/>
    <w:rsid w:val="00B22A73"/>
    <w:rsid w:val="00B2489D"/>
    <w:rsid w:val="00B27781"/>
    <w:rsid w:val="00B33173"/>
    <w:rsid w:val="00B36CB7"/>
    <w:rsid w:val="00B47BBC"/>
    <w:rsid w:val="00B54496"/>
    <w:rsid w:val="00B55DE0"/>
    <w:rsid w:val="00B57FA2"/>
    <w:rsid w:val="00B613F1"/>
    <w:rsid w:val="00B67BB0"/>
    <w:rsid w:val="00B80EFF"/>
    <w:rsid w:val="00B9734B"/>
    <w:rsid w:val="00BA0CE1"/>
    <w:rsid w:val="00BA29A5"/>
    <w:rsid w:val="00BB231F"/>
    <w:rsid w:val="00BB3A8A"/>
    <w:rsid w:val="00BB3B69"/>
    <w:rsid w:val="00BB4B28"/>
    <w:rsid w:val="00BC40C6"/>
    <w:rsid w:val="00BC7319"/>
    <w:rsid w:val="00BD118D"/>
    <w:rsid w:val="00BD28BB"/>
    <w:rsid w:val="00BD7C64"/>
    <w:rsid w:val="00BF01B3"/>
    <w:rsid w:val="00BF2121"/>
    <w:rsid w:val="00BF3E47"/>
    <w:rsid w:val="00C11BFE"/>
    <w:rsid w:val="00C1324E"/>
    <w:rsid w:val="00C13343"/>
    <w:rsid w:val="00C16C4E"/>
    <w:rsid w:val="00C17A92"/>
    <w:rsid w:val="00C17E16"/>
    <w:rsid w:val="00C275C1"/>
    <w:rsid w:val="00C31FA2"/>
    <w:rsid w:val="00C41ED5"/>
    <w:rsid w:val="00C43C38"/>
    <w:rsid w:val="00C45A0C"/>
    <w:rsid w:val="00C45A59"/>
    <w:rsid w:val="00C464E8"/>
    <w:rsid w:val="00C51A77"/>
    <w:rsid w:val="00C533B3"/>
    <w:rsid w:val="00C55F0F"/>
    <w:rsid w:val="00C56A51"/>
    <w:rsid w:val="00C575C2"/>
    <w:rsid w:val="00C57E27"/>
    <w:rsid w:val="00C62638"/>
    <w:rsid w:val="00C65E31"/>
    <w:rsid w:val="00C66005"/>
    <w:rsid w:val="00C6648C"/>
    <w:rsid w:val="00C70B0A"/>
    <w:rsid w:val="00C70EE3"/>
    <w:rsid w:val="00C719B6"/>
    <w:rsid w:val="00C71CA2"/>
    <w:rsid w:val="00C7433A"/>
    <w:rsid w:val="00C755D1"/>
    <w:rsid w:val="00C75A8F"/>
    <w:rsid w:val="00C86837"/>
    <w:rsid w:val="00C91D8A"/>
    <w:rsid w:val="00C92786"/>
    <w:rsid w:val="00C9356A"/>
    <w:rsid w:val="00CB50DD"/>
    <w:rsid w:val="00CB6639"/>
    <w:rsid w:val="00CC054D"/>
    <w:rsid w:val="00CD0674"/>
    <w:rsid w:val="00CD360B"/>
    <w:rsid w:val="00CE482F"/>
    <w:rsid w:val="00CE7CC2"/>
    <w:rsid w:val="00CF4D29"/>
    <w:rsid w:val="00CF4EEB"/>
    <w:rsid w:val="00D102E1"/>
    <w:rsid w:val="00D152C5"/>
    <w:rsid w:val="00D272AC"/>
    <w:rsid w:val="00D3016B"/>
    <w:rsid w:val="00D30528"/>
    <w:rsid w:val="00D32D41"/>
    <w:rsid w:val="00D43440"/>
    <w:rsid w:val="00D44C50"/>
    <w:rsid w:val="00D44F59"/>
    <w:rsid w:val="00D45252"/>
    <w:rsid w:val="00D47363"/>
    <w:rsid w:val="00D602A1"/>
    <w:rsid w:val="00D617C2"/>
    <w:rsid w:val="00D63FF2"/>
    <w:rsid w:val="00D66936"/>
    <w:rsid w:val="00D71B4D"/>
    <w:rsid w:val="00D72D4E"/>
    <w:rsid w:val="00D72F96"/>
    <w:rsid w:val="00D74AE7"/>
    <w:rsid w:val="00D76CA6"/>
    <w:rsid w:val="00D83368"/>
    <w:rsid w:val="00D844B3"/>
    <w:rsid w:val="00D93D55"/>
    <w:rsid w:val="00D93D7E"/>
    <w:rsid w:val="00DA613E"/>
    <w:rsid w:val="00DB09F3"/>
    <w:rsid w:val="00DB1A01"/>
    <w:rsid w:val="00DC2B36"/>
    <w:rsid w:val="00DC3696"/>
    <w:rsid w:val="00DE005B"/>
    <w:rsid w:val="00DE7200"/>
    <w:rsid w:val="00E05113"/>
    <w:rsid w:val="00E271B0"/>
    <w:rsid w:val="00E335FE"/>
    <w:rsid w:val="00E33FA7"/>
    <w:rsid w:val="00E45FD6"/>
    <w:rsid w:val="00E53C0A"/>
    <w:rsid w:val="00E60C64"/>
    <w:rsid w:val="00E7177D"/>
    <w:rsid w:val="00E754DB"/>
    <w:rsid w:val="00E84B25"/>
    <w:rsid w:val="00E9742B"/>
    <w:rsid w:val="00EB7312"/>
    <w:rsid w:val="00EC0298"/>
    <w:rsid w:val="00EC4937"/>
    <w:rsid w:val="00EC4E49"/>
    <w:rsid w:val="00EC7C07"/>
    <w:rsid w:val="00ED1E87"/>
    <w:rsid w:val="00ED77FB"/>
    <w:rsid w:val="00EE0566"/>
    <w:rsid w:val="00EE19EF"/>
    <w:rsid w:val="00EE45FA"/>
    <w:rsid w:val="00EE7CD8"/>
    <w:rsid w:val="00EF736E"/>
    <w:rsid w:val="00F0123F"/>
    <w:rsid w:val="00F0322A"/>
    <w:rsid w:val="00F0466A"/>
    <w:rsid w:val="00F17777"/>
    <w:rsid w:val="00F522CA"/>
    <w:rsid w:val="00F53802"/>
    <w:rsid w:val="00F54B81"/>
    <w:rsid w:val="00F55542"/>
    <w:rsid w:val="00F61D08"/>
    <w:rsid w:val="00F63A34"/>
    <w:rsid w:val="00F63E4F"/>
    <w:rsid w:val="00F642A1"/>
    <w:rsid w:val="00F66152"/>
    <w:rsid w:val="00F74A9F"/>
    <w:rsid w:val="00F83BAB"/>
    <w:rsid w:val="00F86385"/>
    <w:rsid w:val="00F87165"/>
    <w:rsid w:val="00F9013D"/>
    <w:rsid w:val="00F91646"/>
    <w:rsid w:val="00F95772"/>
    <w:rsid w:val="00FA3B54"/>
    <w:rsid w:val="00FB27BC"/>
    <w:rsid w:val="00FC2BB7"/>
    <w:rsid w:val="00FC60DF"/>
    <w:rsid w:val="00FD1B11"/>
    <w:rsid w:val="00FD4F62"/>
    <w:rsid w:val="00FD5515"/>
    <w:rsid w:val="00FD625B"/>
    <w:rsid w:val="00FE25FA"/>
    <w:rsid w:val="00FF246F"/>
    <w:rsid w:val="00FF3AD0"/>
    <w:rsid w:val="00FF6530"/>
    <w:rsid w:val="00FF7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uiPriority w:val="99"/>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aliases w:val="callout"/>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 w:type="character" w:customStyle="1" w:styleId="tagtrans">
    <w:name w:val="tag_trans"/>
    <w:basedOn w:val="DefaultParagraphFont"/>
    <w:rsid w:val="007F4932"/>
  </w:style>
  <w:style w:type="character" w:customStyle="1" w:styleId="FooterChar">
    <w:name w:val="Footer Char"/>
    <w:basedOn w:val="DefaultParagraphFont"/>
    <w:link w:val="Footer"/>
    <w:uiPriority w:val="99"/>
    <w:rsid w:val="0046099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uiPriority w:val="99"/>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aliases w:val="callout"/>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 w:type="character" w:customStyle="1" w:styleId="tagtrans">
    <w:name w:val="tag_trans"/>
    <w:basedOn w:val="DefaultParagraphFont"/>
    <w:rsid w:val="007F4932"/>
  </w:style>
  <w:style w:type="character" w:customStyle="1" w:styleId="FooterChar">
    <w:name w:val="Footer Char"/>
    <w:basedOn w:val="DefaultParagraphFont"/>
    <w:link w:val="Footer"/>
    <w:uiPriority w:val="99"/>
    <w:rsid w:val="0046099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136">
      <w:bodyDiv w:val="1"/>
      <w:marLeft w:val="0"/>
      <w:marRight w:val="0"/>
      <w:marTop w:val="0"/>
      <w:marBottom w:val="0"/>
      <w:divBdr>
        <w:top w:val="none" w:sz="0" w:space="0" w:color="auto"/>
        <w:left w:val="none" w:sz="0" w:space="0" w:color="auto"/>
        <w:bottom w:val="none" w:sz="0" w:space="0" w:color="auto"/>
        <w:right w:val="none" w:sz="0" w:space="0" w:color="auto"/>
      </w:divBdr>
    </w:div>
    <w:div w:id="760296489">
      <w:bodyDiv w:val="1"/>
      <w:marLeft w:val="0"/>
      <w:marRight w:val="0"/>
      <w:marTop w:val="0"/>
      <w:marBottom w:val="0"/>
      <w:divBdr>
        <w:top w:val="none" w:sz="0" w:space="0" w:color="auto"/>
        <w:left w:val="none" w:sz="0" w:space="0" w:color="auto"/>
        <w:bottom w:val="none" w:sz="0" w:space="0" w:color="auto"/>
        <w:right w:val="none" w:sz="0" w:space="0" w:color="auto"/>
      </w:divBdr>
    </w:div>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 w:id="18897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4C3D-23A9-4DB1-A738-532E81C0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0</TotalTime>
  <Pages>4</Pages>
  <Words>1115</Words>
  <Characters>5967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keywords>LM/mhf</cp:keywords>
  <cp:lastModifiedBy>BRACI Biljana</cp:lastModifiedBy>
  <cp:revision>2</cp:revision>
  <cp:lastPrinted>2016-02-18T09:49:00Z</cp:lastPrinted>
  <dcterms:created xsi:type="dcterms:W3CDTF">2016-02-18T17:26:00Z</dcterms:created>
  <dcterms:modified xsi:type="dcterms:W3CDTF">2016-02-18T17:26:00Z</dcterms:modified>
</cp:coreProperties>
</file>