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50C83" w:rsidRPr="00EE65CE" w:rsidTr="0023240A">
        <w:tc>
          <w:tcPr>
            <w:tcW w:w="4513" w:type="dxa"/>
            <w:tcBorders>
              <w:bottom w:val="single" w:sz="4" w:space="0" w:color="auto"/>
            </w:tcBorders>
            <w:tcMar>
              <w:bottom w:w="170" w:type="dxa"/>
            </w:tcMar>
          </w:tcPr>
          <w:p w:rsidR="00850C83" w:rsidRPr="00EE65CE" w:rsidRDefault="00850C83" w:rsidP="00542460">
            <w:pPr>
              <w:rPr>
                <w:lang w:val="fr-FR"/>
              </w:rPr>
            </w:pPr>
            <w:bookmarkStart w:id="0" w:name="OLE_LINK2"/>
            <w:bookmarkStart w:id="1" w:name="OLE_LINK3"/>
          </w:p>
        </w:tc>
        <w:tc>
          <w:tcPr>
            <w:tcW w:w="4337" w:type="dxa"/>
            <w:tcBorders>
              <w:bottom w:val="single" w:sz="4" w:space="0" w:color="auto"/>
            </w:tcBorders>
            <w:tcMar>
              <w:left w:w="0" w:type="dxa"/>
              <w:right w:w="0" w:type="dxa"/>
            </w:tcMar>
          </w:tcPr>
          <w:p w:rsidR="00850C83" w:rsidRPr="00EE65CE" w:rsidRDefault="00850C83" w:rsidP="00542460">
            <w:pPr>
              <w:rPr>
                <w:lang w:val="fr-FR"/>
              </w:rPr>
            </w:pPr>
            <w:r w:rsidRPr="00EE65CE">
              <w:rPr>
                <w:noProof/>
                <w:lang w:eastAsia="en-US"/>
              </w:rPr>
              <w:drawing>
                <wp:inline distT="0" distB="0" distL="0" distR="0" wp14:anchorId="450F5C5B" wp14:editId="7956F6E8">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50C83" w:rsidRPr="00EE65CE" w:rsidRDefault="00850C83" w:rsidP="00542460">
            <w:pPr>
              <w:jc w:val="right"/>
              <w:rPr>
                <w:lang w:val="fr-FR"/>
              </w:rPr>
            </w:pPr>
            <w:r w:rsidRPr="00EE65CE">
              <w:rPr>
                <w:b/>
                <w:sz w:val="40"/>
                <w:szCs w:val="40"/>
                <w:lang w:val="fr-FR"/>
              </w:rPr>
              <w:t>F</w:t>
            </w:r>
          </w:p>
        </w:tc>
      </w:tr>
      <w:tr w:rsidR="00850C83" w:rsidRPr="00EE65CE" w:rsidTr="0023240A">
        <w:trPr>
          <w:trHeight w:hRule="exact" w:val="340"/>
        </w:trPr>
        <w:tc>
          <w:tcPr>
            <w:tcW w:w="9356" w:type="dxa"/>
            <w:gridSpan w:val="3"/>
            <w:tcBorders>
              <w:top w:val="single" w:sz="4" w:space="0" w:color="auto"/>
            </w:tcBorders>
            <w:tcMar>
              <w:top w:w="170" w:type="dxa"/>
              <w:left w:w="0" w:type="dxa"/>
              <w:right w:w="0" w:type="dxa"/>
            </w:tcMar>
            <w:vAlign w:val="bottom"/>
          </w:tcPr>
          <w:p w:rsidR="00850C83" w:rsidRPr="00EE65CE" w:rsidRDefault="00850C83" w:rsidP="00542460">
            <w:pPr>
              <w:jc w:val="right"/>
              <w:rPr>
                <w:rFonts w:ascii="Arial Black" w:hAnsi="Arial Black"/>
                <w:caps/>
                <w:sz w:val="15"/>
                <w:lang w:val="fr-FR"/>
              </w:rPr>
            </w:pPr>
            <w:bookmarkStart w:id="2" w:name="Code"/>
            <w:bookmarkEnd w:id="2"/>
            <w:r w:rsidRPr="00EE65CE">
              <w:rPr>
                <w:rFonts w:ascii="Arial Black" w:hAnsi="Arial Black"/>
                <w:caps/>
                <w:sz w:val="15"/>
                <w:lang w:val="fr-FR"/>
              </w:rPr>
              <w:t xml:space="preserve">CDIP/17/3 </w:t>
            </w:r>
          </w:p>
        </w:tc>
      </w:tr>
      <w:tr w:rsidR="00850C83" w:rsidRPr="00EE65CE" w:rsidTr="0023240A">
        <w:trPr>
          <w:trHeight w:hRule="exact" w:val="170"/>
        </w:trPr>
        <w:tc>
          <w:tcPr>
            <w:tcW w:w="9356" w:type="dxa"/>
            <w:gridSpan w:val="3"/>
            <w:noWrap/>
            <w:tcMar>
              <w:left w:w="0" w:type="dxa"/>
              <w:right w:w="0" w:type="dxa"/>
            </w:tcMar>
            <w:vAlign w:val="bottom"/>
          </w:tcPr>
          <w:p w:rsidR="00850C83" w:rsidRPr="00EE65CE" w:rsidRDefault="00850C83" w:rsidP="00542460">
            <w:pPr>
              <w:jc w:val="right"/>
              <w:rPr>
                <w:rFonts w:ascii="Arial Black" w:hAnsi="Arial Black"/>
                <w:caps/>
                <w:sz w:val="15"/>
                <w:lang w:val="fr-FR"/>
              </w:rPr>
            </w:pPr>
            <w:r w:rsidRPr="00EE65CE">
              <w:rPr>
                <w:rFonts w:ascii="Arial Black" w:hAnsi="Arial Black"/>
                <w:caps/>
                <w:sz w:val="15"/>
                <w:lang w:val="fr-FR"/>
              </w:rPr>
              <w:t xml:space="preserve">ORIGINAL : </w:t>
            </w:r>
            <w:bookmarkStart w:id="3" w:name="Original"/>
            <w:bookmarkEnd w:id="3"/>
            <w:r w:rsidRPr="00EE65CE">
              <w:rPr>
                <w:rFonts w:ascii="Arial Black" w:hAnsi="Arial Black"/>
                <w:caps/>
                <w:sz w:val="15"/>
                <w:lang w:val="fr-FR"/>
              </w:rPr>
              <w:t>anglais</w:t>
            </w:r>
          </w:p>
        </w:tc>
      </w:tr>
      <w:tr w:rsidR="00850C83" w:rsidRPr="00EE65CE" w:rsidTr="0023240A">
        <w:trPr>
          <w:trHeight w:hRule="exact" w:val="198"/>
        </w:trPr>
        <w:tc>
          <w:tcPr>
            <w:tcW w:w="9356" w:type="dxa"/>
            <w:gridSpan w:val="3"/>
            <w:tcMar>
              <w:left w:w="0" w:type="dxa"/>
              <w:right w:w="0" w:type="dxa"/>
            </w:tcMar>
            <w:vAlign w:val="bottom"/>
          </w:tcPr>
          <w:p w:rsidR="00850C83" w:rsidRPr="00EE65CE" w:rsidRDefault="00850C83" w:rsidP="00542460">
            <w:pPr>
              <w:jc w:val="right"/>
              <w:rPr>
                <w:rFonts w:ascii="Arial Black" w:hAnsi="Arial Black"/>
                <w:caps/>
                <w:sz w:val="15"/>
                <w:lang w:val="fr-FR"/>
              </w:rPr>
            </w:pPr>
            <w:r w:rsidRPr="00EE65CE">
              <w:rPr>
                <w:rFonts w:ascii="Arial Black" w:hAnsi="Arial Black"/>
                <w:caps/>
                <w:sz w:val="15"/>
                <w:lang w:val="fr-FR"/>
              </w:rPr>
              <w:t xml:space="preserve">DATE : </w:t>
            </w:r>
            <w:bookmarkStart w:id="4" w:name="Date"/>
            <w:bookmarkEnd w:id="4"/>
            <w:r w:rsidRPr="00EE65CE">
              <w:rPr>
                <w:rFonts w:ascii="Arial Black" w:hAnsi="Arial Black"/>
                <w:caps/>
                <w:sz w:val="15"/>
                <w:lang w:val="fr-FR"/>
              </w:rPr>
              <w:t>2</w:t>
            </w:r>
            <w:r w:rsidR="009D6827" w:rsidRPr="00EE65CE">
              <w:rPr>
                <w:rFonts w:ascii="Arial Black" w:hAnsi="Arial Black"/>
                <w:caps/>
                <w:sz w:val="15"/>
                <w:lang w:val="fr-FR"/>
              </w:rPr>
              <w:t>1 janvier 20</w:t>
            </w:r>
            <w:r w:rsidRPr="00EE65CE">
              <w:rPr>
                <w:rFonts w:ascii="Arial Black" w:hAnsi="Arial Black"/>
                <w:caps/>
                <w:sz w:val="15"/>
                <w:lang w:val="fr-FR"/>
              </w:rPr>
              <w:t>16</w:t>
            </w:r>
          </w:p>
        </w:tc>
      </w:tr>
    </w:tbl>
    <w:p w:rsidR="00850C83" w:rsidRPr="00EE65CE" w:rsidRDefault="00850C83" w:rsidP="00542460">
      <w:pPr>
        <w:rPr>
          <w:lang w:val="fr-FR"/>
        </w:rPr>
      </w:pPr>
    </w:p>
    <w:p w:rsidR="00850C83" w:rsidRPr="00EE65CE" w:rsidRDefault="00850C83" w:rsidP="00542460">
      <w:pPr>
        <w:rPr>
          <w:lang w:val="fr-FR"/>
        </w:rPr>
      </w:pPr>
    </w:p>
    <w:p w:rsidR="00850C83" w:rsidRPr="00EE65CE" w:rsidRDefault="00850C83" w:rsidP="00542460">
      <w:pPr>
        <w:rPr>
          <w:lang w:val="fr-FR"/>
        </w:rPr>
      </w:pPr>
    </w:p>
    <w:p w:rsidR="00850C83" w:rsidRPr="00EE65CE" w:rsidRDefault="00850C83" w:rsidP="00542460">
      <w:pPr>
        <w:rPr>
          <w:lang w:val="fr-FR"/>
        </w:rPr>
      </w:pPr>
    </w:p>
    <w:p w:rsidR="00850C83" w:rsidRPr="00EE65CE" w:rsidRDefault="00850C83" w:rsidP="00542460">
      <w:pPr>
        <w:rPr>
          <w:lang w:val="fr-FR"/>
        </w:rPr>
      </w:pPr>
    </w:p>
    <w:p w:rsidR="00850C83" w:rsidRPr="00EE65CE" w:rsidRDefault="00850C83" w:rsidP="00542460">
      <w:pPr>
        <w:rPr>
          <w:b/>
          <w:sz w:val="28"/>
          <w:szCs w:val="28"/>
          <w:lang w:val="fr-FR"/>
        </w:rPr>
      </w:pPr>
      <w:r w:rsidRPr="00EE65CE">
        <w:rPr>
          <w:b/>
          <w:sz w:val="28"/>
          <w:szCs w:val="28"/>
          <w:lang w:val="fr-FR"/>
        </w:rPr>
        <w:t>Comité du développement et de la propriété intellectuelle (CDIP)</w:t>
      </w:r>
    </w:p>
    <w:p w:rsidR="00850C83" w:rsidRPr="00EE65CE" w:rsidRDefault="00850C83" w:rsidP="00542460">
      <w:pPr>
        <w:rPr>
          <w:lang w:val="fr-FR"/>
        </w:rPr>
      </w:pPr>
    </w:p>
    <w:p w:rsidR="00850C83" w:rsidRPr="00EE65CE" w:rsidRDefault="00850C83" w:rsidP="00542460">
      <w:pPr>
        <w:rPr>
          <w:lang w:val="fr-FR"/>
        </w:rPr>
      </w:pPr>
    </w:p>
    <w:p w:rsidR="00850C83" w:rsidRPr="00EE65CE" w:rsidRDefault="00850C83" w:rsidP="00542460">
      <w:pPr>
        <w:rPr>
          <w:b/>
          <w:sz w:val="24"/>
          <w:szCs w:val="24"/>
          <w:lang w:val="fr-FR"/>
        </w:rPr>
      </w:pPr>
      <w:r w:rsidRPr="00EE65CE">
        <w:rPr>
          <w:b/>
          <w:sz w:val="24"/>
          <w:szCs w:val="24"/>
          <w:lang w:val="fr-FR"/>
        </w:rPr>
        <w:t>Dix</w:t>
      </w:r>
      <w:r w:rsidR="00992678" w:rsidRPr="00EE65CE">
        <w:rPr>
          <w:b/>
          <w:sz w:val="24"/>
          <w:szCs w:val="24"/>
          <w:lang w:val="fr-FR"/>
        </w:rPr>
        <w:noBreakHyphen/>
      </w:r>
      <w:r w:rsidRPr="00EE65CE">
        <w:rPr>
          <w:b/>
          <w:sz w:val="24"/>
          <w:szCs w:val="24"/>
          <w:lang w:val="fr-FR"/>
        </w:rPr>
        <w:t>septième session</w:t>
      </w:r>
    </w:p>
    <w:p w:rsidR="00850C83" w:rsidRPr="00EE65CE" w:rsidRDefault="00850C83" w:rsidP="00542460">
      <w:pPr>
        <w:rPr>
          <w:b/>
          <w:sz w:val="24"/>
          <w:szCs w:val="24"/>
          <w:lang w:val="fr-FR"/>
        </w:rPr>
      </w:pPr>
      <w:r w:rsidRPr="00EE65CE">
        <w:rPr>
          <w:b/>
          <w:sz w:val="24"/>
          <w:szCs w:val="24"/>
          <w:lang w:val="fr-FR"/>
        </w:rPr>
        <w:t>Genève, 11 – 15 avril 2016</w:t>
      </w:r>
    </w:p>
    <w:p w:rsidR="00850C83" w:rsidRPr="00EE65CE" w:rsidRDefault="00850C83" w:rsidP="00542460">
      <w:pPr>
        <w:rPr>
          <w:lang w:val="fr-FR"/>
        </w:rPr>
      </w:pPr>
    </w:p>
    <w:p w:rsidR="00850C83" w:rsidRPr="00EE65CE" w:rsidRDefault="00850C83" w:rsidP="00542460">
      <w:pPr>
        <w:rPr>
          <w:lang w:val="fr-FR"/>
        </w:rPr>
      </w:pPr>
    </w:p>
    <w:p w:rsidR="00850C83" w:rsidRPr="00EE65CE" w:rsidRDefault="00850C83" w:rsidP="00542460">
      <w:pPr>
        <w:tabs>
          <w:tab w:val="left" w:pos="1659"/>
        </w:tabs>
        <w:rPr>
          <w:lang w:val="fr-FR"/>
        </w:rPr>
      </w:pPr>
    </w:p>
    <w:p w:rsidR="00494478" w:rsidRPr="00EE65CE" w:rsidRDefault="0081511E" w:rsidP="00542460">
      <w:pPr>
        <w:rPr>
          <w:caps/>
          <w:lang w:val="fr-FR"/>
        </w:rPr>
      </w:pPr>
      <w:r w:rsidRPr="00EE65CE">
        <w:rPr>
          <w:caps/>
          <w:lang w:val="fr-FR"/>
        </w:rPr>
        <w:t>Rapport d</w:t>
      </w:r>
      <w:r w:rsidR="009D6827" w:rsidRPr="00EE65CE">
        <w:rPr>
          <w:caps/>
          <w:lang w:val="fr-FR"/>
        </w:rPr>
        <w:t>’</w:t>
      </w:r>
      <w:r w:rsidRPr="00EE65CE">
        <w:rPr>
          <w:caps/>
          <w:lang w:val="fr-FR"/>
        </w:rPr>
        <w:t>É</w:t>
      </w:r>
      <w:r w:rsidR="006635E6" w:rsidRPr="00EE65CE">
        <w:rPr>
          <w:caps/>
          <w:lang w:val="fr-FR"/>
        </w:rPr>
        <w:t xml:space="preserve">VALUATION </w:t>
      </w:r>
      <w:bookmarkEnd w:id="0"/>
      <w:bookmarkEnd w:id="1"/>
      <w:r w:rsidRPr="00EE65CE">
        <w:rPr>
          <w:caps/>
          <w:lang w:val="fr-FR"/>
        </w:rPr>
        <w:t>du projet relatif au renforcement et au dÉveloppement du secteur de l</w:t>
      </w:r>
      <w:r w:rsidR="009D6827" w:rsidRPr="00EE65CE">
        <w:rPr>
          <w:caps/>
          <w:lang w:val="fr-FR"/>
        </w:rPr>
        <w:t>’</w:t>
      </w:r>
      <w:r w:rsidRPr="00EE65CE">
        <w:rPr>
          <w:caps/>
          <w:lang w:val="fr-FR"/>
        </w:rPr>
        <w:t>audiovisuel au Burkina Faso et dans certains pays africains</w:t>
      </w:r>
    </w:p>
    <w:p w:rsidR="005F23C8" w:rsidRPr="00EE65CE" w:rsidRDefault="005F23C8" w:rsidP="00542460">
      <w:pPr>
        <w:rPr>
          <w:lang w:val="fr-FR"/>
        </w:rPr>
      </w:pPr>
    </w:p>
    <w:p w:rsidR="00FB6E4B" w:rsidRPr="00EE65CE" w:rsidRDefault="0081511E" w:rsidP="00542460">
      <w:pPr>
        <w:rPr>
          <w:lang w:val="fr-FR"/>
        </w:rPr>
      </w:pPr>
      <w:proofErr w:type="gramStart"/>
      <w:r w:rsidRPr="00EE65CE">
        <w:rPr>
          <w:i/>
          <w:lang w:val="fr-FR"/>
        </w:rPr>
        <w:t>établi</w:t>
      </w:r>
      <w:proofErr w:type="gramEnd"/>
      <w:r w:rsidRPr="00EE65CE">
        <w:rPr>
          <w:i/>
          <w:lang w:val="fr-FR"/>
        </w:rPr>
        <w:t xml:space="preserve"> par </w:t>
      </w:r>
      <w:r w:rsidR="001F4C95" w:rsidRPr="00EE65CE">
        <w:rPr>
          <w:i/>
          <w:lang w:val="fr-FR"/>
        </w:rPr>
        <w:t>M.</w:t>
      </w:r>
      <w:r w:rsidRPr="00EE65CE">
        <w:rPr>
          <w:i/>
          <w:lang w:val="fr-FR"/>
        </w:rPr>
        <w:t> </w:t>
      </w:r>
      <w:r w:rsidR="001F4C95" w:rsidRPr="00EE65CE">
        <w:rPr>
          <w:i/>
          <w:lang w:val="fr-FR"/>
        </w:rPr>
        <w:t>Glenn</w:t>
      </w:r>
      <w:r w:rsidRPr="00EE65CE">
        <w:rPr>
          <w:i/>
          <w:lang w:val="fr-FR"/>
        </w:rPr>
        <w:t> </w:t>
      </w:r>
      <w:r w:rsidR="001F4C95" w:rsidRPr="00EE65CE">
        <w:rPr>
          <w:i/>
          <w:lang w:val="fr-FR"/>
        </w:rPr>
        <w:t>O</w:t>
      </w:r>
      <w:r w:rsidR="009D6827" w:rsidRPr="00EE65CE">
        <w:rPr>
          <w:i/>
          <w:lang w:val="fr-FR"/>
        </w:rPr>
        <w:t>’</w:t>
      </w:r>
      <w:r w:rsidR="001F4C95" w:rsidRPr="00EE65CE">
        <w:rPr>
          <w:i/>
          <w:lang w:val="fr-FR"/>
        </w:rPr>
        <w:t xml:space="preserve">Neil, </w:t>
      </w:r>
      <w:r w:rsidRPr="00EE65CE">
        <w:rPr>
          <w:i/>
          <w:lang w:val="fr-FR"/>
        </w:rPr>
        <w:t xml:space="preserve">fondateur de </w:t>
      </w:r>
      <w:r w:rsidR="001F4C95" w:rsidRPr="00EE65CE">
        <w:rPr>
          <w:i/>
          <w:lang w:val="fr-FR"/>
        </w:rPr>
        <w:t xml:space="preserve">Owl RE, </w:t>
      </w:r>
      <w:proofErr w:type="spellStart"/>
      <w:r w:rsidR="001F4C95" w:rsidRPr="00EE65CE">
        <w:rPr>
          <w:i/>
          <w:lang w:val="fr-FR"/>
        </w:rPr>
        <w:t>Evaluation</w:t>
      </w:r>
      <w:proofErr w:type="spellEnd"/>
      <w:r w:rsidR="001F4C95" w:rsidRPr="00EE65CE">
        <w:rPr>
          <w:i/>
          <w:lang w:val="fr-FR"/>
        </w:rPr>
        <w:t xml:space="preserve"> </w:t>
      </w:r>
      <w:proofErr w:type="spellStart"/>
      <w:r w:rsidR="001F4C95" w:rsidRPr="00EE65CE">
        <w:rPr>
          <w:i/>
          <w:lang w:val="fr-FR"/>
        </w:rPr>
        <w:t>Consultancy</w:t>
      </w:r>
      <w:proofErr w:type="spellEnd"/>
      <w:r w:rsidR="001F4C95" w:rsidRPr="00EE65CE">
        <w:rPr>
          <w:i/>
          <w:lang w:val="fr-FR"/>
        </w:rPr>
        <w:t>, Gen</w:t>
      </w:r>
      <w:r w:rsidRPr="00EE65CE">
        <w:rPr>
          <w:i/>
          <w:lang w:val="fr-FR"/>
        </w:rPr>
        <w:t>ève</w:t>
      </w:r>
    </w:p>
    <w:p w:rsidR="00FB6E4B" w:rsidRPr="00EE65CE" w:rsidRDefault="00FB6E4B" w:rsidP="00542460">
      <w:pPr>
        <w:rPr>
          <w:lang w:val="fr-FR"/>
        </w:rPr>
      </w:pPr>
    </w:p>
    <w:p w:rsidR="00FB6E4B" w:rsidRPr="00EE65CE" w:rsidRDefault="00FB6E4B" w:rsidP="00542460">
      <w:pPr>
        <w:rPr>
          <w:lang w:val="fr-FR"/>
        </w:rPr>
      </w:pPr>
    </w:p>
    <w:p w:rsidR="00FB6E4B" w:rsidRPr="00EE65CE" w:rsidRDefault="00FB6E4B" w:rsidP="00542460">
      <w:pPr>
        <w:rPr>
          <w:lang w:val="fr-FR"/>
        </w:rPr>
      </w:pPr>
    </w:p>
    <w:p w:rsidR="009D6827" w:rsidRPr="00EE65CE" w:rsidRDefault="0081511E" w:rsidP="00542460">
      <w:pPr>
        <w:pStyle w:val="ONUMFS"/>
        <w:rPr>
          <w:lang w:val="fr-FR"/>
        </w:rPr>
      </w:pPr>
      <w:r w:rsidRPr="00EE65CE">
        <w:rPr>
          <w:lang w:val="fr-FR"/>
        </w:rPr>
        <w:t>L</w:t>
      </w:r>
      <w:r w:rsidR="009D6827" w:rsidRPr="00EE65CE">
        <w:rPr>
          <w:lang w:val="fr-FR"/>
        </w:rPr>
        <w:t>’</w:t>
      </w:r>
      <w:r w:rsidRPr="00EE65CE">
        <w:rPr>
          <w:lang w:val="fr-FR"/>
        </w:rPr>
        <w:t>annexe du présent document contient un rapport d</w:t>
      </w:r>
      <w:r w:rsidR="009D6827" w:rsidRPr="00EE65CE">
        <w:rPr>
          <w:lang w:val="fr-FR"/>
        </w:rPr>
        <w:t>’</w:t>
      </w:r>
      <w:r w:rsidRPr="00EE65CE">
        <w:rPr>
          <w:lang w:val="fr-FR"/>
        </w:rPr>
        <w:t>évaluation externe indépendant du projet relatif au renforcement et au développement du secteur de l</w:t>
      </w:r>
      <w:r w:rsidR="009D6827" w:rsidRPr="00EE65CE">
        <w:rPr>
          <w:lang w:val="fr-FR"/>
        </w:rPr>
        <w:t>’</w:t>
      </w:r>
      <w:r w:rsidRPr="00EE65CE">
        <w:rPr>
          <w:lang w:val="fr-FR"/>
        </w:rPr>
        <w:t>audiovisuel au Burkina Faso et dans certains pays africains</w:t>
      </w:r>
      <w:r w:rsidR="0034070E" w:rsidRPr="00EE65CE">
        <w:rPr>
          <w:lang w:val="fr-FR"/>
        </w:rPr>
        <w:t>, établi par M. </w:t>
      </w:r>
      <w:r w:rsidR="00712C30" w:rsidRPr="00EE65CE">
        <w:rPr>
          <w:lang w:val="fr-FR"/>
        </w:rPr>
        <w:t>Gle</w:t>
      </w:r>
      <w:r w:rsidR="00A718B2" w:rsidRPr="00EE65CE">
        <w:rPr>
          <w:lang w:val="fr-FR"/>
        </w:rPr>
        <w:t>n</w:t>
      </w:r>
      <w:r w:rsidR="00712C30" w:rsidRPr="00EE65CE">
        <w:rPr>
          <w:lang w:val="fr-FR"/>
        </w:rPr>
        <w:t>n</w:t>
      </w:r>
      <w:r w:rsidR="0034070E" w:rsidRPr="00EE65CE">
        <w:rPr>
          <w:lang w:val="fr-FR"/>
        </w:rPr>
        <w:t> </w:t>
      </w:r>
      <w:r w:rsidR="00712C30" w:rsidRPr="00EE65CE">
        <w:rPr>
          <w:lang w:val="fr-FR"/>
        </w:rPr>
        <w:t>O</w:t>
      </w:r>
      <w:r w:rsidR="009D6827" w:rsidRPr="00EE65CE">
        <w:rPr>
          <w:lang w:val="fr-FR"/>
        </w:rPr>
        <w:t>’</w:t>
      </w:r>
      <w:r w:rsidR="00712C30" w:rsidRPr="00EE65CE">
        <w:rPr>
          <w:lang w:val="fr-FR"/>
        </w:rPr>
        <w:t xml:space="preserve">Neil, </w:t>
      </w:r>
      <w:r w:rsidR="0034070E" w:rsidRPr="00EE65CE">
        <w:rPr>
          <w:lang w:val="fr-FR"/>
        </w:rPr>
        <w:t>fondateur de O</w:t>
      </w:r>
      <w:r w:rsidR="00712C30" w:rsidRPr="00EE65CE">
        <w:rPr>
          <w:lang w:val="fr-FR"/>
        </w:rPr>
        <w:t>wl RE, Gen</w:t>
      </w:r>
      <w:r w:rsidR="0034070E" w:rsidRPr="00EE65CE">
        <w:rPr>
          <w:lang w:val="fr-FR"/>
        </w:rPr>
        <w:t>ève</w:t>
      </w:r>
      <w:r w:rsidR="00712C30" w:rsidRPr="00EE65CE">
        <w:rPr>
          <w:lang w:val="fr-FR"/>
        </w:rPr>
        <w:t>.</w:t>
      </w:r>
    </w:p>
    <w:p w:rsidR="004907DF" w:rsidRPr="00EE65CE" w:rsidRDefault="0034070E" w:rsidP="00542460">
      <w:pPr>
        <w:pStyle w:val="ONUMFS"/>
        <w:ind w:left="5533"/>
        <w:rPr>
          <w:i/>
          <w:lang w:val="fr-FR"/>
        </w:rPr>
      </w:pPr>
      <w:r w:rsidRPr="00EE65CE">
        <w:rPr>
          <w:i/>
          <w:lang w:val="fr-FR"/>
        </w:rPr>
        <w:t xml:space="preserve">Le CDIP est invité à prendre note des </w:t>
      </w:r>
      <w:r w:rsidR="004907DF" w:rsidRPr="00EE65CE">
        <w:rPr>
          <w:i/>
          <w:lang w:val="fr-FR"/>
        </w:rPr>
        <w:t>information</w:t>
      </w:r>
      <w:r w:rsidRPr="00EE65CE">
        <w:rPr>
          <w:i/>
          <w:lang w:val="fr-FR"/>
        </w:rPr>
        <w:t>s contenues dans l</w:t>
      </w:r>
      <w:r w:rsidR="009D6827" w:rsidRPr="00EE65CE">
        <w:rPr>
          <w:i/>
          <w:lang w:val="fr-FR"/>
        </w:rPr>
        <w:t>’</w:t>
      </w:r>
      <w:r w:rsidRPr="00EE65CE">
        <w:rPr>
          <w:i/>
          <w:lang w:val="fr-FR"/>
        </w:rPr>
        <w:t xml:space="preserve">annexe du présent </w:t>
      </w:r>
      <w:r w:rsidR="004907DF" w:rsidRPr="00EE65CE">
        <w:rPr>
          <w:i/>
          <w:lang w:val="fr-FR"/>
        </w:rPr>
        <w:t>document.</w:t>
      </w:r>
    </w:p>
    <w:p w:rsidR="004907DF" w:rsidRPr="00EE65CE" w:rsidRDefault="004907DF" w:rsidP="00542460">
      <w:pPr>
        <w:rPr>
          <w:lang w:val="fr-FR"/>
        </w:rPr>
      </w:pPr>
    </w:p>
    <w:p w:rsidR="00850C83" w:rsidRPr="00EE65CE" w:rsidRDefault="00850C83" w:rsidP="00542460">
      <w:pPr>
        <w:rPr>
          <w:lang w:val="fr-FR"/>
        </w:rPr>
      </w:pPr>
    </w:p>
    <w:p w:rsidR="00850C83" w:rsidRPr="00EE65CE" w:rsidRDefault="00850C83" w:rsidP="00542460">
      <w:pPr>
        <w:pStyle w:val="Endofdocument-Annex"/>
        <w:rPr>
          <w:lang w:val="fr-FR"/>
        </w:rPr>
      </w:pPr>
      <w:r w:rsidRPr="00EE65CE">
        <w:rPr>
          <w:lang w:val="fr-FR"/>
        </w:rPr>
        <w:t>[L</w:t>
      </w:r>
      <w:r w:rsidR="009D6827" w:rsidRPr="00EE65CE">
        <w:rPr>
          <w:lang w:val="fr-FR"/>
        </w:rPr>
        <w:t>’</w:t>
      </w:r>
      <w:r w:rsidRPr="00EE65CE">
        <w:rPr>
          <w:lang w:val="fr-FR"/>
        </w:rPr>
        <w:t>annexe suit]</w:t>
      </w:r>
    </w:p>
    <w:p w:rsidR="00850C83" w:rsidRPr="00EE65CE" w:rsidRDefault="00850C83" w:rsidP="00542460">
      <w:pPr>
        <w:rPr>
          <w:lang w:val="fr-FR"/>
        </w:rPr>
      </w:pPr>
    </w:p>
    <w:p w:rsidR="00FB6E4B" w:rsidRPr="00EE65CE" w:rsidRDefault="00FB6E4B" w:rsidP="00542460">
      <w:pPr>
        <w:rPr>
          <w:lang w:val="fr-FR"/>
        </w:rPr>
      </w:pPr>
    </w:p>
    <w:p w:rsidR="00FB6E4B" w:rsidRPr="00EE65CE" w:rsidRDefault="00FB6E4B" w:rsidP="00542460">
      <w:pPr>
        <w:rPr>
          <w:lang w:val="fr-FR"/>
        </w:rPr>
        <w:sectPr w:rsidR="00FB6E4B" w:rsidRPr="00EE65CE" w:rsidSect="0044353E">
          <w:headerReference w:type="default" r:id="rId10"/>
          <w:footerReference w:type="first" r:id="rId11"/>
          <w:endnotePr>
            <w:numFmt w:val="decimal"/>
          </w:endnotePr>
          <w:pgSz w:w="11907" w:h="16840" w:code="9"/>
          <w:pgMar w:top="567" w:right="1134" w:bottom="1417" w:left="1417" w:header="510" w:footer="1020" w:gutter="0"/>
          <w:cols w:space="720"/>
          <w:titlePg/>
          <w:docGrid w:linePitch="299"/>
        </w:sectPr>
      </w:pPr>
    </w:p>
    <w:p w:rsidR="00EE65CE" w:rsidRPr="00EE65CE" w:rsidRDefault="00EE65CE" w:rsidP="00EE65CE">
      <w:pPr>
        <w:rPr>
          <w:b/>
          <w:sz w:val="24"/>
          <w:szCs w:val="24"/>
          <w:lang w:val="fr-FR"/>
        </w:rPr>
      </w:pPr>
      <w:bookmarkStart w:id="9" w:name="_Toc336032067"/>
    </w:p>
    <w:p w:rsidR="00EE65CE" w:rsidRPr="00EE65CE" w:rsidRDefault="00EE65CE" w:rsidP="00EE65CE">
      <w:pPr>
        <w:jc w:val="center"/>
        <w:rPr>
          <w:b/>
          <w:sz w:val="24"/>
          <w:szCs w:val="24"/>
          <w:lang w:val="fr-FR"/>
        </w:rPr>
      </w:pPr>
      <w:r w:rsidRPr="00EE65CE">
        <w:rPr>
          <w:b/>
          <w:sz w:val="24"/>
          <w:szCs w:val="24"/>
          <w:lang w:val="fr-FR"/>
        </w:rPr>
        <w:t>Table des matières</w:t>
      </w:r>
    </w:p>
    <w:p w:rsidR="00EE65CE" w:rsidRDefault="00EE65CE" w:rsidP="00EE65CE"/>
    <w:p w:rsidR="00BC6A54" w:rsidRDefault="00EE65CE">
      <w:pPr>
        <w:pStyle w:val="TOC1"/>
        <w:tabs>
          <w:tab w:val="right" w:pos="9346"/>
        </w:tabs>
        <w:rPr>
          <w:rStyle w:val="Hyperlink"/>
          <w:noProof/>
        </w:rPr>
      </w:pPr>
      <w:r w:rsidRPr="0034060B">
        <w:fldChar w:fldCharType="begin"/>
      </w:r>
      <w:r w:rsidRPr="0034060B">
        <w:instrText xml:space="preserve"> TOC \o "1-3" \h \z </w:instrText>
      </w:r>
      <w:r w:rsidRPr="0034060B">
        <w:fldChar w:fldCharType="separate"/>
      </w:r>
      <w:hyperlink w:anchor="_Toc441830351" w:history="1">
        <w:r w:rsidR="00BC6A54" w:rsidRPr="00E80E87">
          <w:rPr>
            <w:rStyle w:val="Hyperlink"/>
            <w:noProof/>
            <w:lang w:val="fr-FR"/>
          </w:rPr>
          <w:t>Résumé</w:t>
        </w:r>
        <w:r w:rsidR="00BC6A54">
          <w:rPr>
            <w:noProof/>
            <w:webHidden/>
          </w:rPr>
          <w:tab/>
        </w:r>
        <w:r w:rsidR="00BC6A54">
          <w:rPr>
            <w:noProof/>
            <w:webHidden/>
          </w:rPr>
          <w:fldChar w:fldCharType="begin"/>
        </w:r>
        <w:r w:rsidR="00BC6A54">
          <w:rPr>
            <w:noProof/>
            <w:webHidden/>
          </w:rPr>
          <w:instrText xml:space="preserve"> PAGEREF _Toc441830351 \h </w:instrText>
        </w:r>
        <w:r w:rsidR="00BC6A54">
          <w:rPr>
            <w:noProof/>
            <w:webHidden/>
          </w:rPr>
        </w:r>
        <w:r w:rsidR="00BC6A54">
          <w:rPr>
            <w:noProof/>
            <w:webHidden/>
          </w:rPr>
          <w:fldChar w:fldCharType="separate"/>
        </w:r>
        <w:r w:rsidR="00983EE3">
          <w:rPr>
            <w:noProof/>
            <w:webHidden/>
          </w:rPr>
          <w:t>2</w:t>
        </w:r>
        <w:r w:rsidR="00BC6A54">
          <w:rPr>
            <w:noProof/>
            <w:webHidden/>
          </w:rPr>
          <w:fldChar w:fldCharType="end"/>
        </w:r>
      </w:hyperlink>
    </w:p>
    <w:p w:rsidR="00BE26F3" w:rsidRPr="00BE26F3" w:rsidRDefault="00BE26F3" w:rsidP="00BE26F3">
      <w:pPr>
        <w:rPr>
          <w:noProof/>
        </w:rPr>
      </w:pPr>
    </w:p>
    <w:p w:rsidR="00BC6A54" w:rsidRDefault="00754673">
      <w:pPr>
        <w:pStyle w:val="TOC1"/>
        <w:tabs>
          <w:tab w:val="left" w:pos="660"/>
          <w:tab w:val="right" w:pos="9346"/>
        </w:tabs>
        <w:rPr>
          <w:rFonts w:asciiTheme="minorHAnsi" w:eastAsiaTheme="minorEastAsia" w:hAnsiTheme="minorHAnsi" w:cstheme="minorBidi"/>
          <w:noProof/>
          <w:szCs w:val="22"/>
          <w:lang w:eastAsia="en-US"/>
        </w:rPr>
      </w:pPr>
      <w:hyperlink w:anchor="_Toc441830352" w:history="1">
        <w:r w:rsidR="00BC6A54" w:rsidRPr="00E80E87">
          <w:rPr>
            <w:rStyle w:val="Hyperlink"/>
            <w:noProof/>
            <w:lang w:val="fr-FR"/>
          </w:rPr>
          <w:t>I.</w:t>
        </w:r>
        <w:r w:rsidR="00BC6A54">
          <w:rPr>
            <w:rFonts w:asciiTheme="minorHAnsi" w:eastAsiaTheme="minorEastAsia" w:hAnsiTheme="minorHAnsi" w:cstheme="minorBidi"/>
            <w:noProof/>
            <w:szCs w:val="22"/>
            <w:lang w:eastAsia="en-US"/>
          </w:rPr>
          <w:tab/>
        </w:r>
        <w:r w:rsidR="00BC6A54" w:rsidRPr="00E80E87">
          <w:rPr>
            <w:rStyle w:val="Hyperlink"/>
            <w:noProof/>
            <w:lang w:val="fr-FR"/>
          </w:rPr>
          <w:t>Introduction</w:t>
        </w:r>
        <w:r w:rsidR="00BC6A54">
          <w:rPr>
            <w:noProof/>
            <w:webHidden/>
          </w:rPr>
          <w:tab/>
        </w:r>
        <w:r w:rsidR="00BC6A54">
          <w:rPr>
            <w:noProof/>
            <w:webHidden/>
          </w:rPr>
          <w:fldChar w:fldCharType="begin"/>
        </w:r>
        <w:r w:rsidR="00BC6A54">
          <w:rPr>
            <w:noProof/>
            <w:webHidden/>
          </w:rPr>
          <w:instrText xml:space="preserve"> PAGEREF _Toc441830352 \h </w:instrText>
        </w:r>
        <w:r w:rsidR="00BC6A54">
          <w:rPr>
            <w:noProof/>
            <w:webHidden/>
          </w:rPr>
        </w:r>
        <w:r w:rsidR="00BC6A54">
          <w:rPr>
            <w:noProof/>
            <w:webHidden/>
          </w:rPr>
          <w:fldChar w:fldCharType="separate"/>
        </w:r>
        <w:r w:rsidR="00983EE3">
          <w:rPr>
            <w:noProof/>
            <w:webHidden/>
          </w:rPr>
          <w:t>5</w:t>
        </w:r>
        <w:r w:rsidR="00BC6A54">
          <w:rPr>
            <w:noProof/>
            <w:webHidden/>
          </w:rPr>
          <w:fldChar w:fldCharType="end"/>
        </w:r>
      </w:hyperlink>
    </w:p>
    <w:p w:rsidR="00BC6A54" w:rsidRDefault="00754673">
      <w:pPr>
        <w:pStyle w:val="TOC1"/>
        <w:tabs>
          <w:tab w:val="left" w:pos="660"/>
          <w:tab w:val="right" w:pos="9346"/>
        </w:tabs>
        <w:rPr>
          <w:rFonts w:asciiTheme="minorHAnsi" w:eastAsiaTheme="minorEastAsia" w:hAnsiTheme="minorHAnsi" w:cstheme="minorBidi"/>
          <w:noProof/>
          <w:szCs w:val="22"/>
          <w:lang w:eastAsia="en-US"/>
        </w:rPr>
      </w:pPr>
      <w:hyperlink w:anchor="_Toc441830353" w:history="1">
        <w:r w:rsidR="00BC6A54" w:rsidRPr="00E80E87">
          <w:rPr>
            <w:rStyle w:val="Hyperlink"/>
            <w:noProof/>
            <w:lang w:val="fr-FR"/>
          </w:rPr>
          <w:t>II.</w:t>
        </w:r>
        <w:r w:rsidR="00BC6A54">
          <w:rPr>
            <w:rFonts w:asciiTheme="minorHAnsi" w:eastAsiaTheme="minorEastAsia" w:hAnsiTheme="minorHAnsi" w:cstheme="minorBidi"/>
            <w:noProof/>
            <w:szCs w:val="22"/>
            <w:lang w:eastAsia="en-US"/>
          </w:rPr>
          <w:tab/>
        </w:r>
        <w:r w:rsidR="00BC6A54" w:rsidRPr="00E80E87">
          <w:rPr>
            <w:rStyle w:val="Hyperlink"/>
            <w:noProof/>
            <w:lang w:val="fr-FR"/>
          </w:rPr>
          <w:t>Description du projet</w:t>
        </w:r>
        <w:r w:rsidR="00BC6A54">
          <w:rPr>
            <w:noProof/>
            <w:webHidden/>
          </w:rPr>
          <w:tab/>
        </w:r>
        <w:r w:rsidR="00BC6A54">
          <w:rPr>
            <w:noProof/>
            <w:webHidden/>
          </w:rPr>
          <w:fldChar w:fldCharType="begin"/>
        </w:r>
        <w:r w:rsidR="00BC6A54">
          <w:rPr>
            <w:noProof/>
            <w:webHidden/>
          </w:rPr>
          <w:instrText xml:space="preserve"> PAGEREF _Toc441830353 \h </w:instrText>
        </w:r>
        <w:r w:rsidR="00BC6A54">
          <w:rPr>
            <w:noProof/>
            <w:webHidden/>
          </w:rPr>
        </w:r>
        <w:r w:rsidR="00BC6A54">
          <w:rPr>
            <w:noProof/>
            <w:webHidden/>
          </w:rPr>
          <w:fldChar w:fldCharType="separate"/>
        </w:r>
        <w:r w:rsidR="00983EE3">
          <w:rPr>
            <w:noProof/>
            <w:webHidden/>
          </w:rPr>
          <w:t>6</w:t>
        </w:r>
        <w:r w:rsidR="00BC6A54">
          <w:rPr>
            <w:noProof/>
            <w:webHidden/>
          </w:rPr>
          <w:fldChar w:fldCharType="end"/>
        </w:r>
      </w:hyperlink>
    </w:p>
    <w:p w:rsidR="00BC6A54" w:rsidRDefault="00754673">
      <w:pPr>
        <w:pStyle w:val="TOC1"/>
        <w:tabs>
          <w:tab w:val="left" w:pos="660"/>
          <w:tab w:val="right" w:pos="9346"/>
        </w:tabs>
        <w:rPr>
          <w:rFonts w:asciiTheme="minorHAnsi" w:eastAsiaTheme="minorEastAsia" w:hAnsiTheme="minorHAnsi" w:cstheme="minorBidi"/>
          <w:noProof/>
          <w:szCs w:val="22"/>
          <w:lang w:eastAsia="en-US"/>
        </w:rPr>
      </w:pPr>
      <w:hyperlink w:anchor="_Toc441830354" w:history="1">
        <w:r w:rsidR="00BC6A54" w:rsidRPr="00E80E87">
          <w:rPr>
            <w:rStyle w:val="Hyperlink"/>
            <w:noProof/>
            <w:lang w:val="fr-FR"/>
          </w:rPr>
          <w:t>III.</w:t>
        </w:r>
        <w:r w:rsidR="00BC6A54">
          <w:rPr>
            <w:rFonts w:asciiTheme="minorHAnsi" w:eastAsiaTheme="minorEastAsia" w:hAnsiTheme="minorHAnsi" w:cstheme="minorBidi"/>
            <w:noProof/>
            <w:szCs w:val="22"/>
            <w:lang w:eastAsia="en-US"/>
          </w:rPr>
          <w:tab/>
        </w:r>
        <w:r w:rsidR="00BC6A54" w:rsidRPr="00E80E87">
          <w:rPr>
            <w:rStyle w:val="Hyperlink"/>
            <w:noProof/>
            <w:lang w:val="fr-FR"/>
          </w:rPr>
          <w:t>Synthèse des critères et de la méthode d’évaluation</w:t>
        </w:r>
        <w:r w:rsidR="00BC6A54">
          <w:rPr>
            <w:noProof/>
            <w:webHidden/>
          </w:rPr>
          <w:tab/>
        </w:r>
        <w:r w:rsidR="00BC6A54">
          <w:rPr>
            <w:noProof/>
            <w:webHidden/>
          </w:rPr>
          <w:fldChar w:fldCharType="begin"/>
        </w:r>
        <w:r w:rsidR="00BC6A54">
          <w:rPr>
            <w:noProof/>
            <w:webHidden/>
          </w:rPr>
          <w:instrText xml:space="preserve"> PAGEREF _Toc441830354 \h </w:instrText>
        </w:r>
        <w:r w:rsidR="00BC6A54">
          <w:rPr>
            <w:noProof/>
            <w:webHidden/>
          </w:rPr>
        </w:r>
        <w:r w:rsidR="00BC6A54">
          <w:rPr>
            <w:noProof/>
            <w:webHidden/>
          </w:rPr>
          <w:fldChar w:fldCharType="separate"/>
        </w:r>
        <w:r w:rsidR="00983EE3">
          <w:rPr>
            <w:noProof/>
            <w:webHidden/>
          </w:rPr>
          <w:t>6</w:t>
        </w:r>
        <w:r w:rsidR="00BC6A54">
          <w:rPr>
            <w:noProof/>
            <w:webHidden/>
          </w:rPr>
          <w:fldChar w:fldCharType="end"/>
        </w:r>
      </w:hyperlink>
    </w:p>
    <w:p w:rsidR="00BC6A54" w:rsidRDefault="00754673">
      <w:pPr>
        <w:pStyle w:val="TOC1"/>
        <w:tabs>
          <w:tab w:val="left" w:pos="660"/>
          <w:tab w:val="right" w:pos="9346"/>
        </w:tabs>
        <w:rPr>
          <w:rFonts w:asciiTheme="minorHAnsi" w:eastAsiaTheme="minorEastAsia" w:hAnsiTheme="minorHAnsi" w:cstheme="minorBidi"/>
          <w:noProof/>
          <w:szCs w:val="22"/>
          <w:lang w:eastAsia="en-US"/>
        </w:rPr>
      </w:pPr>
      <w:hyperlink w:anchor="_Toc441830355" w:history="1">
        <w:r w:rsidR="00BC6A54" w:rsidRPr="00E80E87">
          <w:rPr>
            <w:rStyle w:val="Hyperlink"/>
            <w:noProof/>
            <w:lang w:val="fr-FR"/>
          </w:rPr>
          <w:t>IV.</w:t>
        </w:r>
        <w:r w:rsidR="00BC6A54">
          <w:rPr>
            <w:rFonts w:asciiTheme="minorHAnsi" w:eastAsiaTheme="minorEastAsia" w:hAnsiTheme="minorHAnsi" w:cstheme="minorBidi"/>
            <w:noProof/>
            <w:szCs w:val="22"/>
            <w:lang w:eastAsia="en-US"/>
          </w:rPr>
          <w:tab/>
        </w:r>
        <w:r w:rsidR="00BC6A54" w:rsidRPr="00E80E87">
          <w:rPr>
            <w:rStyle w:val="Hyperlink"/>
            <w:noProof/>
            <w:lang w:val="fr-FR"/>
          </w:rPr>
          <w:t>Principales observations</w:t>
        </w:r>
        <w:r w:rsidR="00BC6A54">
          <w:rPr>
            <w:noProof/>
            <w:webHidden/>
          </w:rPr>
          <w:tab/>
        </w:r>
        <w:r w:rsidR="00BC6A54">
          <w:rPr>
            <w:noProof/>
            <w:webHidden/>
          </w:rPr>
          <w:fldChar w:fldCharType="begin"/>
        </w:r>
        <w:r w:rsidR="00BC6A54">
          <w:rPr>
            <w:noProof/>
            <w:webHidden/>
          </w:rPr>
          <w:instrText xml:space="preserve"> PAGEREF _Toc441830355 \h </w:instrText>
        </w:r>
        <w:r w:rsidR="00BC6A54">
          <w:rPr>
            <w:noProof/>
            <w:webHidden/>
          </w:rPr>
        </w:r>
        <w:r w:rsidR="00BC6A54">
          <w:rPr>
            <w:noProof/>
            <w:webHidden/>
          </w:rPr>
          <w:fldChar w:fldCharType="separate"/>
        </w:r>
        <w:r w:rsidR="00983EE3">
          <w:rPr>
            <w:noProof/>
            <w:webHidden/>
          </w:rPr>
          <w:t>7</w:t>
        </w:r>
        <w:r w:rsidR="00BC6A54">
          <w:rPr>
            <w:noProof/>
            <w:webHidden/>
          </w:rPr>
          <w:fldChar w:fldCharType="end"/>
        </w:r>
      </w:hyperlink>
    </w:p>
    <w:p w:rsidR="00BC6A54" w:rsidRDefault="00754673">
      <w:pPr>
        <w:pStyle w:val="TOC2"/>
        <w:rPr>
          <w:rFonts w:asciiTheme="minorHAnsi" w:eastAsiaTheme="minorEastAsia" w:hAnsiTheme="minorHAnsi" w:cstheme="minorBidi"/>
          <w:bCs w:val="0"/>
          <w:caps/>
          <w:szCs w:val="22"/>
          <w:lang w:val="en-US"/>
        </w:rPr>
      </w:pPr>
      <w:hyperlink w:anchor="_Toc441830356" w:history="1">
        <w:r w:rsidR="00BC6A54" w:rsidRPr="00E80E87">
          <w:rPr>
            <w:rStyle w:val="Hyperlink"/>
          </w:rPr>
          <w:t>A.</w:t>
        </w:r>
        <w:r w:rsidR="00BC6A54">
          <w:rPr>
            <w:rFonts w:asciiTheme="minorHAnsi" w:eastAsiaTheme="minorEastAsia" w:hAnsiTheme="minorHAnsi" w:cstheme="minorBidi"/>
            <w:bCs w:val="0"/>
            <w:caps/>
            <w:szCs w:val="22"/>
            <w:lang w:val="en-US"/>
          </w:rPr>
          <w:tab/>
        </w:r>
        <w:r w:rsidR="00BC6A54" w:rsidRPr="00E80E87">
          <w:rPr>
            <w:rStyle w:val="Hyperlink"/>
          </w:rPr>
          <w:t>Conception et gestion du projet</w:t>
        </w:r>
        <w:r w:rsidR="00BC6A54">
          <w:rPr>
            <w:webHidden/>
          </w:rPr>
          <w:tab/>
        </w:r>
        <w:r w:rsidR="00BC6A54">
          <w:rPr>
            <w:webHidden/>
          </w:rPr>
          <w:fldChar w:fldCharType="begin"/>
        </w:r>
        <w:r w:rsidR="00BC6A54">
          <w:rPr>
            <w:webHidden/>
          </w:rPr>
          <w:instrText xml:space="preserve"> PAGEREF _Toc441830356 \h </w:instrText>
        </w:r>
        <w:r w:rsidR="00BC6A54">
          <w:rPr>
            <w:webHidden/>
          </w:rPr>
        </w:r>
        <w:r w:rsidR="00BC6A54">
          <w:rPr>
            <w:webHidden/>
          </w:rPr>
          <w:fldChar w:fldCharType="separate"/>
        </w:r>
        <w:r w:rsidR="00983EE3">
          <w:rPr>
            <w:webHidden/>
          </w:rPr>
          <w:t>7</w:t>
        </w:r>
        <w:r w:rsidR="00BC6A54">
          <w:rPr>
            <w:webHidden/>
          </w:rPr>
          <w:fldChar w:fldCharType="end"/>
        </w:r>
      </w:hyperlink>
    </w:p>
    <w:p w:rsidR="00BC6A54" w:rsidRDefault="00754673">
      <w:pPr>
        <w:pStyle w:val="TOC2"/>
        <w:rPr>
          <w:rFonts w:asciiTheme="minorHAnsi" w:eastAsiaTheme="minorEastAsia" w:hAnsiTheme="minorHAnsi" w:cstheme="minorBidi"/>
          <w:bCs w:val="0"/>
          <w:caps/>
          <w:szCs w:val="22"/>
          <w:lang w:val="en-US"/>
        </w:rPr>
      </w:pPr>
      <w:hyperlink w:anchor="_Toc441830357" w:history="1">
        <w:r w:rsidR="00BC6A54" w:rsidRPr="00E80E87">
          <w:rPr>
            <w:rStyle w:val="Hyperlink"/>
          </w:rPr>
          <w:t>B.</w:t>
        </w:r>
        <w:r w:rsidR="00BC6A54">
          <w:rPr>
            <w:rFonts w:asciiTheme="minorHAnsi" w:eastAsiaTheme="minorEastAsia" w:hAnsiTheme="minorHAnsi" w:cstheme="minorBidi"/>
            <w:bCs w:val="0"/>
            <w:caps/>
            <w:szCs w:val="22"/>
            <w:lang w:val="en-US"/>
          </w:rPr>
          <w:tab/>
        </w:r>
        <w:r w:rsidR="00BC6A54" w:rsidRPr="00E80E87">
          <w:rPr>
            <w:rStyle w:val="Hyperlink"/>
          </w:rPr>
          <w:t>Efficacité du projet</w:t>
        </w:r>
        <w:r w:rsidR="00BC6A54">
          <w:rPr>
            <w:webHidden/>
          </w:rPr>
          <w:tab/>
        </w:r>
        <w:r w:rsidR="00BC6A54">
          <w:rPr>
            <w:webHidden/>
          </w:rPr>
          <w:fldChar w:fldCharType="begin"/>
        </w:r>
        <w:r w:rsidR="00BC6A54">
          <w:rPr>
            <w:webHidden/>
          </w:rPr>
          <w:instrText xml:space="preserve"> PAGEREF _Toc441830357 \h </w:instrText>
        </w:r>
        <w:r w:rsidR="00BC6A54">
          <w:rPr>
            <w:webHidden/>
          </w:rPr>
        </w:r>
        <w:r w:rsidR="00BC6A54">
          <w:rPr>
            <w:webHidden/>
          </w:rPr>
          <w:fldChar w:fldCharType="separate"/>
        </w:r>
        <w:r w:rsidR="00983EE3">
          <w:rPr>
            <w:webHidden/>
          </w:rPr>
          <w:t>11</w:t>
        </w:r>
        <w:r w:rsidR="00BC6A54">
          <w:rPr>
            <w:webHidden/>
          </w:rPr>
          <w:fldChar w:fldCharType="end"/>
        </w:r>
      </w:hyperlink>
    </w:p>
    <w:p w:rsidR="00BC6A54" w:rsidRDefault="00754673">
      <w:pPr>
        <w:pStyle w:val="TOC2"/>
        <w:rPr>
          <w:rFonts w:asciiTheme="minorHAnsi" w:eastAsiaTheme="minorEastAsia" w:hAnsiTheme="minorHAnsi" w:cstheme="minorBidi"/>
          <w:bCs w:val="0"/>
          <w:caps/>
          <w:szCs w:val="22"/>
          <w:lang w:val="en-US"/>
        </w:rPr>
      </w:pPr>
      <w:hyperlink w:anchor="_Toc441830358" w:history="1">
        <w:r w:rsidR="00BC6A54" w:rsidRPr="00E80E87">
          <w:rPr>
            <w:rStyle w:val="Hyperlink"/>
          </w:rPr>
          <w:t>C.</w:t>
        </w:r>
        <w:r w:rsidR="00BC6A54">
          <w:rPr>
            <w:rFonts w:asciiTheme="minorHAnsi" w:eastAsiaTheme="minorEastAsia" w:hAnsiTheme="minorHAnsi" w:cstheme="minorBidi"/>
            <w:bCs w:val="0"/>
            <w:caps/>
            <w:szCs w:val="22"/>
            <w:lang w:val="en-US"/>
          </w:rPr>
          <w:tab/>
        </w:r>
        <w:r w:rsidR="00BC6A54" w:rsidRPr="00E80E87">
          <w:rPr>
            <w:rStyle w:val="Hyperlink"/>
          </w:rPr>
          <w:t>Viabilité</w:t>
        </w:r>
        <w:r w:rsidR="00BC6A54">
          <w:rPr>
            <w:webHidden/>
          </w:rPr>
          <w:tab/>
        </w:r>
        <w:r w:rsidR="00BC6A54">
          <w:rPr>
            <w:webHidden/>
          </w:rPr>
          <w:fldChar w:fldCharType="begin"/>
        </w:r>
        <w:r w:rsidR="00BC6A54">
          <w:rPr>
            <w:webHidden/>
          </w:rPr>
          <w:instrText xml:space="preserve"> PAGEREF _Toc441830358 \h </w:instrText>
        </w:r>
        <w:r w:rsidR="00BC6A54">
          <w:rPr>
            <w:webHidden/>
          </w:rPr>
        </w:r>
        <w:r w:rsidR="00BC6A54">
          <w:rPr>
            <w:webHidden/>
          </w:rPr>
          <w:fldChar w:fldCharType="separate"/>
        </w:r>
        <w:r w:rsidR="00983EE3">
          <w:rPr>
            <w:webHidden/>
          </w:rPr>
          <w:t>13</w:t>
        </w:r>
        <w:r w:rsidR="00BC6A54">
          <w:rPr>
            <w:webHidden/>
          </w:rPr>
          <w:fldChar w:fldCharType="end"/>
        </w:r>
      </w:hyperlink>
    </w:p>
    <w:p w:rsidR="00BC6A54" w:rsidRDefault="00754673">
      <w:pPr>
        <w:pStyle w:val="TOC2"/>
        <w:rPr>
          <w:rFonts w:asciiTheme="minorHAnsi" w:eastAsiaTheme="minorEastAsia" w:hAnsiTheme="minorHAnsi" w:cstheme="minorBidi"/>
          <w:bCs w:val="0"/>
          <w:caps/>
          <w:szCs w:val="22"/>
          <w:lang w:val="en-US"/>
        </w:rPr>
      </w:pPr>
      <w:hyperlink w:anchor="_Toc441830359" w:history="1">
        <w:r w:rsidR="00BC6A54" w:rsidRPr="00E80E87">
          <w:rPr>
            <w:rStyle w:val="Hyperlink"/>
          </w:rPr>
          <w:t>D.</w:t>
        </w:r>
        <w:r w:rsidR="00BC6A54">
          <w:rPr>
            <w:rFonts w:asciiTheme="minorHAnsi" w:eastAsiaTheme="minorEastAsia" w:hAnsiTheme="minorHAnsi" w:cstheme="minorBidi"/>
            <w:bCs w:val="0"/>
            <w:caps/>
            <w:szCs w:val="22"/>
            <w:lang w:val="en-US"/>
          </w:rPr>
          <w:tab/>
        </w:r>
        <w:r w:rsidR="00BC6A54" w:rsidRPr="00E80E87">
          <w:rPr>
            <w:rStyle w:val="Hyperlink"/>
          </w:rPr>
          <w:t>Mise en œuvre des recommandations du plan d’action pour le développement</w:t>
        </w:r>
        <w:r w:rsidR="00BC6A54">
          <w:rPr>
            <w:webHidden/>
          </w:rPr>
          <w:tab/>
        </w:r>
        <w:r w:rsidR="00BC6A54">
          <w:rPr>
            <w:webHidden/>
          </w:rPr>
          <w:fldChar w:fldCharType="begin"/>
        </w:r>
        <w:r w:rsidR="00BC6A54">
          <w:rPr>
            <w:webHidden/>
          </w:rPr>
          <w:instrText xml:space="preserve"> PAGEREF _Toc441830359 \h </w:instrText>
        </w:r>
        <w:r w:rsidR="00BC6A54">
          <w:rPr>
            <w:webHidden/>
          </w:rPr>
        </w:r>
        <w:r w:rsidR="00BC6A54">
          <w:rPr>
            <w:webHidden/>
          </w:rPr>
          <w:fldChar w:fldCharType="separate"/>
        </w:r>
        <w:r w:rsidR="00983EE3">
          <w:rPr>
            <w:webHidden/>
          </w:rPr>
          <w:t>13</w:t>
        </w:r>
        <w:r w:rsidR="00BC6A54">
          <w:rPr>
            <w:webHidden/>
          </w:rPr>
          <w:fldChar w:fldCharType="end"/>
        </w:r>
      </w:hyperlink>
    </w:p>
    <w:p w:rsidR="00BC6A54" w:rsidRDefault="00754673">
      <w:pPr>
        <w:pStyle w:val="TOC1"/>
        <w:tabs>
          <w:tab w:val="left" w:pos="660"/>
          <w:tab w:val="right" w:pos="9346"/>
        </w:tabs>
        <w:rPr>
          <w:rStyle w:val="Hyperlink"/>
          <w:noProof/>
        </w:rPr>
      </w:pPr>
      <w:hyperlink w:anchor="_Toc441830360" w:history="1">
        <w:r w:rsidR="00BC6A54" w:rsidRPr="00E80E87">
          <w:rPr>
            <w:rStyle w:val="Hyperlink"/>
            <w:noProof/>
            <w:lang w:val="fr-FR"/>
          </w:rPr>
          <w:t>V.</w:t>
        </w:r>
        <w:r w:rsidR="00BC6A54">
          <w:rPr>
            <w:rFonts w:asciiTheme="minorHAnsi" w:eastAsiaTheme="minorEastAsia" w:hAnsiTheme="minorHAnsi" w:cstheme="minorBidi"/>
            <w:noProof/>
            <w:szCs w:val="22"/>
            <w:lang w:eastAsia="en-US"/>
          </w:rPr>
          <w:tab/>
        </w:r>
        <w:r w:rsidR="00BC6A54" w:rsidRPr="00E80E87">
          <w:rPr>
            <w:rStyle w:val="Hyperlink"/>
            <w:noProof/>
            <w:lang w:val="fr-FR"/>
          </w:rPr>
          <w:t>Conclusions</w:t>
        </w:r>
        <w:r w:rsidR="00BC6A54">
          <w:rPr>
            <w:noProof/>
            <w:webHidden/>
          </w:rPr>
          <w:tab/>
        </w:r>
        <w:r w:rsidR="00BC6A54">
          <w:rPr>
            <w:noProof/>
            <w:webHidden/>
          </w:rPr>
          <w:fldChar w:fldCharType="begin"/>
        </w:r>
        <w:r w:rsidR="00BC6A54">
          <w:rPr>
            <w:noProof/>
            <w:webHidden/>
          </w:rPr>
          <w:instrText xml:space="preserve"> PAGEREF _Toc441830360 \h </w:instrText>
        </w:r>
        <w:r w:rsidR="00BC6A54">
          <w:rPr>
            <w:noProof/>
            <w:webHidden/>
          </w:rPr>
        </w:r>
        <w:r w:rsidR="00BC6A54">
          <w:rPr>
            <w:noProof/>
            <w:webHidden/>
          </w:rPr>
          <w:fldChar w:fldCharType="separate"/>
        </w:r>
        <w:r w:rsidR="00983EE3">
          <w:rPr>
            <w:noProof/>
            <w:webHidden/>
          </w:rPr>
          <w:t>14</w:t>
        </w:r>
        <w:r w:rsidR="00BC6A54">
          <w:rPr>
            <w:noProof/>
            <w:webHidden/>
          </w:rPr>
          <w:fldChar w:fldCharType="end"/>
        </w:r>
      </w:hyperlink>
    </w:p>
    <w:p w:rsidR="00BE26F3" w:rsidRPr="00BE26F3" w:rsidRDefault="00BE26F3" w:rsidP="00BE26F3">
      <w:pPr>
        <w:rPr>
          <w:noProof/>
        </w:rPr>
      </w:pPr>
    </w:p>
    <w:p w:rsidR="00BC6A54" w:rsidRDefault="00754673">
      <w:pPr>
        <w:pStyle w:val="TOC1"/>
        <w:tabs>
          <w:tab w:val="right" w:pos="9346"/>
        </w:tabs>
        <w:rPr>
          <w:rFonts w:asciiTheme="minorHAnsi" w:eastAsiaTheme="minorEastAsia" w:hAnsiTheme="minorHAnsi" w:cstheme="minorBidi"/>
          <w:noProof/>
          <w:szCs w:val="22"/>
          <w:lang w:eastAsia="en-US"/>
        </w:rPr>
      </w:pPr>
      <w:hyperlink w:anchor="_Toc441830361" w:history="1">
        <w:r w:rsidR="00BC6A54" w:rsidRPr="00E80E87">
          <w:rPr>
            <w:rStyle w:val="Hyperlink"/>
            <w:noProof/>
            <w:lang w:val="fr-FR"/>
          </w:rPr>
          <w:t>Appendice I : Personnes consultées</w:t>
        </w:r>
        <w:r w:rsidR="00BC6A54">
          <w:rPr>
            <w:noProof/>
            <w:webHidden/>
          </w:rPr>
          <w:tab/>
        </w:r>
        <w:r w:rsidR="00BC6A54">
          <w:rPr>
            <w:noProof/>
            <w:webHidden/>
          </w:rPr>
          <w:fldChar w:fldCharType="begin"/>
        </w:r>
        <w:r w:rsidR="00BC6A54">
          <w:rPr>
            <w:noProof/>
            <w:webHidden/>
          </w:rPr>
          <w:instrText xml:space="preserve"> PAGEREF _Toc441830361 \h </w:instrText>
        </w:r>
        <w:r w:rsidR="00BC6A54">
          <w:rPr>
            <w:noProof/>
            <w:webHidden/>
          </w:rPr>
        </w:r>
        <w:r w:rsidR="00BC6A54">
          <w:rPr>
            <w:noProof/>
            <w:webHidden/>
          </w:rPr>
          <w:fldChar w:fldCharType="separate"/>
        </w:r>
        <w:r w:rsidR="00983EE3">
          <w:rPr>
            <w:noProof/>
            <w:webHidden/>
          </w:rPr>
          <w:t>1</w:t>
        </w:r>
        <w:r w:rsidR="00BC6A54">
          <w:rPr>
            <w:noProof/>
            <w:webHidden/>
          </w:rPr>
          <w:fldChar w:fldCharType="end"/>
        </w:r>
      </w:hyperlink>
    </w:p>
    <w:p w:rsidR="00BC6A54" w:rsidRDefault="00754673">
      <w:pPr>
        <w:pStyle w:val="TOC1"/>
        <w:tabs>
          <w:tab w:val="right" w:pos="9346"/>
        </w:tabs>
        <w:rPr>
          <w:rFonts w:asciiTheme="minorHAnsi" w:eastAsiaTheme="minorEastAsia" w:hAnsiTheme="minorHAnsi" w:cstheme="minorBidi"/>
          <w:noProof/>
          <w:szCs w:val="22"/>
          <w:lang w:eastAsia="en-US"/>
        </w:rPr>
      </w:pPr>
      <w:hyperlink w:anchor="_Toc441830362" w:history="1">
        <w:r w:rsidR="00BC6A54" w:rsidRPr="00E80E87">
          <w:rPr>
            <w:rStyle w:val="Hyperlink"/>
            <w:noProof/>
            <w:lang w:val="fr-FR"/>
          </w:rPr>
          <w:t>Appendice II : Documents consultés</w:t>
        </w:r>
        <w:r w:rsidR="00BC6A54">
          <w:rPr>
            <w:noProof/>
            <w:webHidden/>
          </w:rPr>
          <w:tab/>
        </w:r>
        <w:r w:rsidR="00BC6A54">
          <w:rPr>
            <w:noProof/>
            <w:webHidden/>
          </w:rPr>
          <w:fldChar w:fldCharType="begin"/>
        </w:r>
        <w:r w:rsidR="00BC6A54">
          <w:rPr>
            <w:noProof/>
            <w:webHidden/>
          </w:rPr>
          <w:instrText xml:space="preserve"> PAGEREF _Toc441830362 \h </w:instrText>
        </w:r>
        <w:r w:rsidR="00BC6A54">
          <w:rPr>
            <w:noProof/>
            <w:webHidden/>
          </w:rPr>
        </w:r>
        <w:r w:rsidR="00BC6A54">
          <w:rPr>
            <w:noProof/>
            <w:webHidden/>
          </w:rPr>
          <w:fldChar w:fldCharType="separate"/>
        </w:r>
        <w:r w:rsidR="00983EE3">
          <w:rPr>
            <w:noProof/>
            <w:webHidden/>
          </w:rPr>
          <w:t>2</w:t>
        </w:r>
        <w:r w:rsidR="00BC6A54">
          <w:rPr>
            <w:noProof/>
            <w:webHidden/>
          </w:rPr>
          <w:fldChar w:fldCharType="end"/>
        </w:r>
      </w:hyperlink>
    </w:p>
    <w:p w:rsidR="00BC6A54" w:rsidRDefault="00754673">
      <w:pPr>
        <w:pStyle w:val="TOC1"/>
        <w:tabs>
          <w:tab w:val="right" w:pos="9346"/>
        </w:tabs>
        <w:rPr>
          <w:rFonts w:asciiTheme="minorHAnsi" w:eastAsiaTheme="minorEastAsia" w:hAnsiTheme="minorHAnsi" w:cstheme="minorBidi"/>
          <w:noProof/>
          <w:szCs w:val="22"/>
          <w:lang w:eastAsia="en-US"/>
        </w:rPr>
      </w:pPr>
      <w:hyperlink w:anchor="_Toc441830363" w:history="1">
        <w:r w:rsidR="00BC6A54" w:rsidRPr="00E80E87">
          <w:rPr>
            <w:rStyle w:val="Hyperlink"/>
            <w:noProof/>
            <w:lang w:val="fr-FR"/>
          </w:rPr>
          <w:t>Appendice III : Rapport initial</w:t>
        </w:r>
        <w:r w:rsidR="00BC6A54">
          <w:rPr>
            <w:noProof/>
            <w:webHidden/>
          </w:rPr>
          <w:tab/>
        </w:r>
        <w:r w:rsidR="00BC6A54">
          <w:rPr>
            <w:noProof/>
            <w:webHidden/>
          </w:rPr>
          <w:fldChar w:fldCharType="begin"/>
        </w:r>
        <w:r w:rsidR="00BC6A54">
          <w:rPr>
            <w:noProof/>
            <w:webHidden/>
          </w:rPr>
          <w:instrText xml:space="preserve"> PAGEREF _Toc441830363 \h </w:instrText>
        </w:r>
        <w:r w:rsidR="00BC6A54">
          <w:rPr>
            <w:noProof/>
            <w:webHidden/>
          </w:rPr>
        </w:r>
        <w:r w:rsidR="00BC6A54">
          <w:rPr>
            <w:noProof/>
            <w:webHidden/>
          </w:rPr>
          <w:fldChar w:fldCharType="separate"/>
        </w:r>
        <w:r w:rsidR="00983EE3">
          <w:rPr>
            <w:noProof/>
            <w:webHidden/>
          </w:rPr>
          <w:t>1</w:t>
        </w:r>
        <w:r w:rsidR="00BC6A54">
          <w:rPr>
            <w:noProof/>
            <w:webHidden/>
          </w:rPr>
          <w:fldChar w:fldCharType="end"/>
        </w:r>
      </w:hyperlink>
    </w:p>
    <w:p w:rsidR="00EE65CE" w:rsidRDefault="00EE65CE" w:rsidP="00EE65CE">
      <w:pPr>
        <w:pStyle w:val="BodyText"/>
        <w:jc w:val="center"/>
        <w:rPr>
          <w:rFonts w:ascii="Calibri" w:hAnsi="Calibri"/>
        </w:rPr>
      </w:pPr>
      <w:r w:rsidRPr="0034060B">
        <w:rPr>
          <w:rFonts w:ascii="Calibri" w:hAnsi="Calibri"/>
        </w:rPr>
        <w:fldChar w:fldCharType="end"/>
      </w:r>
    </w:p>
    <w:p w:rsidR="00EE65CE" w:rsidRDefault="00EE65CE" w:rsidP="00EE65CE">
      <w:pPr>
        <w:pStyle w:val="BodyText"/>
        <w:jc w:val="center"/>
        <w:rPr>
          <w:rFonts w:ascii="Calibri" w:hAnsi="Calibri"/>
        </w:rPr>
      </w:pPr>
    </w:p>
    <w:p w:rsidR="00EE65CE" w:rsidRDefault="00EE65CE" w:rsidP="00EE65CE">
      <w:pPr>
        <w:pStyle w:val="BodyText"/>
        <w:jc w:val="center"/>
        <w:rPr>
          <w:rFonts w:ascii="Calibri" w:hAnsi="Calibri"/>
        </w:rPr>
      </w:pPr>
    </w:p>
    <w:p w:rsidR="00813B25" w:rsidRDefault="00813B25" w:rsidP="00EE65CE">
      <w:pPr>
        <w:pStyle w:val="BodyText"/>
        <w:jc w:val="center"/>
        <w:rPr>
          <w:rFonts w:ascii="Calibri" w:hAnsi="Calibri"/>
        </w:rPr>
      </w:pPr>
    </w:p>
    <w:p w:rsidR="00813B25" w:rsidRDefault="00813B25" w:rsidP="00EE65CE">
      <w:pPr>
        <w:pStyle w:val="BodyText"/>
        <w:jc w:val="center"/>
        <w:rPr>
          <w:rFonts w:ascii="Calibri" w:hAnsi="Calibri"/>
        </w:rPr>
      </w:pPr>
    </w:p>
    <w:p w:rsidR="00813B25" w:rsidRDefault="00813B25" w:rsidP="00EE65CE">
      <w:pPr>
        <w:pStyle w:val="BodyText"/>
        <w:jc w:val="center"/>
        <w:rPr>
          <w:rFonts w:ascii="Calibri" w:hAnsi="Calibri"/>
        </w:rPr>
      </w:pPr>
    </w:p>
    <w:p w:rsidR="00EE65CE" w:rsidRDefault="00EE65CE" w:rsidP="00EE65CE">
      <w:pPr>
        <w:pStyle w:val="BodyText"/>
        <w:jc w:val="center"/>
        <w:rPr>
          <w:rFonts w:ascii="Calibri" w:hAnsi="Calibri"/>
        </w:rPr>
      </w:pPr>
    </w:p>
    <w:p w:rsidR="00EE65CE" w:rsidRPr="00EE65CE" w:rsidRDefault="00EE65CE" w:rsidP="00EE65CE">
      <w:pPr>
        <w:pStyle w:val="BodyText"/>
        <w:jc w:val="center"/>
        <w:rPr>
          <w:rFonts w:ascii="Calibri" w:hAnsi="Calibri"/>
          <w:lang w:val="fr-FR"/>
        </w:rPr>
      </w:pPr>
    </w:p>
    <w:p w:rsidR="00EE65CE" w:rsidRPr="00EE65CE" w:rsidRDefault="00EE65CE" w:rsidP="00EE65CE">
      <w:pPr>
        <w:rPr>
          <w:b/>
          <w:sz w:val="24"/>
          <w:szCs w:val="24"/>
          <w:lang w:val="fr-FR"/>
        </w:rPr>
      </w:pPr>
      <w:r w:rsidRPr="00EE65CE">
        <w:rPr>
          <w:b/>
          <w:sz w:val="24"/>
          <w:szCs w:val="24"/>
          <w:lang w:val="fr-FR"/>
        </w:rPr>
        <w:t>Liste des sigles utilisés</w:t>
      </w:r>
    </w:p>
    <w:p w:rsidR="00EE65CE" w:rsidRPr="00EE65CE" w:rsidRDefault="00EE65CE" w:rsidP="00EE65CE">
      <w:pPr>
        <w:rPr>
          <w:lang w:val="fr-FR"/>
        </w:rPr>
      </w:pPr>
    </w:p>
    <w:p w:rsidR="00EE65CE" w:rsidRPr="00EE65CE" w:rsidRDefault="00EE65CE" w:rsidP="00EE65CE">
      <w:pPr>
        <w:tabs>
          <w:tab w:val="left" w:pos="1701"/>
        </w:tabs>
        <w:rPr>
          <w:lang w:val="fr-FR"/>
        </w:rPr>
      </w:pPr>
      <w:r w:rsidRPr="00EE65CE">
        <w:rPr>
          <w:lang w:val="fr-FR"/>
        </w:rPr>
        <w:t>CDIP</w:t>
      </w:r>
      <w:r w:rsidRPr="00EE65CE">
        <w:rPr>
          <w:lang w:val="fr-FR"/>
        </w:rPr>
        <w:tab/>
        <w:t>Comité du développement et de la propriété intellectuelle</w:t>
      </w:r>
    </w:p>
    <w:p w:rsidR="00EE65CE" w:rsidRPr="00EE65CE" w:rsidRDefault="00EE65CE" w:rsidP="00EE65CE">
      <w:pPr>
        <w:tabs>
          <w:tab w:val="left" w:pos="1701"/>
        </w:tabs>
        <w:rPr>
          <w:lang w:val="fr-FR"/>
        </w:rPr>
      </w:pPr>
      <w:r w:rsidRPr="00EE65CE">
        <w:rPr>
          <w:lang w:val="fr-FR"/>
        </w:rPr>
        <w:t>FESPACO</w:t>
      </w:r>
      <w:r w:rsidRPr="00EE65CE">
        <w:rPr>
          <w:lang w:val="fr-FR"/>
        </w:rPr>
        <w:tab/>
        <w:t>Festival panafricain du cinéma et de la télévision</w:t>
      </w:r>
    </w:p>
    <w:p w:rsidR="00EE65CE" w:rsidRPr="00EE65CE" w:rsidRDefault="00EE65CE" w:rsidP="00EE65CE">
      <w:pPr>
        <w:tabs>
          <w:tab w:val="left" w:pos="1701"/>
        </w:tabs>
        <w:rPr>
          <w:lang w:val="fr-FR"/>
        </w:rPr>
      </w:pPr>
      <w:r w:rsidRPr="00EE65CE">
        <w:rPr>
          <w:lang w:val="fr-FR"/>
        </w:rPr>
        <w:t>OMPI</w:t>
      </w:r>
      <w:r w:rsidRPr="00EE65CE">
        <w:rPr>
          <w:lang w:val="fr-FR"/>
        </w:rPr>
        <w:tab/>
        <w:t>Organisation Mondiale de la Propriété Intellectuelle</w:t>
      </w:r>
    </w:p>
    <w:p w:rsidR="00EE65CE" w:rsidRPr="00EE65CE" w:rsidRDefault="00EE65CE" w:rsidP="00EE65CE">
      <w:pPr>
        <w:tabs>
          <w:tab w:val="left" w:pos="1701"/>
        </w:tabs>
        <w:rPr>
          <w:lang w:val="fr-FR"/>
        </w:rPr>
      </w:pPr>
      <w:r w:rsidRPr="00EE65CE">
        <w:rPr>
          <w:lang w:val="fr-FR"/>
        </w:rPr>
        <w:t>PMA</w:t>
      </w:r>
      <w:r w:rsidRPr="00EE65CE">
        <w:rPr>
          <w:lang w:val="fr-FR"/>
        </w:rPr>
        <w:tab/>
        <w:t>pays les moins avancés</w:t>
      </w:r>
    </w:p>
    <w:p w:rsidR="00EE65CE" w:rsidRPr="00EE65CE" w:rsidRDefault="00EE65CE" w:rsidP="00EE65CE">
      <w:pPr>
        <w:tabs>
          <w:tab w:val="left" w:pos="1701"/>
        </w:tabs>
        <w:rPr>
          <w:lang w:val="fr-FR"/>
        </w:rPr>
      </w:pPr>
      <w:r w:rsidRPr="00EE65CE">
        <w:rPr>
          <w:lang w:val="fr-FR"/>
        </w:rPr>
        <w:t>PME</w:t>
      </w:r>
      <w:r w:rsidRPr="00EE65CE">
        <w:rPr>
          <w:lang w:val="fr-FR"/>
        </w:rPr>
        <w:tab/>
        <w:t>petites et moyenne entreprises</w:t>
      </w:r>
    </w:p>
    <w:p w:rsidR="00EE65CE" w:rsidRDefault="00EE65CE" w:rsidP="00EE65CE">
      <w:pPr>
        <w:pStyle w:val="Heading1"/>
        <w:rPr>
          <w:lang w:val="fr-FR"/>
        </w:rPr>
      </w:pPr>
      <w:r w:rsidRPr="00EE65CE">
        <w:rPr>
          <w:lang w:val="fr-FR"/>
        </w:rPr>
        <w:br w:type="page"/>
      </w:r>
      <w:bookmarkStart w:id="10" w:name="_Toc441830351"/>
      <w:bookmarkStart w:id="11" w:name="_Toc320700949"/>
      <w:bookmarkStart w:id="12" w:name="_Toc336031966"/>
      <w:bookmarkStart w:id="13" w:name="_Toc336032066"/>
      <w:r w:rsidRPr="00EE65CE">
        <w:rPr>
          <w:lang w:val="fr-FR"/>
        </w:rPr>
        <w:lastRenderedPageBreak/>
        <w:t>Résumé</w:t>
      </w:r>
      <w:bookmarkEnd w:id="10"/>
    </w:p>
    <w:p w:rsidR="00EE65CE" w:rsidRPr="00EE65CE" w:rsidRDefault="00EE65CE" w:rsidP="00EE65CE">
      <w:pPr>
        <w:rPr>
          <w:lang w:val="fr-FR"/>
        </w:rPr>
      </w:pPr>
    </w:p>
    <w:p w:rsidR="00EE65CE" w:rsidRPr="00EE65CE" w:rsidRDefault="00EE65CE" w:rsidP="00EE65CE">
      <w:pPr>
        <w:pStyle w:val="ONUMFS"/>
        <w:numPr>
          <w:ilvl w:val="0"/>
          <w:numId w:val="32"/>
        </w:numPr>
        <w:rPr>
          <w:lang w:val="fr-FR"/>
        </w:rPr>
      </w:pPr>
      <w:r w:rsidRPr="00EE65CE">
        <w:rPr>
          <w:lang w:val="fr-FR"/>
        </w:rPr>
        <w:t>Le présent rapport porte sur une évaluation indépendante du projet DA_1_2_4_10_11 du Plan d’action pour le développement, relatif au renforcement et au développement du secteur de l’audiovisuel au Burkina Faso et dans certains pays africains.  La mise en œuvre du projet a débuté en février 2013 et a été achevée en octobre 2015.</w:t>
      </w:r>
    </w:p>
    <w:p w:rsidR="00EE65CE" w:rsidRPr="00EE65CE" w:rsidRDefault="00EE65CE" w:rsidP="00EE65CE">
      <w:pPr>
        <w:pStyle w:val="ONUMFS"/>
        <w:rPr>
          <w:lang w:val="fr-FR"/>
        </w:rPr>
      </w:pPr>
      <w:r w:rsidRPr="00EE65CE">
        <w:rPr>
          <w:lang w:val="fr-FR"/>
        </w:rPr>
        <w:t>Le projet avait pour objet d’accélérer le développement du secteur de l’audiovisuel en Afrique grâce à la fourniture d’une assistance technique et au renforcement des capacités en vue d’améliorer la compréhension et l’utilisation du système du droit d’auteur.  Le projet, fondé sur une proposition présentée par la délégation du Burkina Faso au CDIP, a été peaufiné par le Secrétariat de l’OMPI et validé par le CDIP de manière à incorporer trois pays dans la phase pilote : le Burkina Faso, le Kenya et le Sénégal.</w:t>
      </w:r>
    </w:p>
    <w:p w:rsidR="00EE65CE" w:rsidRPr="00EE65CE" w:rsidRDefault="00EE65CE" w:rsidP="00EE65CE">
      <w:pPr>
        <w:pStyle w:val="ONUMFS"/>
        <w:rPr>
          <w:rFonts w:eastAsia="Times New Roman"/>
          <w:szCs w:val="22"/>
          <w:lang w:val="fr-FR" w:eastAsia="en-US"/>
        </w:rPr>
      </w:pPr>
      <w:r w:rsidRPr="00EE65CE">
        <w:rPr>
          <w:lang w:val="fr-FR"/>
        </w:rPr>
        <w:t>Trois activités principales étaient prévues dans le cadre du projet : la réalisation de recherches et la publication d’un document d’orientation et d’une étude sur la gestion des droits (</w:t>
      </w:r>
      <w:r w:rsidRPr="00EE65CE">
        <w:rPr>
          <w:i/>
          <w:lang w:val="fr-FR"/>
        </w:rPr>
        <w:t>activité de projet n° 1</w:t>
      </w:r>
      <w:r w:rsidRPr="00EE65CE">
        <w:rPr>
          <w:lang w:val="fr-FR"/>
        </w:rPr>
        <w:t>), la tenue d’une conférence de lancement et l’élaboration d’un programme de formation et d’un programme d’enseignement à distance (</w:t>
      </w:r>
      <w:r w:rsidRPr="00EE65CE">
        <w:rPr>
          <w:i/>
          <w:lang w:val="fr-FR"/>
        </w:rPr>
        <w:t>activité de projet n° 2</w:t>
      </w:r>
      <w:r w:rsidRPr="00EE65CE">
        <w:rPr>
          <w:lang w:val="fr-FR"/>
        </w:rPr>
        <w:t xml:space="preserve">) et l’appui au renforcement des compétences, des pratiques, de l’infrastructure et des instruments </w:t>
      </w:r>
      <w:r w:rsidRPr="00EE65CE">
        <w:rPr>
          <w:rFonts w:eastAsia="Times New Roman"/>
          <w:szCs w:val="22"/>
          <w:lang w:val="fr-FR" w:eastAsia="en-US"/>
        </w:rPr>
        <w:t>(</w:t>
      </w:r>
      <w:r w:rsidRPr="00EE65CE">
        <w:rPr>
          <w:rFonts w:eastAsia="Times New Roman"/>
          <w:i/>
          <w:szCs w:val="22"/>
          <w:lang w:val="fr-FR" w:eastAsia="en-US"/>
        </w:rPr>
        <w:t>activité de projet n°</w:t>
      </w:r>
      <w:r w:rsidRPr="00EE65CE">
        <w:rPr>
          <w:i/>
          <w:lang w:val="fr-FR"/>
        </w:rPr>
        <w:t> </w:t>
      </w:r>
      <w:r w:rsidRPr="00EE65CE">
        <w:rPr>
          <w:rFonts w:eastAsia="Times New Roman"/>
          <w:i/>
          <w:szCs w:val="22"/>
          <w:lang w:val="fr-FR" w:eastAsia="en-US"/>
        </w:rPr>
        <w:t>3</w:t>
      </w:r>
      <w:r w:rsidRPr="00EE65CE">
        <w:rPr>
          <w:rFonts w:eastAsia="Times New Roman"/>
          <w:szCs w:val="22"/>
          <w:lang w:val="fr-FR" w:eastAsia="en-US"/>
        </w:rPr>
        <w:t>).</w:t>
      </w:r>
    </w:p>
    <w:p w:rsidR="00EE65CE" w:rsidRPr="00EE65CE" w:rsidRDefault="00EE65CE" w:rsidP="00EE65CE">
      <w:pPr>
        <w:pStyle w:val="ONUMFS"/>
        <w:rPr>
          <w:lang w:val="fr-FR"/>
        </w:rPr>
      </w:pPr>
      <w:r w:rsidRPr="00EE65CE">
        <w:rPr>
          <w:lang w:val="fr-FR"/>
        </w:rPr>
        <w:t>La présente évaluation vise à tirer les enseignements de la mise en œuvre du projet.  Elle a notamment consisté à analyser la gestion et la conception du projet, y compris les instruments de suivi et d’établissement de rapports, ainsi que les résultats obtenus jusqu’ici et leur viabilité.</w:t>
      </w:r>
    </w:p>
    <w:p w:rsidR="00EE65CE" w:rsidRDefault="00EE65CE" w:rsidP="00EE65CE">
      <w:pPr>
        <w:pStyle w:val="ONUMFS"/>
        <w:rPr>
          <w:lang w:val="fr-FR"/>
        </w:rPr>
      </w:pPr>
      <w:r w:rsidRPr="00EE65CE">
        <w:rPr>
          <w:lang w:val="fr-FR"/>
        </w:rPr>
        <w:t>Une combinaison de méthodes a été utilisée dans le cadre de cette évaluation, notamment l’examen de tous les documents pertinents et la réalisation d’entretiens avec six fonctionnaires du Secrétariat de l’OMPI à Genève et d’entretiens par téléphone et en personne avec cinq représentants et fonctionnaires des États membres et trois consultants externes ayant participé au projet.</w:t>
      </w:r>
    </w:p>
    <w:p w:rsidR="00424A9D" w:rsidRPr="00EE65CE" w:rsidRDefault="00424A9D" w:rsidP="00424A9D">
      <w:pPr>
        <w:pStyle w:val="ONUMFS"/>
        <w:numPr>
          <w:ilvl w:val="0"/>
          <w:numId w:val="0"/>
        </w:numPr>
        <w:rPr>
          <w:lang w:val="fr-FR"/>
        </w:rPr>
      </w:pPr>
    </w:p>
    <w:p w:rsidR="00EE65CE" w:rsidRPr="00C7517B" w:rsidRDefault="00EE65CE" w:rsidP="00C7517B">
      <w:pPr>
        <w:rPr>
          <w:b/>
          <w:lang w:val="fr-FR"/>
        </w:rPr>
      </w:pPr>
      <w:bookmarkStart w:id="14" w:name="_Toc441827572"/>
      <w:bookmarkStart w:id="15" w:name="_Toc441828160"/>
      <w:bookmarkStart w:id="16" w:name="_Toc441828215"/>
      <w:bookmarkStart w:id="17" w:name="_Toc320700946"/>
      <w:r w:rsidRPr="00C7517B">
        <w:rPr>
          <w:b/>
          <w:lang w:val="fr-FR"/>
        </w:rPr>
        <w:t>Principales observations</w:t>
      </w:r>
      <w:bookmarkEnd w:id="14"/>
      <w:bookmarkEnd w:id="15"/>
      <w:bookmarkEnd w:id="16"/>
    </w:p>
    <w:bookmarkEnd w:id="17"/>
    <w:p w:rsidR="00EE65CE" w:rsidRPr="008759FF" w:rsidRDefault="00EE65CE" w:rsidP="00EE65CE">
      <w:pPr>
        <w:pStyle w:val="Heading4"/>
        <w:rPr>
          <w:b/>
          <w:lang w:val="fr-FR"/>
        </w:rPr>
      </w:pPr>
      <w:r w:rsidRPr="008759FF">
        <w:rPr>
          <w:b/>
          <w:lang w:val="fr-FR"/>
        </w:rPr>
        <w:t>Conception et gestion du projet</w:t>
      </w:r>
    </w:p>
    <w:p w:rsidR="00EE65CE" w:rsidRPr="00EE65CE" w:rsidRDefault="00EE65CE" w:rsidP="00EE65CE">
      <w:pPr>
        <w:rPr>
          <w:lang w:val="fr-FR"/>
        </w:rPr>
      </w:pPr>
    </w:p>
    <w:p w:rsidR="00EE65CE" w:rsidRPr="00EE65CE" w:rsidRDefault="00EE65CE" w:rsidP="00EE65CE">
      <w:pPr>
        <w:pStyle w:val="ONUMFS"/>
        <w:rPr>
          <w:lang w:val="fr-FR"/>
        </w:rPr>
      </w:pPr>
      <w:r w:rsidRPr="00EE65CE">
        <w:rPr>
          <w:b/>
          <w:lang w:val="fr-FR"/>
        </w:rPr>
        <w:t>Observation n° 1 :</w:t>
      </w:r>
      <w:r w:rsidRPr="00EE65CE">
        <w:rPr>
          <w:lang w:val="fr-FR"/>
        </w:rPr>
        <w:t xml:space="preserve"> La gestion du projet a permis de faire en sorte que les activités planifiées soient mises en œuvre et que le budget soit utilisé comme prévu, les changements et adaptations nécessaires ayant été apportés.  Un certain nombre de difficultés ont été rencontrées dans la gestion du projet compte tenu des autres priorités sur le plan professionnel du responsable au sein de l’OMPI, du retard enregistré dans la nomination d’un fonctionnaire chargé de l’exécution et des divers degrés d’implication des coordonnateurs locaux.</w:t>
      </w:r>
    </w:p>
    <w:p w:rsidR="00EE65CE" w:rsidRPr="00EE65CE" w:rsidRDefault="00EE65CE" w:rsidP="00EE65CE">
      <w:pPr>
        <w:pStyle w:val="ONUMFS"/>
        <w:rPr>
          <w:lang w:val="fr-FR"/>
        </w:rPr>
      </w:pPr>
      <w:r w:rsidRPr="00EE65CE">
        <w:rPr>
          <w:b/>
          <w:lang w:val="fr-FR"/>
        </w:rPr>
        <w:t>Observations n</w:t>
      </w:r>
      <w:r w:rsidRPr="00EE65CE">
        <w:rPr>
          <w:b/>
          <w:vertAlign w:val="superscript"/>
          <w:lang w:val="fr-FR"/>
        </w:rPr>
        <w:t>os</w:t>
      </w:r>
      <w:r w:rsidRPr="00EE65CE">
        <w:rPr>
          <w:b/>
          <w:lang w:val="fr-FR"/>
        </w:rPr>
        <w:t xml:space="preserve"> 2 et 3 : </w:t>
      </w:r>
      <w:r w:rsidRPr="00EE65CE">
        <w:rPr>
          <w:lang w:val="fr-FR"/>
        </w:rPr>
        <w:t xml:space="preserve">Il a été estimé que le descriptif du projet donnait suffisamment d’orientations quant à la mise en œuvre globale du projet et à l’évaluation des progrès réalisés.  </w:t>
      </w:r>
      <w:r w:rsidRPr="00EE65CE">
        <w:rPr>
          <w:szCs w:val="22"/>
          <w:lang w:val="fr-FR"/>
        </w:rPr>
        <w:t>Les instruments de suivi du projet étaient appropriés pour rendre compte de l’état d’avancement du projet, bien que plusieurs éléments n’aient pas pu être pleinement analysés, notamment les informations recueillies auprès des participants de la formation et l’état d’avancement au regard des indicateurs globaux de réussite.</w:t>
      </w:r>
    </w:p>
    <w:p w:rsidR="00EE65CE" w:rsidRPr="00EE65CE" w:rsidRDefault="00EE65CE" w:rsidP="00EE65CE">
      <w:pPr>
        <w:pStyle w:val="ONUMFS"/>
        <w:rPr>
          <w:rFonts w:eastAsia="Times New Roman"/>
          <w:szCs w:val="22"/>
          <w:lang w:val="fr-FR" w:eastAsia="en-US"/>
        </w:rPr>
      </w:pPr>
      <w:r w:rsidRPr="00EE65CE">
        <w:rPr>
          <w:b/>
          <w:lang w:val="fr-FR"/>
        </w:rPr>
        <w:t>Observation n° 4 :</w:t>
      </w:r>
      <w:r w:rsidRPr="00EE65CE">
        <w:rPr>
          <w:lang w:val="fr-FR"/>
        </w:rPr>
        <w:t xml:space="preserve"> Le projet a été géré par un responsable de projet travaillant au sein de la Division du droit d’auteur du Secteur de la culture et des industries de la création, en collaboration avec l’Académie de l’OMPI (pour ce qui concerne le programme d’enseignement à distance) et le Secteur de l’infrastructure mondiale (pour ce qui concerne le projet de logiciel </w:t>
      </w:r>
      <w:r w:rsidRPr="00EE65CE">
        <w:rPr>
          <w:rFonts w:eastAsia="Times New Roman"/>
          <w:szCs w:val="22"/>
          <w:lang w:val="fr-FR" w:eastAsia="en-US"/>
        </w:rPr>
        <w:lastRenderedPageBreak/>
        <w:t>WIPOCOS).  La Division du droit d’auteur a apporté un soutien important à ce projet en mettant à disposition non seulement ses propres compétences, mais aussi celles de consultants extérieurs aux niveaux régional et international possédant les connaissances spécialisées requises.</w:t>
      </w:r>
    </w:p>
    <w:p w:rsidR="00EE65CE" w:rsidRPr="00EE65CE" w:rsidRDefault="00EE65CE" w:rsidP="00EE65CE">
      <w:pPr>
        <w:pStyle w:val="ONUMFS"/>
        <w:rPr>
          <w:lang w:val="fr-FR"/>
        </w:rPr>
      </w:pPr>
      <w:r w:rsidRPr="00EE65CE">
        <w:rPr>
          <w:b/>
          <w:lang w:val="fr-FR"/>
        </w:rPr>
        <w:t>Observation n° 5 :</w:t>
      </w:r>
      <w:r w:rsidRPr="00EE65CE">
        <w:rPr>
          <w:lang w:val="fr-FR"/>
        </w:rPr>
        <w:t xml:space="preserve"> Dans les rapports sur l’état d’avancement du projet tout comme dans la présente évaluation, cinq risques ont été recensés.  À cet égard, les stratégies d’atténuation des risques adoptées ont permis de réduire ou de supprimer toute incidence sur le projet.  La seule exception a été lorsque les demandes dans le cadre du projet ont dépassé les ressources disponibles, ce qui a donné lieu à des retards dans la mise en œuvre du projet.</w:t>
      </w:r>
    </w:p>
    <w:p w:rsidR="00EE65CE" w:rsidRPr="00EE65CE" w:rsidRDefault="00EE65CE" w:rsidP="00EE65CE">
      <w:pPr>
        <w:pStyle w:val="ONUMFS"/>
        <w:rPr>
          <w:lang w:val="fr-FR"/>
        </w:rPr>
      </w:pPr>
      <w:r w:rsidRPr="00EE65CE">
        <w:rPr>
          <w:b/>
          <w:lang w:val="fr-FR"/>
        </w:rPr>
        <w:t>Observation n° 6 :</w:t>
      </w:r>
      <w:r w:rsidRPr="00EE65CE">
        <w:rPr>
          <w:lang w:val="fr-FR"/>
        </w:rPr>
        <w:t xml:space="preserve"> L’évaluation a permis de recenser trois tendances ou facteurs extérieurs qu’il a fallu prendre en considération : l’adaptation aux réalités du secteur de l’audiovisuel en Afrique;  le passage accéléré à un réseau de télévision numérique;  et des changements extérieurs sur le plan politique.  En conséquence, il a été nécessaire, dans une certaine mesure, d’adapter les méthodes et activités du projet</w:t>
      </w:r>
    </w:p>
    <w:p w:rsidR="00EE65CE" w:rsidRPr="008759FF" w:rsidRDefault="00EE65CE" w:rsidP="00EE65CE">
      <w:pPr>
        <w:pStyle w:val="Heading4"/>
        <w:rPr>
          <w:b/>
          <w:lang w:val="fr-FR"/>
        </w:rPr>
      </w:pPr>
      <w:r w:rsidRPr="008759FF">
        <w:rPr>
          <w:b/>
          <w:lang w:val="fr-FR"/>
        </w:rPr>
        <w:t>Utilité</w:t>
      </w:r>
    </w:p>
    <w:p w:rsidR="00EE65CE" w:rsidRPr="00EE65CE" w:rsidRDefault="00EE65CE" w:rsidP="00EE65CE">
      <w:pPr>
        <w:rPr>
          <w:lang w:val="fr-FR"/>
        </w:rPr>
      </w:pPr>
    </w:p>
    <w:p w:rsidR="00EE65CE" w:rsidRPr="00EE65CE" w:rsidRDefault="00EE65CE" w:rsidP="00EE65CE">
      <w:pPr>
        <w:pStyle w:val="ONUMFS"/>
        <w:rPr>
          <w:lang w:val="fr-FR"/>
        </w:rPr>
      </w:pPr>
      <w:r w:rsidRPr="00EE65CE">
        <w:rPr>
          <w:b/>
          <w:lang w:val="fr-FR"/>
        </w:rPr>
        <w:t>Observations n</w:t>
      </w:r>
      <w:r w:rsidRPr="00EE65CE">
        <w:rPr>
          <w:b/>
          <w:vertAlign w:val="superscript"/>
          <w:lang w:val="fr-FR"/>
        </w:rPr>
        <w:t>os</w:t>
      </w:r>
      <w:r w:rsidRPr="00EE65CE">
        <w:rPr>
          <w:b/>
          <w:lang w:val="fr-FR"/>
        </w:rPr>
        <w:t xml:space="preserve"> 7 et 8 :</w:t>
      </w:r>
      <w:r w:rsidRPr="00EE65CE">
        <w:rPr>
          <w:lang w:val="fr-FR"/>
        </w:rPr>
        <w:t xml:space="preserve"> Le projet a joué un rôle décisif en suscitant l’intérêt pour l’utilisation potentielle du système de la propriété intellectuelle au service des œuvres audiovisuelles dans les trois pays participants et en la faisant mieux connaître.  Compte tenu du faible niveau de connaissance de la propriété intellectuelle, parvenir à apporter des changements substantiels à l’utilisation effective de la propriété intellectuelle dans le délai de 32 mois fixé pour l’exécution du projet constituait un défi majeur.  Néanmoins, selon les informations recueillies, des exemples des changements souhaités ont pu être constatés, notamment un recours accru aux contrats écrits parmi les professionnels du cinéma.  Toutefois, pour atteindre pleinement les objectifs du projet, il conviendrait de mener des activités différentes, mais complémentaires.</w:t>
      </w:r>
    </w:p>
    <w:p w:rsidR="00EE65CE" w:rsidRPr="00EE65CE" w:rsidRDefault="00EE65CE" w:rsidP="00EE65CE">
      <w:pPr>
        <w:pStyle w:val="ONUMFS"/>
        <w:rPr>
          <w:lang w:val="fr-FR"/>
        </w:rPr>
      </w:pPr>
      <w:r w:rsidRPr="00EE65CE">
        <w:rPr>
          <w:b/>
          <w:lang w:val="fr-FR"/>
        </w:rPr>
        <w:t>Observations n</w:t>
      </w:r>
      <w:r w:rsidRPr="00EE65CE">
        <w:rPr>
          <w:b/>
          <w:vertAlign w:val="superscript"/>
          <w:lang w:val="fr-FR"/>
        </w:rPr>
        <w:t>os</w:t>
      </w:r>
      <w:r w:rsidRPr="00EE65CE">
        <w:rPr>
          <w:b/>
          <w:lang w:val="fr-FR"/>
        </w:rPr>
        <w:t xml:space="preserve"> 9 et 10 :</w:t>
      </w:r>
      <w:r w:rsidRPr="00EE65CE">
        <w:rPr>
          <w:lang w:val="fr-FR"/>
        </w:rPr>
        <w:t xml:space="preserve"> Des initiatives menées dans les trois pays participants ont permis de participer à la mise en place de cadres d’action et structures dans le domaine du droit d’auteur, notamment une contribution à l’élaboration de législations et de politiques pertinentes, l’appui à la mise en place de nouvelles organisations de gestion collective des droits au Kenya et au Sénégal et le renforcement des capacités de l’organisation de gestion collective du Burkina Faso.  Les résultats potentiels dans ce domaine ont été éventuellement limités par le retard enregistré dans la mise en œuvre de ces activités.</w:t>
      </w:r>
    </w:p>
    <w:p w:rsidR="00EE65CE" w:rsidRPr="00EE65CE" w:rsidRDefault="00EE65CE" w:rsidP="00EE65CE">
      <w:pPr>
        <w:pStyle w:val="ONUMFS"/>
        <w:rPr>
          <w:lang w:val="fr-FR"/>
        </w:rPr>
      </w:pPr>
      <w:r w:rsidRPr="00EE65CE">
        <w:rPr>
          <w:b/>
          <w:lang w:val="fr-FR"/>
        </w:rPr>
        <w:t>Observations n</w:t>
      </w:r>
      <w:r w:rsidRPr="00EE65CE">
        <w:rPr>
          <w:b/>
          <w:vertAlign w:val="superscript"/>
          <w:lang w:val="fr-FR"/>
        </w:rPr>
        <w:t>os</w:t>
      </w:r>
      <w:r w:rsidRPr="00EE65CE">
        <w:rPr>
          <w:b/>
          <w:lang w:val="fr-FR"/>
        </w:rPr>
        <w:t xml:space="preserve"> 11 et 12 :</w:t>
      </w:r>
      <w:r w:rsidRPr="00EE65CE">
        <w:rPr>
          <w:lang w:val="fr-FR"/>
        </w:rPr>
        <w:t xml:space="preserve"> L’étude exploratoire s’est révélée utile pour comprendre la notion de “norme internationale” au regard de la situation dans les trois pays, ce qui leur a permis de recenser les lacunes en matière de politique générale ou de législation, de fixer des priorités et de mieux saisir le potentiel qu’offrait la propriété intellectuelle.  L’étude s’est également révélée utile dans la mesure où elle a donné des orientations quant aux aspects à privilégier dans le cadre du projet.  L’étude sur la gestion des droits a également fourni aux pays participants des indications similaires et des propositions concrètes.</w:t>
      </w:r>
    </w:p>
    <w:p w:rsidR="00EE65CE" w:rsidRPr="00EE65CE" w:rsidRDefault="00EE65CE" w:rsidP="00EE65CE">
      <w:pPr>
        <w:pStyle w:val="ONUMFS"/>
        <w:rPr>
          <w:lang w:val="fr-FR"/>
        </w:rPr>
      </w:pPr>
      <w:r w:rsidRPr="00EE65CE">
        <w:rPr>
          <w:b/>
          <w:lang w:val="fr-FR"/>
        </w:rPr>
        <w:t>Observations n</w:t>
      </w:r>
      <w:r w:rsidRPr="00EE65CE">
        <w:rPr>
          <w:b/>
          <w:vertAlign w:val="superscript"/>
          <w:lang w:val="fr-FR"/>
        </w:rPr>
        <w:t>os</w:t>
      </w:r>
      <w:r w:rsidRPr="00EE65CE">
        <w:rPr>
          <w:b/>
          <w:lang w:val="fr-FR"/>
        </w:rPr>
        <w:t xml:space="preserve"> 13 et 14 :</w:t>
      </w:r>
      <w:r w:rsidRPr="00EE65CE">
        <w:rPr>
          <w:lang w:val="fr-FR"/>
        </w:rPr>
        <w:t xml:space="preserve"> Les ateliers de formation se sont révélés très utiles pour renforcer les connaissances des professionnels du cinéma et des autres parties prenantes en matière de propriété intellectuelle dans le secteur de l’audiovisuel.  Les ateliers ont été appréciés par les participants pour leur orientation pratique et le grand nombre d’informations fournies.  En outre, dans certains cas, les ateliers ont donné lieu à des initiatives concrètes pour faire progresser les questions.  Le lancement du programme d’enseignement à distance a été reporté au début de 2016.</w:t>
      </w:r>
    </w:p>
    <w:p w:rsidR="00EE65CE" w:rsidRPr="008759FF" w:rsidRDefault="00EE65CE" w:rsidP="00424A9D">
      <w:pPr>
        <w:pStyle w:val="Heading4"/>
        <w:rPr>
          <w:b/>
          <w:lang w:val="fr-FR"/>
        </w:rPr>
      </w:pPr>
      <w:r w:rsidRPr="008759FF">
        <w:rPr>
          <w:b/>
          <w:lang w:val="fr-FR"/>
        </w:rPr>
        <w:lastRenderedPageBreak/>
        <w:t>Viabilité</w:t>
      </w:r>
    </w:p>
    <w:p w:rsidR="00EE65CE" w:rsidRPr="00EE65CE" w:rsidRDefault="00EE65CE" w:rsidP="00424A9D">
      <w:pPr>
        <w:keepNext/>
        <w:rPr>
          <w:lang w:val="fr-FR"/>
        </w:rPr>
      </w:pPr>
    </w:p>
    <w:p w:rsidR="00EE65CE" w:rsidRPr="00EE65CE" w:rsidRDefault="00EE65CE" w:rsidP="00424A9D">
      <w:pPr>
        <w:pStyle w:val="ONUMFS"/>
        <w:keepNext/>
        <w:rPr>
          <w:szCs w:val="22"/>
          <w:lang w:val="fr-FR"/>
        </w:rPr>
      </w:pPr>
      <w:r w:rsidRPr="00EE65CE">
        <w:rPr>
          <w:b/>
          <w:lang w:val="fr-FR"/>
        </w:rPr>
        <w:t>Observations n</w:t>
      </w:r>
      <w:r w:rsidRPr="00EE65CE">
        <w:rPr>
          <w:b/>
          <w:vertAlign w:val="superscript"/>
          <w:lang w:val="fr-FR"/>
        </w:rPr>
        <w:t>os</w:t>
      </w:r>
      <w:r w:rsidRPr="00EE65CE">
        <w:rPr>
          <w:b/>
          <w:lang w:val="fr-FR"/>
        </w:rPr>
        <w:t xml:space="preserve"> 15 à 17 :</w:t>
      </w:r>
      <w:r w:rsidRPr="00EE65CE">
        <w:rPr>
          <w:lang w:val="fr-FR"/>
        </w:rPr>
        <w:t xml:space="preserve"> </w:t>
      </w:r>
      <w:r w:rsidRPr="00EE65CE">
        <w:rPr>
          <w:szCs w:val="22"/>
          <w:lang w:val="fr-FR"/>
        </w:rPr>
        <w:t xml:space="preserve">En tant que projet pilote, le projet a jeté les bases d’un renforcement de la connaissance et de l’utilisation potentielle de la propriété intellectuelle dans le secteur de l’audiovisuel dans les trois pays concernés.  </w:t>
      </w:r>
      <w:r w:rsidRPr="00EE65CE">
        <w:rPr>
          <w:lang w:val="fr-FR"/>
        </w:rPr>
        <w:t xml:space="preserve">Toutefois, pour que les résultats soient viables et que les objectifs du projet soient atteints, un appui supplémentaire de l’OMPI serait nécessaire.  </w:t>
      </w:r>
      <w:r w:rsidRPr="00EE65CE">
        <w:rPr>
          <w:szCs w:val="22"/>
          <w:lang w:val="fr-FR"/>
        </w:rPr>
        <w:t>La probabilité que les progrès accomplis jusqu’ici soient viables dépend également de l’appui apporté par les autorités compétentes dans les trois pays.</w:t>
      </w:r>
    </w:p>
    <w:p w:rsidR="00EE65CE" w:rsidRPr="008759FF" w:rsidRDefault="00EE65CE" w:rsidP="00EE65CE">
      <w:pPr>
        <w:pStyle w:val="Heading4"/>
        <w:rPr>
          <w:b/>
          <w:lang w:val="fr-FR"/>
        </w:rPr>
      </w:pPr>
      <w:r w:rsidRPr="008759FF">
        <w:rPr>
          <w:b/>
          <w:lang w:val="fr-FR"/>
        </w:rPr>
        <w:t>Mise en œuvre des recommandations du plan d’action pour le développement</w:t>
      </w:r>
    </w:p>
    <w:p w:rsidR="00EE65CE" w:rsidRPr="00EE65CE" w:rsidRDefault="00EE65CE" w:rsidP="00EE65CE">
      <w:pPr>
        <w:rPr>
          <w:lang w:val="fr-FR"/>
        </w:rPr>
      </w:pPr>
    </w:p>
    <w:p w:rsidR="00EE65CE" w:rsidRPr="00EE65CE" w:rsidRDefault="00EE65CE" w:rsidP="00EE65CE">
      <w:pPr>
        <w:pStyle w:val="ONUMFS"/>
        <w:rPr>
          <w:lang w:val="fr-FR"/>
        </w:rPr>
      </w:pPr>
      <w:r w:rsidRPr="00EE65CE">
        <w:rPr>
          <w:b/>
          <w:lang w:val="fr-FR"/>
        </w:rPr>
        <w:t>Observation n° 18 :</w:t>
      </w:r>
      <w:r w:rsidRPr="00EE65CE">
        <w:rPr>
          <w:lang w:val="fr-FR"/>
        </w:rPr>
        <w:t xml:space="preserve"> Le projet a contribué à la mise en œuvre de la recommandation n° 1 dans la mesure où il était fondé sur une demande présentée par un État membre, transparent au regard de sa mise en œuvre et ciblé par pays.  La recommandation n° 2 préconisait la fourniture prioritaire d’une assistance aux pays les moins avancés (PMA) et aux pays africains, ce qui a été le cas pour le projet, qui était basé en Afrique et concernait deux PMA (Burkina Faso et Sénégal).  La recommandation n° 4, qui mettait l’accent sur les besoins des petites et moyennes entreprises (PME), a été en partie prise en considération dans le cadre du projet dans la mesure où l’industrie cinématographique dans les pays participants est en grande partie constituée de PME.  Le projet, qui avait mis l’accent sur le renforcement des cadres d’action et des institutions dans le domaine du droit d’auteur, a également contribué à la mise en œuvre de la recommandation n° 10.  La recommandation n° 11, qui visait à aider les États membres à renforcer leur capacité de protection des créations nationales, a été pleinement prise en considération dans le cadre du projet, </w:t>
      </w:r>
      <w:r w:rsidRPr="00EE65CE">
        <w:rPr>
          <w:szCs w:val="22"/>
          <w:lang w:val="fr-FR"/>
        </w:rPr>
        <w:t xml:space="preserve">qui était axé sur une meilleure connaissance et une utilisation à terme de la propriété intellectuelle pour protéger les créations nationales (à savoir les œuvres audiovisuelles) en Afrique.  </w:t>
      </w:r>
    </w:p>
    <w:p w:rsidR="00EE65CE" w:rsidRPr="008759FF" w:rsidRDefault="00EE65CE" w:rsidP="008759FF">
      <w:pPr>
        <w:pStyle w:val="ONUMFS"/>
        <w:numPr>
          <w:ilvl w:val="0"/>
          <w:numId w:val="0"/>
        </w:numPr>
        <w:rPr>
          <w:b/>
          <w:lang w:val="fr-FR"/>
        </w:rPr>
      </w:pPr>
      <w:r w:rsidRPr="008759FF">
        <w:rPr>
          <w:b/>
          <w:lang w:val="fr-FR"/>
        </w:rPr>
        <w:t xml:space="preserve">Conclusions et </w:t>
      </w:r>
      <w:bookmarkEnd w:id="11"/>
      <w:bookmarkEnd w:id="12"/>
      <w:bookmarkEnd w:id="13"/>
      <w:r w:rsidRPr="008759FF">
        <w:rPr>
          <w:b/>
          <w:lang w:val="fr-FR"/>
        </w:rPr>
        <w:t>recommandations</w:t>
      </w:r>
    </w:p>
    <w:p w:rsidR="00EE65CE" w:rsidRPr="00EE65CE" w:rsidRDefault="00EE65CE" w:rsidP="00EE65CE">
      <w:pPr>
        <w:rPr>
          <w:lang w:val="fr-FR"/>
        </w:rPr>
      </w:pPr>
    </w:p>
    <w:p w:rsidR="00EE65CE" w:rsidRPr="00EE65CE" w:rsidRDefault="00EE65CE" w:rsidP="00EE65CE">
      <w:pPr>
        <w:pStyle w:val="ONUMFS"/>
        <w:rPr>
          <w:lang w:val="fr-FR"/>
        </w:rPr>
      </w:pPr>
      <w:r w:rsidRPr="00EE65CE">
        <w:rPr>
          <w:b/>
          <w:lang w:val="fr-FR"/>
        </w:rPr>
        <w:t>Conclusion n° 1</w:t>
      </w:r>
      <w:r w:rsidRPr="00EE65CE">
        <w:rPr>
          <w:lang w:val="fr-FR"/>
        </w:rPr>
        <w:t xml:space="preserve"> (</w:t>
      </w:r>
      <w:r w:rsidRPr="00EE65CE">
        <w:rPr>
          <w:i/>
          <w:lang w:val="fr-FR"/>
        </w:rPr>
        <w:t>voir les observations n</w:t>
      </w:r>
      <w:r w:rsidRPr="00EE65CE">
        <w:rPr>
          <w:i/>
          <w:vertAlign w:val="superscript"/>
          <w:lang w:val="fr-FR"/>
        </w:rPr>
        <w:t>os</w:t>
      </w:r>
      <w:r w:rsidRPr="00EE65CE">
        <w:rPr>
          <w:i/>
          <w:lang w:val="fr-FR"/>
        </w:rPr>
        <w:t> 1 à 18</w:t>
      </w:r>
      <w:r w:rsidRPr="00EE65CE">
        <w:rPr>
          <w:lang w:val="fr-FR"/>
        </w:rPr>
        <w:t>).  Dans l’ensemble, le projet a réussi à faire mieux comprendre les avantages potentiels de la propriété intellectuelle pour le secteur de l’audiovisuel et à créer une dynamique en ce qui concerne le renforcement de l’utilisation de la propriété intellectuelle dans les trois pays participants.  Il a aidé les autorités à renforcer leurs cadres d’action et leurs infrastructures afin d’appuyer cette utilisation.  Le projet a également donné l’occasion de mettre en évidence une utilisation positive de la propriété intellectuelle en Afrique au service des industries de la création.</w:t>
      </w:r>
    </w:p>
    <w:p w:rsidR="00EE65CE" w:rsidRPr="00EE65CE" w:rsidRDefault="00EE65CE" w:rsidP="00EE65CE">
      <w:pPr>
        <w:pStyle w:val="ONUMFS"/>
        <w:rPr>
          <w:lang w:val="fr-FR"/>
        </w:rPr>
      </w:pPr>
      <w:r w:rsidRPr="00EE65CE">
        <w:rPr>
          <w:b/>
          <w:lang w:val="fr-FR"/>
        </w:rPr>
        <w:t>Conclusion n° 2</w:t>
      </w:r>
      <w:r w:rsidRPr="00EE65CE">
        <w:rPr>
          <w:lang w:val="fr-FR"/>
        </w:rPr>
        <w:t xml:space="preserve"> (</w:t>
      </w:r>
      <w:r w:rsidRPr="00EE65CE">
        <w:rPr>
          <w:i/>
          <w:lang w:val="fr-FR"/>
        </w:rPr>
        <w:t>voir les observations n</w:t>
      </w:r>
      <w:r w:rsidRPr="00EE65CE">
        <w:rPr>
          <w:i/>
          <w:vertAlign w:val="superscript"/>
          <w:lang w:val="fr-FR"/>
        </w:rPr>
        <w:t>os</w:t>
      </w:r>
      <w:r w:rsidRPr="00EE65CE">
        <w:rPr>
          <w:i/>
          <w:lang w:val="fr-FR"/>
        </w:rPr>
        <w:t> 1 à 6</w:t>
      </w:r>
      <w:r w:rsidRPr="00EE65CE">
        <w:rPr>
          <w:lang w:val="fr-FR"/>
        </w:rPr>
        <w:t xml:space="preserve">).  Le projet a rencontré certaines difficultés au niveau de l’encadrement, découlant essentiellement de la disponibilité du personnel et des divers degrés d’implication du personnel local, qui ont donné lieu à des retards dans la mise en œuvre du projet, notamment en ce qui concerne la programmation des ateliers et le lancement du programme d’enseignement à distance.  En outre, certaines activités de suivi n’ont, de ce fait, pas pu être pleinement réalisées, en particulier en ce qui concerne la manière dont les participants de la formation </w:t>
      </w:r>
      <w:proofErr w:type="gramStart"/>
      <w:r w:rsidRPr="00EE65CE">
        <w:rPr>
          <w:lang w:val="fr-FR"/>
        </w:rPr>
        <w:t>ont</w:t>
      </w:r>
      <w:proofErr w:type="gramEnd"/>
      <w:r w:rsidRPr="00EE65CE">
        <w:rPr>
          <w:lang w:val="fr-FR"/>
        </w:rPr>
        <w:t xml:space="preserve"> utilisé les compétences acquises.  La disponibilité permanente du responsable du projet et un plus grand appui administratif </w:t>
      </w:r>
      <w:proofErr w:type="gramStart"/>
      <w:r w:rsidRPr="00EE65CE">
        <w:rPr>
          <w:lang w:val="fr-FR"/>
        </w:rPr>
        <w:t>auraient</w:t>
      </w:r>
      <w:proofErr w:type="gramEnd"/>
      <w:r w:rsidRPr="00EE65CE">
        <w:rPr>
          <w:lang w:val="fr-FR"/>
        </w:rPr>
        <w:t xml:space="preserve"> pu permettre de remédier à cette situation.</w:t>
      </w:r>
    </w:p>
    <w:p w:rsidR="00EE65CE" w:rsidRPr="00EE65CE" w:rsidRDefault="00EE65CE" w:rsidP="00EE65CE">
      <w:pPr>
        <w:pStyle w:val="ONUMFS"/>
        <w:rPr>
          <w:lang w:val="fr-FR"/>
        </w:rPr>
      </w:pPr>
      <w:r w:rsidRPr="00EE65CE">
        <w:rPr>
          <w:b/>
          <w:lang w:val="fr-FR"/>
        </w:rPr>
        <w:t>Conclusion n° 3</w:t>
      </w:r>
      <w:r w:rsidRPr="00EE65CE">
        <w:rPr>
          <w:lang w:val="fr-FR"/>
        </w:rPr>
        <w:t xml:space="preserve"> (</w:t>
      </w:r>
      <w:r w:rsidRPr="00EE65CE">
        <w:rPr>
          <w:i/>
          <w:lang w:val="fr-FR"/>
        </w:rPr>
        <w:t>voir les observations n</w:t>
      </w:r>
      <w:r w:rsidRPr="00EE65CE">
        <w:rPr>
          <w:i/>
          <w:vertAlign w:val="superscript"/>
          <w:lang w:val="fr-FR"/>
        </w:rPr>
        <w:t>os</w:t>
      </w:r>
      <w:r w:rsidRPr="00EE65CE">
        <w:rPr>
          <w:i/>
          <w:lang w:val="fr-FR"/>
        </w:rPr>
        <w:t> 7 à 14</w:t>
      </w:r>
      <w:r w:rsidRPr="00EE65CE">
        <w:rPr>
          <w:lang w:val="fr-FR"/>
        </w:rPr>
        <w:t>).  Il ressort des observations que le projet était essentiellement axé sur le programme de formation dans les pays et une importance moindre a été accordée à l’appui aux infrastructures et aux cadres d’action.  Cela est compréhensible étant donné que la formation était nécessaire pour jeter les bases de l’appui aux infrastructures et aux cadres d’action.  Toutefois, compte tenu des délais d’exécution du projet, le potentiel de cet appui n’a peut</w:t>
      </w:r>
      <w:r w:rsidRPr="00EE65CE">
        <w:rPr>
          <w:lang w:val="fr-FR"/>
        </w:rPr>
        <w:noBreakHyphen/>
        <w:t>être pas été pleinement atteint et pourrait constituer un objectif pour des activités futures.</w:t>
      </w:r>
    </w:p>
    <w:p w:rsidR="00EE65CE" w:rsidRPr="00EE65CE" w:rsidRDefault="00EE65CE" w:rsidP="00EE65CE">
      <w:pPr>
        <w:pStyle w:val="ONUMFS"/>
        <w:rPr>
          <w:lang w:val="fr-FR"/>
        </w:rPr>
      </w:pPr>
      <w:r w:rsidRPr="00EE65CE">
        <w:rPr>
          <w:b/>
          <w:lang w:val="fr-FR"/>
        </w:rPr>
        <w:lastRenderedPageBreak/>
        <w:t>Conclusion n° 4</w:t>
      </w:r>
      <w:r w:rsidRPr="00EE65CE">
        <w:rPr>
          <w:lang w:val="fr-FR"/>
        </w:rPr>
        <w:t xml:space="preserve"> (</w:t>
      </w:r>
      <w:r w:rsidRPr="00EE65CE">
        <w:rPr>
          <w:i/>
          <w:lang w:val="fr-FR"/>
        </w:rPr>
        <w:t>voir les observations n</w:t>
      </w:r>
      <w:r w:rsidRPr="00EE65CE">
        <w:rPr>
          <w:i/>
          <w:vertAlign w:val="superscript"/>
          <w:lang w:val="fr-FR"/>
        </w:rPr>
        <w:t>os</w:t>
      </w:r>
      <w:r w:rsidRPr="00EE65CE">
        <w:rPr>
          <w:i/>
          <w:lang w:val="fr-FR"/>
        </w:rPr>
        <w:t> 15 à 18</w:t>
      </w:r>
      <w:r w:rsidRPr="00EE65CE">
        <w:rPr>
          <w:lang w:val="fr-FR"/>
        </w:rPr>
        <w:t>).  Il ressort des observations que, pour que les progrès constatés dans les trois pays participants soient pleinement exploités et donnent lieu à une utilisation accrue de la propriété intellectuelle, un appui supplémentaire de l’OMPI serait nécessaire.  Il est fondamental de déterminer le type d’appui nécessaire afin de s’assurer que la propriété intellectuelle est bien intégrée dans le secteur de l’audiovisuel dans ces pays.  Il semble approprié que l’OMPI redouble d’efforts dans les trois pays participants afin de stimuler l’utilisation de la propriété intellectuelle, éventuellement en fournissant un appui plus ciblé aux professionnels du cinéma, aux autres parties prenantes (juristes, radiodiffuseurs, etc.) et dans le cadre des infrastructures et cadres d’action nécessaires.  Les deux études susmentionnées et les rapports relatifs aux ateliers de formation contiennent un grand nombre de recommandations concrètes à cet égard.  L’OMPI pourrait envisager d’intégrer d’autres pays, mais compte tenu des ressources limitées, elle devrait poser des limites en ce qui concerne le nombre de pays auxquels elle pourrait fournir une assistance afin d’éviter d’entrer dans un cycle permanent de formation qui pourrait prendre beaucoup de temps (d’où le rôle positif que peut jouer le programme d’enseignement à distance).</w:t>
      </w:r>
    </w:p>
    <w:p w:rsidR="00EE65CE" w:rsidRPr="00EE65CE" w:rsidRDefault="00EE65CE" w:rsidP="00EE65CE">
      <w:pPr>
        <w:pStyle w:val="ONUMFS"/>
        <w:rPr>
          <w:lang w:val="fr-FR"/>
        </w:rPr>
      </w:pPr>
      <w:r w:rsidRPr="00EE65CE">
        <w:rPr>
          <w:b/>
          <w:lang w:val="fr-FR"/>
        </w:rPr>
        <w:t>Recommandation n° 1</w:t>
      </w:r>
      <w:r w:rsidRPr="00EE65CE">
        <w:rPr>
          <w:lang w:val="fr-FR"/>
        </w:rPr>
        <w:t xml:space="preserve"> (voir les conclusions n</w:t>
      </w:r>
      <w:r w:rsidRPr="00EE65CE">
        <w:rPr>
          <w:vertAlign w:val="superscript"/>
          <w:lang w:val="fr-FR"/>
        </w:rPr>
        <w:t>os</w:t>
      </w:r>
      <w:r w:rsidRPr="00EE65CE">
        <w:rPr>
          <w:lang w:val="fr-FR"/>
        </w:rPr>
        <w:t> 1 et 4 et les observations n</w:t>
      </w:r>
      <w:r w:rsidRPr="00EE65CE">
        <w:rPr>
          <w:vertAlign w:val="superscript"/>
          <w:lang w:val="fr-FR"/>
        </w:rPr>
        <w:t>os</w:t>
      </w:r>
      <w:r w:rsidRPr="00EE65CE">
        <w:rPr>
          <w:lang w:val="fr-FR"/>
        </w:rPr>
        <w:t> 1 à 18).  Il est recommandé au CDIP d’appuyer le lancement d’une deuxième phase du projet et la mise à la disposition du Secrétariat de l’OMPI des ressources nécessaires pour permettre une mise en œuvre efficace.</w:t>
      </w:r>
    </w:p>
    <w:p w:rsidR="00EE65CE" w:rsidRPr="00EE65CE" w:rsidRDefault="00EE65CE" w:rsidP="00EE65CE">
      <w:pPr>
        <w:pStyle w:val="ONUMFS"/>
        <w:rPr>
          <w:lang w:val="fr-FR"/>
        </w:rPr>
      </w:pPr>
      <w:r w:rsidRPr="00EE65CE">
        <w:rPr>
          <w:b/>
          <w:lang w:val="fr-FR"/>
        </w:rPr>
        <w:t xml:space="preserve">Recommandation n° 2 </w:t>
      </w:r>
      <w:r w:rsidRPr="00EE65CE">
        <w:rPr>
          <w:lang w:val="fr-FR"/>
        </w:rPr>
        <w:t>(</w:t>
      </w:r>
      <w:r w:rsidRPr="00EE65CE">
        <w:rPr>
          <w:i/>
          <w:lang w:val="fr-FR"/>
        </w:rPr>
        <w:t>voir les conclusions n</w:t>
      </w:r>
      <w:r w:rsidRPr="00EE65CE">
        <w:rPr>
          <w:i/>
          <w:vertAlign w:val="superscript"/>
          <w:lang w:val="fr-FR"/>
        </w:rPr>
        <w:t>os</w:t>
      </w:r>
      <w:r w:rsidRPr="00EE65CE">
        <w:rPr>
          <w:i/>
          <w:lang w:val="fr-FR"/>
        </w:rPr>
        <w:t> 2 et 3 et les observations n</w:t>
      </w:r>
      <w:r w:rsidRPr="00EE65CE">
        <w:rPr>
          <w:i/>
          <w:vertAlign w:val="superscript"/>
          <w:lang w:val="fr-FR"/>
        </w:rPr>
        <w:t>os</w:t>
      </w:r>
      <w:r w:rsidRPr="00EE65CE">
        <w:rPr>
          <w:i/>
          <w:lang w:val="fr-FR"/>
        </w:rPr>
        <w:t> 1 à 14</w:t>
      </w:r>
      <w:r w:rsidRPr="00EE65CE">
        <w:rPr>
          <w:lang w:val="fr-FR"/>
        </w:rPr>
        <w:t>).  Il est recommandé au Secrétariat de l’OMPI de mettre l’accent, lors de l’élaboration d’une deuxième phase, sur la consolidation des progrès réalisés jusqu’ici dans les trois pays participants et, si d’autres pays sont intégrés, de définir précisément la portée de l’assistance fournie.  En outre, il conviendrait d’assurer un meilleur suivi des activités et de prévoir des crédits suffisants pour apporter un soutien accru au personnel administratif ou aux autres intervenants, tels que les coordonnateurs régionaux.  Par ailleurs, il conviendrait de prévoir un budget suffisant pour fournir une assistance aux trois pays participants et aux autres pays intéressés.</w:t>
      </w:r>
    </w:p>
    <w:p w:rsidR="00EE65CE" w:rsidRDefault="00EE65CE" w:rsidP="00EE65CE">
      <w:pPr>
        <w:pStyle w:val="ONUMFS"/>
        <w:rPr>
          <w:lang w:val="fr-FR"/>
        </w:rPr>
      </w:pPr>
      <w:r w:rsidRPr="00EE65CE">
        <w:rPr>
          <w:b/>
          <w:lang w:val="fr-FR"/>
        </w:rPr>
        <w:t>Recommandation n° 3</w:t>
      </w:r>
      <w:r w:rsidRPr="00EE65CE">
        <w:rPr>
          <w:lang w:val="fr-FR"/>
        </w:rPr>
        <w:t xml:space="preserve"> </w:t>
      </w:r>
      <w:r w:rsidRPr="00EE65CE">
        <w:rPr>
          <w:i/>
          <w:lang w:val="fr-FR"/>
        </w:rPr>
        <w:t>(voir les conclusions n</w:t>
      </w:r>
      <w:r w:rsidRPr="00EE65CE">
        <w:rPr>
          <w:i/>
          <w:vertAlign w:val="superscript"/>
          <w:lang w:val="fr-FR"/>
        </w:rPr>
        <w:t>os</w:t>
      </w:r>
      <w:r w:rsidRPr="00EE65CE">
        <w:rPr>
          <w:i/>
          <w:lang w:val="fr-FR"/>
        </w:rPr>
        <w:t> 3 et 4 et les observations n</w:t>
      </w:r>
      <w:r w:rsidRPr="00EE65CE">
        <w:rPr>
          <w:i/>
          <w:vertAlign w:val="superscript"/>
          <w:lang w:val="fr-FR"/>
        </w:rPr>
        <w:t>os</w:t>
      </w:r>
      <w:r w:rsidRPr="00EE65CE">
        <w:rPr>
          <w:i/>
          <w:lang w:val="fr-FR"/>
        </w:rPr>
        <w:t> 7 à 18</w:t>
      </w:r>
      <w:r w:rsidRPr="00EE65CE">
        <w:rPr>
          <w:lang w:val="fr-FR"/>
        </w:rPr>
        <w:t>).  Il est recommandé que toutes les parties prenantes concernées (bureau du droit d’auteur, ministère de la culture, commission cinématographique et autres organismes) dans les pays participants réaffirment leur soutien et leur engagement en faveur du projet et fassent en sorte que les fonctions essentielles, telles que celles des coordonnateurs locaux soient créées et garanties.</w:t>
      </w:r>
    </w:p>
    <w:p w:rsidR="00424A9D" w:rsidRPr="00EE65CE" w:rsidRDefault="00424A9D" w:rsidP="00424A9D">
      <w:pPr>
        <w:pStyle w:val="ONUMFS"/>
        <w:numPr>
          <w:ilvl w:val="0"/>
          <w:numId w:val="0"/>
        </w:numPr>
        <w:rPr>
          <w:lang w:val="fr-FR"/>
        </w:rPr>
      </w:pPr>
    </w:p>
    <w:p w:rsidR="009D6827" w:rsidRPr="00EE65CE" w:rsidRDefault="0026522C" w:rsidP="00542460">
      <w:pPr>
        <w:pStyle w:val="Heading1"/>
        <w:rPr>
          <w:lang w:val="fr-FR"/>
        </w:rPr>
      </w:pPr>
      <w:bookmarkStart w:id="18" w:name="_Toc441830352"/>
      <w:r w:rsidRPr="00EE65CE">
        <w:rPr>
          <w:lang w:val="fr-FR"/>
        </w:rPr>
        <w:t>I</w:t>
      </w:r>
      <w:r w:rsidR="00385620" w:rsidRPr="00EE65CE">
        <w:rPr>
          <w:lang w:val="fr-FR"/>
        </w:rPr>
        <w:t>.</w:t>
      </w:r>
      <w:r w:rsidR="00385620" w:rsidRPr="00EE65CE">
        <w:rPr>
          <w:lang w:val="fr-FR"/>
        </w:rPr>
        <w:tab/>
      </w:r>
      <w:r w:rsidR="00FB6E4B" w:rsidRPr="00EE65CE">
        <w:rPr>
          <w:lang w:val="fr-FR"/>
        </w:rPr>
        <w:t>Introduction</w:t>
      </w:r>
      <w:bookmarkEnd w:id="9"/>
      <w:bookmarkEnd w:id="18"/>
    </w:p>
    <w:p w:rsidR="005D46B7" w:rsidRPr="00EE65CE" w:rsidRDefault="005D46B7" w:rsidP="00542460">
      <w:pPr>
        <w:rPr>
          <w:lang w:val="fr-FR"/>
        </w:rPr>
      </w:pPr>
    </w:p>
    <w:p w:rsidR="009D6827" w:rsidRPr="00EE65CE" w:rsidRDefault="0034070E" w:rsidP="00542460">
      <w:pPr>
        <w:numPr>
          <w:ilvl w:val="0"/>
          <w:numId w:val="25"/>
        </w:numPr>
        <w:autoSpaceDE w:val="0"/>
        <w:autoSpaceDN w:val="0"/>
        <w:adjustRightInd w:val="0"/>
        <w:rPr>
          <w:lang w:val="fr-FR"/>
        </w:rPr>
      </w:pPr>
      <w:r w:rsidRPr="00EE65CE">
        <w:rPr>
          <w:lang w:val="fr-FR"/>
        </w:rPr>
        <w:t xml:space="preserve">Le présent rapport </w:t>
      </w:r>
      <w:r w:rsidR="000F68CA" w:rsidRPr="00EE65CE">
        <w:rPr>
          <w:lang w:val="fr-FR"/>
        </w:rPr>
        <w:t xml:space="preserve">porte sur une évaluation indépendante du projet </w:t>
      </w:r>
      <w:r w:rsidR="007B11A5" w:rsidRPr="00EE65CE">
        <w:rPr>
          <w:lang w:val="fr-FR"/>
        </w:rPr>
        <w:t>DA_1_2_4_10_11</w:t>
      </w:r>
      <w:r w:rsidR="000F68CA" w:rsidRPr="00EE65CE">
        <w:rPr>
          <w:lang w:val="fr-FR"/>
        </w:rPr>
        <w:t xml:space="preserve"> du Plan d</w:t>
      </w:r>
      <w:r w:rsidR="009D6827" w:rsidRPr="00EE65CE">
        <w:rPr>
          <w:lang w:val="fr-FR"/>
        </w:rPr>
        <w:t>’</w:t>
      </w:r>
      <w:r w:rsidR="000F68CA" w:rsidRPr="00EE65CE">
        <w:rPr>
          <w:lang w:val="fr-FR"/>
        </w:rPr>
        <w:t>action pour le développement, relatif au renforcement et au développement du secteur de l</w:t>
      </w:r>
      <w:r w:rsidR="009D6827" w:rsidRPr="00EE65CE">
        <w:rPr>
          <w:lang w:val="fr-FR"/>
        </w:rPr>
        <w:t>’</w:t>
      </w:r>
      <w:r w:rsidR="000F68CA" w:rsidRPr="00EE65CE">
        <w:rPr>
          <w:lang w:val="fr-FR"/>
        </w:rPr>
        <w:t xml:space="preserve">audiovisuel au Burkina Faso et dans certains pays africains. </w:t>
      </w:r>
      <w:r w:rsidR="00C04DC4" w:rsidRPr="00EE65CE">
        <w:rPr>
          <w:lang w:val="fr-FR"/>
        </w:rPr>
        <w:t xml:space="preserve"> </w:t>
      </w:r>
      <w:r w:rsidR="000F68CA" w:rsidRPr="00EE65CE">
        <w:rPr>
          <w:lang w:val="fr-FR"/>
        </w:rPr>
        <w:t>Le projet a été approuvé à la neuvième session du Comité du développement et de la propriété intellectuelle (CDI</w:t>
      </w:r>
      <w:r w:rsidR="00FB6E4B" w:rsidRPr="00EE65CE">
        <w:rPr>
          <w:lang w:val="fr-FR"/>
        </w:rPr>
        <w:t>P)</w:t>
      </w:r>
      <w:r w:rsidR="00ED193D" w:rsidRPr="00EE65CE">
        <w:rPr>
          <w:lang w:val="fr-FR"/>
        </w:rPr>
        <w:t xml:space="preserve"> (document CDIP/</w:t>
      </w:r>
      <w:r w:rsidR="00991AA8" w:rsidRPr="00EE65CE">
        <w:rPr>
          <w:lang w:val="fr-FR"/>
        </w:rPr>
        <w:t>9</w:t>
      </w:r>
      <w:r w:rsidR="00ED193D" w:rsidRPr="00EE65CE">
        <w:rPr>
          <w:lang w:val="fr-FR"/>
        </w:rPr>
        <w:t>/</w:t>
      </w:r>
      <w:r w:rsidR="007B11A5" w:rsidRPr="00EE65CE">
        <w:rPr>
          <w:lang w:val="fr-FR"/>
        </w:rPr>
        <w:t>13</w:t>
      </w:r>
      <w:r w:rsidR="00ED193D" w:rsidRPr="00EE65CE">
        <w:rPr>
          <w:lang w:val="fr-FR"/>
        </w:rPr>
        <w:t>)</w:t>
      </w:r>
      <w:r w:rsidR="00991AA8" w:rsidRPr="00EE65CE">
        <w:rPr>
          <w:lang w:val="fr-FR"/>
        </w:rPr>
        <w:t xml:space="preserve">, </w:t>
      </w:r>
      <w:r w:rsidR="000F68CA" w:rsidRPr="00EE65CE">
        <w:rPr>
          <w:lang w:val="fr-FR"/>
        </w:rPr>
        <w:t>tenue à Genève en mai </w:t>
      </w:r>
      <w:r w:rsidR="00C04DC4" w:rsidRPr="00EE65CE">
        <w:rPr>
          <w:lang w:val="fr-FR"/>
        </w:rPr>
        <w:t>201</w:t>
      </w:r>
      <w:r w:rsidR="00991AA8" w:rsidRPr="00EE65CE">
        <w:rPr>
          <w:lang w:val="fr-FR"/>
        </w:rPr>
        <w:t>2</w:t>
      </w:r>
      <w:r w:rsidR="00FB6E4B" w:rsidRPr="00EE65CE">
        <w:rPr>
          <w:lang w:val="fr-FR"/>
        </w:rPr>
        <w:t xml:space="preserve">. </w:t>
      </w:r>
      <w:r w:rsidR="005436B4" w:rsidRPr="00EE65CE">
        <w:rPr>
          <w:lang w:val="fr-FR"/>
        </w:rPr>
        <w:t xml:space="preserve"> </w:t>
      </w:r>
      <w:r w:rsidR="000F68CA" w:rsidRPr="00EE65CE">
        <w:rPr>
          <w:lang w:val="fr-FR"/>
        </w:rPr>
        <w:t>La mise en œuvre du projet a débuté en février 2013 et a été achevée en octobre </w:t>
      </w:r>
      <w:r w:rsidR="007B11A5" w:rsidRPr="00EE65CE">
        <w:rPr>
          <w:lang w:val="fr-FR"/>
        </w:rPr>
        <w:t>2015</w:t>
      </w:r>
      <w:r w:rsidR="00C211F6" w:rsidRPr="00EE65CE">
        <w:rPr>
          <w:lang w:val="fr-FR"/>
        </w:rPr>
        <w:t>.</w:t>
      </w:r>
    </w:p>
    <w:p w:rsidR="009D6C1E" w:rsidRDefault="009D6C1E" w:rsidP="00542460">
      <w:pPr>
        <w:autoSpaceDE w:val="0"/>
        <w:autoSpaceDN w:val="0"/>
        <w:adjustRightInd w:val="0"/>
        <w:rPr>
          <w:rFonts w:eastAsia="Times New Roman"/>
          <w:szCs w:val="22"/>
          <w:lang w:val="fr-FR" w:eastAsia="en-US"/>
        </w:rPr>
      </w:pPr>
    </w:p>
    <w:p w:rsidR="00424A9D" w:rsidRDefault="00424A9D">
      <w:pPr>
        <w:rPr>
          <w:rFonts w:eastAsia="Times New Roman"/>
          <w:szCs w:val="22"/>
          <w:lang w:val="fr-FR" w:eastAsia="en-US"/>
        </w:rPr>
      </w:pPr>
      <w:r>
        <w:rPr>
          <w:rFonts w:eastAsia="Times New Roman"/>
          <w:szCs w:val="22"/>
          <w:lang w:val="fr-FR" w:eastAsia="en-US"/>
        </w:rPr>
        <w:br w:type="page"/>
      </w:r>
    </w:p>
    <w:p w:rsidR="00424A9D" w:rsidRPr="00EE65CE" w:rsidRDefault="00424A9D" w:rsidP="00542460">
      <w:pPr>
        <w:autoSpaceDE w:val="0"/>
        <w:autoSpaceDN w:val="0"/>
        <w:adjustRightInd w:val="0"/>
        <w:rPr>
          <w:rFonts w:eastAsia="Times New Roman"/>
          <w:szCs w:val="22"/>
          <w:lang w:val="fr-FR" w:eastAsia="en-US"/>
        </w:rPr>
      </w:pPr>
    </w:p>
    <w:p w:rsidR="009D6827" w:rsidRPr="00EE65CE" w:rsidRDefault="00385620" w:rsidP="00542460">
      <w:pPr>
        <w:pStyle w:val="Heading1"/>
        <w:rPr>
          <w:lang w:val="fr-FR"/>
        </w:rPr>
      </w:pPr>
      <w:bookmarkStart w:id="19" w:name="_Toc336032068"/>
      <w:bookmarkStart w:id="20" w:name="_Toc441830353"/>
      <w:r w:rsidRPr="00EE65CE">
        <w:rPr>
          <w:lang w:val="fr-FR"/>
        </w:rPr>
        <w:t>II.</w:t>
      </w:r>
      <w:r w:rsidRPr="00EE65CE">
        <w:rPr>
          <w:lang w:val="fr-FR"/>
        </w:rPr>
        <w:tab/>
      </w:r>
      <w:r w:rsidR="00FB6E4B" w:rsidRPr="00EE65CE">
        <w:rPr>
          <w:lang w:val="fr-FR"/>
        </w:rPr>
        <w:t xml:space="preserve">Description </w:t>
      </w:r>
      <w:r w:rsidR="000F68CA" w:rsidRPr="00EE65CE">
        <w:rPr>
          <w:lang w:val="fr-FR"/>
        </w:rPr>
        <w:t>du</w:t>
      </w:r>
      <w:r w:rsidR="00FB6E4B" w:rsidRPr="00EE65CE">
        <w:rPr>
          <w:lang w:val="fr-FR"/>
        </w:rPr>
        <w:t xml:space="preserve"> projet</w:t>
      </w:r>
      <w:bookmarkEnd w:id="19"/>
      <w:bookmarkEnd w:id="20"/>
    </w:p>
    <w:p w:rsidR="004A5B73" w:rsidRPr="00EE65CE" w:rsidRDefault="004A5B73" w:rsidP="00542460">
      <w:pPr>
        <w:rPr>
          <w:lang w:val="fr-FR"/>
        </w:rPr>
      </w:pPr>
    </w:p>
    <w:p w:rsidR="009D6827" w:rsidRPr="00EE65CE" w:rsidRDefault="001D50BA" w:rsidP="00542460">
      <w:pPr>
        <w:pStyle w:val="BodyText"/>
        <w:numPr>
          <w:ilvl w:val="0"/>
          <w:numId w:val="25"/>
        </w:numPr>
        <w:rPr>
          <w:lang w:val="fr-FR"/>
        </w:rPr>
      </w:pPr>
      <w:r w:rsidRPr="00EE65CE">
        <w:rPr>
          <w:b/>
          <w:lang w:val="fr-FR"/>
        </w:rPr>
        <w:t>Objecti</w:t>
      </w:r>
      <w:r w:rsidR="000F68CA" w:rsidRPr="00EE65CE">
        <w:rPr>
          <w:b/>
          <w:lang w:val="fr-FR"/>
        </w:rPr>
        <w:t>f</w:t>
      </w:r>
      <w:r w:rsidR="00991AA8" w:rsidRPr="00EE65CE">
        <w:rPr>
          <w:b/>
          <w:lang w:val="fr-FR"/>
        </w:rPr>
        <w:t>s</w:t>
      </w:r>
      <w:r w:rsidR="000F68CA" w:rsidRPr="00EE65CE">
        <w:rPr>
          <w:b/>
          <w:lang w:val="fr-FR"/>
        </w:rPr>
        <w:t> </w:t>
      </w:r>
      <w:r w:rsidRPr="00EE65CE">
        <w:rPr>
          <w:b/>
          <w:lang w:val="fr-FR"/>
        </w:rPr>
        <w:t>:</w:t>
      </w:r>
      <w:r w:rsidR="00CF5833" w:rsidRPr="00EE65CE">
        <w:rPr>
          <w:lang w:val="fr-FR"/>
        </w:rPr>
        <w:t xml:space="preserve"> </w:t>
      </w:r>
      <w:r w:rsidR="008545D1" w:rsidRPr="00EE65CE">
        <w:rPr>
          <w:lang w:val="fr-FR"/>
        </w:rPr>
        <w:t xml:space="preserve">le projet </w:t>
      </w:r>
      <w:r w:rsidR="00DA26C2" w:rsidRPr="00EE65CE">
        <w:rPr>
          <w:lang w:val="fr-FR"/>
        </w:rPr>
        <w:t>avait pour objet d</w:t>
      </w:r>
      <w:r w:rsidR="009D6827" w:rsidRPr="00EE65CE">
        <w:rPr>
          <w:lang w:val="fr-FR"/>
        </w:rPr>
        <w:t>’</w:t>
      </w:r>
      <w:r w:rsidR="008545D1" w:rsidRPr="00EE65CE">
        <w:rPr>
          <w:lang w:val="fr-FR"/>
        </w:rPr>
        <w:t>accélérer le développement du secteur de l</w:t>
      </w:r>
      <w:r w:rsidR="009D6827" w:rsidRPr="00EE65CE">
        <w:rPr>
          <w:lang w:val="fr-FR"/>
        </w:rPr>
        <w:t>’</w:t>
      </w:r>
      <w:r w:rsidR="008545D1" w:rsidRPr="00EE65CE">
        <w:rPr>
          <w:lang w:val="fr-FR"/>
        </w:rPr>
        <w:t xml:space="preserve">audiovisuel en Afrique </w:t>
      </w:r>
      <w:r w:rsidR="005A6843" w:rsidRPr="00EE65CE">
        <w:rPr>
          <w:lang w:val="fr-FR"/>
        </w:rPr>
        <w:t>grâce à l</w:t>
      </w:r>
      <w:r w:rsidR="00DA26C2" w:rsidRPr="00EE65CE">
        <w:rPr>
          <w:lang w:val="fr-FR"/>
        </w:rPr>
        <w:t>a fourniture d</w:t>
      </w:r>
      <w:r w:rsidR="009D6827" w:rsidRPr="00EE65CE">
        <w:rPr>
          <w:lang w:val="fr-FR"/>
        </w:rPr>
        <w:t>’</w:t>
      </w:r>
      <w:r w:rsidR="00DA26C2" w:rsidRPr="00EE65CE">
        <w:rPr>
          <w:lang w:val="fr-FR"/>
        </w:rPr>
        <w:t xml:space="preserve">une </w:t>
      </w:r>
      <w:r w:rsidR="005A6843" w:rsidRPr="00EE65CE">
        <w:rPr>
          <w:lang w:val="fr-FR"/>
        </w:rPr>
        <w:t xml:space="preserve">assistance technique et au renforcement des </w:t>
      </w:r>
      <w:r w:rsidR="00DA26C2" w:rsidRPr="00EE65CE">
        <w:rPr>
          <w:lang w:val="fr-FR"/>
        </w:rPr>
        <w:t>capacités en vue d</w:t>
      </w:r>
      <w:r w:rsidR="009D6827" w:rsidRPr="00EE65CE">
        <w:rPr>
          <w:lang w:val="fr-FR"/>
        </w:rPr>
        <w:t>’</w:t>
      </w:r>
      <w:r w:rsidR="00DA26C2" w:rsidRPr="00EE65CE">
        <w:rPr>
          <w:lang w:val="fr-FR"/>
        </w:rPr>
        <w:t>améliorer la compréhension et l</w:t>
      </w:r>
      <w:r w:rsidR="009D6827" w:rsidRPr="00EE65CE">
        <w:rPr>
          <w:lang w:val="fr-FR"/>
        </w:rPr>
        <w:t>’</w:t>
      </w:r>
      <w:r w:rsidR="00DA26C2" w:rsidRPr="00EE65CE">
        <w:rPr>
          <w:lang w:val="fr-FR"/>
        </w:rPr>
        <w:t>utilisation du système du droit d</w:t>
      </w:r>
      <w:r w:rsidR="009D6827" w:rsidRPr="00EE65CE">
        <w:rPr>
          <w:lang w:val="fr-FR"/>
        </w:rPr>
        <w:t>’</w:t>
      </w:r>
      <w:r w:rsidR="00DA26C2" w:rsidRPr="00EE65CE">
        <w:rPr>
          <w:lang w:val="fr-FR"/>
        </w:rPr>
        <w:t>auteur, deux</w:t>
      </w:r>
      <w:r w:rsidR="005B2087" w:rsidRPr="00EE65CE">
        <w:rPr>
          <w:lang w:val="fr-FR"/>
        </w:rPr>
        <w:t> </w:t>
      </w:r>
      <w:r w:rsidR="00DA26C2" w:rsidRPr="00EE65CE">
        <w:rPr>
          <w:lang w:val="fr-FR"/>
        </w:rPr>
        <w:t>objectifs étant visés :</w:t>
      </w:r>
    </w:p>
    <w:p w:rsidR="007879DD" w:rsidRPr="00EE65CE" w:rsidRDefault="007879DD" w:rsidP="00542460">
      <w:pPr>
        <w:autoSpaceDE w:val="0"/>
        <w:autoSpaceDN w:val="0"/>
        <w:adjustRightInd w:val="0"/>
        <w:ind w:left="567"/>
        <w:rPr>
          <w:rFonts w:eastAsia="Times New Roman"/>
          <w:szCs w:val="22"/>
          <w:lang w:val="fr-FR" w:eastAsia="en-US"/>
        </w:rPr>
      </w:pPr>
      <w:r w:rsidRPr="00EE65CE">
        <w:rPr>
          <w:rFonts w:eastAsia="Times New Roman"/>
          <w:szCs w:val="22"/>
          <w:lang w:val="fr-FR" w:eastAsia="en-US"/>
        </w:rPr>
        <w:t>a)</w:t>
      </w:r>
      <w:r w:rsidRPr="00EE65CE">
        <w:rPr>
          <w:rFonts w:eastAsia="Times New Roman"/>
          <w:szCs w:val="22"/>
          <w:lang w:val="fr-FR" w:eastAsia="en-US"/>
        </w:rPr>
        <w:tab/>
        <w:t>contribue</w:t>
      </w:r>
      <w:r w:rsidR="00DA26C2" w:rsidRPr="00EE65CE">
        <w:rPr>
          <w:rFonts w:eastAsia="Times New Roman"/>
          <w:szCs w:val="22"/>
          <w:lang w:val="fr-FR" w:eastAsia="en-US"/>
        </w:rPr>
        <w:t>r au renforcement de l</w:t>
      </w:r>
      <w:r w:rsidR="009D6827" w:rsidRPr="00EE65CE">
        <w:rPr>
          <w:rFonts w:eastAsia="Times New Roman"/>
          <w:szCs w:val="22"/>
          <w:lang w:val="fr-FR" w:eastAsia="en-US"/>
        </w:rPr>
        <w:t>’</w:t>
      </w:r>
      <w:r w:rsidR="00DA26C2" w:rsidRPr="00EE65CE">
        <w:rPr>
          <w:rFonts w:eastAsia="Times New Roman"/>
          <w:szCs w:val="22"/>
          <w:lang w:val="fr-FR" w:eastAsia="en-US"/>
        </w:rPr>
        <w:t>utilisation du système de la propriété intellectuelle aux fins du financement, de la production et de la diffusion des œuvres audiovisuelles</w:t>
      </w:r>
      <w:r w:rsidRPr="00EE65CE">
        <w:rPr>
          <w:rFonts w:eastAsia="Times New Roman"/>
          <w:szCs w:val="22"/>
          <w:lang w:val="fr-FR" w:eastAsia="en-US"/>
        </w:rPr>
        <w:t>;</w:t>
      </w:r>
      <w:r w:rsidR="00207D45" w:rsidRPr="00EE65CE">
        <w:rPr>
          <w:rFonts w:eastAsia="Times New Roman"/>
          <w:szCs w:val="22"/>
          <w:lang w:val="fr-FR" w:eastAsia="en-US"/>
        </w:rPr>
        <w:t xml:space="preserve"> </w:t>
      </w:r>
      <w:r w:rsidRPr="00EE65CE">
        <w:rPr>
          <w:rFonts w:eastAsia="Times New Roman"/>
          <w:szCs w:val="22"/>
          <w:lang w:val="fr-FR" w:eastAsia="en-US"/>
        </w:rPr>
        <w:t xml:space="preserve"> </w:t>
      </w:r>
      <w:r w:rsidR="00DA26C2" w:rsidRPr="00EE65CE">
        <w:rPr>
          <w:rFonts w:eastAsia="Times New Roman"/>
          <w:szCs w:val="22"/>
          <w:lang w:val="fr-FR" w:eastAsia="en-US"/>
        </w:rPr>
        <w:t>et</w:t>
      </w:r>
    </w:p>
    <w:p w:rsidR="007879DD" w:rsidRPr="00EE65CE" w:rsidRDefault="007879DD" w:rsidP="00542460">
      <w:pPr>
        <w:autoSpaceDE w:val="0"/>
        <w:autoSpaceDN w:val="0"/>
        <w:adjustRightInd w:val="0"/>
        <w:ind w:left="567"/>
        <w:rPr>
          <w:rFonts w:eastAsia="Times New Roman"/>
          <w:szCs w:val="22"/>
          <w:lang w:val="fr-FR" w:eastAsia="en-US"/>
        </w:rPr>
      </w:pPr>
    </w:p>
    <w:p w:rsidR="007879DD" w:rsidRPr="00EE65CE" w:rsidRDefault="007879DD" w:rsidP="00542460">
      <w:pPr>
        <w:autoSpaceDE w:val="0"/>
        <w:autoSpaceDN w:val="0"/>
        <w:adjustRightInd w:val="0"/>
        <w:ind w:left="567"/>
        <w:rPr>
          <w:rFonts w:eastAsia="Times New Roman"/>
          <w:szCs w:val="22"/>
          <w:lang w:val="fr-FR" w:eastAsia="en-US"/>
        </w:rPr>
      </w:pPr>
      <w:r w:rsidRPr="00EE65CE">
        <w:rPr>
          <w:rFonts w:eastAsia="Times New Roman"/>
          <w:szCs w:val="22"/>
          <w:lang w:val="fr-FR" w:eastAsia="en-US"/>
        </w:rPr>
        <w:t>b)</w:t>
      </w:r>
      <w:r w:rsidRPr="00EE65CE">
        <w:rPr>
          <w:rFonts w:eastAsia="Times New Roman"/>
          <w:szCs w:val="22"/>
          <w:lang w:val="fr-FR" w:eastAsia="en-US"/>
        </w:rPr>
        <w:tab/>
      </w:r>
      <w:r w:rsidR="00DA26C2" w:rsidRPr="00EE65CE">
        <w:rPr>
          <w:rFonts w:eastAsia="Times New Roman"/>
          <w:szCs w:val="22"/>
          <w:lang w:val="fr-FR" w:eastAsia="en-US"/>
        </w:rPr>
        <w:t>accélérer la mise en place d</w:t>
      </w:r>
      <w:r w:rsidR="009D6827" w:rsidRPr="00EE65CE">
        <w:rPr>
          <w:rFonts w:eastAsia="Times New Roman"/>
          <w:szCs w:val="22"/>
          <w:lang w:val="fr-FR" w:eastAsia="en-US"/>
        </w:rPr>
        <w:t>’</w:t>
      </w:r>
      <w:r w:rsidR="00DA26C2" w:rsidRPr="00EE65CE">
        <w:rPr>
          <w:rFonts w:eastAsia="Times New Roman"/>
          <w:szCs w:val="22"/>
          <w:lang w:val="fr-FR" w:eastAsia="en-US"/>
        </w:rPr>
        <w:t>un cadre et d</w:t>
      </w:r>
      <w:r w:rsidR="009D6827" w:rsidRPr="00EE65CE">
        <w:rPr>
          <w:rFonts w:eastAsia="Times New Roman"/>
          <w:szCs w:val="22"/>
          <w:lang w:val="fr-FR" w:eastAsia="en-US"/>
        </w:rPr>
        <w:t>’</w:t>
      </w:r>
      <w:r w:rsidR="00DA26C2" w:rsidRPr="00EE65CE">
        <w:rPr>
          <w:rFonts w:eastAsia="Times New Roman"/>
          <w:szCs w:val="22"/>
          <w:lang w:val="fr-FR" w:eastAsia="en-US"/>
        </w:rPr>
        <w:t>une infrastructure efficaces et équilibrés pour l</w:t>
      </w:r>
      <w:r w:rsidR="009D6827" w:rsidRPr="00EE65CE">
        <w:rPr>
          <w:rFonts w:eastAsia="Times New Roman"/>
          <w:szCs w:val="22"/>
          <w:lang w:val="fr-FR" w:eastAsia="en-US"/>
        </w:rPr>
        <w:t>’</w:t>
      </w:r>
      <w:r w:rsidR="00DA26C2" w:rsidRPr="00EE65CE">
        <w:rPr>
          <w:rFonts w:eastAsia="Times New Roman"/>
          <w:szCs w:val="22"/>
          <w:lang w:val="fr-FR" w:eastAsia="en-US"/>
        </w:rPr>
        <w:t>exercice et la gestion des transactions basées sur les droits de propriété intellectuelle dans le secteur de l</w:t>
      </w:r>
      <w:r w:rsidR="009D6827" w:rsidRPr="00EE65CE">
        <w:rPr>
          <w:rFonts w:eastAsia="Times New Roman"/>
          <w:szCs w:val="22"/>
          <w:lang w:val="fr-FR" w:eastAsia="en-US"/>
        </w:rPr>
        <w:t>’</w:t>
      </w:r>
      <w:r w:rsidR="00DA26C2" w:rsidRPr="00EE65CE">
        <w:rPr>
          <w:rFonts w:eastAsia="Times New Roman"/>
          <w:szCs w:val="22"/>
          <w:lang w:val="fr-FR" w:eastAsia="en-US"/>
        </w:rPr>
        <w:t>audiovisuel</w:t>
      </w:r>
      <w:r w:rsidRPr="00EE65CE">
        <w:rPr>
          <w:rFonts w:eastAsia="Times New Roman"/>
          <w:szCs w:val="22"/>
          <w:lang w:val="fr-FR" w:eastAsia="en-US"/>
        </w:rPr>
        <w:t>.</w:t>
      </w:r>
    </w:p>
    <w:p w:rsidR="007879DD" w:rsidRPr="00EE65CE" w:rsidRDefault="007879DD" w:rsidP="00542460">
      <w:pPr>
        <w:autoSpaceDE w:val="0"/>
        <w:autoSpaceDN w:val="0"/>
        <w:adjustRightInd w:val="0"/>
        <w:ind w:left="567"/>
        <w:rPr>
          <w:rFonts w:eastAsia="Times New Roman"/>
          <w:szCs w:val="22"/>
          <w:lang w:val="fr-FR" w:eastAsia="en-US"/>
        </w:rPr>
      </w:pPr>
    </w:p>
    <w:p w:rsidR="009D6827" w:rsidRPr="00EE65CE" w:rsidRDefault="00DA26C2" w:rsidP="00542460">
      <w:pPr>
        <w:pStyle w:val="BodyText"/>
        <w:numPr>
          <w:ilvl w:val="0"/>
          <w:numId w:val="25"/>
        </w:numPr>
        <w:rPr>
          <w:lang w:val="fr-FR"/>
        </w:rPr>
      </w:pPr>
      <w:r w:rsidRPr="00EE65CE">
        <w:rPr>
          <w:lang w:val="fr-FR"/>
        </w:rPr>
        <w:t>Le projet</w:t>
      </w:r>
      <w:r w:rsidR="0047341F" w:rsidRPr="00EE65CE">
        <w:rPr>
          <w:lang w:val="fr-FR"/>
        </w:rPr>
        <w:t xml:space="preserve">, </w:t>
      </w:r>
      <w:r w:rsidR="0039191B" w:rsidRPr="00EE65CE">
        <w:rPr>
          <w:lang w:val="fr-FR"/>
        </w:rPr>
        <w:t>fond</w:t>
      </w:r>
      <w:r w:rsidR="00D722F1" w:rsidRPr="00EE65CE">
        <w:rPr>
          <w:lang w:val="fr-FR"/>
        </w:rPr>
        <w:t>é</w:t>
      </w:r>
      <w:r w:rsidR="0047341F" w:rsidRPr="00EE65CE">
        <w:rPr>
          <w:lang w:val="fr-FR"/>
        </w:rPr>
        <w:t xml:space="preserve"> sur une proposition présentée par la délégation du Burkina Faso</w:t>
      </w:r>
      <w:r w:rsidR="009D6827" w:rsidRPr="00EE65CE">
        <w:rPr>
          <w:lang w:val="fr-FR"/>
        </w:rPr>
        <w:t xml:space="preserve"> au CDI</w:t>
      </w:r>
      <w:r w:rsidR="0047341F" w:rsidRPr="00EE65CE">
        <w:rPr>
          <w:lang w:val="fr-FR"/>
        </w:rPr>
        <w:t>P, a été peaufiné par le Secrétariat de l</w:t>
      </w:r>
      <w:r w:rsidR="009D6827" w:rsidRPr="00EE65CE">
        <w:rPr>
          <w:lang w:val="fr-FR"/>
        </w:rPr>
        <w:t>’</w:t>
      </w:r>
      <w:r w:rsidR="0047341F" w:rsidRPr="00EE65CE">
        <w:rPr>
          <w:lang w:val="fr-FR"/>
        </w:rPr>
        <w:t>OMPI et validé par</w:t>
      </w:r>
      <w:r w:rsidR="009D6827" w:rsidRPr="00EE65CE">
        <w:rPr>
          <w:lang w:val="fr-FR"/>
        </w:rPr>
        <w:t xml:space="preserve"> le CDI</w:t>
      </w:r>
      <w:r w:rsidR="0047341F" w:rsidRPr="00EE65CE">
        <w:rPr>
          <w:lang w:val="fr-FR"/>
        </w:rPr>
        <w:t xml:space="preserve">P de manière à incorporer trois pays dans la phase pilote : le </w:t>
      </w:r>
      <w:r w:rsidR="00706502" w:rsidRPr="00EE65CE">
        <w:rPr>
          <w:lang w:val="fr-FR"/>
        </w:rPr>
        <w:t xml:space="preserve">Burkina Faso, </w:t>
      </w:r>
      <w:r w:rsidR="0047341F" w:rsidRPr="00EE65CE">
        <w:rPr>
          <w:lang w:val="fr-FR"/>
        </w:rPr>
        <w:t xml:space="preserve">le </w:t>
      </w:r>
      <w:r w:rsidR="00706502" w:rsidRPr="00EE65CE">
        <w:rPr>
          <w:lang w:val="fr-FR"/>
        </w:rPr>
        <w:t xml:space="preserve">Kenya </w:t>
      </w:r>
      <w:r w:rsidR="0047341F" w:rsidRPr="00EE65CE">
        <w:rPr>
          <w:lang w:val="fr-FR"/>
        </w:rPr>
        <w:t xml:space="preserve">et le </w:t>
      </w:r>
      <w:r w:rsidR="00706502" w:rsidRPr="00EE65CE">
        <w:rPr>
          <w:lang w:val="fr-FR"/>
        </w:rPr>
        <w:t>S</w:t>
      </w:r>
      <w:r w:rsidR="0047341F" w:rsidRPr="00EE65CE">
        <w:rPr>
          <w:lang w:val="fr-FR"/>
        </w:rPr>
        <w:t>é</w:t>
      </w:r>
      <w:r w:rsidR="00706502" w:rsidRPr="00EE65CE">
        <w:rPr>
          <w:lang w:val="fr-FR"/>
        </w:rPr>
        <w:t>n</w:t>
      </w:r>
      <w:r w:rsidR="0047341F" w:rsidRPr="00EE65CE">
        <w:rPr>
          <w:lang w:val="fr-FR"/>
        </w:rPr>
        <w:t>é</w:t>
      </w:r>
      <w:r w:rsidR="00706502" w:rsidRPr="00EE65CE">
        <w:rPr>
          <w:lang w:val="fr-FR"/>
        </w:rPr>
        <w:t>gal.</w:t>
      </w:r>
    </w:p>
    <w:p w:rsidR="009D6827" w:rsidRPr="00EE65CE" w:rsidRDefault="00C24402" w:rsidP="00542460">
      <w:pPr>
        <w:pStyle w:val="BodyText"/>
        <w:numPr>
          <w:ilvl w:val="0"/>
          <w:numId w:val="25"/>
        </w:numPr>
        <w:rPr>
          <w:lang w:val="fr-FR"/>
        </w:rPr>
      </w:pPr>
      <w:r w:rsidRPr="00EE65CE">
        <w:rPr>
          <w:b/>
          <w:lang w:val="fr-FR"/>
        </w:rPr>
        <w:t>Volet</w:t>
      </w:r>
      <w:r w:rsidR="00D722F1" w:rsidRPr="00EE65CE">
        <w:rPr>
          <w:b/>
          <w:lang w:val="fr-FR"/>
        </w:rPr>
        <w:t>s </w:t>
      </w:r>
      <w:r w:rsidR="00394845" w:rsidRPr="00EE65CE">
        <w:rPr>
          <w:b/>
          <w:lang w:val="fr-FR"/>
        </w:rPr>
        <w:t>:</w:t>
      </w:r>
      <w:r w:rsidR="00207D45" w:rsidRPr="00EE65CE">
        <w:rPr>
          <w:lang w:val="fr-FR"/>
        </w:rPr>
        <w:t xml:space="preserve"> </w:t>
      </w:r>
      <w:r w:rsidR="00D722F1" w:rsidRPr="00EE65CE">
        <w:rPr>
          <w:lang w:val="fr-FR"/>
        </w:rPr>
        <w:t>dans le descriptif du projet, trois</w:t>
      </w:r>
      <w:r w:rsidR="005B2087" w:rsidRPr="00EE65CE">
        <w:rPr>
          <w:lang w:val="fr-FR"/>
        </w:rPr>
        <w:t> </w:t>
      </w:r>
      <w:r w:rsidR="00D722F1" w:rsidRPr="00EE65CE">
        <w:rPr>
          <w:lang w:val="fr-FR"/>
        </w:rPr>
        <w:t xml:space="preserve">activités principales </w:t>
      </w:r>
      <w:r w:rsidR="0039191B" w:rsidRPr="00EE65CE">
        <w:rPr>
          <w:lang w:val="fr-FR"/>
        </w:rPr>
        <w:t>étaient</w:t>
      </w:r>
      <w:r w:rsidR="00D722F1" w:rsidRPr="00EE65CE">
        <w:rPr>
          <w:lang w:val="fr-FR"/>
        </w:rPr>
        <w:t xml:space="preserve"> prévues :</w:t>
      </w:r>
    </w:p>
    <w:p w:rsidR="009D6827" w:rsidRPr="00EE65CE" w:rsidRDefault="00113824" w:rsidP="00542460">
      <w:pPr>
        <w:autoSpaceDE w:val="0"/>
        <w:autoSpaceDN w:val="0"/>
        <w:adjustRightInd w:val="0"/>
        <w:ind w:left="567"/>
        <w:rPr>
          <w:rFonts w:eastAsia="Times New Roman"/>
          <w:szCs w:val="22"/>
          <w:lang w:val="fr-FR" w:eastAsia="en-US"/>
        </w:rPr>
      </w:pPr>
      <w:r w:rsidRPr="00EE65CE">
        <w:rPr>
          <w:rFonts w:eastAsia="Times New Roman"/>
          <w:szCs w:val="22"/>
          <w:lang w:val="fr-FR" w:eastAsia="en-US"/>
        </w:rPr>
        <w:t>a)</w:t>
      </w:r>
      <w:r w:rsidRPr="00EE65CE">
        <w:rPr>
          <w:rFonts w:eastAsia="Times New Roman"/>
          <w:szCs w:val="22"/>
          <w:lang w:val="fr-FR" w:eastAsia="en-US"/>
        </w:rPr>
        <w:tab/>
      </w:r>
      <w:r w:rsidR="00907D82" w:rsidRPr="00EE65CE">
        <w:rPr>
          <w:rFonts w:eastAsia="Times New Roman"/>
          <w:i/>
          <w:szCs w:val="22"/>
          <w:lang w:val="fr-FR" w:eastAsia="en-US"/>
        </w:rPr>
        <w:t>activité de projet n</w:t>
      </w:r>
      <w:r w:rsidR="00954C58" w:rsidRPr="00EE65CE">
        <w:rPr>
          <w:rFonts w:eastAsia="Times New Roman"/>
          <w:i/>
          <w:szCs w:val="22"/>
          <w:lang w:val="fr-FR" w:eastAsia="en-US"/>
        </w:rPr>
        <w:t>° </w:t>
      </w:r>
      <w:r w:rsidR="00412C88" w:rsidRPr="00EE65CE">
        <w:rPr>
          <w:rFonts w:eastAsia="Times New Roman"/>
          <w:i/>
          <w:szCs w:val="22"/>
          <w:lang w:val="fr-FR" w:eastAsia="en-US"/>
        </w:rPr>
        <w:t>1</w:t>
      </w:r>
      <w:r w:rsidR="00907D82" w:rsidRPr="00EE65CE">
        <w:rPr>
          <w:rFonts w:eastAsia="Times New Roman"/>
          <w:i/>
          <w:szCs w:val="22"/>
          <w:lang w:val="fr-FR" w:eastAsia="en-US"/>
        </w:rPr>
        <w:t> </w:t>
      </w:r>
      <w:r w:rsidR="00412C88" w:rsidRPr="00EE65CE">
        <w:rPr>
          <w:rFonts w:eastAsia="Times New Roman"/>
          <w:i/>
          <w:szCs w:val="22"/>
          <w:lang w:val="fr-FR" w:eastAsia="en-US"/>
        </w:rPr>
        <w:t>:</w:t>
      </w:r>
      <w:r w:rsidR="00207D45" w:rsidRPr="00EE65CE">
        <w:rPr>
          <w:rFonts w:eastAsia="Times New Roman"/>
          <w:i/>
          <w:szCs w:val="22"/>
          <w:lang w:val="fr-FR" w:eastAsia="en-US"/>
        </w:rPr>
        <w:t xml:space="preserve"> </w:t>
      </w:r>
      <w:r w:rsidR="00907D82" w:rsidRPr="00EE65CE">
        <w:rPr>
          <w:rFonts w:eastAsia="Times New Roman"/>
          <w:i/>
          <w:szCs w:val="22"/>
          <w:lang w:val="fr-FR" w:eastAsia="en-US"/>
        </w:rPr>
        <w:t>document d</w:t>
      </w:r>
      <w:r w:rsidR="009D6827" w:rsidRPr="00EE65CE">
        <w:rPr>
          <w:rFonts w:eastAsia="Times New Roman"/>
          <w:i/>
          <w:szCs w:val="22"/>
          <w:lang w:val="fr-FR" w:eastAsia="en-US"/>
        </w:rPr>
        <w:t>’</w:t>
      </w:r>
      <w:r w:rsidR="00907D82" w:rsidRPr="00EE65CE">
        <w:rPr>
          <w:rFonts w:eastAsia="Times New Roman"/>
          <w:i/>
          <w:szCs w:val="22"/>
          <w:lang w:val="fr-FR" w:eastAsia="en-US"/>
        </w:rPr>
        <w:t>orientation et études </w:t>
      </w:r>
      <w:r w:rsidR="00412C88" w:rsidRPr="00EE65CE">
        <w:rPr>
          <w:i/>
          <w:lang w:val="fr-FR"/>
        </w:rPr>
        <w:t>:</w:t>
      </w:r>
      <w:r w:rsidR="00207D45" w:rsidRPr="00EE65CE">
        <w:rPr>
          <w:rFonts w:eastAsia="Times New Roman"/>
          <w:szCs w:val="22"/>
          <w:lang w:val="fr-FR" w:eastAsia="en-US"/>
        </w:rPr>
        <w:t xml:space="preserve"> </w:t>
      </w:r>
      <w:r w:rsidR="00907D82" w:rsidRPr="00EE65CE">
        <w:rPr>
          <w:rFonts w:eastAsia="Times New Roman"/>
          <w:szCs w:val="22"/>
          <w:lang w:val="fr-FR" w:eastAsia="en-US"/>
        </w:rPr>
        <w:t>réalisation de recherches et publication d</w:t>
      </w:r>
      <w:r w:rsidR="009D6827" w:rsidRPr="00EE65CE">
        <w:rPr>
          <w:rFonts w:eastAsia="Times New Roman"/>
          <w:szCs w:val="22"/>
          <w:lang w:val="fr-FR" w:eastAsia="en-US"/>
        </w:rPr>
        <w:t>’</w:t>
      </w:r>
      <w:r w:rsidR="00907D82" w:rsidRPr="00EE65CE">
        <w:rPr>
          <w:rFonts w:eastAsia="Times New Roman"/>
          <w:szCs w:val="22"/>
          <w:lang w:val="fr-FR" w:eastAsia="en-US"/>
        </w:rPr>
        <w:t xml:space="preserve">un </w:t>
      </w:r>
      <w:r w:rsidR="00C24402" w:rsidRPr="00EE65CE">
        <w:rPr>
          <w:rFonts w:eastAsia="Times New Roman"/>
          <w:szCs w:val="22"/>
          <w:lang w:val="fr-FR" w:eastAsia="en-US"/>
        </w:rPr>
        <w:t>document d</w:t>
      </w:r>
      <w:r w:rsidR="009D6827" w:rsidRPr="00EE65CE">
        <w:rPr>
          <w:rFonts w:eastAsia="Times New Roman"/>
          <w:szCs w:val="22"/>
          <w:lang w:val="fr-FR" w:eastAsia="en-US"/>
        </w:rPr>
        <w:t>’</w:t>
      </w:r>
      <w:r w:rsidR="00C24402" w:rsidRPr="00EE65CE">
        <w:rPr>
          <w:rFonts w:eastAsia="Times New Roman"/>
          <w:szCs w:val="22"/>
          <w:lang w:val="fr-FR" w:eastAsia="en-US"/>
        </w:rPr>
        <w:t>orientation sur le rôle effectif de la propriété intellectuelle dans les œuvres audiovisuelles dans les trois</w:t>
      </w:r>
      <w:r w:rsidR="005B2087" w:rsidRPr="00EE65CE">
        <w:rPr>
          <w:rFonts w:eastAsia="Times New Roman"/>
          <w:szCs w:val="22"/>
          <w:lang w:val="fr-FR" w:eastAsia="en-US"/>
        </w:rPr>
        <w:t> </w:t>
      </w:r>
      <w:r w:rsidR="00C24402" w:rsidRPr="00EE65CE">
        <w:rPr>
          <w:rFonts w:eastAsia="Times New Roman"/>
          <w:szCs w:val="22"/>
          <w:lang w:val="fr-FR" w:eastAsia="en-US"/>
        </w:rPr>
        <w:t>pays participants et d</w:t>
      </w:r>
      <w:r w:rsidR="009D6827" w:rsidRPr="00EE65CE">
        <w:rPr>
          <w:rFonts w:eastAsia="Times New Roman"/>
          <w:szCs w:val="22"/>
          <w:lang w:val="fr-FR" w:eastAsia="en-US"/>
        </w:rPr>
        <w:t>’</w:t>
      </w:r>
      <w:r w:rsidR="00C24402" w:rsidRPr="00EE65CE">
        <w:rPr>
          <w:rFonts w:eastAsia="Times New Roman"/>
          <w:szCs w:val="22"/>
          <w:lang w:val="fr-FR" w:eastAsia="en-US"/>
        </w:rPr>
        <w:t>une étude sur la négociation collective et la gestion des droits dans le secteur de l</w:t>
      </w:r>
      <w:r w:rsidR="009D6827" w:rsidRPr="00EE65CE">
        <w:rPr>
          <w:rFonts w:eastAsia="Times New Roman"/>
          <w:szCs w:val="22"/>
          <w:lang w:val="fr-FR" w:eastAsia="en-US"/>
        </w:rPr>
        <w:t>’</w:t>
      </w:r>
      <w:r w:rsidR="00C24402" w:rsidRPr="00EE65CE">
        <w:rPr>
          <w:rFonts w:eastAsia="Times New Roman"/>
          <w:szCs w:val="22"/>
          <w:lang w:val="fr-FR" w:eastAsia="en-US"/>
        </w:rPr>
        <w:t>audiovisuel.</w:t>
      </w:r>
    </w:p>
    <w:p w:rsidR="00DE43A6" w:rsidRPr="00EE65CE" w:rsidRDefault="00DE43A6" w:rsidP="00542460">
      <w:pPr>
        <w:autoSpaceDE w:val="0"/>
        <w:autoSpaceDN w:val="0"/>
        <w:adjustRightInd w:val="0"/>
        <w:ind w:left="567"/>
        <w:rPr>
          <w:rFonts w:eastAsia="Times New Roman"/>
          <w:szCs w:val="22"/>
          <w:lang w:val="fr-FR" w:eastAsia="en-US"/>
        </w:rPr>
      </w:pPr>
    </w:p>
    <w:p w:rsidR="009D6827" w:rsidRPr="00EE65CE" w:rsidRDefault="00113824" w:rsidP="00542460">
      <w:pPr>
        <w:autoSpaceDE w:val="0"/>
        <w:autoSpaceDN w:val="0"/>
        <w:adjustRightInd w:val="0"/>
        <w:ind w:left="567"/>
        <w:rPr>
          <w:rFonts w:eastAsia="Times New Roman"/>
          <w:szCs w:val="22"/>
          <w:lang w:val="fr-FR" w:eastAsia="en-US"/>
        </w:rPr>
      </w:pPr>
      <w:r w:rsidRPr="00EE65CE">
        <w:rPr>
          <w:rFonts w:eastAsia="Times New Roman"/>
          <w:szCs w:val="22"/>
          <w:lang w:val="fr-FR" w:eastAsia="en-US"/>
        </w:rPr>
        <w:t>b)</w:t>
      </w:r>
      <w:r w:rsidRPr="00EE65CE">
        <w:rPr>
          <w:rFonts w:eastAsia="Times New Roman"/>
          <w:szCs w:val="22"/>
          <w:lang w:val="fr-FR" w:eastAsia="en-US"/>
        </w:rPr>
        <w:tab/>
      </w:r>
      <w:r w:rsidR="00C24402" w:rsidRPr="00EE65CE">
        <w:rPr>
          <w:rFonts w:eastAsia="Times New Roman"/>
          <w:i/>
          <w:szCs w:val="22"/>
          <w:lang w:val="fr-FR" w:eastAsia="en-US"/>
        </w:rPr>
        <w:t>activité de p</w:t>
      </w:r>
      <w:r w:rsidR="00412C88" w:rsidRPr="00EE65CE">
        <w:rPr>
          <w:rFonts w:eastAsia="Times New Roman"/>
          <w:i/>
          <w:szCs w:val="22"/>
          <w:lang w:val="fr-FR" w:eastAsia="en-US"/>
        </w:rPr>
        <w:t xml:space="preserve">rojet </w:t>
      </w:r>
      <w:r w:rsidR="00C24402" w:rsidRPr="00EE65CE">
        <w:rPr>
          <w:rFonts w:eastAsia="Times New Roman"/>
          <w:i/>
          <w:szCs w:val="22"/>
          <w:lang w:val="fr-FR" w:eastAsia="en-US"/>
        </w:rPr>
        <w:t>n° </w:t>
      </w:r>
      <w:r w:rsidR="00412C88" w:rsidRPr="00EE65CE">
        <w:rPr>
          <w:rFonts w:eastAsia="Times New Roman"/>
          <w:i/>
          <w:szCs w:val="22"/>
          <w:lang w:val="fr-FR" w:eastAsia="en-US"/>
        </w:rPr>
        <w:t>2</w:t>
      </w:r>
      <w:r w:rsidR="00C24402" w:rsidRPr="00EE65CE">
        <w:rPr>
          <w:rFonts w:eastAsia="Times New Roman"/>
          <w:i/>
          <w:szCs w:val="22"/>
          <w:lang w:val="fr-FR" w:eastAsia="en-US"/>
        </w:rPr>
        <w:t> </w:t>
      </w:r>
      <w:r w:rsidR="00412C88" w:rsidRPr="00EE65CE">
        <w:rPr>
          <w:rFonts w:eastAsia="Times New Roman"/>
          <w:i/>
          <w:szCs w:val="22"/>
          <w:lang w:val="fr-FR" w:eastAsia="en-US"/>
        </w:rPr>
        <w:t>:</w:t>
      </w:r>
      <w:r w:rsidR="00207D45" w:rsidRPr="00EE65CE">
        <w:rPr>
          <w:rFonts w:eastAsia="Times New Roman"/>
          <w:i/>
          <w:szCs w:val="22"/>
          <w:lang w:val="fr-FR" w:eastAsia="en-US"/>
        </w:rPr>
        <w:t xml:space="preserve"> </w:t>
      </w:r>
      <w:r w:rsidR="00C24402" w:rsidRPr="00EE65CE">
        <w:rPr>
          <w:rFonts w:eastAsia="Times New Roman"/>
          <w:i/>
          <w:szCs w:val="22"/>
          <w:lang w:val="fr-FR" w:eastAsia="en-US"/>
        </w:rPr>
        <w:t xml:space="preserve">formation et perfectionnement professionnel : </w:t>
      </w:r>
      <w:r w:rsidR="00B7323C" w:rsidRPr="00EE65CE">
        <w:rPr>
          <w:rFonts w:eastAsia="Times New Roman"/>
          <w:szCs w:val="22"/>
          <w:lang w:val="fr-FR" w:eastAsia="en-US"/>
        </w:rPr>
        <w:t>conférence de</w:t>
      </w:r>
      <w:r w:rsidR="00B7323C" w:rsidRPr="00EE65CE">
        <w:rPr>
          <w:rFonts w:eastAsia="Times New Roman"/>
          <w:i/>
          <w:szCs w:val="22"/>
          <w:lang w:val="fr-FR" w:eastAsia="en-US"/>
        </w:rPr>
        <w:t xml:space="preserve"> </w:t>
      </w:r>
      <w:r w:rsidR="00B7323C" w:rsidRPr="00EE65CE">
        <w:rPr>
          <w:rFonts w:eastAsia="Times New Roman"/>
          <w:szCs w:val="22"/>
          <w:lang w:val="fr-FR" w:eastAsia="en-US"/>
        </w:rPr>
        <w:t xml:space="preserve">lancement du projet </w:t>
      </w:r>
      <w:r w:rsidR="004F2F21" w:rsidRPr="00EE65CE">
        <w:rPr>
          <w:rFonts w:eastAsia="Times New Roman"/>
          <w:szCs w:val="22"/>
          <w:lang w:val="fr-FR" w:eastAsia="en-US"/>
        </w:rPr>
        <w:t>à l</w:t>
      </w:r>
      <w:r w:rsidR="009D6827" w:rsidRPr="00EE65CE">
        <w:rPr>
          <w:rFonts w:eastAsia="Times New Roman"/>
          <w:szCs w:val="22"/>
          <w:lang w:val="fr-FR" w:eastAsia="en-US"/>
        </w:rPr>
        <w:t>’</w:t>
      </w:r>
      <w:r w:rsidR="004F2F21" w:rsidRPr="00EE65CE">
        <w:rPr>
          <w:rFonts w:eastAsia="Times New Roman"/>
          <w:szCs w:val="22"/>
          <w:lang w:val="fr-FR" w:eastAsia="en-US"/>
        </w:rPr>
        <w:t>occasion</w:t>
      </w:r>
      <w:r w:rsidR="00B7323C" w:rsidRPr="00EE65CE">
        <w:rPr>
          <w:rFonts w:eastAsia="Times New Roman"/>
          <w:szCs w:val="22"/>
          <w:lang w:val="fr-FR" w:eastAsia="en-US"/>
        </w:rPr>
        <w:t xml:space="preserve"> du Festival panafricain du cinéma et de la télévision </w:t>
      </w:r>
      <w:r w:rsidR="008F0E6B" w:rsidRPr="00EE65CE">
        <w:rPr>
          <w:rFonts w:eastAsia="Times New Roman"/>
          <w:szCs w:val="22"/>
          <w:lang w:val="fr-FR" w:eastAsia="en-US"/>
        </w:rPr>
        <w:t xml:space="preserve">(FESPACO) </w:t>
      </w:r>
      <w:r w:rsidR="00B7323C" w:rsidRPr="00EE65CE">
        <w:rPr>
          <w:rFonts w:eastAsia="Times New Roman"/>
          <w:szCs w:val="22"/>
          <w:lang w:val="fr-FR" w:eastAsia="en-US"/>
        </w:rPr>
        <w:t xml:space="preserve">de </w:t>
      </w:r>
      <w:r w:rsidR="008F0E6B" w:rsidRPr="00EE65CE">
        <w:rPr>
          <w:rFonts w:eastAsia="Times New Roman"/>
          <w:szCs w:val="22"/>
          <w:lang w:val="fr-FR" w:eastAsia="en-US"/>
        </w:rPr>
        <w:t>Ouagadougou</w:t>
      </w:r>
      <w:r w:rsidR="00B7323C" w:rsidRPr="00EE65CE">
        <w:rPr>
          <w:rFonts w:eastAsia="Times New Roman"/>
          <w:szCs w:val="22"/>
          <w:lang w:val="fr-FR" w:eastAsia="en-US"/>
        </w:rPr>
        <w:t xml:space="preserve"> (</w:t>
      </w:r>
      <w:r w:rsidR="008F0E6B" w:rsidRPr="00EE65CE">
        <w:rPr>
          <w:rFonts w:eastAsia="Times New Roman"/>
          <w:szCs w:val="22"/>
          <w:lang w:val="fr-FR" w:eastAsia="en-US"/>
        </w:rPr>
        <w:t xml:space="preserve">Burkina Faso) </w:t>
      </w:r>
      <w:r w:rsidR="004F2F21" w:rsidRPr="00EE65CE">
        <w:rPr>
          <w:rFonts w:eastAsia="Times New Roman"/>
          <w:szCs w:val="22"/>
          <w:lang w:val="fr-FR" w:eastAsia="en-US"/>
        </w:rPr>
        <w:t xml:space="preserve">et réalisation de neuf ateliers destinés aux professionnels du cinéma </w:t>
      </w:r>
      <w:r w:rsidR="00D07BF3" w:rsidRPr="00EE65CE">
        <w:rPr>
          <w:rFonts w:eastAsia="Times New Roman"/>
          <w:szCs w:val="22"/>
          <w:lang w:val="fr-FR" w:eastAsia="en-US"/>
        </w:rPr>
        <w:t>(</w:t>
      </w:r>
      <w:r w:rsidR="008D6253" w:rsidRPr="00EE65CE">
        <w:rPr>
          <w:rFonts w:eastAsia="Times New Roman"/>
          <w:szCs w:val="22"/>
          <w:lang w:val="fr-FR" w:eastAsia="en-US"/>
        </w:rPr>
        <w:t>tr</w:t>
      </w:r>
      <w:r w:rsidR="004F2F21" w:rsidRPr="00EE65CE">
        <w:rPr>
          <w:rFonts w:eastAsia="Times New Roman"/>
          <w:szCs w:val="22"/>
          <w:lang w:val="fr-FR" w:eastAsia="en-US"/>
        </w:rPr>
        <w:t>ois par pays</w:t>
      </w:r>
      <w:r w:rsidR="00D07BF3" w:rsidRPr="00EE65CE">
        <w:rPr>
          <w:rFonts w:eastAsia="Times New Roman"/>
          <w:szCs w:val="22"/>
          <w:lang w:val="fr-FR" w:eastAsia="en-US"/>
        </w:rPr>
        <w:t>)</w:t>
      </w:r>
      <w:r w:rsidR="00872E0B" w:rsidRPr="00EE65CE">
        <w:rPr>
          <w:rFonts w:eastAsia="Times New Roman"/>
          <w:szCs w:val="22"/>
          <w:lang w:val="fr-FR" w:eastAsia="en-US"/>
        </w:rPr>
        <w:t xml:space="preserve">. </w:t>
      </w:r>
      <w:r w:rsidR="00207D45" w:rsidRPr="00EE65CE">
        <w:rPr>
          <w:rFonts w:eastAsia="Times New Roman"/>
          <w:szCs w:val="22"/>
          <w:lang w:val="fr-FR" w:eastAsia="en-US"/>
        </w:rPr>
        <w:t xml:space="preserve"> </w:t>
      </w:r>
      <w:r w:rsidR="004F2F21" w:rsidRPr="00EE65CE">
        <w:rPr>
          <w:rFonts w:eastAsia="Times New Roman"/>
          <w:szCs w:val="22"/>
          <w:lang w:val="fr-FR" w:eastAsia="en-US"/>
        </w:rPr>
        <w:t>Le programme de formation jetterait également les bases d</w:t>
      </w:r>
      <w:r w:rsidR="009D6827" w:rsidRPr="00EE65CE">
        <w:rPr>
          <w:rFonts w:eastAsia="Times New Roman"/>
          <w:szCs w:val="22"/>
          <w:lang w:val="fr-FR" w:eastAsia="en-US"/>
        </w:rPr>
        <w:t>’</w:t>
      </w:r>
      <w:r w:rsidR="004F2F21" w:rsidRPr="00EE65CE">
        <w:rPr>
          <w:rFonts w:eastAsia="Times New Roman"/>
          <w:szCs w:val="22"/>
          <w:lang w:val="fr-FR" w:eastAsia="en-US"/>
        </w:rPr>
        <w:t xml:space="preserve">un programme </w:t>
      </w:r>
      <w:r w:rsidR="004E06F4" w:rsidRPr="00EE65CE">
        <w:rPr>
          <w:rFonts w:eastAsia="Times New Roman"/>
          <w:szCs w:val="22"/>
          <w:lang w:val="fr-FR" w:eastAsia="en-US"/>
        </w:rPr>
        <w:t>d</w:t>
      </w:r>
      <w:r w:rsidR="009D6827" w:rsidRPr="00EE65CE">
        <w:rPr>
          <w:rFonts w:eastAsia="Times New Roman"/>
          <w:szCs w:val="22"/>
          <w:lang w:val="fr-FR" w:eastAsia="en-US"/>
        </w:rPr>
        <w:t>’</w:t>
      </w:r>
      <w:r w:rsidR="004E06F4" w:rsidRPr="00EE65CE">
        <w:rPr>
          <w:rFonts w:eastAsia="Times New Roman"/>
          <w:szCs w:val="22"/>
          <w:lang w:val="fr-FR" w:eastAsia="en-US"/>
        </w:rPr>
        <w:t>enseignement</w:t>
      </w:r>
      <w:r w:rsidR="004F2F21" w:rsidRPr="00EE65CE">
        <w:rPr>
          <w:rFonts w:eastAsia="Times New Roman"/>
          <w:szCs w:val="22"/>
          <w:lang w:val="fr-FR" w:eastAsia="en-US"/>
        </w:rPr>
        <w:t xml:space="preserve"> à distance</w:t>
      </w:r>
      <w:r w:rsidR="00872E0B" w:rsidRPr="00EE65CE">
        <w:rPr>
          <w:rFonts w:eastAsia="Times New Roman"/>
          <w:szCs w:val="22"/>
          <w:lang w:val="fr-FR" w:eastAsia="en-US"/>
        </w:rPr>
        <w:t>.</w:t>
      </w:r>
    </w:p>
    <w:p w:rsidR="00615CAD" w:rsidRPr="00EE65CE" w:rsidRDefault="00615CAD" w:rsidP="00542460">
      <w:pPr>
        <w:autoSpaceDE w:val="0"/>
        <w:autoSpaceDN w:val="0"/>
        <w:adjustRightInd w:val="0"/>
        <w:ind w:left="567"/>
        <w:rPr>
          <w:rFonts w:eastAsia="Times New Roman"/>
          <w:szCs w:val="22"/>
          <w:lang w:val="fr-FR" w:eastAsia="en-US"/>
        </w:rPr>
      </w:pPr>
    </w:p>
    <w:p w:rsidR="009D6827" w:rsidRPr="00EE65CE" w:rsidRDefault="00113824" w:rsidP="00542460">
      <w:pPr>
        <w:autoSpaceDE w:val="0"/>
        <w:autoSpaceDN w:val="0"/>
        <w:adjustRightInd w:val="0"/>
        <w:ind w:left="567"/>
        <w:rPr>
          <w:rFonts w:eastAsia="Times New Roman"/>
          <w:szCs w:val="22"/>
          <w:lang w:val="fr-FR" w:eastAsia="en-US"/>
        </w:rPr>
      </w:pPr>
      <w:r w:rsidRPr="00EE65CE">
        <w:rPr>
          <w:rFonts w:eastAsia="Times New Roman"/>
          <w:szCs w:val="22"/>
          <w:lang w:val="fr-FR" w:eastAsia="en-US"/>
        </w:rPr>
        <w:t>c)</w:t>
      </w:r>
      <w:r w:rsidRPr="00EE65CE">
        <w:rPr>
          <w:rFonts w:eastAsia="Times New Roman"/>
          <w:szCs w:val="22"/>
          <w:lang w:val="fr-FR" w:eastAsia="en-US"/>
        </w:rPr>
        <w:tab/>
      </w:r>
      <w:r w:rsidR="004F2F21" w:rsidRPr="00EE65CE">
        <w:rPr>
          <w:rFonts w:eastAsia="Times New Roman"/>
          <w:i/>
          <w:szCs w:val="22"/>
          <w:lang w:val="fr-FR" w:eastAsia="en-US"/>
        </w:rPr>
        <w:t>activité de p</w:t>
      </w:r>
      <w:r w:rsidR="00412C88" w:rsidRPr="00EE65CE">
        <w:rPr>
          <w:rFonts w:eastAsia="Times New Roman"/>
          <w:i/>
          <w:szCs w:val="22"/>
          <w:lang w:val="fr-FR" w:eastAsia="en-US"/>
        </w:rPr>
        <w:t xml:space="preserve">rojet </w:t>
      </w:r>
      <w:r w:rsidR="004F2F21" w:rsidRPr="00EE65CE">
        <w:rPr>
          <w:rFonts w:eastAsia="Times New Roman"/>
          <w:i/>
          <w:szCs w:val="22"/>
          <w:lang w:val="fr-FR" w:eastAsia="en-US"/>
        </w:rPr>
        <w:t>n° </w:t>
      </w:r>
      <w:r w:rsidR="00412C88" w:rsidRPr="00EE65CE">
        <w:rPr>
          <w:rFonts w:eastAsia="Times New Roman"/>
          <w:i/>
          <w:szCs w:val="22"/>
          <w:lang w:val="fr-FR" w:eastAsia="en-US"/>
        </w:rPr>
        <w:t>3</w:t>
      </w:r>
      <w:r w:rsidR="004F2F21" w:rsidRPr="00EE65CE">
        <w:rPr>
          <w:rFonts w:eastAsia="Times New Roman"/>
          <w:i/>
          <w:szCs w:val="22"/>
          <w:lang w:val="fr-FR" w:eastAsia="en-US"/>
        </w:rPr>
        <w:t> </w:t>
      </w:r>
      <w:r w:rsidR="00412C88" w:rsidRPr="00EE65CE">
        <w:rPr>
          <w:rFonts w:eastAsia="Times New Roman"/>
          <w:i/>
          <w:szCs w:val="22"/>
          <w:lang w:val="fr-FR" w:eastAsia="en-US"/>
        </w:rPr>
        <w:t xml:space="preserve">: </w:t>
      </w:r>
      <w:r w:rsidR="004F2F21" w:rsidRPr="00EE65CE">
        <w:rPr>
          <w:rFonts w:eastAsia="Times New Roman"/>
          <w:i/>
          <w:szCs w:val="22"/>
          <w:lang w:val="fr-FR" w:eastAsia="en-US"/>
        </w:rPr>
        <w:t>aménagement d</w:t>
      </w:r>
      <w:r w:rsidR="009D6827" w:rsidRPr="00EE65CE">
        <w:rPr>
          <w:rFonts w:eastAsia="Times New Roman"/>
          <w:i/>
          <w:szCs w:val="22"/>
          <w:lang w:val="fr-FR" w:eastAsia="en-US"/>
        </w:rPr>
        <w:t>’</w:t>
      </w:r>
      <w:r w:rsidR="004F2F21" w:rsidRPr="00EE65CE">
        <w:rPr>
          <w:rFonts w:eastAsia="Times New Roman"/>
          <w:i/>
          <w:szCs w:val="22"/>
          <w:lang w:val="fr-FR" w:eastAsia="en-US"/>
        </w:rPr>
        <w:t>i</w:t>
      </w:r>
      <w:r w:rsidR="00412C88" w:rsidRPr="00EE65CE">
        <w:rPr>
          <w:rFonts w:eastAsia="Times New Roman"/>
          <w:i/>
          <w:szCs w:val="22"/>
          <w:lang w:val="fr-FR" w:eastAsia="en-US"/>
        </w:rPr>
        <w:t xml:space="preserve">nstitutions </w:t>
      </w:r>
      <w:r w:rsidR="004F2F21" w:rsidRPr="00EE65CE">
        <w:rPr>
          <w:rFonts w:eastAsia="Times New Roman"/>
          <w:i/>
          <w:szCs w:val="22"/>
          <w:lang w:val="fr-FR" w:eastAsia="en-US"/>
        </w:rPr>
        <w:t>et renforcement des compétences </w:t>
      </w:r>
      <w:r w:rsidR="00412C88" w:rsidRPr="00EE65CE">
        <w:rPr>
          <w:rFonts w:eastAsia="Times New Roman"/>
          <w:i/>
          <w:szCs w:val="22"/>
          <w:lang w:val="fr-FR" w:eastAsia="en-US"/>
        </w:rPr>
        <w:t>:</w:t>
      </w:r>
      <w:r w:rsidR="00207D45" w:rsidRPr="00EE65CE">
        <w:rPr>
          <w:rFonts w:eastAsia="Times New Roman"/>
          <w:szCs w:val="22"/>
          <w:lang w:val="fr-FR" w:eastAsia="en-US"/>
        </w:rPr>
        <w:t xml:space="preserve"> </w:t>
      </w:r>
      <w:r w:rsidR="004F2F21" w:rsidRPr="00EE65CE">
        <w:rPr>
          <w:rFonts w:eastAsia="Times New Roman"/>
          <w:szCs w:val="22"/>
          <w:lang w:val="fr-FR" w:eastAsia="en-US"/>
        </w:rPr>
        <w:t>réalisation d</w:t>
      </w:r>
      <w:r w:rsidR="009D6827" w:rsidRPr="00EE65CE">
        <w:rPr>
          <w:rFonts w:eastAsia="Times New Roman"/>
          <w:szCs w:val="22"/>
          <w:lang w:val="fr-FR" w:eastAsia="en-US"/>
        </w:rPr>
        <w:t>’</w:t>
      </w:r>
      <w:r w:rsidR="004F2F21" w:rsidRPr="00EE65CE">
        <w:rPr>
          <w:rFonts w:eastAsia="Times New Roman"/>
          <w:szCs w:val="22"/>
          <w:lang w:val="fr-FR" w:eastAsia="en-US"/>
        </w:rPr>
        <w:t xml:space="preserve">activités de formation afin </w:t>
      </w:r>
      <w:r w:rsidR="00916214" w:rsidRPr="00EE65CE">
        <w:rPr>
          <w:rFonts w:eastAsia="Times New Roman"/>
          <w:szCs w:val="22"/>
          <w:lang w:val="fr-FR" w:eastAsia="en-US"/>
        </w:rPr>
        <w:t>de faire mieux connaître les instruments et lignes directrices à disposition en matière de concession de licences et de négociation collective;  appui au renforcement des compétences, des pratiques, de l</w:t>
      </w:r>
      <w:r w:rsidR="009D6827" w:rsidRPr="00EE65CE">
        <w:rPr>
          <w:rFonts w:eastAsia="Times New Roman"/>
          <w:szCs w:val="22"/>
          <w:lang w:val="fr-FR" w:eastAsia="en-US"/>
        </w:rPr>
        <w:t>’</w:t>
      </w:r>
      <w:r w:rsidR="00916214" w:rsidRPr="00EE65CE">
        <w:rPr>
          <w:rFonts w:eastAsia="Times New Roman"/>
          <w:szCs w:val="22"/>
          <w:lang w:val="fr-FR" w:eastAsia="en-US"/>
        </w:rPr>
        <w:t>infrastructure et des instruments relatifs aux droits de propriété intellectuelle dans le secteur de l</w:t>
      </w:r>
      <w:r w:rsidR="009D6827" w:rsidRPr="00EE65CE">
        <w:rPr>
          <w:rFonts w:eastAsia="Times New Roman"/>
          <w:szCs w:val="22"/>
          <w:lang w:val="fr-FR" w:eastAsia="en-US"/>
        </w:rPr>
        <w:t>’</w:t>
      </w:r>
      <w:r w:rsidR="00916214" w:rsidRPr="00EE65CE">
        <w:rPr>
          <w:rFonts w:eastAsia="Times New Roman"/>
          <w:szCs w:val="22"/>
          <w:lang w:val="fr-FR" w:eastAsia="en-US"/>
        </w:rPr>
        <w:t>audiovisuel dans les trois pays participants</w:t>
      </w:r>
      <w:r w:rsidR="00872E0B" w:rsidRPr="00EE65CE">
        <w:rPr>
          <w:rFonts w:eastAsia="Times New Roman"/>
          <w:szCs w:val="22"/>
          <w:lang w:val="fr-FR" w:eastAsia="en-US"/>
        </w:rPr>
        <w:t>.</w:t>
      </w:r>
    </w:p>
    <w:p w:rsidR="00EB0676" w:rsidRPr="00EE65CE" w:rsidRDefault="00EB0676" w:rsidP="00542460">
      <w:pPr>
        <w:autoSpaceDE w:val="0"/>
        <w:autoSpaceDN w:val="0"/>
        <w:adjustRightInd w:val="0"/>
        <w:rPr>
          <w:rFonts w:eastAsia="Times New Roman"/>
          <w:szCs w:val="22"/>
          <w:lang w:val="fr-FR" w:eastAsia="en-US"/>
        </w:rPr>
      </w:pPr>
      <w:bookmarkStart w:id="21" w:name="_Toc336032069"/>
    </w:p>
    <w:p w:rsidR="009D6827" w:rsidRDefault="00916214" w:rsidP="00542460">
      <w:pPr>
        <w:numPr>
          <w:ilvl w:val="0"/>
          <w:numId w:val="25"/>
        </w:numPr>
        <w:autoSpaceDE w:val="0"/>
        <w:autoSpaceDN w:val="0"/>
        <w:adjustRightInd w:val="0"/>
        <w:rPr>
          <w:rFonts w:eastAsia="Times New Roman"/>
          <w:szCs w:val="22"/>
          <w:lang w:val="fr-FR" w:eastAsia="en-US"/>
        </w:rPr>
      </w:pPr>
      <w:r w:rsidRPr="00EE65CE">
        <w:rPr>
          <w:rFonts w:eastAsia="Times New Roman"/>
          <w:szCs w:val="22"/>
          <w:lang w:val="fr-FR" w:eastAsia="en-US"/>
        </w:rPr>
        <w:t>Au sein de l</w:t>
      </w:r>
      <w:r w:rsidR="009D6827" w:rsidRPr="00EE65CE">
        <w:rPr>
          <w:rFonts w:eastAsia="Times New Roman"/>
          <w:szCs w:val="22"/>
          <w:lang w:val="fr-FR" w:eastAsia="en-US"/>
        </w:rPr>
        <w:t>’</w:t>
      </w:r>
      <w:r w:rsidRPr="00EE65CE">
        <w:rPr>
          <w:rFonts w:eastAsia="Times New Roman"/>
          <w:szCs w:val="22"/>
          <w:lang w:val="fr-FR" w:eastAsia="en-US"/>
        </w:rPr>
        <w:t>OMPI</w:t>
      </w:r>
      <w:r w:rsidR="004A5839" w:rsidRPr="00EE65CE">
        <w:rPr>
          <w:rFonts w:eastAsia="Times New Roman"/>
          <w:szCs w:val="22"/>
          <w:lang w:val="fr-FR" w:eastAsia="en-US"/>
        </w:rPr>
        <w:t xml:space="preserve">, </w:t>
      </w:r>
      <w:r w:rsidRPr="00EE65CE">
        <w:rPr>
          <w:rFonts w:eastAsia="Times New Roman"/>
          <w:szCs w:val="22"/>
          <w:lang w:val="fr-FR" w:eastAsia="en-US"/>
        </w:rPr>
        <w:t>ce projet a été géré par la Division du droit d</w:t>
      </w:r>
      <w:r w:rsidR="009D6827" w:rsidRPr="00EE65CE">
        <w:rPr>
          <w:rFonts w:eastAsia="Times New Roman"/>
          <w:szCs w:val="22"/>
          <w:lang w:val="fr-FR" w:eastAsia="en-US"/>
        </w:rPr>
        <w:t>’</w:t>
      </w:r>
      <w:r w:rsidRPr="00EE65CE">
        <w:rPr>
          <w:rFonts w:eastAsia="Times New Roman"/>
          <w:szCs w:val="22"/>
          <w:lang w:val="fr-FR" w:eastAsia="en-US"/>
        </w:rPr>
        <w:t>auteur du Secteur de la culture et des industries de la création.</w:t>
      </w:r>
    </w:p>
    <w:p w:rsidR="00424A9D" w:rsidRPr="00EE65CE" w:rsidRDefault="00424A9D" w:rsidP="00424A9D">
      <w:pPr>
        <w:autoSpaceDE w:val="0"/>
        <w:autoSpaceDN w:val="0"/>
        <w:adjustRightInd w:val="0"/>
        <w:rPr>
          <w:rFonts w:eastAsia="Times New Roman"/>
          <w:szCs w:val="22"/>
          <w:lang w:val="fr-FR" w:eastAsia="en-US"/>
        </w:rPr>
      </w:pPr>
    </w:p>
    <w:p w:rsidR="00FB6E4B" w:rsidRPr="00EE65CE" w:rsidRDefault="00385620" w:rsidP="00542460">
      <w:pPr>
        <w:pStyle w:val="Heading1"/>
        <w:rPr>
          <w:lang w:val="fr-FR"/>
        </w:rPr>
      </w:pPr>
      <w:bookmarkStart w:id="22" w:name="_Toc441830354"/>
      <w:r w:rsidRPr="00EE65CE">
        <w:rPr>
          <w:lang w:val="fr-FR"/>
        </w:rPr>
        <w:t>III.</w:t>
      </w:r>
      <w:r w:rsidRPr="00EE65CE">
        <w:rPr>
          <w:lang w:val="fr-FR"/>
        </w:rPr>
        <w:tab/>
      </w:r>
      <w:r w:rsidR="00162F63">
        <w:rPr>
          <w:lang w:val="fr-FR"/>
        </w:rPr>
        <w:t>S</w:t>
      </w:r>
      <w:r w:rsidR="008759FF">
        <w:rPr>
          <w:lang w:val="fr-FR"/>
        </w:rPr>
        <w:t>ynthèse des critères et de la mé</w:t>
      </w:r>
      <w:r w:rsidR="0067593C" w:rsidRPr="00EE65CE">
        <w:rPr>
          <w:lang w:val="fr-FR"/>
        </w:rPr>
        <w:t>thode d</w:t>
      </w:r>
      <w:r w:rsidR="009D6827" w:rsidRPr="00EE65CE">
        <w:rPr>
          <w:lang w:val="fr-FR"/>
        </w:rPr>
        <w:t>’</w:t>
      </w:r>
      <w:r w:rsidR="008759FF">
        <w:rPr>
          <w:lang w:val="fr-FR"/>
        </w:rPr>
        <w:t>é</w:t>
      </w:r>
      <w:r w:rsidR="0067593C" w:rsidRPr="00EE65CE">
        <w:rPr>
          <w:lang w:val="fr-FR"/>
        </w:rPr>
        <w:t>valuation</w:t>
      </w:r>
      <w:bookmarkEnd w:id="21"/>
      <w:bookmarkEnd w:id="22"/>
    </w:p>
    <w:p w:rsidR="005D46B7" w:rsidRPr="00EE65CE" w:rsidRDefault="005D46B7" w:rsidP="00542460">
      <w:pPr>
        <w:keepNext/>
        <w:rPr>
          <w:lang w:val="fr-FR"/>
        </w:rPr>
      </w:pPr>
    </w:p>
    <w:p w:rsidR="009D6827" w:rsidRPr="00EE65CE" w:rsidRDefault="0067593C" w:rsidP="00542460">
      <w:pPr>
        <w:pStyle w:val="BodyText"/>
        <w:numPr>
          <w:ilvl w:val="0"/>
          <w:numId w:val="25"/>
        </w:numPr>
        <w:rPr>
          <w:lang w:val="fr-FR"/>
        </w:rPr>
      </w:pPr>
      <w:r w:rsidRPr="00EE65CE">
        <w:rPr>
          <w:lang w:val="fr-FR"/>
        </w:rPr>
        <w:t>L</w:t>
      </w:r>
      <w:r w:rsidR="009D6827" w:rsidRPr="00EE65CE">
        <w:rPr>
          <w:lang w:val="fr-FR"/>
        </w:rPr>
        <w:t>’</w:t>
      </w:r>
      <w:r w:rsidRPr="00EE65CE">
        <w:rPr>
          <w:lang w:val="fr-FR"/>
        </w:rPr>
        <w:t>évaluation vis</w:t>
      </w:r>
      <w:r w:rsidR="0039191B" w:rsidRPr="00EE65CE">
        <w:rPr>
          <w:lang w:val="fr-FR"/>
        </w:rPr>
        <w:t>e</w:t>
      </w:r>
      <w:r w:rsidRPr="00EE65CE">
        <w:rPr>
          <w:lang w:val="fr-FR"/>
        </w:rPr>
        <w:t xml:space="preserve"> à analyser les résultats du projet, </w:t>
      </w:r>
      <w:r w:rsidR="009D6827" w:rsidRPr="00EE65CE">
        <w:rPr>
          <w:lang w:val="fr-FR"/>
        </w:rPr>
        <w:t>y compris</w:t>
      </w:r>
      <w:r w:rsidRPr="00EE65CE">
        <w:rPr>
          <w:lang w:val="fr-FR"/>
        </w:rPr>
        <w:t xml:space="preserve"> </w:t>
      </w:r>
      <w:r w:rsidR="00CE7A59" w:rsidRPr="00EE65CE">
        <w:rPr>
          <w:lang w:val="fr-FR"/>
        </w:rPr>
        <w:t xml:space="preserve">au regard de </w:t>
      </w:r>
      <w:r w:rsidRPr="00EE65CE">
        <w:rPr>
          <w:lang w:val="fr-FR"/>
        </w:rPr>
        <w:t xml:space="preserve">la conception, la gestion, </w:t>
      </w:r>
      <w:r w:rsidR="00CE7A59" w:rsidRPr="00EE65CE">
        <w:rPr>
          <w:lang w:val="fr-FR"/>
        </w:rPr>
        <w:t>la</w:t>
      </w:r>
      <w:r w:rsidR="00BA2BB2" w:rsidRPr="00EE65CE">
        <w:rPr>
          <w:lang w:val="fr-FR"/>
        </w:rPr>
        <w:t xml:space="preserve"> coordination, </w:t>
      </w:r>
      <w:r w:rsidR="00CE7A59" w:rsidRPr="00EE65CE">
        <w:rPr>
          <w:lang w:val="fr-FR"/>
        </w:rPr>
        <w:t xml:space="preserve">la </w:t>
      </w:r>
      <w:r w:rsidR="00BA2BB2" w:rsidRPr="00EE65CE">
        <w:rPr>
          <w:lang w:val="fr-FR"/>
        </w:rPr>
        <w:t>coh</w:t>
      </w:r>
      <w:r w:rsidR="00CE7A59" w:rsidRPr="00EE65CE">
        <w:rPr>
          <w:lang w:val="fr-FR"/>
        </w:rPr>
        <w:t>é</w:t>
      </w:r>
      <w:r w:rsidR="00BA2BB2" w:rsidRPr="00EE65CE">
        <w:rPr>
          <w:lang w:val="fr-FR"/>
        </w:rPr>
        <w:t>rence</w:t>
      </w:r>
      <w:r w:rsidR="00CE7A59" w:rsidRPr="00EE65CE">
        <w:rPr>
          <w:lang w:val="fr-FR"/>
        </w:rPr>
        <w:t xml:space="preserve"> et la mise en œuvre, ainsi que les résultats obtenus</w:t>
      </w:r>
      <w:r w:rsidR="00BA2BB2" w:rsidRPr="00EE65CE">
        <w:rPr>
          <w:lang w:val="fr-FR"/>
        </w:rPr>
        <w:t xml:space="preserve">. </w:t>
      </w:r>
      <w:r w:rsidR="00207D45" w:rsidRPr="00EE65CE">
        <w:rPr>
          <w:lang w:val="fr-FR"/>
        </w:rPr>
        <w:t xml:space="preserve"> </w:t>
      </w:r>
      <w:r w:rsidR="00CE7A59" w:rsidRPr="00EE65CE">
        <w:rPr>
          <w:lang w:val="fr-FR"/>
        </w:rPr>
        <w:t>Elle vis</w:t>
      </w:r>
      <w:r w:rsidR="0039191B" w:rsidRPr="00EE65CE">
        <w:rPr>
          <w:lang w:val="fr-FR"/>
        </w:rPr>
        <w:t>e</w:t>
      </w:r>
      <w:r w:rsidR="00CE7A59" w:rsidRPr="00EE65CE">
        <w:rPr>
          <w:lang w:val="fr-FR"/>
        </w:rPr>
        <w:t xml:space="preserve"> également à </w:t>
      </w:r>
      <w:r w:rsidR="008D2361" w:rsidRPr="00EE65CE">
        <w:rPr>
          <w:lang w:val="fr-FR"/>
        </w:rPr>
        <w:t>collecter des informations reposant sur des données probantes afin de faciliter la prise de décisions au sein</w:t>
      </w:r>
      <w:r w:rsidR="009D6827" w:rsidRPr="00EE65CE">
        <w:rPr>
          <w:lang w:val="fr-FR"/>
        </w:rPr>
        <w:t xml:space="preserve"> du CDI</w:t>
      </w:r>
      <w:r w:rsidR="008D2361" w:rsidRPr="00EE65CE">
        <w:rPr>
          <w:lang w:val="fr-FR"/>
        </w:rPr>
        <w:t>P.</w:t>
      </w:r>
    </w:p>
    <w:p w:rsidR="009D6827" w:rsidRPr="00EE65CE" w:rsidRDefault="008D2361" w:rsidP="00542460">
      <w:pPr>
        <w:pStyle w:val="BodyText"/>
        <w:numPr>
          <w:ilvl w:val="0"/>
          <w:numId w:val="25"/>
        </w:numPr>
        <w:rPr>
          <w:lang w:val="fr-FR"/>
        </w:rPr>
      </w:pPr>
      <w:r w:rsidRPr="00EE65CE">
        <w:rPr>
          <w:lang w:val="fr-FR"/>
        </w:rPr>
        <w:t>Pour réaliser l</w:t>
      </w:r>
      <w:r w:rsidR="009D6827" w:rsidRPr="00EE65CE">
        <w:rPr>
          <w:lang w:val="fr-FR"/>
        </w:rPr>
        <w:t>’</w:t>
      </w:r>
      <w:r w:rsidRPr="00EE65CE">
        <w:rPr>
          <w:lang w:val="fr-FR"/>
        </w:rPr>
        <w:t xml:space="preserve">évaluation, 11 questions </w:t>
      </w:r>
      <w:r w:rsidR="00E71624" w:rsidRPr="00EE65CE">
        <w:rPr>
          <w:lang w:val="fr-FR"/>
        </w:rPr>
        <w:t>ont été définies, axées sur quatre </w:t>
      </w:r>
      <w:r w:rsidR="00D8770A" w:rsidRPr="00EE65CE">
        <w:rPr>
          <w:lang w:val="fr-FR"/>
        </w:rPr>
        <w:t>domaine</w:t>
      </w:r>
      <w:r w:rsidR="00E71624" w:rsidRPr="00EE65CE">
        <w:rPr>
          <w:lang w:val="fr-FR"/>
        </w:rPr>
        <w:t>s : conception et gestion du projet, efficacité, viabilité et mise en œuvre des recommandations du Plan d</w:t>
      </w:r>
      <w:r w:rsidR="009D6827" w:rsidRPr="00EE65CE">
        <w:rPr>
          <w:lang w:val="fr-FR"/>
        </w:rPr>
        <w:t>’</w:t>
      </w:r>
      <w:r w:rsidR="00E71624" w:rsidRPr="00EE65CE">
        <w:rPr>
          <w:lang w:val="fr-FR"/>
        </w:rPr>
        <w:t>action pour le développement.  Il est répondu directement aux questions dans la</w:t>
      </w:r>
      <w:r w:rsidR="00FB6E4B" w:rsidRPr="00EE65CE">
        <w:rPr>
          <w:lang w:val="fr-FR"/>
        </w:rPr>
        <w:t xml:space="preserve"> section “</w:t>
      </w:r>
      <w:r w:rsidR="00E71624" w:rsidRPr="00EE65CE">
        <w:rPr>
          <w:lang w:val="fr-FR"/>
        </w:rPr>
        <w:t xml:space="preserve">Principales </w:t>
      </w:r>
      <w:r w:rsidR="00274D74" w:rsidRPr="00EE65CE">
        <w:rPr>
          <w:lang w:val="fr-FR"/>
        </w:rPr>
        <w:t>observation</w:t>
      </w:r>
      <w:r w:rsidR="00E71624" w:rsidRPr="00EE65CE">
        <w:rPr>
          <w:lang w:val="fr-FR"/>
        </w:rPr>
        <w:t>s</w:t>
      </w:r>
      <w:r w:rsidR="00FB6E4B" w:rsidRPr="00EE65CE">
        <w:rPr>
          <w:lang w:val="fr-FR"/>
        </w:rPr>
        <w:t xml:space="preserve">” </w:t>
      </w:r>
      <w:r w:rsidR="00E71624" w:rsidRPr="00EE65CE">
        <w:rPr>
          <w:lang w:val="fr-FR"/>
        </w:rPr>
        <w:t>ci</w:t>
      </w:r>
      <w:r w:rsidR="00992678" w:rsidRPr="00EE65CE">
        <w:rPr>
          <w:lang w:val="fr-FR"/>
        </w:rPr>
        <w:noBreakHyphen/>
      </w:r>
      <w:r w:rsidR="00E71624" w:rsidRPr="00EE65CE">
        <w:rPr>
          <w:lang w:val="fr-FR"/>
        </w:rPr>
        <w:t>après</w:t>
      </w:r>
      <w:r w:rsidR="00FB6E4B" w:rsidRPr="00EE65CE">
        <w:rPr>
          <w:lang w:val="fr-FR"/>
        </w:rPr>
        <w:t>.</w:t>
      </w:r>
    </w:p>
    <w:p w:rsidR="009D6827" w:rsidRPr="00EE65CE" w:rsidRDefault="00E71624" w:rsidP="00542460">
      <w:pPr>
        <w:pStyle w:val="BodyText"/>
        <w:numPr>
          <w:ilvl w:val="0"/>
          <w:numId w:val="25"/>
        </w:numPr>
        <w:rPr>
          <w:lang w:val="fr-FR"/>
        </w:rPr>
      </w:pPr>
      <w:r w:rsidRPr="00EE65CE">
        <w:rPr>
          <w:lang w:val="fr-FR"/>
        </w:rPr>
        <w:lastRenderedPageBreak/>
        <w:t xml:space="preserve">Une combinaison de méthodes </w:t>
      </w:r>
      <w:r w:rsidR="00D8770A" w:rsidRPr="00EE65CE">
        <w:rPr>
          <w:lang w:val="fr-FR"/>
        </w:rPr>
        <w:t>a</w:t>
      </w:r>
      <w:r w:rsidRPr="00EE65CE">
        <w:rPr>
          <w:lang w:val="fr-FR"/>
        </w:rPr>
        <w:t xml:space="preserve"> été utilisée dans le cadre de l</w:t>
      </w:r>
      <w:r w:rsidR="009D6827" w:rsidRPr="00EE65CE">
        <w:rPr>
          <w:lang w:val="fr-FR"/>
        </w:rPr>
        <w:t>’</w:t>
      </w:r>
      <w:r w:rsidRPr="00EE65CE">
        <w:rPr>
          <w:lang w:val="fr-FR"/>
        </w:rPr>
        <w:t>é</w:t>
      </w:r>
      <w:r w:rsidR="00FB6E4B" w:rsidRPr="00EE65CE">
        <w:rPr>
          <w:lang w:val="fr-FR"/>
        </w:rPr>
        <w:t>valuation</w:t>
      </w:r>
      <w:r w:rsidRPr="00EE65CE">
        <w:rPr>
          <w:lang w:val="fr-FR"/>
        </w:rPr>
        <w:t>.  Outre l</w:t>
      </w:r>
      <w:r w:rsidR="009D6827" w:rsidRPr="00EE65CE">
        <w:rPr>
          <w:lang w:val="fr-FR"/>
        </w:rPr>
        <w:t>’</w:t>
      </w:r>
      <w:r w:rsidRPr="00EE65CE">
        <w:rPr>
          <w:lang w:val="fr-FR"/>
        </w:rPr>
        <w:t>examen de tous les documents pertinents et données de suivi à disposition, des entretiens ont été menés avec six fonctionnaires du Secrétariat de l</w:t>
      </w:r>
      <w:r w:rsidR="009D6827" w:rsidRPr="00EE65CE">
        <w:rPr>
          <w:lang w:val="fr-FR"/>
        </w:rPr>
        <w:t>’</w:t>
      </w:r>
      <w:r w:rsidRPr="00EE65CE">
        <w:rPr>
          <w:lang w:val="fr-FR"/>
        </w:rPr>
        <w:t>OMPI à Genève</w:t>
      </w:r>
      <w:r w:rsidR="00D8770A" w:rsidRPr="00EE65CE">
        <w:rPr>
          <w:lang w:val="fr-FR"/>
        </w:rPr>
        <w:t xml:space="preserve">, </w:t>
      </w:r>
      <w:r w:rsidR="001B2475" w:rsidRPr="00EE65CE">
        <w:rPr>
          <w:lang w:val="fr-FR"/>
        </w:rPr>
        <w:t>outre</w:t>
      </w:r>
      <w:r w:rsidR="00D8770A" w:rsidRPr="00EE65CE">
        <w:rPr>
          <w:lang w:val="fr-FR"/>
        </w:rPr>
        <w:t xml:space="preserve"> </w:t>
      </w:r>
      <w:r w:rsidRPr="00EE65CE">
        <w:rPr>
          <w:lang w:val="fr-FR"/>
        </w:rPr>
        <w:t xml:space="preserve">des entretiens </w:t>
      </w:r>
      <w:r w:rsidR="00D8770A" w:rsidRPr="00EE65CE">
        <w:rPr>
          <w:lang w:val="fr-FR"/>
        </w:rPr>
        <w:t xml:space="preserve">par </w:t>
      </w:r>
      <w:r w:rsidRPr="00EE65CE">
        <w:rPr>
          <w:lang w:val="fr-FR"/>
        </w:rPr>
        <w:t>téléphon</w:t>
      </w:r>
      <w:r w:rsidR="00D8770A" w:rsidRPr="00EE65CE">
        <w:rPr>
          <w:lang w:val="fr-FR"/>
        </w:rPr>
        <w:t xml:space="preserve">e et en personne avec cinq représentants et fonctionnaires des États membres et trois consultants </w:t>
      </w:r>
      <w:r w:rsidR="00D07BF3" w:rsidRPr="00EE65CE">
        <w:rPr>
          <w:lang w:val="fr-FR"/>
        </w:rPr>
        <w:t>extern</w:t>
      </w:r>
      <w:r w:rsidR="00D8770A" w:rsidRPr="00EE65CE">
        <w:rPr>
          <w:lang w:val="fr-FR"/>
        </w:rPr>
        <w:t>es ayant participé au projet</w:t>
      </w:r>
      <w:r w:rsidR="00D07BF3" w:rsidRPr="00EE65CE">
        <w:rPr>
          <w:lang w:val="fr-FR"/>
        </w:rPr>
        <w:t>.</w:t>
      </w:r>
    </w:p>
    <w:p w:rsidR="00FB6E4B" w:rsidRPr="00EE65CE" w:rsidRDefault="00692329" w:rsidP="00542460">
      <w:pPr>
        <w:pStyle w:val="Heading1"/>
        <w:rPr>
          <w:szCs w:val="22"/>
          <w:lang w:val="fr-FR"/>
        </w:rPr>
      </w:pPr>
      <w:bookmarkStart w:id="23" w:name="_Toc336032070"/>
      <w:bookmarkStart w:id="24" w:name="_Toc441830355"/>
      <w:r w:rsidRPr="00EE65CE">
        <w:rPr>
          <w:lang w:val="fr-FR"/>
        </w:rPr>
        <w:t>IV</w:t>
      </w:r>
      <w:r w:rsidR="00385620" w:rsidRPr="00EE65CE">
        <w:rPr>
          <w:lang w:val="fr-FR"/>
        </w:rPr>
        <w:t>.</w:t>
      </w:r>
      <w:r w:rsidR="00385620" w:rsidRPr="00EE65CE">
        <w:rPr>
          <w:lang w:val="fr-FR"/>
        </w:rPr>
        <w:tab/>
      </w:r>
      <w:r w:rsidR="00EC6644">
        <w:rPr>
          <w:szCs w:val="22"/>
          <w:lang w:val="fr-FR"/>
        </w:rPr>
        <w:t>P</w:t>
      </w:r>
      <w:r w:rsidR="00D8770A" w:rsidRPr="00EE65CE">
        <w:rPr>
          <w:szCs w:val="22"/>
          <w:lang w:val="fr-FR"/>
        </w:rPr>
        <w:t xml:space="preserve">rincipales </w:t>
      </w:r>
      <w:r w:rsidR="00274D74" w:rsidRPr="00EE65CE">
        <w:rPr>
          <w:szCs w:val="22"/>
          <w:lang w:val="fr-FR"/>
        </w:rPr>
        <w:t>observation</w:t>
      </w:r>
      <w:r w:rsidR="00D8770A" w:rsidRPr="00EE65CE">
        <w:rPr>
          <w:szCs w:val="22"/>
          <w:lang w:val="fr-FR"/>
        </w:rPr>
        <w:t>s</w:t>
      </w:r>
      <w:bookmarkEnd w:id="23"/>
      <w:bookmarkEnd w:id="24"/>
    </w:p>
    <w:p w:rsidR="00DB45C4" w:rsidRPr="00EE65CE" w:rsidRDefault="00DB45C4" w:rsidP="00542460">
      <w:pPr>
        <w:rPr>
          <w:lang w:val="fr-FR"/>
        </w:rPr>
      </w:pPr>
    </w:p>
    <w:p w:rsidR="009D6827" w:rsidRPr="00EE65CE" w:rsidRDefault="00D8770A" w:rsidP="00542460">
      <w:pPr>
        <w:pStyle w:val="BodyText"/>
        <w:numPr>
          <w:ilvl w:val="0"/>
          <w:numId w:val="25"/>
        </w:numPr>
        <w:rPr>
          <w:lang w:val="fr-FR"/>
        </w:rPr>
      </w:pPr>
      <w:r w:rsidRPr="00EE65CE">
        <w:rPr>
          <w:lang w:val="fr-FR"/>
        </w:rPr>
        <w:t xml:space="preserve">La présente </w:t>
      </w:r>
      <w:r w:rsidR="00FB6E4B" w:rsidRPr="00EE65CE">
        <w:rPr>
          <w:lang w:val="fr-FR"/>
        </w:rPr>
        <w:t xml:space="preserve">section </w:t>
      </w:r>
      <w:r w:rsidR="00B70BD3" w:rsidRPr="00EE65CE">
        <w:rPr>
          <w:lang w:val="fr-FR"/>
        </w:rPr>
        <w:t>s</w:t>
      </w:r>
      <w:r w:rsidR="009D6827" w:rsidRPr="00EE65CE">
        <w:rPr>
          <w:lang w:val="fr-FR"/>
        </w:rPr>
        <w:t>’</w:t>
      </w:r>
      <w:r w:rsidR="00B70BD3" w:rsidRPr="00EE65CE">
        <w:rPr>
          <w:lang w:val="fr-FR"/>
        </w:rPr>
        <w:t>articule autour des quatre domaines faisant l</w:t>
      </w:r>
      <w:r w:rsidR="009D6827" w:rsidRPr="00EE65CE">
        <w:rPr>
          <w:lang w:val="fr-FR"/>
        </w:rPr>
        <w:t>’</w:t>
      </w:r>
      <w:r w:rsidR="00B70BD3" w:rsidRPr="00EE65CE">
        <w:rPr>
          <w:lang w:val="fr-FR"/>
        </w:rPr>
        <w:t>objet de l</w:t>
      </w:r>
      <w:r w:rsidR="009D6827" w:rsidRPr="00EE65CE">
        <w:rPr>
          <w:lang w:val="fr-FR"/>
        </w:rPr>
        <w:t>’</w:t>
      </w:r>
      <w:r w:rsidR="00B70BD3" w:rsidRPr="00EE65CE">
        <w:rPr>
          <w:lang w:val="fr-FR"/>
        </w:rPr>
        <w:t>évaluation</w:t>
      </w:r>
      <w:r w:rsidR="00F369F8" w:rsidRPr="00EE65CE">
        <w:rPr>
          <w:lang w:val="fr-FR"/>
        </w:rPr>
        <w:t>.  La réponse à cha</w:t>
      </w:r>
      <w:r w:rsidR="009A5231" w:rsidRPr="00EE65CE">
        <w:rPr>
          <w:lang w:val="fr-FR"/>
        </w:rPr>
        <w:t xml:space="preserve">cune des </w:t>
      </w:r>
      <w:r w:rsidR="00F369F8" w:rsidRPr="00EE65CE">
        <w:rPr>
          <w:lang w:val="fr-FR"/>
        </w:rPr>
        <w:t>question</w:t>
      </w:r>
      <w:r w:rsidR="009A5231" w:rsidRPr="00EE65CE">
        <w:rPr>
          <w:lang w:val="fr-FR"/>
        </w:rPr>
        <w:t>s</w:t>
      </w:r>
      <w:r w:rsidR="00F369F8" w:rsidRPr="00EE65CE">
        <w:rPr>
          <w:lang w:val="fr-FR"/>
        </w:rPr>
        <w:t xml:space="preserve"> figure </w:t>
      </w:r>
      <w:r w:rsidR="009A5231" w:rsidRPr="00EE65CE">
        <w:rPr>
          <w:lang w:val="fr-FR"/>
        </w:rPr>
        <w:t xml:space="preserve">directement </w:t>
      </w:r>
      <w:r w:rsidR="00F369F8" w:rsidRPr="00EE65CE">
        <w:rPr>
          <w:lang w:val="fr-FR"/>
        </w:rPr>
        <w:t xml:space="preserve">dans le chapitre consacré </w:t>
      </w:r>
      <w:r w:rsidR="009A5231" w:rsidRPr="00EE65CE">
        <w:rPr>
          <w:lang w:val="fr-FR"/>
        </w:rPr>
        <w:t>au</w:t>
      </w:r>
      <w:r w:rsidR="00F369F8" w:rsidRPr="00EE65CE">
        <w:rPr>
          <w:lang w:val="fr-FR"/>
        </w:rPr>
        <w:t xml:space="preserve"> </w:t>
      </w:r>
      <w:r w:rsidR="009A5231" w:rsidRPr="00EE65CE">
        <w:rPr>
          <w:lang w:val="fr-FR"/>
        </w:rPr>
        <w:t>domaine correspondant</w:t>
      </w:r>
      <w:r w:rsidR="00FB6E4B" w:rsidRPr="00EE65CE">
        <w:rPr>
          <w:lang w:val="fr-FR"/>
        </w:rPr>
        <w:t>.</w:t>
      </w:r>
    </w:p>
    <w:p w:rsidR="0044353E" w:rsidRDefault="0044353E">
      <w:pPr>
        <w:rPr>
          <w:rFonts w:cs="Times New Roman"/>
          <w:caps/>
          <w:lang w:val="x-none"/>
        </w:rPr>
      </w:pPr>
      <w:bookmarkStart w:id="25" w:name="_Toc441830356"/>
    </w:p>
    <w:p w:rsidR="00FB6E4B" w:rsidRPr="00BC6A54" w:rsidRDefault="00385620" w:rsidP="00BC6A54">
      <w:pPr>
        <w:pStyle w:val="Heading2"/>
      </w:pPr>
      <w:r w:rsidRPr="00BC6A54">
        <w:t>A.</w:t>
      </w:r>
      <w:r w:rsidRPr="00BC6A54">
        <w:tab/>
      </w:r>
      <w:r w:rsidR="00BC6A54" w:rsidRPr="00BC6A54">
        <w:t xml:space="preserve">Conception </w:t>
      </w:r>
      <w:r w:rsidR="009A5231" w:rsidRPr="00BC6A54">
        <w:t>et gestion</w:t>
      </w:r>
      <w:r w:rsidR="009D6827" w:rsidRPr="00BC6A54">
        <w:t xml:space="preserve"> du </w:t>
      </w:r>
      <w:r w:rsidR="00BC6A54" w:rsidRPr="00BC6A54">
        <w:t>projet</w:t>
      </w:r>
      <w:bookmarkEnd w:id="25"/>
    </w:p>
    <w:p w:rsidR="009D6827" w:rsidRPr="00EE65CE" w:rsidRDefault="00274D74" w:rsidP="00542460">
      <w:pPr>
        <w:pStyle w:val="BodyText"/>
        <w:numPr>
          <w:ilvl w:val="0"/>
          <w:numId w:val="25"/>
        </w:numPr>
        <w:rPr>
          <w:lang w:val="fr-FR"/>
        </w:rPr>
      </w:pPr>
      <w:r w:rsidRPr="00EE65CE">
        <w:rPr>
          <w:b/>
          <w:lang w:val="fr-FR"/>
        </w:rPr>
        <w:t>Observation</w:t>
      </w:r>
      <w:r w:rsidR="00B1423A" w:rsidRPr="00EE65CE">
        <w:rPr>
          <w:b/>
          <w:lang w:val="fr-FR"/>
        </w:rPr>
        <w:t xml:space="preserve"> </w:t>
      </w:r>
      <w:r w:rsidR="00DF6DE9" w:rsidRPr="00EE65CE">
        <w:rPr>
          <w:b/>
          <w:lang w:val="fr-FR"/>
        </w:rPr>
        <w:t>n</w:t>
      </w:r>
      <w:r w:rsidR="00B1423A" w:rsidRPr="00EE65CE">
        <w:rPr>
          <w:b/>
          <w:lang w:val="fr-FR"/>
        </w:rPr>
        <w:t>° </w:t>
      </w:r>
      <w:r w:rsidR="00DF6DE9" w:rsidRPr="00EE65CE">
        <w:rPr>
          <w:b/>
          <w:lang w:val="fr-FR"/>
        </w:rPr>
        <w:t>1</w:t>
      </w:r>
      <w:r w:rsidR="00B1423A" w:rsidRPr="00EE65CE">
        <w:rPr>
          <w:b/>
          <w:lang w:val="fr-FR"/>
        </w:rPr>
        <w:t> </w:t>
      </w:r>
      <w:r w:rsidR="00A64A50" w:rsidRPr="00EE65CE">
        <w:rPr>
          <w:b/>
          <w:lang w:val="fr-FR"/>
        </w:rPr>
        <w:t>:</w:t>
      </w:r>
      <w:r w:rsidR="00A64A50" w:rsidRPr="00EE65CE">
        <w:rPr>
          <w:lang w:val="fr-FR"/>
        </w:rPr>
        <w:t xml:space="preserve"> </w:t>
      </w:r>
      <w:r w:rsidR="00B1423A" w:rsidRPr="00EE65CE">
        <w:rPr>
          <w:lang w:val="fr-FR"/>
        </w:rPr>
        <w:t>la gestion du projet a permis de faire en sorte que les activités planifiées soient mises en œuvre et que le budget soit utilisé comme prévu</w:t>
      </w:r>
      <w:r w:rsidR="001F2C9C" w:rsidRPr="00EE65CE">
        <w:rPr>
          <w:lang w:val="fr-FR"/>
        </w:rPr>
        <w:t xml:space="preserve">, </w:t>
      </w:r>
      <w:r w:rsidR="00B1423A" w:rsidRPr="00EE65CE">
        <w:rPr>
          <w:lang w:val="fr-FR"/>
        </w:rPr>
        <w:t xml:space="preserve">les changements et </w:t>
      </w:r>
      <w:r w:rsidR="001F2C9C" w:rsidRPr="00EE65CE">
        <w:rPr>
          <w:lang w:val="fr-FR"/>
        </w:rPr>
        <w:t xml:space="preserve">adaptations </w:t>
      </w:r>
      <w:r w:rsidR="00B1423A" w:rsidRPr="00EE65CE">
        <w:rPr>
          <w:lang w:val="fr-FR"/>
        </w:rPr>
        <w:t>nécessaires ayant été apportés</w:t>
      </w:r>
      <w:r w:rsidR="00DF652E" w:rsidRPr="00EE65CE">
        <w:rPr>
          <w:lang w:val="fr-FR"/>
        </w:rPr>
        <w:t>,</w:t>
      </w:r>
      <w:r w:rsidR="00B1423A" w:rsidRPr="00EE65CE">
        <w:rPr>
          <w:lang w:val="fr-FR"/>
        </w:rPr>
        <w:t xml:space="preserve"> comme </w:t>
      </w:r>
      <w:r w:rsidR="00DF652E" w:rsidRPr="00EE65CE">
        <w:rPr>
          <w:lang w:val="fr-FR"/>
        </w:rPr>
        <w:t>indiqué ci</w:t>
      </w:r>
      <w:r w:rsidR="00992678" w:rsidRPr="00EE65CE">
        <w:rPr>
          <w:lang w:val="fr-FR"/>
        </w:rPr>
        <w:noBreakHyphen/>
      </w:r>
      <w:r w:rsidR="00DF652E" w:rsidRPr="00EE65CE">
        <w:rPr>
          <w:lang w:val="fr-FR"/>
        </w:rPr>
        <w:t xml:space="preserve">après (voir les </w:t>
      </w:r>
      <w:r w:rsidRPr="00EE65CE">
        <w:rPr>
          <w:lang w:val="fr-FR"/>
        </w:rPr>
        <w:t>observation</w:t>
      </w:r>
      <w:r w:rsidR="00DF652E" w:rsidRPr="00EE65CE">
        <w:rPr>
          <w:lang w:val="fr-FR"/>
        </w:rPr>
        <w:t>s n°</w:t>
      </w:r>
      <w:r w:rsidR="005B2087" w:rsidRPr="00EE65CE">
        <w:rPr>
          <w:lang w:val="fr-FR"/>
        </w:rPr>
        <w:t> </w:t>
      </w:r>
      <w:r w:rsidR="00DF652E" w:rsidRPr="00EE65CE">
        <w:rPr>
          <w:vertAlign w:val="superscript"/>
          <w:lang w:val="fr-FR"/>
        </w:rPr>
        <w:t>s</w:t>
      </w:r>
      <w:r w:rsidR="00DF652E" w:rsidRPr="00EE65CE">
        <w:rPr>
          <w:lang w:val="fr-FR"/>
        </w:rPr>
        <w:t xml:space="preserve"> 5 et 6).  </w:t>
      </w:r>
      <w:r w:rsidR="00D01255" w:rsidRPr="00EE65CE">
        <w:rPr>
          <w:lang w:val="fr-FR"/>
        </w:rPr>
        <w:t>Un certain nombre de difficultés ont été rencontrées dans la gestion du projet compte tenu des autres priorités sur le plan professionnel du responsable au sein de l</w:t>
      </w:r>
      <w:r w:rsidR="009D6827" w:rsidRPr="00EE65CE">
        <w:rPr>
          <w:lang w:val="fr-FR"/>
        </w:rPr>
        <w:t>’</w:t>
      </w:r>
      <w:r w:rsidR="00D01255" w:rsidRPr="00EE65CE">
        <w:rPr>
          <w:lang w:val="fr-FR"/>
        </w:rPr>
        <w:t>OMPI</w:t>
      </w:r>
      <w:r w:rsidR="00372390" w:rsidRPr="00EE65CE">
        <w:rPr>
          <w:lang w:val="fr-FR"/>
        </w:rPr>
        <w:t xml:space="preserve">, </w:t>
      </w:r>
      <w:r w:rsidR="00D01255" w:rsidRPr="00EE65CE">
        <w:rPr>
          <w:lang w:val="fr-FR"/>
        </w:rPr>
        <w:t xml:space="preserve">du retard enregistré dans la </w:t>
      </w:r>
      <w:r w:rsidR="004E5AA5" w:rsidRPr="00EE65CE">
        <w:rPr>
          <w:lang w:val="fr-FR"/>
        </w:rPr>
        <w:t>nomination</w:t>
      </w:r>
      <w:r w:rsidR="00D01255" w:rsidRPr="00EE65CE">
        <w:rPr>
          <w:lang w:val="fr-FR"/>
        </w:rPr>
        <w:t xml:space="preserve"> d</w:t>
      </w:r>
      <w:r w:rsidR="009D6827" w:rsidRPr="00EE65CE">
        <w:rPr>
          <w:lang w:val="fr-FR"/>
        </w:rPr>
        <w:t>’</w:t>
      </w:r>
      <w:r w:rsidR="00D01255" w:rsidRPr="00EE65CE">
        <w:rPr>
          <w:lang w:val="fr-FR"/>
        </w:rPr>
        <w:t>un fonctionnaire chargé de l</w:t>
      </w:r>
      <w:r w:rsidR="009D6827" w:rsidRPr="00EE65CE">
        <w:rPr>
          <w:lang w:val="fr-FR"/>
        </w:rPr>
        <w:t>’</w:t>
      </w:r>
      <w:r w:rsidR="00D01255" w:rsidRPr="00EE65CE">
        <w:rPr>
          <w:lang w:val="fr-FR"/>
        </w:rPr>
        <w:t xml:space="preserve">exécution et </w:t>
      </w:r>
      <w:r w:rsidR="00A32B8D" w:rsidRPr="00EE65CE">
        <w:rPr>
          <w:lang w:val="fr-FR"/>
        </w:rPr>
        <w:t>des divers degrés d</w:t>
      </w:r>
      <w:r w:rsidR="009D6827" w:rsidRPr="00EE65CE">
        <w:rPr>
          <w:lang w:val="fr-FR"/>
        </w:rPr>
        <w:t>’</w:t>
      </w:r>
      <w:r w:rsidR="00A32B8D" w:rsidRPr="00EE65CE">
        <w:rPr>
          <w:lang w:val="fr-FR"/>
        </w:rPr>
        <w:t xml:space="preserve">implication des coordonnateurs locaux </w:t>
      </w:r>
      <w:r w:rsidR="008D3622" w:rsidRPr="00EE65CE">
        <w:rPr>
          <w:lang w:val="fr-FR"/>
        </w:rPr>
        <w:t xml:space="preserve">chargés de </w:t>
      </w:r>
      <w:r w:rsidR="004E5AA5" w:rsidRPr="00EE65CE">
        <w:rPr>
          <w:lang w:val="fr-FR"/>
        </w:rPr>
        <w:t xml:space="preserve">la réalisation de </w:t>
      </w:r>
      <w:r w:rsidR="008D3622" w:rsidRPr="00EE65CE">
        <w:rPr>
          <w:lang w:val="fr-FR"/>
        </w:rPr>
        <w:t>ces tâches en sus de leurs autres activités professionnelles</w:t>
      </w:r>
      <w:r w:rsidR="00372390" w:rsidRPr="00EE65CE">
        <w:rPr>
          <w:lang w:val="fr-FR"/>
        </w:rPr>
        <w:t>.</w:t>
      </w:r>
      <w:r w:rsidR="008D6253" w:rsidRPr="00EE65CE">
        <w:rPr>
          <w:lang w:val="fr-FR"/>
        </w:rPr>
        <w:t xml:space="preserve">  </w:t>
      </w:r>
      <w:r w:rsidR="008D3622" w:rsidRPr="00EE65CE">
        <w:rPr>
          <w:lang w:val="fr-FR"/>
        </w:rPr>
        <w:t>Par conséquent, la mise en œuvre du projet a été retardée et des insuffisances ont été enregistrées dans le suivi nécessaire et la supervision des activités, comme indiqué ci</w:t>
      </w:r>
      <w:r w:rsidR="00992678" w:rsidRPr="00EE65CE">
        <w:rPr>
          <w:lang w:val="fr-FR"/>
        </w:rPr>
        <w:noBreakHyphen/>
      </w:r>
      <w:r w:rsidR="008D3622" w:rsidRPr="00EE65CE">
        <w:rPr>
          <w:lang w:val="fr-FR"/>
        </w:rPr>
        <w:t>après</w:t>
      </w:r>
      <w:r w:rsidR="00A64A50" w:rsidRPr="00EE65CE">
        <w:rPr>
          <w:lang w:val="fr-FR"/>
        </w:rPr>
        <w:t xml:space="preserve">.  </w:t>
      </w:r>
      <w:r w:rsidR="008D3622" w:rsidRPr="00EE65CE">
        <w:rPr>
          <w:lang w:val="fr-FR"/>
        </w:rPr>
        <w:t>En outre, le fonctionnaire chargé de l</w:t>
      </w:r>
      <w:r w:rsidR="009D6827" w:rsidRPr="00EE65CE">
        <w:rPr>
          <w:lang w:val="fr-FR"/>
        </w:rPr>
        <w:t>’</w:t>
      </w:r>
      <w:r w:rsidR="008D3622" w:rsidRPr="00EE65CE">
        <w:rPr>
          <w:lang w:val="fr-FR"/>
        </w:rPr>
        <w:t xml:space="preserve">exécution </w:t>
      </w:r>
      <w:r w:rsidR="00DB7903" w:rsidRPr="00EE65CE">
        <w:rPr>
          <w:lang w:val="fr-FR"/>
        </w:rPr>
        <w:t>appartenait à</w:t>
      </w:r>
      <w:r w:rsidR="008D3622" w:rsidRPr="00EE65CE">
        <w:rPr>
          <w:lang w:val="fr-FR"/>
        </w:rPr>
        <w:t xml:space="preserve"> la catégorie des services généraux</w:t>
      </w:r>
      <w:r w:rsidR="00DB7903" w:rsidRPr="00EE65CE">
        <w:rPr>
          <w:lang w:val="fr-FR"/>
        </w:rPr>
        <w:t xml:space="preserve"> comme prévu dans le budget</w:t>
      </w:r>
      <w:r w:rsidR="008D3622" w:rsidRPr="00EE65CE">
        <w:rPr>
          <w:lang w:val="fr-FR"/>
        </w:rPr>
        <w:t>, alors que les tâches requises, telles que l</w:t>
      </w:r>
      <w:r w:rsidR="009D6827" w:rsidRPr="00EE65CE">
        <w:rPr>
          <w:lang w:val="fr-FR"/>
        </w:rPr>
        <w:t>’</w:t>
      </w:r>
      <w:r w:rsidR="008D3622" w:rsidRPr="00EE65CE">
        <w:rPr>
          <w:lang w:val="fr-FR"/>
        </w:rPr>
        <w:t>élaboration de contenus ou de textes pour l</w:t>
      </w:r>
      <w:r w:rsidR="009D6827" w:rsidRPr="00EE65CE">
        <w:rPr>
          <w:lang w:val="fr-FR"/>
        </w:rPr>
        <w:t>’</w:t>
      </w:r>
      <w:r w:rsidR="008D3622" w:rsidRPr="00EE65CE">
        <w:rPr>
          <w:lang w:val="fr-FR"/>
        </w:rPr>
        <w:t>organisation des ateliers</w:t>
      </w:r>
      <w:r w:rsidR="00DB7903" w:rsidRPr="00EE65CE">
        <w:rPr>
          <w:lang w:val="fr-FR"/>
        </w:rPr>
        <w:t>, la coordination avec les pays participants et le suivi des progrès accomplis relevaient davantage des compétences d</w:t>
      </w:r>
      <w:r w:rsidR="009D6827" w:rsidRPr="00EE65CE">
        <w:rPr>
          <w:lang w:val="fr-FR"/>
        </w:rPr>
        <w:t>’</w:t>
      </w:r>
      <w:r w:rsidR="00DB7903" w:rsidRPr="00EE65CE">
        <w:rPr>
          <w:lang w:val="fr-FR"/>
        </w:rPr>
        <w:t>un administrateur auxiliaire, ce qui a contribué à</w:t>
      </w:r>
      <w:r w:rsidR="00F5177E" w:rsidRPr="00EE65CE">
        <w:rPr>
          <w:lang w:val="fr-FR"/>
        </w:rPr>
        <w:t xml:space="preserve"> </w:t>
      </w:r>
      <w:r w:rsidR="0039191B" w:rsidRPr="00EE65CE">
        <w:rPr>
          <w:lang w:val="fr-FR"/>
        </w:rPr>
        <w:t>accroître</w:t>
      </w:r>
      <w:r w:rsidR="00F5177E" w:rsidRPr="00EE65CE">
        <w:rPr>
          <w:lang w:val="fr-FR"/>
        </w:rPr>
        <w:t xml:space="preserve"> les insuffisances susmentionnées</w:t>
      </w:r>
      <w:r w:rsidR="008D6253" w:rsidRPr="00EE65CE">
        <w:rPr>
          <w:lang w:val="fr-FR"/>
        </w:rPr>
        <w:t>.</w:t>
      </w:r>
    </w:p>
    <w:p w:rsidR="009D6827" w:rsidRPr="00EE65CE" w:rsidRDefault="00F5177E" w:rsidP="00542460">
      <w:pPr>
        <w:pStyle w:val="BodyText"/>
        <w:keepNext/>
        <w:tabs>
          <w:tab w:val="left" w:pos="450"/>
        </w:tabs>
        <w:rPr>
          <w:i/>
          <w:u w:val="single"/>
          <w:lang w:val="fr-FR"/>
        </w:rPr>
      </w:pPr>
      <w:r w:rsidRPr="00EE65CE">
        <w:rPr>
          <w:i/>
          <w:u w:val="single"/>
          <w:lang w:val="fr-FR"/>
        </w:rPr>
        <w:t xml:space="preserve">Pertinence du descriptif de projet </w:t>
      </w:r>
      <w:r w:rsidR="00011BFB" w:rsidRPr="00EE65CE">
        <w:rPr>
          <w:i/>
          <w:u w:val="single"/>
          <w:lang w:val="fr-FR"/>
        </w:rPr>
        <w:t xml:space="preserve">initial </w:t>
      </w:r>
      <w:r w:rsidRPr="00EE65CE">
        <w:rPr>
          <w:i/>
          <w:u w:val="single"/>
          <w:lang w:val="fr-FR"/>
        </w:rPr>
        <w:t>pour donner des orientations sur la mise en œuvre du projet et l</w:t>
      </w:r>
      <w:r w:rsidR="009D6827" w:rsidRPr="00EE65CE">
        <w:rPr>
          <w:i/>
          <w:u w:val="single"/>
          <w:lang w:val="fr-FR"/>
        </w:rPr>
        <w:t>’</w:t>
      </w:r>
      <w:r w:rsidRPr="00EE65CE">
        <w:rPr>
          <w:i/>
          <w:u w:val="single"/>
          <w:lang w:val="fr-FR"/>
        </w:rPr>
        <w:t>évaluation des résultats obtenus</w:t>
      </w:r>
      <w:r w:rsidR="00011BFB" w:rsidRPr="00EE65CE">
        <w:rPr>
          <w:i/>
          <w:u w:val="single"/>
          <w:lang w:val="fr-FR"/>
        </w:rPr>
        <w:t>.</w:t>
      </w:r>
    </w:p>
    <w:p w:rsidR="009D6827" w:rsidRPr="00EE65CE" w:rsidRDefault="00274D74" w:rsidP="00542460">
      <w:pPr>
        <w:pStyle w:val="BodyText"/>
        <w:keepLines/>
        <w:numPr>
          <w:ilvl w:val="0"/>
          <w:numId w:val="25"/>
        </w:numPr>
        <w:tabs>
          <w:tab w:val="left" w:pos="450"/>
        </w:tabs>
        <w:rPr>
          <w:lang w:val="fr-FR"/>
        </w:rPr>
      </w:pPr>
      <w:r w:rsidRPr="00EE65CE">
        <w:rPr>
          <w:b/>
          <w:lang w:val="fr-FR"/>
        </w:rPr>
        <w:t>Observation</w:t>
      </w:r>
      <w:r w:rsidR="00F5177E" w:rsidRPr="00EE65CE">
        <w:rPr>
          <w:b/>
          <w:lang w:val="fr-FR"/>
        </w:rPr>
        <w:t xml:space="preserve"> n° </w:t>
      </w:r>
      <w:r w:rsidR="00DF6DE9" w:rsidRPr="00EE65CE">
        <w:rPr>
          <w:b/>
          <w:lang w:val="fr-FR"/>
        </w:rPr>
        <w:t>2</w:t>
      </w:r>
      <w:r w:rsidR="00F5177E" w:rsidRPr="00EE65CE">
        <w:rPr>
          <w:b/>
          <w:lang w:val="fr-FR"/>
        </w:rPr>
        <w:t> </w:t>
      </w:r>
      <w:r w:rsidR="001D50BA" w:rsidRPr="00EE65CE">
        <w:rPr>
          <w:b/>
          <w:lang w:val="fr-FR"/>
        </w:rPr>
        <w:t>:</w:t>
      </w:r>
      <w:r w:rsidR="000A1C40" w:rsidRPr="00EE65CE">
        <w:rPr>
          <w:lang w:val="fr-FR"/>
        </w:rPr>
        <w:t xml:space="preserve"> </w:t>
      </w:r>
      <w:r w:rsidR="00F5177E" w:rsidRPr="00EE65CE">
        <w:rPr>
          <w:lang w:val="fr-FR"/>
        </w:rPr>
        <w:t xml:space="preserve">le descriptif du projet </w:t>
      </w:r>
      <w:r w:rsidR="00AD531E" w:rsidRPr="00EE65CE">
        <w:rPr>
          <w:lang w:val="fr-FR"/>
        </w:rPr>
        <w:t>contenait</w:t>
      </w:r>
      <w:r w:rsidR="00F5177E" w:rsidRPr="00EE65CE">
        <w:rPr>
          <w:lang w:val="fr-FR"/>
        </w:rPr>
        <w:t xml:space="preserve"> une </w:t>
      </w:r>
      <w:r w:rsidR="00EE476F" w:rsidRPr="00EE65CE">
        <w:rPr>
          <w:lang w:val="fr-FR"/>
        </w:rPr>
        <w:t xml:space="preserve">description </w:t>
      </w:r>
      <w:r w:rsidR="00F5177E" w:rsidRPr="00EE65CE">
        <w:rPr>
          <w:lang w:val="fr-FR"/>
        </w:rPr>
        <w:t xml:space="preserve">de la stratégie de mise en œuvre, des activités et de leur calendrier </w:t>
      </w:r>
      <w:r w:rsidR="00AD531E" w:rsidRPr="00EE65CE">
        <w:rPr>
          <w:lang w:val="fr-FR"/>
        </w:rPr>
        <w:t>d</w:t>
      </w:r>
      <w:r w:rsidR="009D6827" w:rsidRPr="00EE65CE">
        <w:rPr>
          <w:lang w:val="fr-FR"/>
        </w:rPr>
        <w:t>’</w:t>
      </w:r>
      <w:r w:rsidR="00AD531E" w:rsidRPr="00EE65CE">
        <w:rPr>
          <w:lang w:val="fr-FR"/>
        </w:rPr>
        <w:t xml:space="preserve">exécution, du budget et des indicateurs de suivi.  Il a été estimé </w:t>
      </w:r>
      <w:r w:rsidR="007E30FB" w:rsidRPr="00EE65CE">
        <w:rPr>
          <w:lang w:val="fr-FR"/>
        </w:rPr>
        <w:t>qu</w:t>
      </w:r>
      <w:r w:rsidR="009D6827" w:rsidRPr="00EE65CE">
        <w:rPr>
          <w:lang w:val="fr-FR"/>
        </w:rPr>
        <w:t>’</w:t>
      </w:r>
      <w:r w:rsidR="007E30FB" w:rsidRPr="00EE65CE">
        <w:rPr>
          <w:lang w:val="fr-FR"/>
        </w:rPr>
        <w:t>il</w:t>
      </w:r>
      <w:r w:rsidR="00AD531E" w:rsidRPr="00EE65CE">
        <w:rPr>
          <w:lang w:val="fr-FR"/>
        </w:rPr>
        <w:t xml:space="preserve"> donn</w:t>
      </w:r>
      <w:r w:rsidR="007E30FB" w:rsidRPr="00EE65CE">
        <w:rPr>
          <w:lang w:val="fr-FR"/>
        </w:rPr>
        <w:t>ait suffisamment d</w:t>
      </w:r>
      <w:r w:rsidR="009D6827" w:rsidRPr="00EE65CE">
        <w:rPr>
          <w:lang w:val="fr-FR"/>
        </w:rPr>
        <w:t>’</w:t>
      </w:r>
      <w:r w:rsidR="00AD531E" w:rsidRPr="00EE65CE">
        <w:rPr>
          <w:lang w:val="fr-FR"/>
        </w:rPr>
        <w:t>orientations quant à la mise en œuvre globale du projet et à l</w:t>
      </w:r>
      <w:r w:rsidR="009D6827" w:rsidRPr="00EE65CE">
        <w:rPr>
          <w:lang w:val="fr-FR"/>
        </w:rPr>
        <w:t>’</w:t>
      </w:r>
      <w:r w:rsidR="00AD531E" w:rsidRPr="00EE65CE">
        <w:rPr>
          <w:lang w:val="fr-FR"/>
        </w:rPr>
        <w:t>évaluation des progrès réalisés.  Les activités p</w:t>
      </w:r>
      <w:r w:rsidR="0039191B" w:rsidRPr="00EE65CE">
        <w:rPr>
          <w:lang w:val="fr-FR"/>
        </w:rPr>
        <w:t>révue</w:t>
      </w:r>
      <w:r w:rsidR="00AD531E" w:rsidRPr="00EE65CE">
        <w:rPr>
          <w:lang w:val="fr-FR"/>
        </w:rPr>
        <w:t xml:space="preserve">s </w:t>
      </w:r>
      <w:r w:rsidR="00B837F7" w:rsidRPr="00EE65CE">
        <w:rPr>
          <w:lang w:val="fr-FR"/>
        </w:rPr>
        <w:t>étaient</w:t>
      </w:r>
      <w:r w:rsidR="00AD531E" w:rsidRPr="00EE65CE">
        <w:rPr>
          <w:lang w:val="fr-FR"/>
        </w:rPr>
        <w:t xml:space="preserve"> pré</w:t>
      </w:r>
      <w:r w:rsidR="007E30FB" w:rsidRPr="00EE65CE">
        <w:rPr>
          <w:lang w:val="fr-FR"/>
        </w:rPr>
        <w:t xml:space="preserve">sentées de manière suffisamment détaillée pour faciliter leur planification et leur mise en œuvre.  Les risques initiaux prévus </w:t>
      </w:r>
      <w:r w:rsidR="00B837F7" w:rsidRPr="00EE65CE">
        <w:rPr>
          <w:lang w:val="fr-FR"/>
        </w:rPr>
        <w:t>n</w:t>
      </w:r>
      <w:r w:rsidR="009D6827" w:rsidRPr="00EE65CE">
        <w:rPr>
          <w:lang w:val="fr-FR"/>
        </w:rPr>
        <w:t>’</w:t>
      </w:r>
      <w:r w:rsidR="00B837F7" w:rsidRPr="00EE65CE">
        <w:rPr>
          <w:lang w:val="fr-FR"/>
        </w:rPr>
        <w:t>étaient</w:t>
      </w:r>
      <w:r w:rsidR="007E30FB" w:rsidRPr="00EE65CE">
        <w:rPr>
          <w:lang w:val="fr-FR"/>
        </w:rPr>
        <w:t xml:space="preserve"> pas indiqués dans le descriptif, mais ont été mentionnés dans les rapports établis ultérieurement sur l</w:t>
      </w:r>
      <w:r w:rsidR="009D6827" w:rsidRPr="00EE65CE">
        <w:rPr>
          <w:lang w:val="fr-FR"/>
        </w:rPr>
        <w:t>’</w:t>
      </w:r>
      <w:r w:rsidR="007E30FB" w:rsidRPr="00EE65CE">
        <w:rPr>
          <w:lang w:val="fr-FR"/>
        </w:rPr>
        <w:t>état d</w:t>
      </w:r>
      <w:r w:rsidR="009D6827" w:rsidRPr="00EE65CE">
        <w:rPr>
          <w:lang w:val="fr-FR"/>
        </w:rPr>
        <w:t>’</w:t>
      </w:r>
      <w:r w:rsidR="007E30FB" w:rsidRPr="00EE65CE">
        <w:rPr>
          <w:lang w:val="fr-FR"/>
        </w:rPr>
        <w:t>avancement du projet</w:t>
      </w:r>
      <w:r w:rsidR="00600DFC" w:rsidRPr="00EE65CE">
        <w:rPr>
          <w:lang w:val="fr-FR"/>
        </w:rPr>
        <w:t>.</w:t>
      </w:r>
    </w:p>
    <w:p w:rsidR="00177E17" w:rsidRPr="00EE65CE" w:rsidRDefault="007E30FB" w:rsidP="00542460">
      <w:pPr>
        <w:pStyle w:val="BodyText"/>
        <w:keepNext/>
        <w:keepLines/>
        <w:jc w:val="both"/>
        <w:rPr>
          <w:i/>
          <w:u w:val="single"/>
          <w:lang w:val="fr-FR"/>
        </w:rPr>
      </w:pPr>
      <w:r w:rsidRPr="00EE65CE">
        <w:rPr>
          <w:i/>
          <w:u w:val="single"/>
          <w:lang w:val="fr-FR"/>
        </w:rPr>
        <w:t>Instruments de suivi, d</w:t>
      </w:r>
      <w:r w:rsidR="009D6827" w:rsidRPr="00EE65CE">
        <w:rPr>
          <w:i/>
          <w:u w:val="single"/>
          <w:lang w:val="fr-FR"/>
        </w:rPr>
        <w:t>’</w:t>
      </w:r>
      <w:r w:rsidRPr="00EE65CE">
        <w:rPr>
          <w:i/>
          <w:u w:val="single"/>
          <w:lang w:val="fr-FR"/>
        </w:rPr>
        <w:t>auto</w:t>
      </w:r>
      <w:r w:rsidR="00992678" w:rsidRPr="00EE65CE">
        <w:rPr>
          <w:i/>
          <w:u w:val="single"/>
          <w:lang w:val="fr-FR"/>
        </w:rPr>
        <w:noBreakHyphen/>
      </w:r>
      <w:r w:rsidRPr="00EE65CE">
        <w:rPr>
          <w:i/>
          <w:u w:val="single"/>
          <w:lang w:val="fr-FR"/>
        </w:rPr>
        <w:t xml:space="preserve">évaluation et </w:t>
      </w:r>
      <w:r w:rsidR="00FA01FC" w:rsidRPr="00EE65CE">
        <w:rPr>
          <w:i/>
          <w:u w:val="single"/>
          <w:lang w:val="fr-FR"/>
        </w:rPr>
        <w:t>d</w:t>
      </w:r>
      <w:r w:rsidR="009D6827" w:rsidRPr="00EE65CE">
        <w:rPr>
          <w:i/>
          <w:u w:val="single"/>
          <w:lang w:val="fr-FR"/>
        </w:rPr>
        <w:t>’</w:t>
      </w:r>
      <w:r w:rsidR="00FA01FC" w:rsidRPr="00EE65CE">
        <w:rPr>
          <w:i/>
          <w:u w:val="single"/>
          <w:lang w:val="fr-FR"/>
        </w:rPr>
        <w:t xml:space="preserve">établissement de rapports et analyse de la question de savoir si ces instruments se sont révélés utiles et efficaces </w:t>
      </w:r>
      <w:r w:rsidR="0039191B" w:rsidRPr="00EE65CE">
        <w:rPr>
          <w:i/>
          <w:u w:val="single"/>
          <w:lang w:val="fr-FR"/>
        </w:rPr>
        <w:t>pour</w:t>
      </w:r>
      <w:r w:rsidR="00FA01FC" w:rsidRPr="00EE65CE">
        <w:rPr>
          <w:i/>
          <w:u w:val="single"/>
          <w:lang w:val="fr-FR"/>
        </w:rPr>
        <w:t xml:space="preserve"> fourni</w:t>
      </w:r>
      <w:r w:rsidR="0039191B" w:rsidRPr="00EE65CE">
        <w:rPr>
          <w:i/>
          <w:u w:val="single"/>
          <w:lang w:val="fr-FR"/>
        </w:rPr>
        <w:t>r</w:t>
      </w:r>
      <w:r w:rsidR="00FA01FC" w:rsidRPr="00EE65CE">
        <w:rPr>
          <w:i/>
          <w:u w:val="single"/>
          <w:lang w:val="fr-FR"/>
        </w:rPr>
        <w:t xml:space="preserve"> à l</w:t>
      </w:r>
      <w:r w:rsidR="009D6827" w:rsidRPr="00EE65CE">
        <w:rPr>
          <w:i/>
          <w:u w:val="single"/>
          <w:lang w:val="fr-FR"/>
        </w:rPr>
        <w:t>’</w:t>
      </w:r>
      <w:r w:rsidR="00FA01FC" w:rsidRPr="00EE65CE">
        <w:rPr>
          <w:i/>
          <w:u w:val="single"/>
          <w:lang w:val="fr-FR"/>
        </w:rPr>
        <w:t>équipe chargée du projet et aux principales parties prenantes des informations pertinentes aux fins de la prise de décisions</w:t>
      </w:r>
      <w:r w:rsidR="00011BFB" w:rsidRPr="00EE65CE">
        <w:rPr>
          <w:i/>
          <w:u w:val="single"/>
          <w:lang w:val="fr-FR"/>
        </w:rPr>
        <w:t>.</w:t>
      </w:r>
    </w:p>
    <w:p w:rsidR="00083BB1" w:rsidRPr="00EE65CE" w:rsidRDefault="00274D74" w:rsidP="00542460">
      <w:pPr>
        <w:pStyle w:val="BodyText"/>
        <w:keepLines/>
        <w:numPr>
          <w:ilvl w:val="0"/>
          <w:numId w:val="25"/>
        </w:numPr>
        <w:jc w:val="both"/>
        <w:rPr>
          <w:lang w:val="fr-FR"/>
        </w:rPr>
      </w:pPr>
      <w:r w:rsidRPr="00EE65CE">
        <w:rPr>
          <w:b/>
          <w:szCs w:val="22"/>
          <w:lang w:val="fr-FR"/>
        </w:rPr>
        <w:t>Observation</w:t>
      </w:r>
      <w:r w:rsidR="00FA01FC" w:rsidRPr="00EE65CE">
        <w:rPr>
          <w:b/>
          <w:szCs w:val="22"/>
          <w:lang w:val="fr-FR"/>
        </w:rPr>
        <w:t xml:space="preserve"> n° </w:t>
      </w:r>
      <w:r w:rsidR="00DF6DE9" w:rsidRPr="00EE65CE">
        <w:rPr>
          <w:b/>
          <w:szCs w:val="22"/>
          <w:lang w:val="fr-FR"/>
        </w:rPr>
        <w:t>3</w:t>
      </w:r>
      <w:r w:rsidR="00FA01FC" w:rsidRPr="00EE65CE">
        <w:rPr>
          <w:b/>
          <w:szCs w:val="22"/>
          <w:lang w:val="fr-FR"/>
        </w:rPr>
        <w:t> </w:t>
      </w:r>
      <w:r w:rsidR="00177E17" w:rsidRPr="00EE65CE">
        <w:rPr>
          <w:b/>
          <w:szCs w:val="22"/>
          <w:lang w:val="fr-FR"/>
        </w:rPr>
        <w:t>:</w:t>
      </w:r>
      <w:r w:rsidR="00177E17" w:rsidRPr="00EE65CE">
        <w:rPr>
          <w:szCs w:val="22"/>
          <w:lang w:val="fr-FR"/>
        </w:rPr>
        <w:t xml:space="preserve"> </w:t>
      </w:r>
      <w:r w:rsidR="00FA01FC" w:rsidRPr="00EE65CE">
        <w:rPr>
          <w:szCs w:val="22"/>
          <w:lang w:val="fr-FR"/>
        </w:rPr>
        <w:t xml:space="preserve">les instruments de suivi du projet </w:t>
      </w:r>
      <w:r w:rsidR="00B837F7" w:rsidRPr="00EE65CE">
        <w:rPr>
          <w:szCs w:val="22"/>
          <w:lang w:val="fr-FR"/>
        </w:rPr>
        <w:t>ont été estimés</w:t>
      </w:r>
      <w:r w:rsidR="00C5792E" w:rsidRPr="00EE65CE">
        <w:rPr>
          <w:szCs w:val="22"/>
          <w:lang w:val="fr-FR"/>
        </w:rPr>
        <w:t xml:space="preserve"> appropriés pour rendre compte aux États membres au sein</w:t>
      </w:r>
      <w:r w:rsidR="009D6827" w:rsidRPr="00EE65CE">
        <w:rPr>
          <w:szCs w:val="22"/>
          <w:lang w:val="fr-FR"/>
        </w:rPr>
        <w:t xml:space="preserve"> du CDI</w:t>
      </w:r>
      <w:r w:rsidR="009755F4" w:rsidRPr="00EE65CE">
        <w:rPr>
          <w:szCs w:val="22"/>
          <w:lang w:val="fr-FR"/>
        </w:rPr>
        <w:t>P</w:t>
      </w:r>
      <w:r w:rsidR="00F7236E" w:rsidRPr="00EE65CE">
        <w:rPr>
          <w:szCs w:val="22"/>
          <w:lang w:val="fr-FR"/>
        </w:rPr>
        <w:t xml:space="preserve"> </w:t>
      </w:r>
      <w:r w:rsidR="00C5792E" w:rsidRPr="00EE65CE">
        <w:rPr>
          <w:szCs w:val="22"/>
          <w:lang w:val="fr-FR"/>
        </w:rPr>
        <w:t>de l</w:t>
      </w:r>
      <w:r w:rsidR="009D6827" w:rsidRPr="00EE65CE">
        <w:rPr>
          <w:szCs w:val="22"/>
          <w:lang w:val="fr-FR"/>
        </w:rPr>
        <w:t>’</w:t>
      </w:r>
      <w:r w:rsidR="00C5792E" w:rsidRPr="00EE65CE">
        <w:rPr>
          <w:szCs w:val="22"/>
          <w:lang w:val="fr-FR"/>
        </w:rPr>
        <w:t>état d</w:t>
      </w:r>
      <w:r w:rsidR="009D6827" w:rsidRPr="00EE65CE">
        <w:rPr>
          <w:szCs w:val="22"/>
          <w:lang w:val="fr-FR"/>
        </w:rPr>
        <w:t>’</w:t>
      </w:r>
      <w:r w:rsidR="00C5792E" w:rsidRPr="00EE65CE">
        <w:rPr>
          <w:szCs w:val="22"/>
          <w:lang w:val="fr-FR"/>
        </w:rPr>
        <w:t>avancement global du projet, notamment par l</w:t>
      </w:r>
      <w:r w:rsidR="009D6827" w:rsidRPr="00EE65CE">
        <w:rPr>
          <w:szCs w:val="22"/>
          <w:lang w:val="fr-FR"/>
        </w:rPr>
        <w:t>’</w:t>
      </w:r>
      <w:r w:rsidR="00C5792E" w:rsidRPr="00EE65CE">
        <w:rPr>
          <w:szCs w:val="22"/>
          <w:lang w:val="fr-FR"/>
        </w:rPr>
        <w:t>intermédiaire des rapports sur l</w:t>
      </w:r>
      <w:r w:rsidR="009D6827" w:rsidRPr="00EE65CE">
        <w:rPr>
          <w:szCs w:val="22"/>
          <w:lang w:val="fr-FR"/>
        </w:rPr>
        <w:t>’</w:t>
      </w:r>
      <w:r w:rsidR="00C5792E" w:rsidRPr="00EE65CE">
        <w:rPr>
          <w:szCs w:val="22"/>
          <w:lang w:val="fr-FR"/>
        </w:rPr>
        <w:t>état d</w:t>
      </w:r>
      <w:r w:rsidR="009D6827" w:rsidRPr="00EE65CE">
        <w:rPr>
          <w:szCs w:val="22"/>
          <w:lang w:val="fr-FR"/>
        </w:rPr>
        <w:t>’</w:t>
      </w:r>
      <w:r w:rsidR="00C5792E" w:rsidRPr="00EE65CE">
        <w:rPr>
          <w:szCs w:val="22"/>
          <w:lang w:val="fr-FR"/>
        </w:rPr>
        <w:t>avancement du projet.  Plusieurs observations ont été formulées sur les instruments d</w:t>
      </w:r>
      <w:r w:rsidR="009D6827" w:rsidRPr="00EE65CE">
        <w:rPr>
          <w:szCs w:val="22"/>
          <w:lang w:val="fr-FR"/>
        </w:rPr>
        <w:t>’</w:t>
      </w:r>
      <w:r w:rsidR="00C5792E" w:rsidRPr="00EE65CE">
        <w:rPr>
          <w:szCs w:val="22"/>
          <w:lang w:val="fr-FR"/>
        </w:rPr>
        <w:t>établissement de rapports et d</w:t>
      </w:r>
      <w:r w:rsidR="009D6827" w:rsidRPr="00EE65CE">
        <w:rPr>
          <w:szCs w:val="22"/>
          <w:lang w:val="fr-FR"/>
        </w:rPr>
        <w:t>’</w:t>
      </w:r>
      <w:r w:rsidR="00B837F7" w:rsidRPr="00EE65CE">
        <w:rPr>
          <w:szCs w:val="22"/>
          <w:lang w:val="fr-FR"/>
        </w:rPr>
        <w:t>analyse</w:t>
      </w:r>
      <w:r w:rsidR="00C5792E" w:rsidRPr="00EE65CE">
        <w:rPr>
          <w:szCs w:val="22"/>
          <w:lang w:val="fr-FR"/>
        </w:rPr>
        <w:t> </w:t>
      </w:r>
      <w:r w:rsidR="00083BB1" w:rsidRPr="00EE65CE">
        <w:rPr>
          <w:szCs w:val="22"/>
          <w:lang w:val="fr-FR"/>
        </w:rPr>
        <w:t>:</w:t>
      </w:r>
    </w:p>
    <w:p w:rsidR="008146A3" w:rsidRPr="00EE65CE" w:rsidRDefault="000A1C40" w:rsidP="00542460">
      <w:pPr>
        <w:pStyle w:val="ONUME"/>
        <w:numPr>
          <w:ilvl w:val="0"/>
          <w:numId w:val="0"/>
        </w:numPr>
        <w:ind w:left="567"/>
        <w:rPr>
          <w:lang w:val="fr-FR"/>
        </w:rPr>
      </w:pPr>
      <w:proofErr w:type="gramStart"/>
      <w:r w:rsidRPr="00EE65CE">
        <w:rPr>
          <w:lang w:val="fr-FR"/>
        </w:rPr>
        <w:t>a</w:t>
      </w:r>
      <w:proofErr w:type="gramEnd"/>
      <w:r w:rsidRPr="00EE65CE">
        <w:rPr>
          <w:lang w:val="fr-FR"/>
        </w:rPr>
        <w:t>)</w:t>
      </w:r>
      <w:r w:rsidR="008146A3" w:rsidRPr="00EE65CE">
        <w:rPr>
          <w:lang w:val="fr-FR"/>
        </w:rPr>
        <w:t xml:space="preserve"> </w:t>
      </w:r>
      <w:r w:rsidR="00954C58" w:rsidRPr="00EE65CE">
        <w:rPr>
          <w:lang w:val="fr-FR"/>
        </w:rPr>
        <w:tab/>
      </w:r>
      <w:r w:rsidR="00B837F7" w:rsidRPr="00EE65CE">
        <w:rPr>
          <w:lang w:val="fr-FR"/>
        </w:rPr>
        <w:t xml:space="preserve">le volet formation </w:t>
      </w:r>
      <w:r w:rsidR="008146A3" w:rsidRPr="00EE65CE">
        <w:rPr>
          <w:lang w:val="fr-FR"/>
        </w:rPr>
        <w:t>(</w:t>
      </w:r>
      <w:r w:rsidR="00B837F7" w:rsidRPr="00EE65CE">
        <w:rPr>
          <w:lang w:val="fr-FR"/>
        </w:rPr>
        <w:t>activité de p</w:t>
      </w:r>
      <w:r w:rsidR="008146A3" w:rsidRPr="00EE65CE">
        <w:rPr>
          <w:lang w:val="fr-FR"/>
        </w:rPr>
        <w:t xml:space="preserve">rojet </w:t>
      </w:r>
      <w:r w:rsidR="00B837F7" w:rsidRPr="00EE65CE">
        <w:rPr>
          <w:lang w:val="fr-FR"/>
        </w:rPr>
        <w:t>n° </w:t>
      </w:r>
      <w:r w:rsidR="008146A3" w:rsidRPr="00EE65CE">
        <w:rPr>
          <w:lang w:val="fr-FR"/>
        </w:rPr>
        <w:t xml:space="preserve">2) </w:t>
      </w:r>
      <w:r w:rsidR="00B837F7" w:rsidRPr="00EE65CE">
        <w:rPr>
          <w:lang w:val="fr-FR"/>
        </w:rPr>
        <w:t>constituait un élément s</w:t>
      </w:r>
      <w:r w:rsidR="008146A3" w:rsidRPr="00EE65CE">
        <w:rPr>
          <w:lang w:val="fr-FR"/>
        </w:rPr>
        <w:t>ignificat</w:t>
      </w:r>
      <w:r w:rsidR="00B837F7" w:rsidRPr="00EE65CE">
        <w:rPr>
          <w:lang w:val="fr-FR"/>
        </w:rPr>
        <w:t xml:space="preserve">if du </w:t>
      </w:r>
      <w:r w:rsidR="008146A3" w:rsidRPr="00EE65CE">
        <w:rPr>
          <w:lang w:val="fr-FR"/>
        </w:rPr>
        <w:t>projet.</w:t>
      </w:r>
      <w:r w:rsidR="00B837F7" w:rsidRPr="00EE65CE">
        <w:rPr>
          <w:lang w:val="fr-FR"/>
        </w:rPr>
        <w:t xml:space="preserve"> </w:t>
      </w:r>
      <w:r w:rsidR="008146A3" w:rsidRPr="00EE65CE">
        <w:rPr>
          <w:lang w:val="fr-FR"/>
        </w:rPr>
        <w:t xml:space="preserve"> </w:t>
      </w:r>
      <w:r w:rsidR="00B837F7" w:rsidRPr="00EE65CE">
        <w:rPr>
          <w:lang w:val="fr-FR"/>
        </w:rPr>
        <w:t xml:space="preserve">Bien que les réactions et les commentaires des </w:t>
      </w:r>
      <w:r w:rsidR="008146A3" w:rsidRPr="00EE65CE">
        <w:rPr>
          <w:lang w:val="fr-FR"/>
        </w:rPr>
        <w:t xml:space="preserve">participants </w:t>
      </w:r>
      <w:r w:rsidR="00B837F7" w:rsidRPr="00EE65CE">
        <w:rPr>
          <w:lang w:val="fr-FR"/>
        </w:rPr>
        <w:t xml:space="preserve">de la formation aient été recueillis au moyen de </w:t>
      </w:r>
      <w:r w:rsidR="008146A3" w:rsidRPr="00EE65CE">
        <w:rPr>
          <w:lang w:val="fr-FR"/>
        </w:rPr>
        <w:t>form</w:t>
      </w:r>
      <w:r w:rsidR="00B837F7" w:rsidRPr="00EE65CE">
        <w:rPr>
          <w:lang w:val="fr-FR"/>
        </w:rPr>
        <w:t>ulaire</w:t>
      </w:r>
      <w:r w:rsidR="008146A3" w:rsidRPr="00EE65CE">
        <w:rPr>
          <w:lang w:val="fr-FR"/>
        </w:rPr>
        <w:t>s</w:t>
      </w:r>
      <w:r w:rsidR="00B837F7" w:rsidRPr="00EE65CE">
        <w:rPr>
          <w:lang w:val="fr-FR"/>
        </w:rPr>
        <w:t xml:space="preserve"> d</w:t>
      </w:r>
      <w:r w:rsidR="009D6827" w:rsidRPr="00EE65CE">
        <w:rPr>
          <w:lang w:val="fr-FR"/>
        </w:rPr>
        <w:t>’</w:t>
      </w:r>
      <w:r w:rsidR="00B837F7" w:rsidRPr="00EE65CE">
        <w:rPr>
          <w:lang w:val="fr-FR"/>
        </w:rPr>
        <w:t>évaluation</w:t>
      </w:r>
      <w:r w:rsidR="008146A3" w:rsidRPr="00EE65CE">
        <w:rPr>
          <w:lang w:val="fr-FR"/>
        </w:rPr>
        <w:t xml:space="preserve">, </w:t>
      </w:r>
      <w:r w:rsidR="00B837F7" w:rsidRPr="00EE65CE">
        <w:rPr>
          <w:lang w:val="fr-FR"/>
        </w:rPr>
        <w:t>ces informations n</w:t>
      </w:r>
      <w:r w:rsidR="009D6827" w:rsidRPr="00EE65CE">
        <w:rPr>
          <w:lang w:val="fr-FR"/>
        </w:rPr>
        <w:t>’</w:t>
      </w:r>
      <w:r w:rsidR="00B837F7" w:rsidRPr="00EE65CE">
        <w:rPr>
          <w:lang w:val="fr-FR"/>
        </w:rPr>
        <w:t xml:space="preserve">ont pas été analysées </w:t>
      </w:r>
      <w:r w:rsidR="00B837F7" w:rsidRPr="00EE65CE">
        <w:rPr>
          <w:lang w:val="fr-FR"/>
        </w:rPr>
        <w:lastRenderedPageBreak/>
        <w:t xml:space="preserve">de manière cohérente et </w:t>
      </w:r>
      <w:r w:rsidR="008146A3" w:rsidRPr="00EE65CE">
        <w:rPr>
          <w:lang w:val="fr-FR"/>
        </w:rPr>
        <w:t>uniform</w:t>
      </w:r>
      <w:r w:rsidR="00B837F7" w:rsidRPr="00EE65CE">
        <w:rPr>
          <w:lang w:val="fr-FR"/>
        </w:rPr>
        <w:t>e pour permettre d</w:t>
      </w:r>
      <w:r w:rsidR="009D6827" w:rsidRPr="00EE65CE">
        <w:rPr>
          <w:lang w:val="fr-FR"/>
        </w:rPr>
        <w:t>’</w:t>
      </w:r>
      <w:r w:rsidR="00B837F7" w:rsidRPr="00EE65CE">
        <w:rPr>
          <w:lang w:val="fr-FR"/>
        </w:rPr>
        <w:t xml:space="preserve">établir une comparaison et </w:t>
      </w:r>
      <w:r w:rsidR="00A27906" w:rsidRPr="00EE65CE">
        <w:rPr>
          <w:lang w:val="fr-FR"/>
        </w:rPr>
        <w:t>de les utiliser à des fins d</w:t>
      </w:r>
      <w:r w:rsidR="009D6827" w:rsidRPr="00EE65CE">
        <w:rPr>
          <w:lang w:val="fr-FR"/>
        </w:rPr>
        <w:t>’</w:t>
      </w:r>
      <w:r w:rsidR="00A27906" w:rsidRPr="00EE65CE">
        <w:rPr>
          <w:lang w:val="fr-FR"/>
        </w:rPr>
        <w:t>établissement de rapports et pour en tirer des enseignements;</w:t>
      </w:r>
    </w:p>
    <w:p w:rsidR="009D6827" w:rsidRPr="00EE65CE" w:rsidRDefault="008146A3" w:rsidP="00542460">
      <w:pPr>
        <w:pStyle w:val="ONUME"/>
        <w:numPr>
          <w:ilvl w:val="0"/>
          <w:numId w:val="0"/>
        </w:numPr>
        <w:ind w:left="567"/>
        <w:rPr>
          <w:lang w:val="fr-FR"/>
        </w:rPr>
      </w:pPr>
      <w:r w:rsidRPr="00EE65CE">
        <w:rPr>
          <w:lang w:val="fr-FR"/>
        </w:rPr>
        <w:t xml:space="preserve">b) </w:t>
      </w:r>
      <w:r w:rsidR="00954C58" w:rsidRPr="00EE65CE">
        <w:rPr>
          <w:lang w:val="fr-FR"/>
        </w:rPr>
        <w:tab/>
      </w:r>
      <w:r w:rsidR="00A27906" w:rsidRPr="00EE65CE">
        <w:rPr>
          <w:lang w:val="fr-FR"/>
        </w:rPr>
        <w:t xml:space="preserve">le descriptif du projet </w:t>
      </w:r>
      <w:r w:rsidR="000E1F6F" w:rsidRPr="00EE65CE">
        <w:rPr>
          <w:lang w:val="fr-FR"/>
        </w:rPr>
        <w:t xml:space="preserve">(CDIP/9/13) </w:t>
      </w:r>
      <w:r w:rsidR="00A27906" w:rsidRPr="00EE65CE">
        <w:rPr>
          <w:lang w:val="fr-FR"/>
        </w:rPr>
        <w:t>mentionnait en détail une série d</w:t>
      </w:r>
      <w:r w:rsidR="009D6827" w:rsidRPr="00EE65CE">
        <w:rPr>
          <w:lang w:val="fr-FR"/>
        </w:rPr>
        <w:t>’</w:t>
      </w:r>
      <w:r w:rsidR="00A27906" w:rsidRPr="00EE65CE">
        <w:rPr>
          <w:lang w:val="fr-FR"/>
        </w:rPr>
        <w:t>indicateurs de réussite au regard des résultats.  Cinq</w:t>
      </w:r>
      <w:r w:rsidR="005B2087" w:rsidRPr="00EE65CE">
        <w:rPr>
          <w:lang w:val="fr-FR"/>
        </w:rPr>
        <w:t> </w:t>
      </w:r>
      <w:r w:rsidR="00A27906" w:rsidRPr="00EE65CE">
        <w:rPr>
          <w:lang w:val="fr-FR"/>
        </w:rPr>
        <w:t>de ces six</w:t>
      </w:r>
      <w:r w:rsidR="005B2087" w:rsidRPr="00EE65CE">
        <w:rPr>
          <w:lang w:val="fr-FR"/>
        </w:rPr>
        <w:t> </w:t>
      </w:r>
      <w:r w:rsidR="00A27906" w:rsidRPr="00EE65CE">
        <w:rPr>
          <w:lang w:val="fr-FR"/>
        </w:rPr>
        <w:t xml:space="preserve">indicateurs </w:t>
      </w:r>
      <w:r w:rsidR="004A2CA2" w:rsidRPr="00EE65CE">
        <w:rPr>
          <w:lang w:val="fr-FR"/>
        </w:rPr>
        <w:t>faisaient état de l</w:t>
      </w:r>
      <w:r w:rsidR="009D6827" w:rsidRPr="00EE65CE">
        <w:rPr>
          <w:lang w:val="fr-FR"/>
        </w:rPr>
        <w:t>’</w:t>
      </w:r>
      <w:r w:rsidR="004A2CA2" w:rsidRPr="00EE65CE">
        <w:rPr>
          <w:lang w:val="fr-FR"/>
        </w:rPr>
        <w:t>utilisation du document d</w:t>
      </w:r>
      <w:r w:rsidR="009D6827" w:rsidRPr="00EE65CE">
        <w:rPr>
          <w:lang w:val="fr-FR"/>
        </w:rPr>
        <w:t>’</w:t>
      </w:r>
      <w:r w:rsidR="004A2CA2" w:rsidRPr="00EE65CE">
        <w:rPr>
          <w:lang w:val="fr-FR"/>
        </w:rPr>
        <w:t xml:space="preserve">orientation </w:t>
      </w:r>
      <w:r w:rsidR="000E1F6F" w:rsidRPr="00EE65CE">
        <w:rPr>
          <w:lang w:val="fr-FR"/>
        </w:rPr>
        <w:t>(</w:t>
      </w:r>
      <w:r w:rsidR="004A2CA2" w:rsidRPr="00EE65CE">
        <w:rPr>
          <w:lang w:val="fr-FR"/>
        </w:rPr>
        <w:t>activité de p</w:t>
      </w:r>
      <w:r w:rsidR="000E1F6F" w:rsidRPr="00EE65CE">
        <w:rPr>
          <w:lang w:val="fr-FR"/>
        </w:rPr>
        <w:t xml:space="preserve">rojet </w:t>
      </w:r>
      <w:r w:rsidR="004A2CA2" w:rsidRPr="00EE65CE">
        <w:rPr>
          <w:lang w:val="fr-FR"/>
        </w:rPr>
        <w:t>n° </w:t>
      </w:r>
      <w:r w:rsidR="000E1F6F" w:rsidRPr="00EE65CE">
        <w:rPr>
          <w:lang w:val="fr-FR"/>
        </w:rPr>
        <w:t>1)</w:t>
      </w:r>
      <w:r w:rsidR="000B39E9" w:rsidRPr="00EE65CE">
        <w:rPr>
          <w:lang w:val="fr-FR"/>
        </w:rPr>
        <w:t xml:space="preserve"> </w:t>
      </w:r>
      <w:r w:rsidR="004A2CA2" w:rsidRPr="00EE65CE">
        <w:rPr>
          <w:lang w:val="fr-FR"/>
        </w:rPr>
        <w:t xml:space="preserve">afin de </w:t>
      </w:r>
      <w:r w:rsidR="000B39E9" w:rsidRPr="00EE65CE">
        <w:rPr>
          <w:lang w:val="fr-FR"/>
        </w:rPr>
        <w:t>d</w:t>
      </w:r>
      <w:r w:rsidR="004A2CA2" w:rsidRPr="00EE65CE">
        <w:rPr>
          <w:lang w:val="fr-FR"/>
        </w:rPr>
        <w:t>é</w:t>
      </w:r>
      <w:r w:rsidR="000B39E9" w:rsidRPr="00EE65CE">
        <w:rPr>
          <w:lang w:val="fr-FR"/>
        </w:rPr>
        <w:t>termine</w:t>
      </w:r>
      <w:r w:rsidR="004A2CA2" w:rsidRPr="00EE65CE">
        <w:rPr>
          <w:lang w:val="fr-FR"/>
        </w:rPr>
        <w:t>r le niveau de référence.  Toutefois, le document d</w:t>
      </w:r>
      <w:r w:rsidR="009D6827" w:rsidRPr="00EE65CE">
        <w:rPr>
          <w:lang w:val="fr-FR"/>
        </w:rPr>
        <w:t>’</w:t>
      </w:r>
      <w:r w:rsidR="004A2CA2" w:rsidRPr="00EE65CE">
        <w:rPr>
          <w:lang w:val="fr-FR"/>
        </w:rPr>
        <w:t xml:space="preserve">orientation </w:t>
      </w:r>
      <w:r w:rsidR="000E1F6F" w:rsidRPr="00EE65CE">
        <w:rPr>
          <w:lang w:val="fr-FR"/>
        </w:rPr>
        <w:t>(CDIP/12/INF/3)</w:t>
      </w:r>
      <w:r w:rsidR="000B39E9" w:rsidRPr="00EE65CE">
        <w:rPr>
          <w:lang w:val="fr-FR"/>
        </w:rPr>
        <w:t xml:space="preserve"> </w:t>
      </w:r>
      <w:r w:rsidR="004A2CA2" w:rsidRPr="00EE65CE">
        <w:rPr>
          <w:lang w:val="fr-FR"/>
        </w:rPr>
        <w:t>ne se rapporte pas directement, de façon concise et rigoureuse</w:t>
      </w:r>
      <w:r w:rsidR="00606C80" w:rsidRPr="00EE65CE">
        <w:rPr>
          <w:lang w:val="fr-FR"/>
        </w:rPr>
        <w:t xml:space="preserve">, </w:t>
      </w:r>
      <w:r w:rsidR="0049698D" w:rsidRPr="00EE65CE">
        <w:rPr>
          <w:lang w:val="fr-FR"/>
        </w:rPr>
        <w:t xml:space="preserve">à ces indicateurs, </w:t>
      </w:r>
      <w:r w:rsidR="00606C80" w:rsidRPr="00EE65CE">
        <w:rPr>
          <w:lang w:val="fr-FR"/>
        </w:rPr>
        <w:t xml:space="preserve">rendant </w:t>
      </w:r>
      <w:r w:rsidR="0049698D" w:rsidRPr="00EE65CE">
        <w:rPr>
          <w:lang w:val="fr-FR"/>
        </w:rPr>
        <w:t xml:space="preserve">difficile </w:t>
      </w:r>
      <w:r w:rsidR="00606C80" w:rsidRPr="00EE65CE">
        <w:rPr>
          <w:lang w:val="fr-FR"/>
        </w:rPr>
        <w:t xml:space="preserve">leur </w:t>
      </w:r>
      <w:r w:rsidR="0049698D" w:rsidRPr="00EE65CE">
        <w:rPr>
          <w:lang w:val="fr-FR"/>
        </w:rPr>
        <w:t xml:space="preserve">évaluation à long terme. </w:t>
      </w:r>
      <w:r w:rsidR="000B39E9" w:rsidRPr="00EE65CE">
        <w:rPr>
          <w:lang w:val="fr-FR"/>
        </w:rPr>
        <w:t xml:space="preserve"> </w:t>
      </w:r>
      <w:r w:rsidR="0049698D" w:rsidRPr="00EE65CE">
        <w:rPr>
          <w:lang w:val="fr-FR"/>
        </w:rPr>
        <w:t>Le sixième indicateur fai</w:t>
      </w:r>
      <w:r w:rsidR="00BD5734" w:rsidRPr="00EE65CE">
        <w:rPr>
          <w:lang w:val="fr-FR"/>
        </w:rPr>
        <w:t>sai</w:t>
      </w:r>
      <w:r w:rsidR="0049698D" w:rsidRPr="00EE65CE">
        <w:rPr>
          <w:lang w:val="fr-FR"/>
        </w:rPr>
        <w:t>t référence à un questionnaire d</w:t>
      </w:r>
      <w:r w:rsidR="009D6827" w:rsidRPr="00EE65CE">
        <w:rPr>
          <w:lang w:val="fr-FR"/>
        </w:rPr>
        <w:t>’</w:t>
      </w:r>
      <w:r w:rsidR="0049698D" w:rsidRPr="00EE65CE">
        <w:rPr>
          <w:lang w:val="fr-FR"/>
        </w:rPr>
        <w:t xml:space="preserve">évaluation adressé aux participants de la formation </w:t>
      </w:r>
      <w:r w:rsidR="000B39E9" w:rsidRPr="00EE65CE">
        <w:rPr>
          <w:lang w:val="fr-FR"/>
        </w:rPr>
        <w:t>(six</w:t>
      </w:r>
      <w:r w:rsidR="0049698D" w:rsidRPr="00EE65CE">
        <w:rPr>
          <w:lang w:val="fr-FR"/>
        </w:rPr>
        <w:t> mois après la fin de la formation</w:t>
      </w:r>
      <w:r w:rsidR="000B39E9" w:rsidRPr="00EE65CE">
        <w:rPr>
          <w:lang w:val="fr-FR"/>
        </w:rPr>
        <w:t xml:space="preserve">) </w:t>
      </w:r>
      <w:r w:rsidR="0049698D" w:rsidRPr="00EE65CE">
        <w:rPr>
          <w:lang w:val="fr-FR"/>
        </w:rPr>
        <w:t>en vue d</w:t>
      </w:r>
      <w:r w:rsidR="009D6827" w:rsidRPr="00EE65CE">
        <w:rPr>
          <w:lang w:val="fr-FR"/>
        </w:rPr>
        <w:t>’</w:t>
      </w:r>
      <w:r w:rsidR="0049698D" w:rsidRPr="00EE65CE">
        <w:rPr>
          <w:lang w:val="fr-FR"/>
        </w:rPr>
        <w:t xml:space="preserve">évaluer leur utilisation des </w:t>
      </w:r>
      <w:r w:rsidR="00BD5734" w:rsidRPr="00EE65CE">
        <w:rPr>
          <w:lang w:val="fr-FR"/>
        </w:rPr>
        <w:t>compétences acquises.  Toutefois, ce questionnaire n</w:t>
      </w:r>
      <w:r w:rsidR="009D6827" w:rsidRPr="00EE65CE">
        <w:rPr>
          <w:lang w:val="fr-FR"/>
        </w:rPr>
        <w:t>’</w:t>
      </w:r>
      <w:r w:rsidR="00BD5734" w:rsidRPr="00EE65CE">
        <w:rPr>
          <w:lang w:val="fr-FR"/>
        </w:rPr>
        <w:t>a jamais été établi, raison pour laquelle seules des données non confirmées ont été recueillies sur l</w:t>
      </w:r>
      <w:r w:rsidR="009D6827" w:rsidRPr="00EE65CE">
        <w:rPr>
          <w:lang w:val="fr-FR"/>
        </w:rPr>
        <w:t>’</w:t>
      </w:r>
      <w:r w:rsidR="00BD5734" w:rsidRPr="00EE65CE">
        <w:rPr>
          <w:lang w:val="fr-FR"/>
        </w:rPr>
        <w:t>incidence à long terme de la formation.</w:t>
      </w:r>
    </w:p>
    <w:p w:rsidR="00086695" w:rsidRPr="00EE65CE" w:rsidRDefault="00086695" w:rsidP="00542460">
      <w:pPr>
        <w:pStyle w:val="ONUME"/>
        <w:numPr>
          <w:ilvl w:val="0"/>
          <w:numId w:val="0"/>
        </w:numPr>
        <w:spacing w:after="0"/>
        <w:ind w:left="567"/>
        <w:rPr>
          <w:lang w:val="fr-FR"/>
        </w:rPr>
      </w:pPr>
    </w:p>
    <w:p w:rsidR="009D6827" w:rsidRPr="00EE65CE" w:rsidRDefault="00BD5734" w:rsidP="00542460">
      <w:pPr>
        <w:pStyle w:val="BodyText"/>
        <w:tabs>
          <w:tab w:val="left" w:pos="450"/>
        </w:tabs>
        <w:rPr>
          <w:i/>
          <w:u w:val="single"/>
          <w:lang w:val="fr-FR"/>
        </w:rPr>
      </w:pPr>
      <w:r w:rsidRPr="00EE65CE">
        <w:rPr>
          <w:i/>
          <w:u w:val="single"/>
          <w:lang w:val="fr-FR"/>
        </w:rPr>
        <w:t>Dans quelle mesure d</w:t>
      </w:r>
      <w:r w:rsidR="009D6827" w:rsidRPr="00EE65CE">
        <w:rPr>
          <w:i/>
          <w:u w:val="single"/>
          <w:lang w:val="fr-FR"/>
        </w:rPr>
        <w:t>’</w:t>
      </w:r>
      <w:r w:rsidRPr="00EE65CE">
        <w:rPr>
          <w:i/>
          <w:u w:val="single"/>
          <w:lang w:val="fr-FR"/>
        </w:rPr>
        <w:t xml:space="preserve">autres entités au sein du </w:t>
      </w:r>
      <w:r w:rsidR="00FB6E4B" w:rsidRPr="00EE65CE">
        <w:rPr>
          <w:i/>
          <w:u w:val="single"/>
          <w:lang w:val="fr-FR"/>
        </w:rPr>
        <w:t>Secr</w:t>
      </w:r>
      <w:r w:rsidRPr="00EE65CE">
        <w:rPr>
          <w:i/>
          <w:u w:val="single"/>
          <w:lang w:val="fr-FR"/>
        </w:rPr>
        <w:t>é</w:t>
      </w:r>
      <w:r w:rsidR="00FB6E4B" w:rsidRPr="00EE65CE">
        <w:rPr>
          <w:i/>
          <w:u w:val="single"/>
          <w:lang w:val="fr-FR"/>
        </w:rPr>
        <w:t xml:space="preserve">tariat </w:t>
      </w:r>
      <w:r w:rsidRPr="00EE65CE">
        <w:rPr>
          <w:i/>
          <w:u w:val="single"/>
          <w:lang w:val="fr-FR"/>
        </w:rPr>
        <w:t>ont contribué à la mise en œuvre efficace et rationnelle du projet et l</w:t>
      </w:r>
      <w:r w:rsidR="009D6827" w:rsidRPr="00EE65CE">
        <w:rPr>
          <w:i/>
          <w:u w:val="single"/>
          <w:lang w:val="fr-FR"/>
        </w:rPr>
        <w:t>’</w:t>
      </w:r>
      <w:r w:rsidRPr="00EE65CE">
        <w:rPr>
          <w:i/>
          <w:u w:val="single"/>
          <w:lang w:val="fr-FR"/>
        </w:rPr>
        <w:t>ont facilitée</w:t>
      </w:r>
      <w:r w:rsidR="00011BFB" w:rsidRPr="00EE65CE">
        <w:rPr>
          <w:i/>
          <w:u w:val="single"/>
          <w:lang w:val="fr-FR"/>
        </w:rPr>
        <w:t>.</w:t>
      </w:r>
    </w:p>
    <w:p w:rsidR="009D6827" w:rsidRPr="00EE65CE" w:rsidRDefault="00274D74" w:rsidP="00542460">
      <w:pPr>
        <w:numPr>
          <w:ilvl w:val="0"/>
          <w:numId w:val="25"/>
        </w:numPr>
        <w:autoSpaceDE w:val="0"/>
        <w:autoSpaceDN w:val="0"/>
        <w:adjustRightInd w:val="0"/>
        <w:rPr>
          <w:rFonts w:eastAsia="Times New Roman"/>
          <w:szCs w:val="22"/>
          <w:lang w:val="fr-FR" w:eastAsia="en-US"/>
        </w:rPr>
      </w:pPr>
      <w:r w:rsidRPr="00EE65CE">
        <w:rPr>
          <w:b/>
          <w:lang w:val="fr-FR"/>
        </w:rPr>
        <w:t>Observation</w:t>
      </w:r>
      <w:r w:rsidR="00B53F10" w:rsidRPr="00EE65CE">
        <w:rPr>
          <w:b/>
          <w:lang w:val="fr-FR"/>
        </w:rPr>
        <w:t xml:space="preserve"> n° </w:t>
      </w:r>
      <w:r w:rsidR="00DF6DE9" w:rsidRPr="00EE65CE">
        <w:rPr>
          <w:b/>
          <w:lang w:val="fr-FR"/>
        </w:rPr>
        <w:t>4</w:t>
      </w:r>
      <w:r w:rsidR="00B53F10" w:rsidRPr="00EE65CE">
        <w:rPr>
          <w:b/>
          <w:lang w:val="fr-FR"/>
        </w:rPr>
        <w:t> </w:t>
      </w:r>
      <w:r w:rsidR="00782E2E" w:rsidRPr="00EE65CE">
        <w:rPr>
          <w:b/>
          <w:lang w:val="fr-FR"/>
        </w:rPr>
        <w:t>:</w:t>
      </w:r>
      <w:r w:rsidR="00286DDA" w:rsidRPr="00EE65CE">
        <w:rPr>
          <w:lang w:val="fr-FR"/>
        </w:rPr>
        <w:t xml:space="preserve"> </w:t>
      </w:r>
      <w:r w:rsidR="00B53F10" w:rsidRPr="00EE65CE">
        <w:rPr>
          <w:lang w:val="fr-FR"/>
        </w:rPr>
        <w:t xml:space="preserve">comme indiqué plus haut, les activités menées dans le cadre de ce projet ont été supervisées par un responsable de projet </w:t>
      </w:r>
      <w:r w:rsidR="00222E6E" w:rsidRPr="00EE65CE">
        <w:rPr>
          <w:lang w:val="fr-FR"/>
        </w:rPr>
        <w:t>travaillant au sein de la Division du droit d</w:t>
      </w:r>
      <w:r w:rsidR="009D6827" w:rsidRPr="00EE65CE">
        <w:rPr>
          <w:lang w:val="fr-FR"/>
        </w:rPr>
        <w:t>’</w:t>
      </w:r>
      <w:r w:rsidR="00222E6E" w:rsidRPr="00EE65CE">
        <w:rPr>
          <w:lang w:val="fr-FR"/>
        </w:rPr>
        <w:t>auteur du Secteur de la culture et des industries de la création</w:t>
      </w:r>
      <w:r w:rsidR="000B39E9" w:rsidRPr="00EE65CE">
        <w:rPr>
          <w:rFonts w:eastAsia="Times New Roman"/>
          <w:szCs w:val="22"/>
          <w:lang w:val="fr-FR" w:eastAsia="en-US"/>
        </w:rPr>
        <w:t xml:space="preserve">.  </w:t>
      </w:r>
      <w:r w:rsidR="00222E6E" w:rsidRPr="00EE65CE">
        <w:rPr>
          <w:rFonts w:eastAsia="Times New Roman"/>
          <w:szCs w:val="22"/>
          <w:lang w:val="fr-FR" w:eastAsia="en-US"/>
        </w:rPr>
        <w:t>L</w:t>
      </w:r>
      <w:r w:rsidR="009D6827" w:rsidRPr="00EE65CE">
        <w:rPr>
          <w:rFonts w:eastAsia="Times New Roman"/>
          <w:szCs w:val="22"/>
          <w:lang w:val="fr-FR" w:eastAsia="en-US"/>
        </w:rPr>
        <w:t>’</w:t>
      </w:r>
      <w:r w:rsidR="00222E6E" w:rsidRPr="00EE65CE">
        <w:rPr>
          <w:rFonts w:eastAsia="Times New Roman"/>
          <w:szCs w:val="22"/>
          <w:lang w:val="fr-FR" w:eastAsia="en-US"/>
        </w:rPr>
        <w:t xml:space="preserve">appui apporté par les autres entités a consisté en une </w:t>
      </w:r>
      <w:r w:rsidR="00864962" w:rsidRPr="00EE65CE">
        <w:rPr>
          <w:rFonts w:eastAsia="Times New Roman"/>
          <w:szCs w:val="22"/>
          <w:lang w:val="fr-FR" w:eastAsia="en-US"/>
        </w:rPr>
        <w:t xml:space="preserve">collaboration </w:t>
      </w:r>
      <w:r w:rsidR="00222E6E" w:rsidRPr="00EE65CE">
        <w:rPr>
          <w:rFonts w:eastAsia="Times New Roman"/>
          <w:szCs w:val="22"/>
          <w:lang w:val="fr-FR" w:eastAsia="en-US"/>
        </w:rPr>
        <w:t>avec l</w:t>
      </w:r>
      <w:r w:rsidR="009D6827" w:rsidRPr="00EE65CE">
        <w:rPr>
          <w:rFonts w:eastAsia="Times New Roman"/>
          <w:szCs w:val="22"/>
          <w:lang w:val="fr-FR" w:eastAsia="en-US"/>
        </w:rPr>
        <w:t>’</w:t>
      </w:r>
      <w:r w:rsidR="00222E6E" w:rsidRPr="00EE65CE">
        <w:rPr>
          <w:rFonts w:eastAsia="Times New Roman"/>
          <w:szCs w:val="22"/>
          <w:lang w:val="fr-FR" w:eastAsia="en-US"/>
        </w:rPr>
        <w:t>Académie de l</w:t>
      </w:r>
      <w:r w:rsidR="009D6827" w:rsidRPr="00EE65CE">
        <w:rPr>
          <w:rFonts w:eastAsia="Times New Roman"/>
          <w:szCs w:val="22"/>
          <w:lang w:val="fr-FR" w:eastAsia="en-US"/>
        </w:rPr>
        <w:t>’</w:t>
      </w:r>
      <w:r w:rsidR="00222E6E" w:rsidRPr="00EE65CE">
        <w:rPr>
          <w:rFonts w:eastAsia="Times New Roman"/>
          <w:szCs w:val="22"/>
          <w:lang w:val="fr-FR" w:eastAsia="en-US"/>
        </w:rPr>
        <w:t xml:space="preserve">OMPI, qui a aidé à élaborer le programme </w:t>
      </w:r>
      <w:r w:rsidR="004E06F4" w:rsidRPr="00EE65CE">
        <w:rPr>
          <w:rFonts w:eastAsia="Times New Roman"/>
          <w:szCs w:val="22"/>
          <w:lang w:val="fr-FR" w:eastAsia="en-US"/>
        </w:rPr>
        <w:t>d</w:t>
      </w:r>
      <w:r w:rsidR="009D6827" w:rsidRPr="00EE65CE">
        <w:rPr>
          <w:rFonts w:eastAsia="Times New Roman"/>
          <w:szCs w:val="22"/>
          <w:lang w:val="fr-FR" w:eastAsia="en-US"/>
        </w:rPr>
        <w:t>’</w:t>
      </w:r>
      <w:r w:rsidR="004E06F4" w:rsidRPr="00EE65CE">
        <w:rPr>
          <w:rFonts w:eastAsia="Times New Roman"/>
          <w:szCs w:val="22"/>
          <w:lang w:val="fr-FR" w:eastAsia="en-US"/>
        </w:rPr>
        <w:t>enseignement</w:t>
      </w:r>
      <w:r w:rsidR="00222E6E" w:rsidRPr="00EE65CE">
        <w:rPr>
          <w:rFonts w:eastAsia="Times New Roman"/>
          <w:szCs w:val="22"/>
          <w:lang w:val="fr-FR" w:eastAsia="en-US"/>
        </w:rPr>
        <w:t xml:space="preserve"> à d</w:t>
      </w:r>
      <w:r w:rsidR="00EA6039" w:rsidRPr="00EE65CE">
        <w:rPr>
          <w:rFonts w:eastAsia="Times New Roman"/>
          <w:szCs w:val="22"/>
          <w:lang w:val="fr-FR" w:eastAsia="en-US"/>
        </w:rPr>
        <w:t>istance, et avec le Secteur de l’</w:t>
      </w:r>
      <w:r w:rsidR="00222E6E" w:rsidRPr="00EE65CE">
        <w:rPr>
          <w:rFonts w:eastAsia="Times New Roman"/>
          <w:szCs w:val="22"/>
          <w:lang w:val="fr-FR" w:eastAsia="en-US"/>
        </w:rPr>
        <w:t xml:space="preserve">infrastructure mondiale dans le cadre de leur projet de logiciel </w:t>
      </w:r>
      <w:r w:rsidR="00864962" w:rsidRPr="00EE65CE">
        <w:rPr>
          <w:rFonts w:eastAsia="Times New Roman"/>
          <w:szCs w:val="22"/>
          <w:lang w:val="fr-FR" w:eastAsia="en-US"/>
        </w:rPr>
        <w:t xml:space="preserve">WIPOCOS, </w:t>
      </w:r>
      <w:r w:rsidR="00222E6E" w:rsidRPr="00EE65CE">
        <w:rPr>
          <w:rFonts w:eastAsia="Times New Roman"/>
          <w:szCs w:val="22"/>
          <w:lang w:val="fr-FR" w:eastAsia="en-US"/>
        </w:rPr>
        <w:t>en vue de fournir une assistance aux organisations de gestion collective.  La Division du droit d</w:t>
      </w:r>
      <w:r w:rsidR="009D6827" w:rsidRPr="00EE65CE">
        <w:rPr>
          <w:rFonts w:eastAsia="Times New Roman"/>
          <w:szCs w:val="22"/>
          <w:lang w:val="fr-FR" w:eastAsia="en-US"/>
        </w:rPr>
        <w:t>’</w:t>
      </w:r>
      <w:r w:rsidR="00222E6E" w:rsidRPr="00EE65CE">
        <w:rPr>
          <w:rFonts w:eastAsia="Times New Roman"/>
          <w:szCs w:val="22"/>
          <w:lang w:val="fr-FR" w:eastAsia="en-US"/>
        </w:rPr>
        <w:t xml:space="preserve">auteur a </w:t>
      </w:r>
      <w:r w:rsidR="0033138E" w:rsidRPr="00EE65CE">
        <w:rPr>
          <w:rFonts w:eastAsia="Times New Roman"/>
          <w:szCs w:val="22"/>
          <w:lang w:val="fr-FR" w:eastAsia="en-US"/>
        </w:rPr>
        <w:t>apporté un soutien important à ce projet en mettant à disposition non seulement ses propres compétences, mais aussi celles de consultants extérieurs aux niveaux international et régional possédant les connaissances spécialisées requises dans les domaines de la propriété intellectuelle et de l</w:t>
      </w:r>
      <w:r w:rsidR="009D6827" w:rsidRPr="00EE65CE">
        <w:rPr>
          <w:rFonts w:eastAsia="Times New Roman"/>
          <w:szCs w:val="22"/>
          <w:lang w:val="fr-FR" w:eastAsia="en-US"/>
        </w:rPr>
        <w:t>’</w:t>
      </w:r>
      <w:r w:rsidR="0033138E" w:rsidRPr="00EE65CE">
        <w:rPr>
          <w:rFonts w:eastAsia="Times New Roman"/>
          <w:szCs w:val="22"/>
          <w:lang w:val="fr-FR" w:eastAsia="en-US"/>
        </w:rPr>
        <w:t>audiovisuel.</w:t>
      </w:r>
    </w:p>
    <w:p w:rsidR="002D26BB" w:rsidRPr="00EE65CE" w:rsidRDefault="002D26BB" w:rsidP="00542460">
      <w:pPr>
        <w:autoSpaceDE w:val="0"/>
        <w:autoSpaceDN w:val="0"/>
        <w:adjustRightInd w:val="0"/>
        <w:rPr>
          <w:i/>
          <w:u w:val="single"/>
          <w:lang w:val="fr-FR"/>
        </w:rPr>
      </w:pPr>
    </w:p>
    <w:p w:rsidR="00086695" w:rsidRPr="00EE65CE" w:rsidRDefault="00086695" w:rsidP="00542460">
      <w:pPr>
        <w:autoSpaceDE w:val="0"/>
        <w:autoSpaceDN w:val="0"/>
        <w:adjustRightInd w:val="0"/>
        <w:rPr>
          <w:i/>
          <w:u w:val="single"/>
          <w:lang w:val="fr-FR"/>
        </w:rPr>
      </w:pPr>
    </w:p>
    <w:p w:rsidR="009D6827" w:rsidRPr="00EE65CE" w:rsidRDefault="0033138E" w:rsidP="00542460">
      <w:pPr>
        <w:autoSpaceDE w:val="0"/>
        <w:autoSpaceDN w:val="0"/>
        <w:adjustRightInd w:val="0"/>
        <w:rPr>
          <w:i/>
          <w:u w:val="single"/>
          <w:lang w:val="fr-FR"/>
        </w:rPr>
      </w:pPr>
      <w:r w:rsidRPr="00EE65CE">
        <w:rPr>
          <w:i/>
          <w:u w:val="single"/>
          <w:lang w:val="fr-FR"/>
        </w:rPr>
        <w:t>Dans quelle mesure les risques recensés dans le descriptif de projet initial se sont concrétisés ou ont été atténués</w:t>
      </w:r>
      <w:r w:rsidR="00782E2E" w:rsidRPr="00EE65CE">
        <w:rPr>
          <w:i/>
          <w:u w:val="single"/>
          <w:lang w:val="fr-FR"/>
        </w:rPr>
        <w:t>.</w:t>
      </w:r>
    </w:p>
    <w:p w:rsidR="002D26BB" w:rsidRPr="00EE65CE" w:rsidRDefault="002D26BB" w:rsidP="00542460">
      <w:pPr>
        <w:autoSpaceDE w:val="0"/>
        <w:autoSpaceDN w:val="0"/>
        <w:adjustRightInd w:val="0"/>
        <w:rPr>
          <w:i/>
          <w:u w:val="single"/>
          <w:lang w:val="fr-FR"/>
        </w:rPr>
      </w:pPr>
    </w:p>
    <w:p w:rsidR="00386456" w:rsidRPr="00EE65CE" w:rsidRDefault="00274D74" w:rsidP="00542460">
      <w:pPr>
        <w:pStyle w:val="BodyText"/>
        <w:numPr>
          <w:ilvl w:val="0"/>
          <w:numId w:val="25"/>
        </w:numPr>
        <w:rPr>
          <w:i/>
          <w:u w:val="single"/>
          <w:lang w:val="fr-FR"/>
        </w:rPr>
      </w:pPr>
      <w:r w:rsidRPr="00EE65CE">
        <w:rPr>
          <w:b/>
          <w:lang w:val="fr-FR"/>
        </w:rPr>
        <w:t>Observation</w:t>
      </w:r>
      <w:r w:rsidR="0033138E" w:rsidRPr="00EE65CE">
        <w:rPr>
          <w:b/>
          <w:lang w:val="fr-FR"/>
        </w:rPr>
        <w:t xml:space="preserve"> n° </w:t>
      </w:r>
      <w:r w:rsidR="00DF6DE9" w:rsidRPr="00EE65CE">
        <w:rPr>
          <w:b/>
          <w:lang w:val="fr-FR"/>
        </w:rPr>
        <w:t>5</w:t>
      </w:r>
      <w:r w:rsidR="0033138E" w:rsidRPr="00EE65CE">
        <w:rPr>
          <w:b/>
          <w:lang w:val="fr-FR"/>
        </w:rPr>
        <w:t> </w:t>
      </w:r>
      <w:r w:rsidR="00782E2E" w:rsidRPr="00EE65CE">
        <w:rPr>
          <w:b/>
          <w:lang w:val="fr-FR"/>
        </w:rPr>
        <w:t>:</w:t>
      </w:r>
      <w:r w:rsidR="002F1793" w:rsidRPr="00EE65CE">
        <w:rPr>
          <w:lang w:val="fr-FR"/>
        </w:rPr>
        <w:t xml:space="preserve"> </w:t>
      </w:r>
      <w:r w:rsidR="0033138E" w:rsidRPr="00EE65CE">
        <w:rPr>
          <w:lang w:val="fr-FR"/>
        </w:rPr>
        <w:t>le descriptif du projet initial ne recensait aucun risque potentiel pour le projet.  Toutefois, plusieurs risques, qui ont été relevés dans les rapports sur l</w:t>
      </w:r>
      <w:r w:rsidR="009D6827" w:rsidRPr="00EE65CE">
        <w:rPr>
          <w:lang w:val="fr-FR"/>
        </w:rPr>
        <w:t>’</w:t>
      </w:r>
      <w:r w:rsidR="0033138E" w:rsidRPr="00EE65CE">
        <w:rPr>
          <w:lang w:val="fr-FR"/>
        </w:rPr>
        <w:t>état d</w:t>
      </w:r>
      <w:r w:rsidR="009D6827" w:rsidRPr="00EE65CE">
        <w:rPr>
          <w:lang w:val="fr-FR"/>
        </w:rPr>
        <w:t>’</w:t>
      </w:r>
      <w:r w:rsidR="0033138E" w:rsidRPr="00EE65CE">
        <w:rPr>
          <w:lang w:val="fr-FR"/>
        </w:rPr>
        <w:t>avancement du projet établis ultérieurement, sont résumés ci</w:t>
      </w:r>
      <w:r w:rsidR="00992678" w:rsidRPr="00EE65CE">
        <w:rPr>
          <w:lang w:val="fr-FR"/>
        </w:rPr>
        <w:noBreakHyphen/>
      </w:r>
      <w:r w:rsidR="0033138E" w:rsidRPr="00EE65CE">
        <w:rPr>
          <w:lang w:val="fr-FR"/>
        </w:rPr>
        <w:t xml:space="preserve">après, outre les autres risques déterminés dans la présente évaluation.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386456" w:rsidRPr="00EE65CE" w:rsidTr="00086695">
        <w:trPr>
          <w:tblHeader/>
        </w:trPr>
        <w:tc>
          <w:tcPr>
            <w:tcW w:w="5103" w:type="dxa"/>
          </w:tcPr>
          <w:p w:rsidR="00386456" w:rsidRPr="00EE65CE" w:rsidRDefault="0033138E" w:rsidP="00542460">
            <w:pPr>
              <w:rPr>
                <w:b/>
                <w:i/>
                <w:sz w:val="20"/>
                <w:lang w:val="fr-FR"/>
              </w:rPr>
            </w:pPr>
            <w:r w:rsidRPr="00EE65CE">
              <w:rPr>
                <w:b/>
                <w:i/>
                <w:sz w:val="20"/>
                <w:lang w:val="fr-FR"/>
              </w:rPr>
              <w:t xml:space="preserve">Risque recensé et </w:t>
            </w:r>
            <w:r w:rsidR="00822D5C" w:rsidRPr="00EE65CE">
              <w:rPr>
                <w:b/>
                <w:i/>
                <w:sz w:val="20"/>
                <w:lang w:val="fr-FR"/>
              </w:rPr>
              <w:t>mesure destinée à l</w:t>
            </w:r>
            <w:r w:rsidR="009D6827" w:rsidRPr="00EE65CE">
              <w:rPr>
                <w:b/>
                <w:i/>
                <w:sz w:val="20"/>
                <w:lang w:val="fr-FR"/>
              </w:rPr>
              <w:t>’</w:t>
            </w:r>
            <w:r w:rsidR="00822D5C" w:rsidRPr="00EE65CE">
              <w:rPr>
                <w:b/>
                <w:i/>
                <w:sz w:val="20"/>
                <w:lang w:val="fr-FR"/>
              </w:rPr>
              <w:t>atténuer</w:t>
            </w:r>
          </w:p>
          <w:p w:rsidR="00E74148" w:rsidRPr="00EE65CE" w:rsidRDefault="00E74148" w:rsidP="00542460">
            <w:pPr>
              <w:rPr>
                <w:b/>
                <w:i/>
                <w:sz w:val="20"/>
                <w:lang w:val="fr-FR"/>
              </w:rPr>
            </w:pPr>
          </w:p>
        </w:tc>
        <w:tc>
          <w:tcPr>
            <w:tcW w:w="4253" w:type="dxa"/>
          </w:tcPr>
          <w:p w:rsidR="00386456" w:rsidRPr="00EE65CE" w:rsidRDefault="00386456" w:rsidP="00542460">
            <w:pPr>
              <w:rPr>
                <w:b/>
                <w:i/>
                <w:sz w:val="20"/>
                <w:lang w:val="fr-FR"/>
              </w:rPr>
            </w:pPr>
            <w:r w:rsidRPr="00EE65CE">
              <w:rPr>
                <w:b/>
                <w:i/>
                <w:sz w:val="20"/>
                <w:lang w:val="fr-FR"/>
              </w:rPr>
              <w:t>Analys</w:t>
            </w:r>
            <w:r w:rsidR="00822D5C" w:rsidRPr="00EE65CE">
              <w:rPr>
                <w:b/>
                <w:i/>
                <w:sz w:val="20"/>
                <w:lang w:val="fr-FR"/>
              </w:rPr>
              <w:t>e</w:t>
            </w:r>
          </w:p>
        </w:tc>
      </w:tr>
      <w:tr w:rsidR="0051119D" w:rsidRPr="00983EE3" w:rsidTr="00B71A63">
        <w:tc>
          <w:tcPr>
            <w:tcW w:w="5103" w:type="dxa"/>
          </w:tcPr>
          <w:p w:rsidR="00AD2606" w:rsidRPr="00EE65CE" w:rsidRDefault="00822D5C" w:rsidP="00542460">
            <w:pPr>
              <w:pStyle w:val="BodyText"/>
              <w:rPr>
                <w:color w:val="000000"/>
                <w:sz w:val="20"/>
                <w:lang w:val="fr-FR"/>
              </w:rPr>
            </w:pPr>
            <w:r w:rsidRPr="00EE65CE">
              <w:rPr>
                <w:i/>
                <w:color w:val="000000"/>
                <w:sz w:val="20"/>
                <w:lang w:val="fr-FR"/>
              </w:rPr>
              <w:t>La demande en faveur des activités menées au titre du projet dépasse les ressources disponibles</w:t>
            </w:r>
            <w:r w:rsidR="00AD2606" w:rsidRPr="00EE65CE">
              <w:rPr>
                <w:i/>
                <w:color w:val="000000"/>
                <w:sz w:val="20"/>
                <w:lang w:val="fr-FR"/>
              </w:rPr>
              <w:t>.</w:t>
            </w:r>
            <w:r w:rsidR="00AD2606" w:rsidRPr="00EE65CE">
              <w:rPr>
                <w:color w:val="000000"/>
                <w:sz w:val="20"/>
                <w:lang w:val="fr-FR"/>
              </w:rPr>
              <w:br/>
              <w:t>M</w:t>
            </w:r>
            <w:r w:rsidRPr="00EE65CE">
              <w:rPr>
                <w:color w:val="000000"/>
                <w:sz w:val="20"/>
                <w:lang w:val="fr-FR"/>
              </w:rPr>
              <w:t>esure d</w:t>
            </w:r>
            <w:r w:rsidR="009D6827" w:rsidRPr="00EE65CE">
              <w:rPr>
                <w:color w:val="000000"/>
                <w:sz w:val="20"/>
                <w:lang w:val="fr-FR"/>
              </w:rPr>
              <w:t>’</w:t>
            </w:r>
            <w:r w:rsidRPr="00EE65CE">
              <w:rPr>
                <w:color w:val="000000"/>
                <w:sz w:val="20"/>
                <w:lang w:val="fr-FR"/>
              </w:rPr>
              <w:t>atténuation </w:t>
            </w:r>
            <w:r w:rsidR="00AD2606" w:rsidRPr="00EE65CE">
              <w:rPr>
                <w:color w:val="000000"/>
                <w:sz w:val="20"/>
                <w:lang w:val="fr-FR"/>
              </w:rPr>
              <w:t xml:space="preserve">: </w:t>
            </w:r>
            <w:r w:rsidRPr="00EE65CE">
              <w:rPr>
                <w:color w:val="000000"/>
                <w:sz w:val="20"/>
                <w:lang w:val="fr-FR"/>
              </w:rPr>
              <w:t>des demandes ont été soumises par d</w:t>
            </w:r>
            <w:r w:rsidR="009D6827" w:rsidRPr="00EE65CE">
              <w:rPr>
                <w:color w:val="000000"/>
                <w:sz w:val="20"/>
                <w:lang w:val="fr-FR"/>
              </w:rPr>
              <w:t>’</w:t>
            </w:r>
            <w:r w:rsidRPr="00EE65CE">
              <w:rPr>
                <w:color w:val="000000"/>
                <w:sz w:val="20"/>
                <w:lang w:val="fr-FR"/>
              </w:rPr>
              <w:t xml:space="preserve">autres pays souhaitant participer au projet;  trois pays </w:t>
            </w:r>
            <w:r w:rsidR="00AD2606" w:rsidRPr="00EE65CE">
              <w:rPr>
                <w:color w:val="000000"/>
                <w:sz w:val="20"/>
                <w:lang w:val="fr-FR"/>
              </w:rPr>
              <w:t>(</w:t>
            </w:r>
            <w:r w:rsidRPr="00EE65CE">
              <w:rPr>
                <w:color w:val="000000"/>
                <w:sz w:val="20"/>
                <w:lang w:val="fr-FR"/>
              </w:rPr>
              <w:t>Côte d</w:t>
            </w:r>
            <w:r w:rsidR="009D6827" w:rsidRPr="00EE65CE">
              <w:rPr>
                <w:color w:val="000000"/>
                <w:sz w:val="20"/>
                <w:lang w:val="fr-FR"/>
              </w:rPr>
              <w:t>’</w:t>
            </w:r>
            <w:r w:rsidR="00AD2606" w:rsidRPr="00EE65CE">
              <w:rPr>
                <w:color w:val="000000"/>
                <w:sz w:val="20"/>
                <w:lang w:val="fr-FR"/>
              </w:rPr>
              <w:t>Ivo</w:t>
            </w:r>
            <w:r w:rsidRPr="00EE65CE">
              <w:rPr>
                <w:color w:val="000000"/>
                <w:sz w:val="20"/>
                <w:lang w:val="fr-FR"/>
              </w:rPr>
              <w:t>ire, Ouganda et Maroc</w:t>
            </w:r>
            <w:r w:rsidR="00AD2606" w:rsidRPr="00EE65CE">
              <w:rPr>
                <w:color w:val="000000"/>
                <w:sz w:val="20"/>
                <w:lang w:val="fr-FR"/>
              </w:rPr>
              <w:t xml:space="preserve">) </w:t>
            </w:r>
            <w:r w:rsidRPr="00EE65CE">
              <w:rPr>
                <w:color w:val="000000"/>
                <w:sz w:val="20"/>
                <w:lang w:val="fr-FR"/>
              </w:rPr>
              <w:t>ont été admis à titre d</w:t>
            </w:r>
            <w:r w:rsidR="009D6827" w:rsidRPr="00EE65CE">
              <w:rPr>
                <w:color w:val="000000"/>
                <w:sz w:val="20"/>
                <w:lang w:val="fr-FR"/>
              </w:rPr>
              <w:t>’</w:t>
            </w:r>
            <w:r w:rsidRPr="00EE65CE">
              <w:rPr>
                <w:color w:val="000000"/>
                <w:sz w:val="20"/>
                <w:lang w:val="fr-FR"/>
              </w:rPr>
              <w:t xml:space="preserve">observateurs </w:t>
            </w:r>
            <w:r w:rsidR="009C16A2" w:rsidRPr="00EE65CE">
              <w:rPr>
                <w:color w:val="000000"/>
                <w:sz w:val="20"/>
                <w:lang w:val="fr-FR"/>
              </w:rPr>
              <w:t>dans les ateliers de formation organisés en</w:t>
            </w:r>
            <w:r w:rsidR="005B2087" w:rsidRPr="00EE65CE">
              <w:rPr>
                <w:color w:val="000000"/>
                <w:sz w:val="20"/>
                <w:lang w:val="fr-FR"/>
              </w:rPr>
              <w:t> </w:t>
            </w:r>
            <w:r w:rsidR="00AD2606" w:rsidRPr="00EE65CE">
              <w:rPr>
                <w:color w:val="000000"/>
                <w:sz w:val="20"/>
                <w:lang w:val="fr-FR"/>
              </w:rPr>
              <w:t xml:space="preserve">2015. </w:t>
            </w:r>
            <w:r w:rsidR="00086695" w:rsidRPr="00EE65CE">
              <w:rPr>
                <w:color w:val="000000"/>
                <w:sz w:val="20"/>
                <w:lang w:val="fr-FR"/>
              </w:rPr>
              <w:t xml:space="preserve"> </w:t>
            </w:r>
            <w:r w:rsidR="004E5AA5" w:rsidRPr="00EE65CE">
              <w:rPr>
                <w:color w:val="000000"/>
                <w:sz w:val="20"/>
                <w:lang w:val="fr-FR"/>
              </w:rPr>
              <w:t xml:space="preserve">À </w:t>
            </w:r>
            <w:r w:rsidR="009C16A2" w:rsidRPr="00EE65CE">
              <w:rPr>
                <w:color w:val="000000"/>
                <w:sz w:val="20"/>
                <w:lang w:val="fr-FR"/>
              </w:rPr>
              <w:t>compter de septembre 2013, un fonctionnaire à temps partiel a été nommé pour apporter son concours au responsable du projet au sein de l</w:t>
            </w:r>
            <w:r w:rsidR="009D6827" w:rsidRPr="00EE65CE">
              <w:rPr>
                <w:color w:val="000000"/>
                <w:sz w:val="20"/>
                <w:lang w:val="fr-FR"/>
              </w:rPr>
              <w:t>’</w:t>
            </w:r>
            <w:r w:rsidR="009C16A2" w:rsidRPr="00EE65CE">
              <w:rPr>
                <w:color w:val="000000"/>
                <w:sz w:val="20"/>
                <w:lang w:val="fr-FR"/>
              </w:rPr>
              <w:t xml:space="preserve">OMPI. </w:t>
            </w:r>
            <w:r w:rsidR="00AD2606" w:rsidRPr="00EE65CE">
              <w:rPr>
                <w:color w:val="000000"/>
                <w:sz w:val="20"/>
                <w:lang w:val="fr-FR"/>
              </w:rPr>
              <w:t xml:space="preserve"> </w:t>
            </w:r>
          </w:p>
        </w:tc>
        <w:tc>
          <w:tcPr>
            <w:tcW w:w="4253" w:type="dxa"/>
          </w:tcPr>
          <w:p w:rsidR="009D6827" w:rsidRPr="00EE65CE" w:rsidRDefault="009C16A2" w:rsidP="00542460">
            <w:pPr>
              <w:rPr>
                <w:sz w:val="20"/>
                <w:lang w:val="fr-FR"/>
              </w:rPr>
            </w:pPr>
            <w:r w:rsidRPr="00EE65CE">
              <w:rPr>
                <w:sz w:val="20"/>
                <w:lang w:val="fr-FR"/>
              </w:rPr>
              <w:t>L</w:t>
            </w:r>
            <w:r w:rsidR="009D6827" w:rsidRPr="00EE65CE">
              <w:rPr>
                <w:sz w:val="20"/>
                <w:lang w:val="fr-FR"/>
              </w:rPr>
              <w:t>’</w:t>
            </w:r>
            <w:r w:rsidRPr="00EE65CE">
              <w:rPr>
                <w:sz w:val="20"/>
                <w:lang w:val="fr-FR"/>
              </w:rPr>
              <w:t xml:space="preserve">OMPI a été en mesure de gérer les demandes de participation au projet et de trouver une solution </w:t>
            </w:r>
            <w:r w:rsidR="004E5AA5" w:rsidRPr="00EE65CE">
              <w:rPr>
                <w:sz w:val="20"/>
                <w:lang w:val="fr-FR"/>
              </w:rPr>
              <w:t>satisfaisante</w:t>
            </w:r>
            <w:r w:rsidR="00AD2606" w:rsidRPr="00EE65CE">
              <w:rPr>
                <w:sz w:val="20"/>
                <w:lang w:val="fr-FR"/>
              </w:rPr>
              <w:t xml:space="preserve"> (</w:t>
            </w:r>
            <w:r w:rsidR="004E5AA5" w:rsidRPr="00EE65CE">
              <w:rPr>
                <w:sz w:val="20"/>
                <w:lang w:val="fr-FR"/>
              </w:rPr>
              <w:t>admission d</w:t>
            </w:r>
            <w:r w:rsidR="009D6827" w:rsidRPr="00EE65CE">
              <w:rPr>
                <w:sz w:val="20"/>
                <w:lang w:val="fr-FR"/>
              </w:rPr>
              <w:t>’</w:t>
            </w:r>
            <w:r w:rsidR="004E5AA5" w:rsidRPr="00EE65CE">
              <w:rPr>
                <w:sz w:val="20"/>
                <w:lang w:val="fr-FR"/>
              </w:rPr>
              <w:t>observateurs</w:t>
            </w:r>
            <w:r w:rsidR="00AD2606" w:rsidRPr="00EE65CE">
              <w:rPr>
                <w:sz w:val="20"/>
                <w:lang w:val="fr-FR"/>
              </w:rPr>
              <w:t xml:space="preserve">). </w:t>
            </w:r>
            <w:r w:rsidR="00086695" w:rsidRPr="00EE65CE">
              <w:rPr>
                <w:sz w:val="20"/>
                <w:lang w:val="fr-FR"/>
              </w:rPr>
              <w:t xml:space="preserve"> </w:t>
            </w:r>
            <w:r w:rsidR="004E5AA5" w:rsidRPr="00EE65CE">
              <w:rPr>
                <w:sz w:val="20"/>
                <w:lang w:val="fr-FR"/>
              </w:rPr>
              <w:t>Le projet a enregistré un retard dans sa mise en œuvre, deux prolongations de six mois ayant été nécessaires.  Cela était dû en grande partie à l</w:t>
            </w:r>
            <w:r w:rsidR="009D6827" w:rsidRPr="00EE65CE">
              <w:rPr>
                <w:sz w:val="20"/>
                <w:lang w:val="fr-FR"/>
              </w:rPr>
              <w:t>’</w:t>
            </w:r>
            <w:r w:rsidR="004E5AA5" w:rsidRPr="00EE65CE">
              <w:rPr>
                <w:sz w:val="20"/>
                <w:lang w:val="fr-FR"/>
              </w:rPr>
              <w:t>implication du responsable du projet au sein de l</w:t>
            </w:r>
            <w:r w:rsidR="009D6827" w:rsidRPr="00EE65CE">
              <w:rPr>
                <w:sz w:val="20"/>
                <w:lang w:val="fr-FR"/>
              </w:rPr>
              <w:t>’</w:t>
            </w:r>
            <w:r w:rsidR="004E5AA5" w:rsidRPr="00EE65CE">
              <w:rPr>
                <w:sz w:val="20"/>
                <w:lang w:val="fr-FR"/>
              </w:rPr>
              <w:t>OMPI dans d</w:t>
            </w:r>
            <w:r w:rsidR="009D6827" w:rsidRPr="00EE65CE">
              <w:rPr>
                <w:sz w:val="20"/>
                <w:lang w:val="fr-FR"/>
              </w:rPr>
              <w:t>’</w:t>
            </w:r>
            <w:r w:rsidR="004E5AA5" w:rsidRPr="00EE65CE">
              <w:rPr>
                <w:sz w:val="20"/>
                <w:lang w:val="fr-FR"/>
              </w:rPr>
              <w:t>autres projets hautement prioritaires, à la nomination tardive d</w:t>
            </w:r>
            <w:r w:rsidR="009D6827" w:rsidRPr="00EE65CE">
              <w:rPr>
                <w:sz w:val="20"/>
                <w:lang w:val="fr-FR"/>
              </w:rPr>
              <w:t>’</w:t>
            </w:r>
            <w:r w:rsidR="004E5AA5" w:rsidRPr="00EE65CE">
              <w:rPr>
                <w:sz w:val="20"/>
                <w:lang w:val="fr-FR"/>
              </w:rPr>
              <w:t xml:space="preserve">un fonctionnaire </w:t>
            </w:r>
            <w:r w:rsidR="00AA3272" w:rsidRPr="00EE65CE">
              <w:rPr>
                <w:sz w:val="20"/>
                <w:lang w:val="fr-FR"/>
              </w:rPr>
              <w:t>à temps partiel chargé de l</w:t>
            </w:r>
            <w:r w:rsidR="009D6827" w:rsidRPr="00EE65CE">
              <w:rPr>
                <w:sz w:val="20"/>
                <w:lang w:val="fr-FR"/>
              </w:rPr>
              <w:t>’</w:t>
            </w:r>
            <w:r w:rsidR="004E5AA5" w:rsidRPr="00EE65CE">
              <w:rPr>
                <w:sz w:val="20"/>
                <w:lang w:val="fr-FR"/>
              </w:rPr>
              <w:t>exécution et à l</w:t>
            </w:r>
            <w:r w:rsidR="009D6827" w:rsidRPr="00EE65CE">
              <w:rPr>
                <w:sz w:val="20"/>
                <w:lang w:val="fr-FR"/>
              </w:rPr>
              <w:t>’</w:t>
            </w:r>
            <w:r w:rsidR="004E5AA5" w:rsidRPr="00EE65CE">
              <w:rPr>
                <w:sz w:val="20"/>
                <w:lang w:val="fr-FR"/>
              </w:rPr>
              <w:t>évolution politique au niveau local</w:t>
            </w:r>
            <w:r w:rsidR="00266F2E" w:rsidRPr="00EE65CE">
              <w:rPr>
                <w:sz w:val="20"/>
                <w:lang w:val="fr-FR"/>
              </w:rPr>
              <w:t>.</w:t>
            </w:r>
          </w:p>
          <w:p w:rsidR="00E74148" w:rsidRPr="00EE65CE" w:rsidRDefault="00E74148" w:rsidP="00542460">
            <w:pPr>
              <w:rPr>
                <w:sz w:val="20"/>
                <w:lang w:val="fr-FR"/>
              </w:rPr>
            </w:pPr>
          </w:p>
        </w:tc>
      </w:tr>
      <w:tr w:rsidR="009850E8" w:rsidRPr="00983EE3" w:rsidTr="00424A9D">
        <w:trPr>
          <w:cantSplit/>
        </w:trPr>
        <w:tc>
          <w:tcPr>
            <w:tcW w:w="5103" w:type="dxa"/>
          </w:tcPr>
          <w:p w:rsidR="009850E8" w:rsidRPr="00EE65CE" w:rsidRDefault="00AA3272" w:rsidP="00542460">
            <w:pPr>
              <w:pStyle w:val="BodyText"/>
              <w:rPr>
                <w:color w:val="000000"/>
                <w:sz w:val="20"/>
                <w:lang w:val="fr-FR"/>
              </w:rPr>
            </w:pPr>
            <w:r w:rsidRPr="00EE65CE">
              <w:rPr>
                <w:i/>
                <w:color w:val="000000"/>
                <w:sz w:val="20"/>
                <w:lang w:val="fr-FR"/>
              </w:rPr>
              <w:lastRenderedPageBreak/>
              <w:t>Assurer une direction et une coordination efficaces dans les trois pays participants</w:t>
            </w:r>
            <w:r w:rsidR="005C1A65" w:rsidRPr="00EE65CE">
              <w:rPr>
                <w:i/>
                <w:color w:val="000000"/>
                <w:sz w:val="20"/>
                <w:lang w:val="fr-FR"/>
              </w:rPr>
              <w:t>.</w:t>
            </w:r>
            <w:r w:rsidR="005B2087" w:rsidRPr="00EE65CE">
              <w:rPr>
                <w:i/>
                <w:color w:val="000000"/>
                <w:sz w:val="20"/>
                <w:lang w:val="fr-FR"/>
              </w:rPr>
              <w:t xml:space="preserve"> </w:t>
            </w:r>
            <w:r w:rsidR="005C1A65" w:rsidRPr="00EE65CE">
              <w:rPr>
                <w:i/>
                <w:color w:val="000000"/>
                <w:sz w:val="20"/>
                <w:lang w:val="fr-FR"/>
              </w:rPr>
              <w:t xml:space="preserve"> </w:t>
            </w:r>
            <w:r w:rsidR="005C1A65" w:rsidRPr="00EE65CE">
              <w:rPr>
                <w:color w:val="000000"/>
                <w:sz w:val="20"/>
                <w:lang w:val="fr-FR"/>
              </w:rPr>
              <w:br/>
            </w:r>
            <w:r w:rsidR="00223181" w:rsidRPr="00EE65CE">
              <w:rPr>
                <w:color w:val="000000"/>
                <w:sz w:val="20"/>
                <w:lang w:val="fr-FR"/>
              </w:rPr>
              <w:t>Mesure d</w:t>
            </w:r>
            <w:r w:rsidR="009D6827" w:rsidRPr="00EE65CE">
              <w:rPr>
                <w:color w:val="000000"/>
                <w:sz w:val="20"/>
                <w:lang w:val="fr-FR"/>
              </w:rPr>
              <w:t>’</w:t>
            </w:r>
            <w:r w:rsidR="00223181" w:rsidRPr="00EE65CE">
              <w:rPr>
                <w:color w:val="000000"/>
                <w:sz w:val="20"/>
                <w:lang w:val="fr-FR"/>
              </w:rPr>
              <w:t>atténuation </w:t>
            </w:r>
            <w:r w:rsidR="005C1A65" w:rsidRPr="00EE65CE">
              <w:rPr>
                <w:color w:val="000000"/>
                <w:sz w:val="20"/>
                <w:lang w:val="fr-FR"/>
              </w:rPr>
              <w:t xml:space="preserve">: </w:t>
            </w:r>
            <w:r w:rsidR="00223181" w:rsidRPr="00EE65CE">
              <w:rPr>
                <w:color w:val="000000"/>
                <w:sz w:val="20"/>
                <w:lang w:val="fr-FR"/>
              </w:rPr>
              <w:t>le Secrétariat de l</w:t>
            </w:r>
            <w:r w:rsidR="009D6827" w:rsidRPr="00EE65CE">
              <w:rPr>
                <w:color w:val="000000"/>
                <w:sz w:val="20"/>
                <w:lang w:val="fr-FR"/>
              </w:rPr>
              <w:t>’</w:t>
            </w:r>
            <w:r w:rsidR="00223181" w:rsidRPr="00EE65CE">
              <w:rPr>
                <w:color w:val="000000"/>
                <w:sz w:val="20"/>
                <w:lang w:val="fr-FR"/>
              </w:rPr>
              <w:t>OMPI a collaboré étroitement avec les autorités des différents pays afin d</w:t>
            </w:r>
            <w:r w:rsidR="009D6827" w:rsidRPr="00EE65CE">
              <w:rPr>
                <w:color w:val="000000"/>
                <w:sz w:val="20"/>
                <w:lang w:val="fr-FR"/>
              </w:rPr>
              <w:t>’</w:t>
            </w:r>
            <w:r w:rsidR="00223181" w:rsidRPr="00EE65CE">
              <w:rPr>
                <w:color w:val="000000"/>
                <w:sz w:val="20"/>
                <w:lang w:val="fr-FR"/>
              </w:rPr>
              <w:t>assurer</w:t>
            </w:r>
            <w:r w:rsidR="00086695" w:rsidRPr="00EE65CE">
              <w:rPr>
                <w:color w:val="000000"/>
                <w:sz w:val="20"/>
                <w:lang w:val="fr-FR"/>
              </w:rPr>
              <w:t xml:space="preserve"> </w:t>
            </w:r>
            <w:r w:rsidR="00223181" w:rsidRPr="00EE65CE">
              <w:rPr>
                <w:color w:val="000000"/>
                <w:sz w:val="20"/>
                <w:lang w:val="fr-FR"/>
              </w:rPr>
              <w:t>l</w:t>
            </w:r>
            <w:r w:rsidR="009D6827" w:rsidRPr="00EE65CE">
              <w:rPr>
                <w:color w:val="000000"/>
                <w:sz w:val="20"/>
                <w:lang w:val="fr-FR"/>
              </w:rPr>
              <w:t>’</w:t>
            </w:r>
            <w:r w:rsidR="00223181" w:rsidRPr="00EE65CE">
              <w:rPr>
                <w:color w:val="000000"/>
                <w:sz w:val="20"/>
                <w:lang w:val="fr-FR"/>
              </w:rPr>
              <w:t>engagement nécessaire et la nomination de coordonnateurs pour chaque pays</w:t>
            </w:r>
            <w:r w:rsidR="005C1A65" w:rsidRPr="00EE65CE">
              <w:rPr>
                <w:color w:val="000000"/>
                <w:sz w:val="20"/>
                <w:lang w:val="fr-FR"/>
              </w:rPr>
              <w:t xml:space="preserve">. </w:t>
            </w:r>
            <w:r w:rsidR="005B2087" w:rsidRPr="00EE65CE">
              <w:rPr>
                <w:color w:val="000000"/>
                <w:sz w:val="20"/>
                <w:lang w:val="fr-FR"/>
              </w:rPr>
              <w:t xml:space="preserve"> </w:t>
            </w:r>
          </w:p>
        </w:tc>
        <w:tc>
          <w:tcPr>
            <w:tcW w:w="4253" w:type="dxa"/>
          </w:tcPr>
          <w:p w:rsidR="009850E8" w:rsidRPr="00EE65CE" w:rsidRDefault="00223181" w:rsidP="00542460">
            <w:pPr>
              <w:rPr>
                <w:sz w:val="20"/>
                <w:lang w:val="fr-FR"/>
              </w:rPr>
            </w:pPr>
            <w:r w:rsidRPr="00EE65CE">
              <w:rPr>
                <w:sz w:val="20"/>
                <w:lang w:val="fr-FR"/>
              </w:rPr>
              <w:t>La nomination de coordonnateurs locaux s</w:t>
            </w:r>
            <w:r w:rsidR="009D6827" w:rsidRPr="00EE65CE">
              <w:rPr>
                <w:sz w:val="20"/>
                <w:lang w:val="fr-FR"/>
              </w:rPr>
              <w:t>’</w:t>
            </w:r>
            <w:r w:rsidRPr="00EE65CE">
              <w:rPr>
                <w:sz w:val="20"/>
                <w:lang w:val="fr-FR"/>
              </w:rPr>
              <w:t>est révélée essentielle pour la gestion et la mise en œuvre du projet.  Des problèmes se sont posés lorsque des changements ont été apportés dans la direction et la coordination au niveau des pays.  Il en a résulté des retards dans la mise en œuvre des activités prévues</w:t>
            </w:r>
            <w:r w:rsidR="005C1A65" w:rsidRPr="00EE65CE">
              <w:rPr>
                <w:sz w:val="20"/>
                <w:lang w:val="fr-FR"/>
              </w:rPr>
              <w:t xml:space="preserve">. </w:t>
            </w:r>
            <w:r w:rsidR="005B2087" w:rsidRPr="00EE65CE">
              <w:rPr>
                <w:sz w:val="20"/>
                <w:lang w:val="fr-FR"/>
              </w:rPr>
              <w:t xml:space="preserve"> </w:t>
            </w:r>
          </w:p>
        </w:tc>
      </w:tr>
      <w:tr w:rsidR="0051119D" w:rsidRPr="00983EE3" w:rsidTr="00B71A63">
        <w:tc>
          <w:tcPr>
            <w:tcW w:w="5103" w:type="dxa"/>
          </w:tcPr>
          <w:p w:rsidR="0051119D" w:rsidRPr="00EE65CE" w:rsidRDefault="0023240A" w:rsidP="00542460">
            <w:pPr>
              <w:pStyle w:val="BodyText"/>
              <w:rPr>
                <w:sz w:val="20"/>
                <w:lang w:val="fr-FR"/>
              </w:rPr>
            </w:pPr>
            <w:r w:rsidRPr="00EE65CE">
              <w:rPr>
                <w:i/>
                <w:sz w:val="20"/>
                <w:lang w:val="fr-FR"/>
              </w:rPr>
              <w:t>Un faible niveau de connaissance et d</w:t>
            </w:r>
            <w:r w:rsidR="009D6827" w:rsidRPr="00EE65CE">
              <w:rPr>
                <w:i/>
                <w:sz w:val="20"/>
                <w:lang w:val="fr-FR"/>
              </w:rPr>
              <w:t>’</w:t>
            </w:r>
            <w:r w:rsidRPr="00EE65CE">
              <w:rPr>
                <w:i/>
                <w:sz w:val="20"/>
                <w:lang w:val="fr-FR"/>
              </w:rPr>
              <w:t>utilisation du droit d</w:t>
            </w:r>
            <w:r w:rsidR="009D6827" w:rsidRPr="00EE65CE">
              <w:rPr>
                <w:i/>
                <w:sz w:val="20"/>
                <w:lang w:val="fr-FR"/>
              </w:rPr>
              <w:t>’</w:t>
            </w:r>
            <w:r w:rsidRPr="00EE65CE">
              <w:rPr>
                <w:i/>
                <w:sz w:val="20"/>
                <w:lang w:val="fr-FR"/>
              </w:rPr>
              <w:t>auteur dans le secteur de l</w:t>
            </w:r>
            <w:r w:rsidR="009D6827" w:rsidRPr="00EE65CE">
              <w:rPr>
                <w:i/>
                <w:sz w:val="20"/>
                <w:lang w:val="fr-FR"/>
              </w:rPr>
              <w:t>’</w:t>
            </w:r>
            <w:r w:rsidRPr="00EE65CE">
              <w:rPr>
                <w:i/>
                <w:sz w:val="20"/>
                <w:lang w:val="fr-FR"/>
              </w:rPr>
              <w:t xml:space="preserve">audiovisuel </w:t>
            </w:r>
            <w:r w:rsidR="00E04F0B" w:rsidRPr="00EE65CE">
              <w:rPr>
                <w:i/>
                <w:sz w:val="20"/>
                <w:lang w:val="fr-FR"/>
              </w:rPr>
              <w:t xml:space="preserve">retarde </w:t>
            </w:r>
            <w:r w:rsidRPr="00EE65CE">
              <w:rPr>
                <w:i/>
                <w:sz w:val="20"/>
                <w:lang w:val="fr-FR"/>
              </w:rPr>
              <w:t>l</w:t>
            </w:r>
            <w:r w:rsidR="009D6827" w:rsidRPr="00EE65CE">
              <w:rPr>
                <w:i/>
                <w:sz w:val="20"/>
                <w:lang w:val="fr-FR"/>
              </w:rPr>
              <w:t>’</w:t>
            </w:r>
            <w:r w:rsidRPr="00EE65CE">
              <w:rPr>
                <w:i/>
                <w:sz w:val="20"/>
                <w:lang w:val="fr-FR"/>
              </w:rPr>
              <w:t>obtention de résultats tangibles</w:t>
            </w:r>
            <w:r w:rsidR="005C1A65" w:rsidRPr="00EE65CE">
              <w:rPr>
                <w:i/>
                <w:sz w:val="20"/>
                <w:lang w:val="fr-FR"/>
              </w:rPr>
              <w:t xml:space="preserve">. </w:t>
            </w:r>
            <w:r w:rsidR="005B2087" w:rsidRPr="00EE65CE">
              <w:rPr>
                <w:i/>
                <w:sz w:val="20"/>
                <w:lang w:val="fr-FR"/>
              </w:rPr>
              <w:t xml:space="preserve"> </w:t>
            </w:r>
            <w:r w:rsidR="005C1A65" w:rsidRPr="00EE65CE">
              <w:rPr>
                <w:sz w:val="20"/>
                <w:lang w:val="fr-FR"/>
              </w:rPr>
              <w:br/>
            </w:r>
            <w:r w:rsidR="00223181" w:rsidRPr="00EE65CE">
              <w:rPr>
                <w:sz w:val="20"/>
                <w:lang w:val="fr-FR"/>
              </w:rPr>
              <w:t>Mesure d</w:t>
            </w:r>
            <w:r w:rsidR="009D6827" w:rsidRPr="00EE65CE">
              <w:rPr>
                <w:sz w:val="20"/>
                <w:lang w:val="fr-FR"/>
              </w:rPr>
              <w:t>’</w:t>
            </w:r>
            <w:r w:rsidR="00223181" w:rsidRPr="00EE65CE">
              <w:rPr>
                <w:sz w:val="20"/>
                <w:lang w:val="fr-FR"/>
              </w:rPr>
              <w:t>atténuation </w:t>
            </w:r>
            <w:r w:rsidR="005C1A65" w:rsidRPr="00EE65CE">
              <w:rPr>
                <w:sz w:val="20"/>
                <w:lang w:val="fr-FR"/>
              </w:rPr>
              <w:t xml:space="preserve">: </w:t>
            </w:r>
            <w:r w:rsidRPr="00EE65CE">
              <w:rPr>
                <w:sz w:val="20"/>
                <w:lang w:val="fr-FR"/>
              </w:rPr>
              <w:t>le Secrétariat de l</w:t>
            </w:r>
            <w:r w:rsidR="009D6827" w:rsidRPr="00EE65CE">
              <w:rPr>
                <w:sz w:val="20"/>
                <w:lang w:val="fr-FR"/>
              </w:rPr>
              <w:t>’</w:t>
            </w:r>
            <w:r w:rsidRPr="00EE65CE">
              <w:rPr>
                <w:sz w:val="20"/>
                <w:lang w:val="fr-FR"/>
              </w:rPr>
              <w:t xml:space="preserve">OMPI a adapté ses activités de formation et les a augmentées afin de renforcer la sensibilisation de base et de répondre aux besoins concrets. </w:t>
            </w:r>
            <w:r w:rsidR="005C1A65" w:rsidRPr="00EE65CE">
              <w:rPr>
                <w:sz w:val="20"/>
                <w:lang w:val="fr-FR"/>
              </w:rPr>
              <w:t xml:space="preserve"> </w:t>
            </w:r>
            <w:r w:rsidRPr="00EE65CE">
              <w:rPr>
                <w:sz w:val="20"/>
                <w:lang w:val="fr-FR"/>
              </w:rPr>
              <w:t xml:space="preserve">Il a également collaboré avec les autorités locales pour </w:t>
            </w:r>
            <w:r w:rsidR="00E04F0B" w:rsidRPr="00EE65CE">
              <w:rPr>
                <w:sz w:val="20"/>
                <w:lang w:val="fr-FR"/>
              </w:rPr>
              <w:t>atteindre les milieux bancaires et financiers ayant peu d</w:t>
            </w:r>
            <w:r w:rsidR="009D6827" w:rsidRPr="00EE65CE">
              <w:rPr>
                <w:sz w:val="20"/>
                <w:lang w:val="fr-FR"/>
              </w:rPr>
              <w:t>’</w:t>
            </w:r>
            <w:r w:rsidR="00E04F0B" w:rsidRPr="00EE65CE">
              <w:rPr>
                <w:sz w:val="20"/>
                <w:lang w:val="fr-FR"/>
              </w:rPr>
              <w:t>expérience du secteur de l</w:t>
            </w:r>
            <w:r w:rsidR="009D6827" w:rsidRPr="00EE65CE">
              <w:rPr>
                <w:sz w:val="20"/>
                <w:lang w:val="fr-FR"/>
              </w:rPr>
              <w:t>’</w:t>
            </w:r>
            <w:r w:rsidR="00E04F0B" w:rsidRPr="00EE65CE">
              <w:rPr>
                <w:sz w:val="20"/>
                <w:lang w:val="fr-FR"/>
              </w:rPr>
              <w:t xml:space="preserve">audiovisuel et susciter leur intérêt.  </w:t>
            </w:r>
          </w:p>
        </w:tc>
        <w:tc>
          <w:tcPr>
            <w:tcW w:w="4253" w:type="dxa"/>
          </w:tcPr>
          <w:p w:rsidR="0051119D" w:rsidRPr="00EE65CE" w:rsidRDefault="00E04F0B" w:rsidP="00542460">
            <w:pPr>
              <w:rPr>
                <w:sz w:val="20"/>
                <w:lang w:val="fr-FR"/>
              </w:rPr>
            </w:pPr>
            <w:r w:rsidRPr="00EE65CE">
              <w:rPr>
                <w:sz w:val="20"/>
                <w:lang w:val="fr-FR"/>
              </w:rPr>
              <w:t>Il était nécessaire d</w:t>
            </w:r>
            <w:r w:rsidR="009D6827" w:rsidRPr="00EE65CE">
              <w:rPr>
                <w:sz w:val="20"/>
                <w:lang w:val="fr-FR"/>
              </w:rPr>
              <w:t>’</w:t>
            </w:r>
            <w:r w:rsidRPr="00EE65CE">
              <w:rPr>
                <w:sz w:val="20"/>
                <w:lang w:val="fr-FR"/>
              </w:rPr>
              <w:t>a</w:t>
            </w:r>
            <w:r w:rsidR="00295A4A" w:rsidRPr="00EE65CE">
              <w:rPr>
                <w:sz w:val="20"/>
                <w:lang w:val="fr-FR"/>
              </w:rPr>
              <w:t>dapt</w:t>
            </w:r>
            <w:r w:rsidRPr="00EE65CE">
              <w:rPr>
                <w:sz w:val="20"/>
                <w:lang w:val="fr-FR"/>
              </w:rPr>
              <w:t xml:space="preserve">er les activités menées au titre du projet aux différents </w:t>
            </w:r>
            <w:r w:rsidR="006C1201" w:rsidRPr="00EE65CE">
              <w:rPr>
                <w:sz w:val="20"/>
                <w:lang w:val="fr-FR"/>
              </w:rPr>
              <w:t>degrés</w:t>
            </w:r>
            <w:r w:rsidRPr="00EE65CE">
              <w:rPr>
                <w:sz w:val="20"/>
                <w:lang w:val="fr-FR"/>
              </w:rPr>
              <w:t xml:space="preserve"> de sensibilisation afin d</w:t>
            </w:r>
            <w:r w:rsidR="009D6827" w:rsidRPr="00EE65CE">
              <w:rPr>
                <w:sz w:val="20"/>
                <w:lang w:val="fr-FR"/>
              </w:rPr>
              <w:t>’</w:t>
            </w:r>
            <w:r w:rsidRPr="00EE65CE">
              <w:rPr>
                <w:sz w:val="20"/>
                <w:lang w:val="fr-FR"/>
              </w:rPr>
              <w:t>assurer l</w:t>
            </w:r>
            <w:r w:rsidR="009D6827" w:rsidRPr="00EE65CE">
              <w:rPr>
                <w:sz w:val="20"/>
                <w:lang w:val="fr-FR"/>
              </w:rPr>
              <w:t>’</w:t>
            </w:r>
            <w:r w:rsidRPr="00EE65CE">
              <w:rPr>
                <w:sz w:val="20"/>
                <w:lang w:val="fr-FR"/>
              </w:rPr>
              <w:t xml:space="preserve">obtention de résultats tangibles.  Le projet a réussi à intéresser les milieux bancaires et financiers, par exemple dans le cadre des ateliers de formation au Sénégal.  </w:t>
            </w:r>
          </w:p>
        </w:tc>
      </w:tr>
      <w:tr w:rsidR="0051119D" w:rsidRPr="00983EE3" w:rsidTr="00086695">
        <w:trPr>
          <w:cantSplit/>
        </w:trPr>
        <w:tc>
          <w:tcPr>
            <w:tcW w:w="5103" w:type="dxa"/>
          </w:tcPr>
          <w:p w:rsidR="00C27E08" w:rsidRPr="00EE65CE" w:rsidRDefault="00E04F0B" w:rsidP="00542460">
            <w:pPr>
              <w:pStyle w:val="BodyText"/>
              <w:rPr>
                <w:sz w:val="20"/>
                <w:lang w:val="fr-FR"/>
              </w:rPr>
            </w:pPr>
            <w:r w:rsidRPr="00EE65CE">
              <w:rPr>
                <w:i/>
                <w:sz w:val="20"/>
                <w:lang w:val="fr-FR"/>
              </w:rPr>
              <w:t>Recensement des professionnels du cinéma susceptibles d</w:t>
            </w:r>
            <w:r w:rsidR="009D6827" w:rsidRPr="00EE65CE">
              <w:rPr>
                <w:i/>
                <w:sz w:val="20"/>
                <w:lang w:val="fr-FR"/>
              </w:rPr>
              <w:t>’</w:t>
            </w:r>
            <w:r w:rsidRPr="00EE65CE">
              <w:rPr>
                <w:i/>
                <w:sz w:val="20"/>
                <w:lang w:val="fr-FR"/>
              </w:rPr>
              <w:t>utiliser la propriété intellectuelle de manière stratégique.</w:t>
            </w:r>
            <w:r w:rsidR="00C27E08" w:rsidRPr="00EE65CE">
              <w:rPr>
                <w:sz w:val="20"/>
                <w:lang w:val="fr-FR"/>
              </w:rPr>
              <w:br/>
            </w:r>
            <w:r w:rsidR="00223181" w:rsidRPr="00EE65CE">
              <w:rPr>
                <w:sz w:val="20"/>
                <w:lang w:val="fr-FR"/>
              </w:rPr>
              <w:t>Mesure d</w:t>
            </w:r>
            <w:r w:rsidR="009D6827" w:rsidRPr="00EE65CE">
              <w:rPr>
                <w:sz w:val="20"/>
                <w:lang w:val="fr-FR"/>
              </w:rPr>
              <w:t>’</w:t>
            </w:r>
            <w:r w:rsidR="00223181" w:rsidRPr="00EE65CE">
              <w:rPr>
                <w:sz w:val="20"/>
                <w:lang w:val="fr-FR"/>
              </w:rPr>
              <w:t>atténuation </w:t>
            </w:r>
            <w:r w:rsidR="00C27E08" w:rsidRPr="00EE65CE">
              <w:rPr>
                <w:sz w:val="20"/>
                <w:lang w:val="fr-FR"/>
              </w:rPr>
              <w:t xml:space="preserve">: </w:t>
            </w:r>
            <w:r w:rsidRPr="00EE65CE">
              <w:rPr>
                <w:sz w:val="20"/>
                <w:lang w:val="fr-FR"/>
              </w:rPr>
              <w:t xml:space="preserve">sélection et vérification rigoureuses des </w:t>
            </w:r>
            <w:r w:rsidR="00C27E08" w:rsidRPr="00EE65CE">
              <w:rPr>
                <w:sz w:val="20"/>
                <w:lang w:val="fr-FR"/>
              </w:rPr>
              <w:t xml:space="preserve">participants </w:t>
            </w:r>
            <w:r w:rsidRPr="00EE65CE">
              <w:rPr>
                <w:sz w:val="20"/>
                <w:lang w:val="fr-FR"/>
              </w:rPr>
              <w:t xml:space="preserve">par les coordonnateurs locaux et les formateurs dans le cadre des ateliers.  </w:t>
            </w:r>
          </w:p>
        </w:tc>
        <w:tc>
          <w:tcPr>
            <w:tcW w:w="4253" w:type="dxa"/>
          </w:tcPr>
          <w:p w:rsidR="0051119D" w:rsidRPr="00EE65CE" w:rsidRDefault="00E04F0B" w:rsidP="00542460">
            <w:pPr>
              <w:rPr>
                <w:sz w:val="20"/>
                <w:lang w:val="fr-FR"/>
              </w:rPr>
            </w:pPr>
            <w:r w:rsidRPr="00EE65CE">
              <w:rPr>
                <w:sz w:val="20"/>
                <w:lang w:val="fr-FR"/>
              </w:rPr>
              <w:t xml:space="preserve">Sur la base des informations fournies par les coordonnateurs et les formateurs dans la cadre des ateliers, ce risque a été largement atténué, les participants </w:t>
            </w:r>
            <w:r w:rsidR="007F498D" w:rsidRPr="00EE65CE">
              <w:rPr>
                <w:sz w:val="20"/>
                <w:lang w:val="fr-FR"/>
              </w:rPr>
              <w:t>(</w:t>
            </w:r>
            <w:r w:rsidRPr="00EE65CE">
              <w:rPr>
                <w:sz w:val="20"/>
                <w:lang w:val="fr-FR"/>
              </w:rPr>
              <w:t>pour la plupart</w:t>
            </w:r>
            <w:r w:rsidR="007F498D" w:rsidRPr="00EE65CE">
              <w:rPr>
                <w:sz w:val="20"/>
                <w:lang w:val="fr-FR"/>
              </w:rPr>
              <w:t>)</w:t>
            </w:r>
            <w:r w:rsidR="00287383" w:rsidRPr="00EE65CE">
              <w:rPr>
                <w:sz w:val="20"/>
                <w:lang w:val="fr-FR"/>
              </w:rPr>
              <w:t xml:space="preserve"> </w:t>
            </w:r>
            <w:r w:rsidR="006C1201" w:rsidRPr="00EE65CE">
              <w:rPr>
                <w:sz w:val="20"/>
                <w:lang w:val="fr-FR"/>
              </w:rPr>
              <w:t>poss</w:t>
            </w:r>
            <w:r w:rsidR="0039191B" w:rsidRPr="00EE65CE">
              <w:rPr>
                <w:sz w:val="20"/>
                <w:lang w:val="fr-FR"/>
              </w:rPr>
              <w:t>é</w:t>
            </w:r>
            <w:r w:rsidR="006C1201" w:rsidRPr="00EE65CE">
              <w:rPr>
                <w:sz w:val="20"/>
                <w:lang w:val="fr-FR"/>
              </w:rPr>
              <w:t>d</w:t>
            </w:r>
            <w:r w:rsidR="0039191B" w:rsidRPr="00EE65CE">
              <w:rPr>
                <w:sz w:val="20"/>
                <w:lang w:val="fr-FR"/>
              </w:rPr>
              <w:t>a</w:t>
            </w:r>
            <w:r w:rsidR="006C1201" w:rsidRPr="00EE65CE">
              <w:rPr>
                <w:sz w:val="20"/>
                <w:lang w:val="fr-FR"/>
              </w:rPr>
              <w:t>nt</w:t>
            </w:r>
            <w:r w:rsidR="00287383" w:rsidRPr="00EE65CE">
              <w:rPr>
                <w:sz w:val="20"/>
                <w:lang w:val="fr-FR"/>
              </w:rPr>
              <w:t xml:space="preserve"> les aptitudes voulues pour la formation.  Par ailleurs, le nombre de </w:t>
            </w:r>
            <w:r w:rsidR="000E1F6F" w:rsidRPr="00EE65CE">
              <w:rPr>
                <w:sz w:val="20"/>
                <w:lang w:val="fr-FR"/>
              </w:rPr>
              <w:t>participants p</w:t>
            </w:r>
            <w:r w:rsidR="00287383" w:rsidRPr="00EE65CE">
              <w:rPr>
                <w:sz w:val="20"/>
                <w:lang w:val="fr-FR"/>
              </w:rPr>
              <w:t>a</w:t>
            </w:r>
            <w:r w:rsidR="000E1F6F" w:rsidRPr="00EE65CE">
              <w:rPr>
                <w:sz w:val="20"/>
                <w:lang w:val="fr-FR"/>
              </w:rPr>
              <w:t xml:space="preserve">r </w:t>
            </w:r>
            <w:r w:rsidR="00287383" w:rsidRPr="00EE65CE">
              <w:rPr>
                <w:sz w:val="20"/>
                <w:lang w:val="fr-FR"/>
              </w:rPr>
              <w:t>atelier a été augmenté et la possibilité donnée aux participants des différents pays d</w:t>
            </w:r>
            <w:r w:rsidR="009D6827" w:rsidRPr="00EE65CE">
              <w:rPr>
                <w:sz w:val="20"/>
                <w:lang w:val="fr-FR"/>
              </w:rPr>
              <w:t>’</w:t>
            </w:r>
            <w:r w:rsidR="00287383" w:rsidRPr="00EE65CE">
              <w:rPr>
                <w:sz w:val="20"/>
                <w:lang w:val="fr-FR"/>
              </w:rPr>
              <w:t>y prendre part a favorisé l</w:t>
            </w:r>
            <w:r w:rsidR="009D6827" w:rsidRPr="00EE65CE">
              <w:rPr>
                <w:sz w:val="20"/>
                <w:lang w:val="fr-FR"/>
              </w:rPr>
              <w:t>’</w:t>
            </w:r>
            <w:r w:rsidR="00287383" w:rsidRPr="00EE65CE">
              <w:rPr>
                <w:sz w:val="20"/>
                <w:lang w:val="fr-FR"/>
              </w:rPr>
              <w:t>échange de données d</w:t>
            </w:r>
            <w:r w:rsidR="009D6827" w:rsidRPr="00EE65CE">
              <w:rPr>
                <w:sz w:val="20"/>
                <w:lang w:val="fr-FR"/>
              </w:rPr>
              <w:t>’</w:t>
            </w:r>
            <w:r w:rsidR="00287383" w:rsidRPr="00EE65CE">
              <w:rPr>
                <w:sz w:val="20"/>
                <w:lang w:val="fr-FR"/>
              </w:rPr>
              <w:t>expérience et les synergies</w:t>
            </w:r>
            <w:r w:rsidR="000E1F6F" w:rsidRPr="00EE65CE">
              <w:rPr>
                <w:sz w:val="20"/>
                <w:lang w:val="fr-FR"/>
              </w:rPr>
              <w:t>.</w:t>
            </w:r>
          </w:p>
          <w:p w:rsidR="00E74148" w:rsidRPr="00EE65CE" w:rsidRDefault="00E74148" w:rsidP="00542460">
            <w:pPr>
              <w:rPr>
                <w:sz w:val="20"/>
                <w:lang w:val="fr-FR"/>
              </w:rPr>
            </w:pPr>
          </w:p>
        </w:tc>
      </w:tr>
      <w:tr w:rsidR="0051119D" w:rsidRPr="00983EE3" w:rsidTr="00B71A63">
        <w:tc>
          <w:tcPr>
            <w:tcW w:w="5103" w:type="dxa"/>
          </w:tcPr>
          <w:p w:rsidR="009D6827" w:rsidRPr="00EE65CE" w:rsidRDefault="007F498D" w:rsidP="00542460">
            <w:pPr>
              <w:autoSpaceDE w:val="0"/>
              <w:autoSpaceDN w:val="0"/>
              <w:adjustRightInd w:val="0"/>
              <w:rPr>
                <w:i/>
                <w:sz w:val="20"/>
                <w:lang w:val="fr-FR"/>
              </w:rPr>
            </w:pPr>
            <w:r w:rsidRPr="00EE65CE">
              <w:rPr>
                <w:i/>
                <w:sz w:val="20"/>
                <w:lang w:val="fr-FR"/>
              </w:rPr>
              <w:t>Le</w:t>
            </w:r>
            <w:r w:rsidR="007B6C85" w:rsidRPr="00EE65CE">
              <w:rPr>
                <w:i/>
                <w:sz w:val="20"/>
                <w:lang w:val="fr-FR"/>
              </w:rPr>
              <w:t>s cadres juridiques et institutions appuyant l</w:t>
            </w:r>
            <w:r w:rsidR="009D6827" w:rsidRPr="00EE65CE">
              <w:rPr>
                <w:i/>
                <w:sz w:val="20"/>
                <w:lang w:val="fr-FR"/>
              </w:rPr>
              <w:t>’</w:t>
            </w:r>
            <w:r w:rsidR="007B6C85" w:rsidRPr="00EE65CE">
              <w:rPr>
                <w:i/>
                <w:sz w:val="20"/>
                <w:lang w:val="fr-FR"/>
              </w:rPr>
              <w:t>utilisation du droit d</w:t>
            </w:r>
            <w:r w:rsidR="009D6827" w:rsidRPr="00EE65CE">
              <w:rPr>
                <w:i/>
                <w:sz w:val="20"/>
                <w:lang w:val="fr-FR"/>
              </w:rPr>
              <w:t>’</w:t>
            </w:r>
            <w:r w:rsidR="007B6C85" w:rsidRPr="00EE65CE">
              <w:rPr>
                <w:i/>
                <w:sz w:val="20"/>
                <w:lang w:val="fr-FR"/>
              </w:rPr>
              <w:t>auteur dans le secteur audiovisuel sont opérationnels dans les trois pays</w:t>
            </w:r>
            <w:r w:rsidRPr="00EE65CE">
              <w:rPr>
                <w:i/>
                <w:sz w:val="20"/>
                <w:lang w:val="fr-FR"/>
              </w:rPr>
              <w:t>.</w:t>
            </w:r>
          </w:p>
          <w:p w:rsidR="0051119D" w:rsidRPr="00EE65CE" w:rsidRDefault="00223181" w:rsidP="00542460">
            <w:pPr>
              <w:autoSpaceDE w:val="0"/>
              <w:autoSpaceDN w:val="0"/>
              <w:adjustRightInd w:val="0"/>
              <w:rPr>
                <w:sz w:val="20"/>
                <w:lang w:val="fr-FR"/>
              </w:rPr>
            </w:pPr>
            <w:r w:rsidRPr="00EE65CE">
              <w:rPr>
                <w:sz w:val="20"/>
                <w:lang w:val="fr-FR"/>
              </w:rPr>
              <w:t>Mesure d</w:t>
            </w:r>
            <w:r w:rsidR="009D6827" w:rsidRPr="00EE65CE">
              <w:rPr>
                <w:sz w:val="20"/>
                <w:lang w:val="fr-FR"/>
              </w:rPr>
              <w:t>’</w:t>
            </w:r>
            <w:r w:rsidRPr="00EE65CE">
              <w:rPr>
                <w:sz w:val="20"/>
                <w:lang w:val="fr-FR"/>
              </w:rPr>
              <w:t>atténuation </w:t>
            </w:r>
            <w:r w:rsidR="007F498D" w:rsidRPr="00EE65CE">
              <w:rPr>
                <w:sz w:val="20"/>
                <w:lang w:val="fr-FR"/>
              </w:rPr>
              <w:t xml:space="preserve">: </w:t>
            </w:r>
            <w:r w:rsidR="007B6C85" w:rsidRPr="00EE65CE">
              <w:rPr>
                <w:sz w:val="20"/>
                <w:lang w:val="fr-FR"/>
              </w:rPr>
              <w:t>le Secrétariat de l</w:t>
            </w:r>
            <w:r w:rsidR="009D6827" w:rsidRPr="00EE65CE">
              <w:rPr>
                <w:sz w:val="20"/>
                <w:lang w:val="fr-FR"/>
              </w:rPr>
              <w:t>’</w:t>
            </w:r>
            <w:r w:rsidR="007B6C85" w:rsidRPr="00EE65CE">
              <w:rPr>
                <w:sz w:val="20"/>
                <w:lang w:val="fr-FR"/>
              </w:rPr>
              <w:t>OMPI a fourni une assistance aux autorités nationales aux fins de la mise en place ou de l</w:t>
            </w:r>
            <w:r w:rsidR="009D6827" w:rsidRPr="00EE65CE">
              <w:rPr>
                <w:sz w:val="20"/>
                <w:lang w:val="fr-FR"/>
              </w:rPr>
              <w:t>’</w:t>
            </w:r>
            <w:r w:rsidR="007F498D" w:rsidRPr="00EE65CE">
              <w:rPr>
                <w:sz w:val="20"/>
                <w:lang w:val="fr-FR"/>
              </w:rPr>
              <w:t>adapt</w:t>
            </w:r>
            <w:r w:rsidR="007B6C85" w:rsidRPr="00EE65CE">
              <w:rPr>
                <w:sz w:val="20"/>
                <w:lang w:val="fr-FR"/>
              </w:rPr>
              <w:t>ation des cadres</w:t>
            </w:r>
            <w:r w:rsidR="0039191B" w:rsidRPr="00EE65CE">
              <w:rPr>
                <w:sz w:val="20"/>
                <w:lang w:val="fr-FR"/>
              </w:rPr>
              <w:t xml:space="preserve"> d’action</w:t>
            </w:r>
            <w:r w:rsidR="007B6C85" w:rsidRPr="00EE65CE">
              <w:rPr>
                <w:sz w:val="20"/>
                <w:lang w:val="fr-FR"/>
              </w:rPr>
              <w:t xml:space="preserve"> et institutions nécessaires</w:t>
            </w:r>
            <w:r w:rsidR="007F498D" w:rsidRPr="00EE65CE">
              <w:rPr>
                <w:sz w:val="20"/>
                <w:lang w:val="fr-FR"/>
              </w:rPr>
              <w:t xml:space="preserve">.  </w:t>
            </w:r>
          </w:p>
        </w:tc>
        <w:tc>
          <w:tcPr>
            <w:tcW w:w="4253" w:type="dxa"/>
          </w:tcPr>
          <w:p w:rsidR="0051119D" w:rsidRPr="00EE65CE" w:rsidRDefault="007B6C85" w:rsidP="00542460">
            <w:pPr>
              <w:rPr>
                <w:sz w:val="20"/>
                <w:lang w:val="fr-FR"/>
              </w:rPr>
            </w:pPr>
            <w:r w:rsidRPr="00EE65CE">
              <w:rPr>
                <w:sz w:val="20"/>
                <w:lang w:val="fr-FR"/>
              </w:rPr>
              <w:t>L</w:t>
            </w:r>
            <w:r w:rsidR="009D6827" w:rsidRPr="00EE65CE">
              <w:rPr>
                <w:sz w:val="20"/>
                <w:lang w:val="fr-FR"/>
              </w:rPr>
              <w:t>’</w:t>
            </w:r>
            <w:r w:rsidRPr="00EE65CE">
              <w:rPr>
                <w:sz w:val="20"/>
                <w:lang w:val="fr-FR"/>
              </w:rPr>
              <w:t>assistance fournie par l</w:t>
            </w:r>
            <w:r w:rsidR="009D6827" w:rsidRPr="00EE65CE">
              <w:rPr>
                <w:sz w:val="20"/>
                <w:lang w:val="fr-FR"/>
              </w:rPr>
              <w:t>’</w:t>
            </w:r>
            <w:r w:rsidRPr="00EE65CE">
              <w:rPr>
                <w:sz w:val="20"/>
                <w:lang w:val="fr-FR"/>
              </w:rPr>
              <w:t xml:space="preserve">OMPI a été essentielle pour renforcer les différents cadres </w:t>
            </w:r>
            <w:r w:rsidR="0039191B" w:rsidRPr="00EE65CE">
              <w:rPr>
                <w:sz w:val="20"/>
                <w:lang w:val="fr-FR"/>
              </w:rPr>
              <w:t xml:space="preserve">d’action </w:t>
            </w:r>
            <w:r w:rsidRPr="00EE65CE">
              <w:rPr>
                <w:sz w:val="20"/>
                <w:lang w:val="fr-FR"/>
              </w:rPr>
              <w:t xml:space="preserve">et institutions, par exemple, </w:t>
            </w:r>
            <w:r w:rsidR="0005782F" w:rsidRPr="00EE65CE">
              <w:rPr>
                <w:sz w:val="20"/>
                <w:lang w:val="fr-FR"/>
              </w:rPr>
              <w:t xml:space="preserve">en </w:t>
            </w:r>
            <w:r w:rsidR="00B92DDD" w:rsidRPr="00EE65CE">
              <w:rPr>
                <w:sz w:val="20"/>
                <w:lang w:val="fr-FR"/>
              </w:rPr>
              <w:t>contribuant à</w:t>
            </w:r>
            <w:r w:rsidR="0005782F" w:rsidRPr="00EE65CE">
              <w:rPr>
                <w:sz w:val="20"/>
                <w:lang w:val="fr-FR"/>
              </w:rPr>
              <w:t xml:space="preserve"> l</w:t>
            </w:r>
            <w:r w:rsidR="009D6827" w:rsidRPr="00EE65CE">
              <w:rPr>
                <w:sz w:val="20"/>
                <w:lang w:val="fr-FR"/>
              </w:rPr>
              <w:t>’</w:t>
            </w:r>
            <w:r w:rsidR="0005782F" w:rsidRPr="00EE65CE">
              <w:rPr>
                <w:sz w:val="20"/>
                <w:lang w:val="fr-FR"/>
              </w:rPr>
              <w:t>adoption des lois et politiques pertinentes dans les trois</w:t>
            </w:r>
            <w:r w:rsidR="005B2087" w:rsidRPr="00EE65CE">
              <w:rPr>
                <w:sz w:val="20"/>
                <w:lang w:val="fr-FR"/>
              </w:rPr>
              <w:t> </w:t>
            </w:r>
            <w:r w:rsidR="0005782F" w:rsidRPr="00EE65CE">
              <w:rPr>
                <w:sz w:val="20"/>
                <w:lang w:val="fr-FR"/>
              </w:rPr>
              <w:t xml:space="preserve">pays concernés et en appuyant la mise en place de nouvelles organisations de gestion collective des droits au </w:t>
            </w:r>
            <w:r w:rsidR="002B47CF" w:rsidRPr="00EE65CE">
              <w:rPr>
                <w:sz w:val="20"/>
                <w:lang w:val="fr-FR"/>
              </w:rPr>
              <w:t xml:space="preserve">Kenya </w:t>
            </w:r>
            <w:r w:rsidR="0005782F" w:rsidRPr="00EE65CE">
              <w:rPr>
                <w:sz w:val="20"/>
                <w:lang w:val="fr-FR"/>
              </w:rPr>
              <w:t>et au Sé</w:t>
            </w:r>
            <w:r w:rsidR="00133E32" w:rsidRPr="00EE65CE">
              <w:rPr>
                <w:sz w:val="20"/>
                <w:lang w:val="fr-FR"/>
              </w:rPr>
              <w:t>n</w:t>
            </w:r>
            <w:r w:rsidR="0005782F" w:rsidRPr="00EE65CE">
              <w:rPr>
                <w:sz w:val="20"/>
                <w:lang w:val="fr-FR"/>
              </w:rPr>
              <w:t>é</w:t>
            </w:r>
            <w:r w:rsidR="00133E32" w:rsidRPr="00EE65CE">
              <w:rPr>
                <w:sz w:val="20"/>
                <w:lang w:val="fr-FR"/>
              </w:rPr>
              <w:t>gal</w:t>
            </w:r>
            <w:r w:rsidR="00266F2E" w:rsidRPr="00EE65CE">
              <w:rPr>
                <w:sz w:val="20"/>
                <w:lang w:val="fr-FR"/>
              </w:rPr>
              <w:t xml:space="preserve"> </w:t>
            </w:r>
            <w:r w:rsidR="0005782F" w:rsidRPr="00EE65CE">
              <w:rPr>
                <w:sz w:val="20"/>
                <w:lang w:val="fr-FR"/>
              </w:rPr>
              <w:t>et en renforçant l</w:t>
            </w:r>
            <w:r w:rsidR="009D6827" w:rsidRPr="00EE65CE">
              <w:rPr>
                <w:sz w:val="20"/>
                <w:lang w:val="fr-FR"/>
              </w:rPr>
              <w:t>’</w:t>
            </w:r>
            <w:r w:rsidR="0005782F" w:rsidRPr="00EE65CE">
              <w:rPr>
                <w:sz w:val="20"/>
                <w:lang w:val="fr-FR"/>
              </w:rPr>
              <w:t xml:space="preserve">organisation déjà en place au </w:t>
            </w:r>
            <w:r w:rsidR="004D2062" w:rsidRPr="00EE65CE">
              <w:rPr>
                <w:sz w:val="20"/>
                <w:lang w:val="fr-FR"/>
              </w:rPr>
              <w:t>Burkina</w:t>
            </w:r>
            <w:r w:rsidR="0005782F" w:rsidRPr="00EE65CE">
              <w:rPr>
                <w:sz w:val="20"/>
                <w:lang w:val="fr-FR"/>
              </w:rPr>
              <w:t> </w:t>
            </w:r>
            <w:r w:rsidR="004D2062" w:rsidRPr="00EE65CE">
              <w:rPr>
                <w:sz w:val="20"/>
                <w:lang w:val="fr-FR"/>
              </w:rPr>
              <w:t>Faso</w:t>
            </w:r>
            <w:r w:rsidR="00E74148" w:rsidRPr="00EE65CE">
              <w:rPr>
                <w:sz w:val="20"/>
                <w:lang w:val="fr-FR"/>
              </w:rPr>
              <w:t>.</w:t>
            </w:r>
          </w:p>
          <w:p w:rsidR="00E74148" w:rsidRPr="00EE65CE" w:rsidRDefault="00E74148" w:rsidP="00542460">
            <w:pPr>
              <w:rPr>
                <w:sz w:val="20"/>
                <w:lang w:val="fr-FR"/>
              </w:rPr>
            </w:pPr>
          </w:p>
        </w:tc>
      </w:tr>
    </w:tbl>
    <w:p w:rsidR="00576B83" w:rsidRPr="00EE65CE" w:rsidRDefault="00576B83" w:rsidP="00542460">
      <w:pPr>
        <w:pStyle w:val="BodyText"/>
        <w:tabs>
          <w:tab w:val="left" w:pos="450"/>
        </w:tabs>
        <w:jc w:val="center"/>
        <w:rPr>
          <w:i/>
          <w:sz w:val="20"/>
          <w:lang w:val="fr-FR"/>
        </w:rPr>
      </w:pPr>
      <w:r w:rsidRPr="00EE65CE">
        <w:rPr>
          <w:i/>
          <w:sz w:val="20"/>
          <w:lang w:val="fr-FR"/>
        </w:rPr>
        <w:t>Table</w:t>
      </w:r>
      <w:r w:rsidR="0005782F" w:rsidRPr="00EE65CE">
        <w:rPr>
          <w:i/>
          <w:sz w:val="20"/>
          <w:lang w:val="fr-FR"/>
        </w:rPr>
        <w:t>au</w:t>
      </w:r>
      <w:r w:rsidR="005B2087" w:rsidRPr="00EE65CE">
        <w:rPr>
          <w:i/>
          <w:sz w:val="20"/>
          <w:lang w:val="fr-FR"/>
        </w:rPr>
        <w:t> </w:t>
      </w:r>
      <w:r w:rsidR="005C1A65" w:rsidRPr="00EE65CE">
        <w:rPr>
          <w:i/>
          <w:sz w:val="20"/>
          <w:lang w:val="fr-FR"/>
        </w:rPr>
        <w:t>1</w:t>
      </w:r>
      <w:r w:rsidR="0005782F" w:rsidRPr="00EE65CE">
        <w:rPr>
          <w:i/>
          <w:sz w:val="20"/>
          <w:lang w:val="fr-FR"/>
        </w:rPr>
        <w:t> </w:t>
      </w:r>
      <w:r w:rsidRPr="00EE65CE">
        <w:rPr>
          <w:i/>
          <w:sz w:val="20"/>
          <w:lang w:val="fr-FR"/>
        </w:rPr>
        <w:t>:</w:t>
      </w:r>
      <w:r w:rsidR="00E74148" w:rsidRPr="00EE65CE">
        <w:rPr>
          <w:i/>
          <w:sz w:val="20"/>
          <w:lang w:val="fr-FR"/>
        </w:rPr>
        <w:t xml:space="preserve"> </w:t>
      </w:r>
      <w:r w:rsidRPr="00EE65CE">
        <w:rPr>
          <w:i/>
          <w:sz w:val="20"/>
          <w:lang w:val="fr-FR"/>
        </w:rPr>
        <w:t>Ris</w:t>
      </w:r>
      <w:r w:rsidR="0005782F" w:rsidRPr="00EE65CE">
        <w:rPr>
          <w:i/>
          <w:sz w:val="20"/>
          <w:lang w:val="fr-FR"/>
        </w:rPr>
        <w:t>ques</w:t>
      </w:r>
      <w:r w:rsidRPr="00EE65CE">
        <w:rPr>
          <w:i/>
          <w:sz w:val="20"/>
          <w:lang w:val="fr-FR"/>
        </w:rPr>
        <w:t xml:space="preserve">, </w:t>
      </w:r>
      <w:r w:rsidR="0005782F" w:rsidRPr="00EE65CE">
        <w:rPr>
          <w:i/>
          <w:sz w:val="20"/>
          <w:lang w:val="fr-FR"/>
        </w:rPr>
        <w:t>mesures d</w:t>
      </w:r>
      <w:r w:rsidR="009D6827" w:rsidRPr="00EE65CE">
        <w:rPr>
          <w:i/>
          <w:sz w:val="20"/>
          <w:lang w:val="fr-FR"/>
        </w:rPr>
        <w:t>’</w:t>
      </w:r>
      <w:r w:rsidR="0005782F" w:rsidRPr="00EE65CE">
        <w:rPr>
          <w:i/>
          <w:sz w:val="20"/>
          <w:lang w:val="fr-FR"/>
        </w:rPr>
        <w:t>atténuation et analyse</w:t>
      </w:r>
    </w:p>
    <w:p w:rsidR="009D6827" w:rsidRPr="00EE65CE" w:rsidRDefault="0005782F" w:rsidP="00542460">
      <w:pPr>
        <w:pStyle w:val="BodyText"/>
        <w:keepNext/>
        <w:tabs>
          <w:tab w:val="left" w:pos="450"/>
        </w:tabs>
        <w:rPr>
          <w:i/>
          <w:u w:val="single"/>
          <w:lang w:val="fr-FR"/>
        </w:rPr>
      </w:pPr>
      <w:r w:rsidRPr="00EE65CE">
        <w:rPr>
          <w:i/>
          <w:u w:val="single"/>
          <w:lang w:val="fr-FR"/>
        </w:rPr>
        <w:t>Capacité du projet à s</w:t>
      </w:r>
      <w:r w:rsidR="009D6827" w:rsidRPr="00EE65CE">
        <w:rPr>
          <w:i/>
          <w:u w:val="single"/>
          <w:lang w:val="fr-FR"/>
        </w:rPr>
        <w:t>’</w:t>
      </w:r>
      <w:r w:rsidRPr="00EE65CE">
        <w:rPr>
          <w:i/>
          <w:u w:val="single"/>
          <w:lang w:val="fr-FR"/>
        </w:rPr>
        <w:t xml:space="preserve">adapter aux tendances et </w:t>
      </w:r>
      <w:r w:rsidR="00181D9D" w:rsidRPr="00EE65CE">
        <w:rPr>
          <w:i/>
          <w:u w:val="single"/>
          <w:lang w:val="fr-FR"/>
        </w:rPr>
        <w:t xml:space="preserve">technologies </w:t>
      </w:r>
      <w:r w:rsidRPr="00EE65CE">
        <w:rPr>
          <w:i/>
          <w:u w:val="single"/>
          <w:lang w:val="fr-FR"/>
        </w:rPr>
        <w:t>émergentes et à d</w:t>
      </w:r>
      <w:r w:rsidR="009D6827" w:rsidRPr="00EE65CE">
        <w:rPr>
          <w:i/>
          <w:u w:val="single"/>
          <w:lang w:val="fr-FR"/>
        </w:rPr>
        <w:t>’</w:t>
      </w:r>
      <w:r w:rsidRPr="00EE65CE">
        <w:rPr>
          <w:i/>
          <w:u w:val="single"/>
          <w:lang w:val="fr-FR"/>
        </w:rPr>
        <w:t>autres facteurs extérieurs</w:t>
      </w:r>
      <w:r w:rsidR="00181D9D" w:rsidRPr="00EE65CE">
        <w:rPr>
          <w:i/>
          <w:u w:val="single"/>
          <w:lang w:val="fr-FR"/>
        </w:rPr>
        <w:t>.</w:t>
      </w:r>
    </w:p>
    <w:p w:rsidR="009D6827" w:rsidRPr="00EE65CE" w:rsidRDefault="00274D74" w:rsidP="00542460">
      <w:pPr>
        <w:pStyle w:val="BodyText"/>
        <w:numPr>
          <w:ilvl w:val="0"/>
          <w:numId w:val="25"/>
        </w:numPr>
        <w:rPr>
          <w:lang w:val="fr-FR"/>
        </w:rPr>
      </w:pPr>
      <w:r w:rsidRPr="00EE65CE">
        <w:rPr>
          <w:b/>
          <w:lang w:val="fr-FR"/>
        </w:rPr>
        <w:t>Observation</w:t>
      </w:r>
      <w:r w:rsidR="0005782F" w:rsidRPr="00EE65CE">
        <w:rPr>
          <w:b/>
          <w:lang w:val="fr-FR"/>
        </w:rPr>
        <w:t xml:space="preserve"> n° </w:t>
      </w:r>
      <w:r w:rsidR="00DF6DE9" w:rsidRPr="00EE65CE">
        <w:rPr>
          <w:b/>
          <w:lang w:val="fr-FR"/>
        </w:rPr>
        <w:t>6</w:t>
      </w:r>
      <w:r w:rsidR="0005782F" w:rsidRPr="00EE65CE">
        <w:rPr>
          <w:b/>
          <w:lang w:val="fr-FR"/>
        </w:rPr>
        <w:t> </w:t>
      </w:r>
      <w:r w:rsidR="00C41ECC" w:rsidRPr="00EE65CE">
        <w:rPr>
          <w:b/>
          <w:lang w:val="fr-FR"/>
        </w:rPr>
        <w:t>:</w:t>
      </w:r>
      <w:r w:rsidR="00C41ECC" w:rsidRPr="00EE65CE">
        <w:rPr>
          <w:lang w:val="fr-FR"/>
        </w:rPr>
        <w:t xml:space="preserve"> </w:t>
      </w:r>
      <w:r w:rsidR="0005782F" w:rsidRPr="00EE65CE">
        <w:rPr>
          <w:lang w:val="fr-FR"/>
        </w:rPr>
        <w:t>le projet a dû s</w:t>
      </w:r>
      <w:r w:rsidR="009D6827" w:rsidRPr="00EE65CE">
        <w:rPr>
          <w:lang w:val="fr-FR"/>
        </w:rPr>
        <w:t>’</w:t>
      </w:r>
      <w:r w:rsidR="0005782F" w:rsidRPr="00EE65CE">
        <w:rPr>
          <w:lang w:val="fr-FR"/>
        </w:rPr>
        <w:t xml:space="preserve">adapter à un certain </w:t>
      </w:r>
      <w:r w:rsidR="006C1201" w:rsidRPr="00EE65CE">
        <w:rPr>
          <w:lang w:val="fr-FR"/>
        </w:rPr>
        <w:t>nombre de tendances et technologies émergentes et à d</w:t>
      </w:r>
      <w:r w:rsidR="009D6827" w:rsidRPr="00EE65CE">
        <w:rPr>
          <w:lang w:val="fr-FR"/>
        </w:rPr>
        <w:t>’</w:t>
      </w:r>
      <w:r w:rsidR="006C1201" w:rsidRPr="00EE65CE">
        <w:rPr>
          <w:lang w:val="fr-FR"/>
        </w:rPr>
        <w:t>autres facteurs extérieurs.  Certains facteurs sont indiqués ci</w:t>
      </w:r>
      <w:r w:rsidR="00992678" w:rsidRPr="00EE65CE">
        <w:rPr>
          <w:lang w:val="fr-FR"/>
        </w:rPr>
        <w:noBreakHyphen/>
      </w:r>
      <w:r w:rsidR="006C1201" w:rsidRPr="00EE65CE">
        <w:rPr>
          <w:lang w:val="fr-FR"/>
        </w:rPr>
        <w:t>après, ainsi que la manière dont le projet s</w:t>
      </w:r>
      <w:r w:rsidR="009D6827" w:rsidRPr="00EE65CE">
        <w:rPr>
          <w:lang w:val="fr-FR"/>
        </w:rPr>
        <w:t>’</w:t>
      </w:r>
      <w:r w:rsidR="006C1201" w:rsidRPr="00EE65CE">
        <w:rPr>
          <w:lang w:val="fr-FR"/>
        </w:rPr>
        <w:t>y est adapté.</w:t>
      </w:r>
    </w:p>
    <w:p w:rsidR="009D6827" w:rsidRPr="00EE65CE" w:rsidRDefault="006F4B5C" w:rsidP="00542460">
      <w:pPr>
        <w:pStyle w:val="ONUME"/>
        <w:rPr>
          <w:lang w:val="fr-FR"/>
        </w:rPr>
      </w:pPr>
      <w:r w:rsidRPr="00EE65CE">
        <w:rPr>
          <w:i/>
          <w:lang w:val="fr-FR"/>
        </w:rPr>
        <w:t>Adapt</w:t>
      </w:r>
      <w:r w:rsidR="006C1201" w:rsidRPr="00EE65CE">
        <w:rPr>
          <w:i/>
          <w:lang w:val="fr-FR"/>
        </w:rPr>
        <w:t>ation aux réalités du secteur de l</w:t>
      </w:r>
      <w:r w:rsidR="009D6827" w:rsidRPr="00EE65CE">
        <w:rPr>
          <w:i/>
          <w:lang w:val="fr-FR"/>
        </w:rPr>
        <w:t>’</w:t>
      </w:r>
      <w:r w:rsidR="006C1201" w:rsidRPr="00EE65CE">
        <w:rPr>
          <w:i/>
          <w:lang w:val="fr-FR"/>
        </w:rPr>
        <w:t>audiovisuel en Afrique </w:t>
      </w:r>
      <w:r w:rsidR="000F1A90" w:rsidRPr="00EE65CE">
        <w:rPr>
          <w:i/>
          <w:lang w:val="fr-FR"/>
        </w:rPr>
        <w:t>:</w:t>
      </w:r>
      <w:r w:rsidR="00E74148" w:rsidRPr="00EE65CE">
        <w:rPr>
          <w:i/>
          <w:lang w:val="fr-FR"/>
        </w:rPr>
        <w:t xml:space="preserve"> </w:t>
      </w:r>
      <w:r w:rsidR="006C1201" w:rsidRPr="00EE65CE">
        <w:rPr>
          <w:lang w:val="fr-FR"/>
        </w:rPr>
        <w:t>le projet a dû s</w:t>
      </w:r>
      <w:r w:rsidR="009D6827" w:rsidRPr="00EE65CE">
        <w:rPr>
          <w:lang w:val="fr-FR"/>
        </w:rPr>
        <w:t>’</w:t>
      </w:r>
      <w:r w:rsidR="006C1201" w:rsidRPr="00EE65CE">
        <w:rPr>
          <w:lang w:val="fr-FR"/>
        </w:rPr>
        <w:t>adapter au contexte local, ainsi qu</w:t>
      </w:r>
      <w:r w:rsidR="009D6827" w:rsidRPr="00EE65CE">
        <w:rPr>
          <w:lang w:val="fr-FR"/>
        </w:rPr>
        <w:t>’</w:t>
      </w:r>
      <w:r w:rsidR="006C1201" w:rsidRPr="00EE65CE">
        <w:rPr>
          <w:lang w:val="fr-FR"/>
        </w:rPr>
        <w:t>au degré de sensibilisation et aux besoins des professionnels du cinéma, comme indiqué dans le tableau 1.  Les a</w:t>
      </w:r>
      <w:r w:rsidRPr="00EE65CE">
        <w:rPr>
          <w:lang w:val="fr-FR"/>
        </w:rPr>
        <w:t>ctivit</w:t>
      </w:r>
      <w:r w:rsidR="006C1201" w:rsidRPr="00EE65CE">
        <w:rPr>
          <w:lang w:val="fr-FR"/>
        </w:rPr>
        <w:t>é</w:t>
      </w:r>
      <w:r w:rsidRPr="00EE65CE">
        <w:rPr>
          <w:lang w:val="fr-FR"/>
        </w:rPr>
        <w:t xml:space="preserve">s </w:t>
      </w:r>
      <w:r w:rsidR="006C1201" w:rsidRPr="00EE65CE">
        <w:rPr>
          <w:lang w:val="fr-FR"/>
        </w:rPr>
        <w:t>ont donc été adaptées, par exemple au regard du nombre d</w:t>
      </w:r>
      <w:r w:rsidR="009D6827" w:rsidRPr="00EE65CE">
        <w:rPr>
          <w:lang w:val="fr-FR"/>
        </w:rPr>
        <w:t>’</w:t>
      </w:r>
      <w:r w:rsidR="006C1201" w:rsidRPr="00EE65CE">
        <w:rPr>
          <w:lang w:val="fr-FR"/>
        </w:rPr>
        <w:t xml:space="preserve">ateliers de formation organisés </w:t>
      </w:r>
      <w:r w:rsidRPr="00EE65CE">
        <w:rPr>
          <w:lang w:val="fr-FR"/>
        </w:rPr>
        <w:t>(</w:t>
      </w:r>
      <w:r w:rsidR="006C1201" w:rsidRPr="00EE65CE">
        <w:rPr>
          <w:lang w:val="fr-FR"/>
        </w:rPr>
        <w:t>deux par pays au lieu des trois</w:t>
      </w:r>
      <w:r w:rsidR="005B2087" w:rsidRPr="00EE65CE">
        <w:rPr>
          <w:lang w:val="fr-FR"/>
        </w:rPr>
        <w:t> </w:t>
      </w:r>
      <w:r w:rsidR="006C1201" w:rsidRPr="00EE65CE">
        <w:rPr>
          <w:lang w:val="fr-FR"/>
        </w:rPr>
        <w:t>prévus</w:t>
      </w:r>
      <w:r w:rsidRPr="00EE65CE">
        <w:rPr>
          <w:lang w:val="fr-FR"/>
        </w:rPr>
        <w:t>)</w:t>
      </w:r>
      <w:r w:rsidR="00DF24DD" w:rsidRPr="00EE65CE">
        <w:rPr>
          <w:lang w:val="fr-FR"/>
        </w:rPr>
        <w:t xml:space="preserve">, </w:t>
      </w:r>
      <w:r w:rsidR="006C1201" w:rsidRPr="00EE65CE">
        <w:rPr>
          <w:lang w:val="fr-FR"/>
        </w:rPr>
        <w:t xml:space="preserve">du nombre de </w:t>
      </w:r>
      <w:r w:rsidR="00DF24DD" w:rsidRPr="00EE65CE">
        <w:rPr>
          <w:lang w:val="fr-FR"/>
        </w:rPr>
        <w:t>participants (60</w:t>
      </w:r>
      <w:r w:rsidR="006C1201" w:rsidRPr="00EE65CE">
        <w:rPr>
          <w:lang w:val="fr-FR"/>
        </w:rPr>
        <w:t xml:space="preserve"> à </w:t>
      </w:r>
      <w:r w:rsidR="00DF24DD" w:rsidRPr="00EE65CE">
        <w:rPr>
          <w:lang w:val="fr-FR"/>
        </w:rPr>
        <w:t xml:space="preserve">70 </w:t>
      </w:r>
      <w:r w:rsidR="006C1201" w:rsidRPr="00EE65CE">
        <w:rPr>
          <w:lang w:val="fr-FR"/>
        </w:rPr>
        <w:t xml:space="preserve">plutôt que </w:t>
      </w:r>
      <w:r w:rsidR="00DF24DD" w:rsidRPr="00EE65CE">
        <w:rPr>
          <w:lang w:val="fr-FR"/>
        </w:rPr>
        <w:t>25</w:t>
      </w:r>
      <w:r w:rsidR="006C1201" w:rsidRPr="00EE65CE">
        <w:rPr>
          <w:lang w:val="fr-FR"/>
        </w:rPr>
        <w:t xml:space="preserve"> à </w:t>
      </w:r>
      <w:r w:rsidR="00DF24DD" w:rsidRPr="00EE65CE">
        <w:rPr>
          <w:lang w:val="fr-FR"/>
        </w:rPr>
        <w:t>30</w:t>
      </w:r>
      <w:r w:rsidR="00AE3E17" w:rsidRPr="00EE65CE">
        <w:rPr>
          <w:lang w:val="fr-FR"/>
        </w:rPr>
        <w:t xml:space="preserve"> comme prévu</w:t>
      </w:r>
      <w:r w:rsidR="00DF24DD" w:rsidRPr="00EE65CE">
        <w:rPr>
          <w:lang w:val="fr-FR"/>
        </w:rPr>
        <w:t>)</w:t>
      </w:r>
      <w:r w:rsidRPr="00EE65CE">
        <w:rPr>
          <w:lang w:val="fr-FR"/>
        </w:rPr>
        <w:t xml:space="preserve"> </w:t>
      </w:r>
      <w:r w:rsidR="00AE3E17" w:rsidRPr="00EE65CE">
        <w:rPr>
          <w:lang w:val="fr-FR"/>
        </w:rPr>
        <w:t>et de l</w:t>
      </w:r>
      <w:r w:rsidR="009D6827" w:rsidRPr="00EE65CE">
        <w:rPr>
          <w:lang w:val="fr-FR"/>
        </w:rPr>
        <w:t>’</w:t>
      </w:r>
      <w:r w:rsidR="00AE3E17" w:rsidRPr="00EE65CE">
        <w:rPr>
          <w:lang w:val="fr-FR"/>
        </w:rPr>
        <w:t>organisation d</w:t>
      </w:r>
      <w:r w:rsidR="009D6827" w:rsidRPr="00EE65CE">
        <w:rPr>
          <w:lang w:val="fr-FR"/>
        </w:rPr>
        <w:t>’</w:t>
      </w:r>
      <w:r w:rsidR="00AE3E17" w:rsidRPr="00EE65CE">
        <w:rPr>
          <w:lang w:val="fr-FR"/>
        </w:rPr>
        <w:t>activités supplémentaires qui n</w:t>
      </w:r>
      <w:r w:rsidR="009D6827" w:rsidRPr="00EE65CE">
        <w:rPr>
          <w:lang w:val="fr-FR"/>
        </w:rPr>
        <w:t>’</w:t>
      </w:r>
      <w:r w:rsidR="00AE3E17" w:rsidRPr="00EE65CE">
        <w:rPr>
          <w:lang w:val="fr-FR"/>
        </w:rPr>
        <w:t xml:space="preserve">étaient pas prévues, </w:t>
      </w:r>
      <w:r w:rsidR="00AE3E17" w:rsidRPr="00EE65CE">
        <w:rPr>
          <w:lang w:val="fr-FR"/>
        </w:rPr>
        <w:lastRenderedPageBreak/>
        <w:t>telles que l</w:t>
      </w:r>
      <w:r w:rsidR="009D6827" w:rsidRPr="00EE65CE">
        <w:rPr>
          <w:lang w:val="fr-FR"/>
        </w:rPr>
        <w:t>’</w:t>
      </w:r>
      <w:r w:rsidR="00AE3E17" w:rsidRPr="00EE65CE">
        <w:rPr>
          <w:lang w:val="fr-FR"/>
        </w:rPr>
        <w:t>atelier de formation des juristes au droit d</w:t>
      </w:r>
      <w:r w:rsidR="009D6827" w:rsidRPr="00EE65CE">
        <w:rPr>
          <w:lang w:val="fr-FR"/>
        </w:rPr>
        <w:t>’</w:t>
      </w:r>
      <w:r w:rsidR="00AE3E17" w:rsidRPr="00EE65CE">
        <w:rPr>
          <w:lang w:val="fr-FR"/>
        </w:rPr>
        <w:t xml:space="preserve">auteur et au droit des </w:t>
      </w:r>
      <w:r w:rsidRPr="00EE65CE">
        <w:rPr>
          <w:lang w:val="fr-FR"/>
        </w:rPr>
        <w:t xml:space="preserve">contrats </w:t>
      </w:r>
      <w:r w:rsidR="00AE3E17" w:rsidRPr="00EE65CE">
        <w:rPr>
          <w:lang w:val="fr-FR"/>
        </w:rPr>
        <w:t>organisé au</w:t>
      </w:r>
      <w:r w:rsidRPr="00EE65CE">
        <w:rPr>
          <w:lang w:val="fr-FR"/>
        </w:rPr>
        <w:t xml:space="preserve"> S</w:t>
      </w:r>
      <w:r w:rsidR="00AE3E17" w:rsidRPr="00EE65CE">
        <w:rPr>
          <w:lang w:val="fr-FR"/>
        </w:rPr>
        <w:t>é</w:t>
      </w:r>
      <w:r w:rsidRPr="00EE65CE">
        <w:rPr>
          <w:lang w:val="fr-FR"/>
        </w:rPr>
        <w:t>n</w:t>
      </w:r>
      <w:r w:rsidR="00AE3E17" w:rsidRPr="00EE65CE">
        <w:rPr>
          <w:lang w:val="fr-FR"/>
        </w:rPr>
        <w:t>é</w:t>
      </w:r>
      <w:r w:rsidRPr="00EE65CE">
        <w:rPr>
          <w:lang w:val="fr-FR"/>
        </w:rPr>
        <w:t>gal</w:t>
      </w:r>
      <w:r w:rsidR="00FF1D83" w:rsidRPr="00EE65CE">
        <w:rPr>
          <w:lang w:val="fr-FR"/>
        </w:rPr>
        <w:t xml:space="preserve"> </w:t>
      </w:r>
      <w:r w:rsidR="00AE3E17" w:rsidRPr="00EE65CE">
        <w:rPr>
          <w:lang w:val="fr-FR"/>
        </w:rPr>
        <w:t xml:space="preserve">avec la </w:t>
      </w:r>
      <w:r w:rsidR="00FF1D83" w:rsidRPr="00EE65CE">
        <w:rPr>
          <w:lang w:val="fr-FR"/>
        </w:rPr>
        <w:t>partic</w:t>
      </w:r>
      <w:r w:rsidR="00FE6D7E" w:rsidRPr="00EE65CE">
        <w:rPr>
          <w:lang w:val="fr-FR"/>
        </w:rPr>
        <w:t>i</w:t>
      </w:r>
      <w:r w:rsidR="00FF1D83" w:rsidRPr="00EE65CE">
        <w:rPr>
          <w:lang w:val="fr-FR"/>
        </w:rPr>
        <w:t>pation</w:t>
      </w:r>
      <w:r w:rsidR="00266F2E" w:rsidRPr="00EE65CE">
        <w:rPr>
          <w:lang w:val="fr-FR"/>
        </w:rPr>
        <w:t xml:space="preserve"> </w:t>
      </w:r>
      <w:r w:rsidR="00AE3E17" w:rsidRPr="00EE65CE">
        <w:rPr>
          <w:lang w:val="fr-FR"/>
        </w:rPr>
        <w:t xml:space="preserve">de juristes du </w:t>
      </w:r>
      <w:r w:rsidR="00FE6D7E" w:rsidRPr="00EE65CE">
        <w:rPr>
          <w:lang w:val="fr-FR"/>
        </w:rPr>
        <w:t>Burkina</w:t>
      </w:r>
      <w:r w:rsidR="00AE3E17" w:rsidRPr="00EE65CE">
        <w:rPr>
          <w:lang w:val="fr-FR"/>
        </w:rPr>
        <w:t> </w:t>
      </w:r>
      <w:r w:rsidR="00FE6D7E" w:rsidRPr="00EE65CE">
        <w:rPr>
          <w:lang w:val="fr-FR"/>
        </w:rPr>
        <w:t>Faso</w:t>
      </w:r>
      <w:r w:rsidR="00266F2E" w:rsidRPr="00EE65CE">
        <w:rPr>
          <w:lang w:val="fr-FR"/>
        </w:rPr>
        <w:t>.</w:t>
      </w:r>
    </w:p>
    <w:p w:rsidR="009D6827" w:rsidRPr="00EE65CE" w:rsidRDefault="00AE3E17" w:rsidP="00542460">
      <w:pPr>
        <w:pStyle w:val="ONUME"/>
        <w:rPr>
          <w:lang w:val="fr-FR"/>
        </w:rPr>
      </w:pPr>
      <w:r w:rsidRPr="00EE65CE">
        <w:rPr>
          <w:i/>
          <w:lang w:val="fr-FR"/>
        </w:rPr>
        <w:t>Passage accéléré à un réseau de télévision numérique </w:t>
      </w:r>
      <w:r w:rsidR="00E0777B" w:rsidRPr="00EE65CE">
        <w:rPr>
          <w:i/>
          <w:lang w:val="fr-FR"/>
        </w:rPr>
        <w:t>:</w:t>
      </w:r>
      <w:r w:rsidR="00E74148" w:rsidRPr="00EE65CE">
        <w:rPr>
          <w:lang w:val="fr-FR"/>
        </w:rPr>
        <w:t xml:space="preserve"> </w:t>
      </w:r>
      <w:r w:rsidRPr="00EE65CE">
        <w:rPr>
          <w:lang w:val="fr-FR"/>
        </w:rPr>
        <w:t>le passage au réseau numérique constituant une préoccupation majeure pour le secteur de l</w:t>
      </w:r>
      <w:r w:rsidR="009D6827" w:rsidRPr="00EE65CE">
        <w:rPr>
          <w:lang w:val="fr-FR"/>
        </w:rPr>
        <w:t>’</w:t>
      </w:r>
      <w:r w:rsidRPr="00EE65CE">
        <w:rPr>
          <w:lang w:val="fr-FR"/>
        </w:rPr>
        <w:t>audiovisuel, le projet a dû adapter ses activités en conséquence, par exemple en ce qui concerne les thèmes abordés dans les ateliers de formation</w:t>
      </w:r>
      <w:r w:rsidR="00BF41C1" w:rsidRPr="00EE65CE">
        <w:rPr>
          <w:lang w:val="fr-FR"/>
        </w:rPr>
        <w:t>.</w:t>
      </w:r>
    </w:p>
    <w:p w:rsidR="009D6827" w:rsidRPr="00EE65CE" w:rsidRDefault="00AE3E17" w:rsidP="00542460">
      <w:pPr>
        <w:pStyle w:val="ONUME"/>
        <w:rPr>
          <w:lang w:val="fr-FR"/>
        </w:rPr>
      </w:pPr>
      <w:r w:rsidRPr="00EE65CE">
        <w:rPr>
          <w:i/>
          <w:lang w:val="fr-FR"/>
        </w:rPr>
        <w:t>Changements extérieurs sur le plan politique et au niveau de l</w:t>
      </w:r>
      <w:r w:rsidR="009D6827" w:rsidRPr="00EE65CE">
        <w:rPr>
          <w:i/>
          <w:lang w:val="fr-FR"/>
        </w:rPr>
        <w:t>’</w:t>
      </w:r>
      <w:r w:rsidRPr="00EE65CE">
        <w:rPr>
          <w:i/>
          <w:lang w:val="fr-FR"/>
        </w:rPr>
        <w:t xml:space="preserve">encadrement : </w:t>
      </w:r>
      <w:r w:rsidRPr="00EE65CE">
        <w:rPr>
          <w:lang w:val="fr-FR"/>
        </w:rPr>
        <w:t>l</w:t>
      </w:r>
      <w:r w:rsidR="00BF41C1" w:rsidRPr="00EE65CE">
        <w:rPr>
          <w:lang w:val="fr-FR"/>
        </w:rPr>
        <w:t xml:space="preserve">e </w:t>
      </w:r>
      <w:r w:rsidRPr="00EE65CE">
        <w:rPr>
          <w:lang w:val="fr-FR"/>
        </w:rPr>
        <w:t xml:space="preserve">changement de président au </w:t>
      </w:r>
      <w:r w:rsidR="00816DA4" w:rsidRPr="00EE65CE">
        <w:rPr>
          <w:lang w:val="fr-FR"/>
        </w:rPr>
        <w:t>Burkina</w:t>
      </w:r>
      <w:r w:rsidRPr="00EE65CE">
        <w:rPr>
          <w:lang w:val="fr-FR"/>
        </w:rPr>
        <w:t> </w:t>
      </w:r>
      <w:r w:rsidR="00816DA4" w:rsidRPr="00EE65CE">
        <w:rPr>
          <w:lang w:val="fr-FR"/>
        </w:rPr>
        <w:t>Faso</w:t>
      </w:r>
      <w:r w:rsidR="00BF41C1" w:rsidRPr="00EE65CE">
        <w:rPr>
          <w:lang w:val="fr-FR"/>
        </w:rPr>
        <w:t xml:space="preserve"> </w:t>
      </w:r>
      <w:r w:rsidRPr="00EE65CE">
        <w:rPr>
          <w:lang w:val="fr-FR"/>
        </w:rPr>
        <w:t xml:space="preserve">et </w:t>
      </w:r>
      <w:r w:rsidR="009A4C82" w:rsidRPr="00EE65CE">
        <w:rPr>
          <w:lang w:val="fr-FR"/>
        </w:rPr>
        <w:t>l</w:t>
      </w:r>
      <w:r w:rsidR="009D6827" w:rsidRPr="00EE65CE">
        <w:rPr>
          <w:lang w:val="fr-FR"/>
        </w:rPr>
        <w:t>’</w:t>
      </w:r>
      <w:r w:rsidR="009A4C82" w:rsidRPr="00EE65CE">
        <w:rPr>
          <w:lang w:val="fr-FR"/>
        </w:rPr>
        <w:t>évolution ultérieure en</w:t>
      </w:r>
      <w:r w:rsidR="005B2087" w:rsidRPr="00EE65CE">
        <w:rPr>
          <w:lang w:val="fr-FR"/>
        </w:rPr>
        <w:t> </w:t>
      </w:r>
      <w:r w:rsidR="00BF41C1" w:rsidRPr="00EE65CE">
        <w:rPr>
          <w:lang w:val="fr-FR"/>
        </w:rPr>
        <w:t>2014</w:t>
      </w:r>
      <w:r w:rsidR="00992678" w:rsidRPr="00EE65CE">
        <w:rPr>
          <w:lang w:val="fr-FR"/>
        </w:rPr>
        <w:noBreakHyphen/>
      </w:r>
      <w:r w:rsidR="009A4C82" w:rsidRPr="00EE65CE">
        <w:rPr>
          <w:lang w:val="fr-FR"/>
        </w:rPr>
        <w:t>20</w:t>
      </w:r>
      <w:r w:rsidR="00BF41C1" w:rsidRPr="00EE65CE">
        <w:rPr>
          <w:lang w:val="fr-FR"/>
        </w:rPr>
        <w:t xml:space="preserve">15 </w:t>
      </w:r>
      <w:r w:rsidR="009A4C82" w:rsidRPr="00EE65CE">
        <w:rPr>
          <w:lang w:val="fr-FR"/>
        </w:rPr>
        <w:t>ont entraîné des retards dans la mise en œuvre du projet, des activités ayant dû être reprogrammées selon le cas.  Les changements intervenus au niveau de la direction du K</w:t>
      </w:r>
      <w:r w:rsidR="004D2062" w:rsidRPr="00EE65CE">
        <w:rPr>
          <w:lang w:val="fr-FR"/>
        </w:rPr>
        <w:t xml:space="preserve">enya Copyright </w:t>
      </w:r>
      <w:proofErr w:type="spellStart"/>
      <w:r w:rsidR="004D2062" w:rsidRPr="00EE65CE">
        <w:rPr>
          <w:lang w:val="fr-FR"/>
        </w:rPr>
        <w:t>Board</w:t>
      </w:r>
      <w:proofErr w:type="spellEnd"/>
      <w:r w:rsidR="004D2062" w:rsidRPr="00EE65CE">
        <w:rPr>
          <w:lang w:val="fr-FR"/>
        </w:rPr>
        <w:t xml:space="preserve"> </w:t>
      </w:r>
      <w:r w:rsidR="009A4C82" w:rsidRPr="00EE65CE">
        <w:rPr>
          <w:lang w:val="fr-FR"/>
        </w:rPr>
        <w:t>ont également eu une incidence sur le calendrier d</w:t>
      </w:r>
      <w:r w:rsidR="009D6827" w:rsidRPr="00EE65CE">
        <w:rPr>
          <w:lang w:val="fr-FR"/>
        </w:rPr>
        <w:t>’</w:t>
      </w:r>
      <w:r w:rsidR="009A4C82" w:rsidRPr="00EE65CE">
        <w:rPr>
          <w:lang w:val="fr-FR"/>
        </w:rPr>
        <w:t>exécution du projet.</w:t>
      </w:r>
    </w:p>
    <w:p w:rsidR="008759FF" w:rsidRDefault="008759FF" w:rsidP="00BC6A54">
      <w:pPr>
        <w:pStyle w:val="Heading2"/>
      </w:pPr>
      <w:bookmarkStart w:id="26" w:name="_Toc336032071"/>
    </w:p>
    <w:p w:rsidR="008759FF" w:rsidRDefault="008759FF">
      <w:pPr>
        <w:rPr>
          <w:rFonts w:cs="Times New Roman"/>
          <w:bCs/>
          <w:lang w:val="fr-FR"/>
        </w:rPr>
      </w:pPr>
      <w:r>
        <w:rPr>
          <w:b/>
          <w:bCs/>
          <w:lang w:val="fr-FR"/>
        </w:rPr>
        <w:br w:type="page"/>
      </w:r>
    </w:p>
    <w:p w:rsidR="00FB6E4B" w:rsidRPr="00EE65CE" w:rsidRDefault="00385620" w:rsidP="00BC6A54">
      <w:pPr>
        <w:pStyle w:val="Heading2"/>
      </w:pPr>
      <w:bookmarkStart w:id="27" w:name="_Toc441830357"/>
      <w:r w:rsidRPr="00EE65CE">
        <w:lastRenderedPageBreak/>
        <w:t>B.</w:t>
      </w:r>
      <w:r w:rsidRPr="00EE65CE">
        <w:tab/>
      </w:r>
      <w:bookmarkEnd w:id="26"/>
      <w:r w:rsidR="00C03EB3">
        <w:t>Efficacité du projet</w:t>
      </w:r>
      <w:bookmarkEnd w:id="27"/>
    </w:p>
    <w:p w:rsidR="00063D97" w:rsidRPr="00EE65CE" w:rsidRDefault="00905BA6" w:rsidP="00542460">
      <w:pPr>
        <w:rPr>
          <w:i/>
          <w:u w:val="single"/>
          <w:lang w:val="fr-FR"/>
        </w:rPr>
      </w:pPr>
      <w:r w:rsidRPr="00EE65CE">
        <w:rPr>
          <w:i/>
          <w:szCs w:val="22"/>
          <w:u w:val="single"/>
          <w:lang w:val="fr-FR"/>
        </w:rPr>
        <w:t>E</w:t>
      </w:r>
      <w:r w:rsidR="009A4C82" w:rsidRPr="00EE65CE">
        <w:rPr>
          <w:i/>
          <w:szCs w:val="22"/>
          <w:u w:val="single"/>
          <w:lang w:val="fr-FR"/>
        </w:rPr>
        <w:t xml:space="preserve">fficacité </w:t>
      </w:r>
      <w:r w:rsidRPr="00EE65CE">
        <w:rPr>
          <w:i/>
          <w:szCs w:val="22"/>
          <w:u w:val="single"/>
          <w:lang w:val="fr-FR"/>
        </w:rPr>
        <w:t xml:space="preserve">et utilité </w:t>
      </w:r>
      <w:r w:rsidR="009A4C82" w:rsidRPr="00EE65CE">
        <w:rPr>
          <w:i/>
          <w:szCs w:val="22"/>
          <w:u w:val="single"/>
          <w:lang w:val="fr-FR"/>
        </w:rPr>
        <w:t xml:space="preserve">du projet </w:t>
      </w:r>
      <w:r w:rsidRPr="00EE65CE">
        <w:rPr>
          <w:i/>
          <w:szCs w:val="22"/>
          <w:u w:val="single"/>
          <w:lang w:val="fr-FR"/>
        </w:rPr>
        <w:t>au regard de sa capacité à contribuer à renforcer l</w:t>
      </w:r>
      <w:r w:rsidR="009D6827" w:rsidRPr="00EE65CE">
        <w:rPr>
          <w:i/>
          <w:szCs w:val="22"/>
          <w:u w:val="single"/>
          <w:lang w:val="fr-FR"/>
        </w:rPr>
        <w:t>’</w:t>
      </w:r>
      <w:r w:rsidRPr="00EE65CE">
        <w:rPr>
          <w:i/>
          <w:szCs w:val="22"/>
          <w:u w:val="single"/>
          <w:lang w:val="fr-FR"/>
        </w:rPr>
        <w:t>utilisation du système de la propriété intellectuelle aux fins du financement, de la pr</w:t>
      </w:r>
      <w:r w:rsidR="00A95F9D" w:rsidRPr="00EE65CE">
        <w:rPr>
          <w:i/>
          <w:szCs w:val="22"/>
          <w:u w:val="single"/>
          <w:lang w:val="fr-FR"/>
        </w:rPr>
        <w:t xml:space="preserve">oduction </w:t>
      </w:r>
      <w:r w:rsidRPr="00EE65CE">
        <w:rPr>
          <w:i/>
          <w:szCs w:val="22"/>
          <w:u w:val="single"/>
          <w:lang w:val="fr-FR"/>
        </w:rPr>
        <w:t>et de la diffusion des œuvres audiovisuelles dans les pays pilote retenus</w:t>
      </w:r>
      <w:r w:rsidR="00A95F9D" w:rsidRPr="00EE65CE">
        <w:rPr>
          <w:i/>
          <w:szCs w:val="22"/>
          <w:u w:val="single"/>
          <w:lang w:val="fr-FR"/>
        </w:rPr>
        <w:t>.</w:t>
      </w:r>
    </w:p>
    <w:p w:rsidR="00A93280" w:rsidRPr="00EE65CE" w:rsidRDefault="00A93280" w:rsidP="00542460">
      <w:pPr>
        <w:rPr>
          <w:b/>
          <w:lang w:val="fr-FR"/>
        </w:rPr>
      </w:pPr>
    </w:p>
    <w:p w:rsidR="009D6827" w:rsidRPr="00EE65CE" w:rsidRDefault="00274D74" w:rsidP="00542460">
      <w:pPr>
        <w:pStyle w:val="BodyText"/>
        <w:numPr>
          <w:ilvl w:val="0"/>
          <w:numId w:val="25"/>
        </w:numPr>
        <w:rPr>
          <w:lang w:val="fr-FR"/>
        </w:rPr>
      </w:pPr>
      <w:r w:rsidRPr="00EE65CE">
        <w:rPr>
          <w:b/>
          <w:lang w:val="fr-FR"/>
        </w:rPr>
        <w:t>Observation</w:t>
      </w:r>
      <w:r w:rsidR="00905BA6" w:rsidRPr="00EE65CE">
        <w:rPr>
          <w:b/>
          <w:lang w:val="fr-FR"/>
        </w:rPr>
        <w:t xml:space="preserve"> n° </w:t>
      </w:r>
      <w:r w:rsidR="00DF6DE9" w:rsidRPr="00EE65CE">
        <w:rPr>
          <w:b/>
          <w:lang w:val="fr-FR"/>
        </w:rPr>
        <w:t>7</w:t>
      </w:r>
      <w:r w:rsidR="00905BA6" w:rsidRPr="00EE65CE">
        <w:rPr>
          <w:b/>
          <w:lang w:val="fr-FR"/>
        </w:rPr>
        <w:t> </w:t>
      </w:r>
      <w:r w:rsidR="00F95442" w:rsidRPr="00EE65CE">
        <w:rPr>
          <w:b/>
          <w:lang w:val="fr-FR"/>
        </w:rPr>
        <w:t>:</w:t>
      </w:r>
      <w:r w:rsidR="00C61800" w:rsidRPr="00EE65CE">
        <w:rPr>
          <w:lang w:val="fr-FR"/>
        </w:rPr>
        <w:t xml:space="preserve"> </w:t>
      </w:r>
      <w:r w:rsidR="00905BA6" w:rsidRPr="00EE65CE">
        <w:rPr>
          <w:lang w:val="fr-FR"/>
        </w:rPr>
        <w:t>le projet a joué un rôle décisif en suscitant l</w:t>
      </w:r>
      <w:r w:rsidR="009D6827" w:rsidRPr="00EE65CE">
        <w:rPr>
          <w:lang w:val="fr-FR"/>
        </w:rPr>
        <w:t>’</w:t>
      </w:r>
      <w:r w:rsidR="00905BA6" w:rsidRPr="00EE65CE">
        <w:rPr>
          <w:lang w:val="fr-FR"/>
        </w:rPr>
        <w:t xml:space="preserve">intérêt </w:t>
      </w:r>
      <w:r w:rsidR="00BC436D" w:rsidRPr="00EE65CE">
        <w:rPr>
          <w:lang w:val="fr-FR"/>
        </w:rPr>
        <w:t>pour l</w:t>
      </w:r>
      <w:r w:rsidR="009D6827" w:rsidRPr="00EE65CE">
        <w:rPr>
          <w:lang w:val="fr-FR"/>
        </w:rPr>
        <w:t>’</w:t>
      </w:r>
      <w:r w:rsidR="00BC436D" w:rsidRPr="00EE65CE">
        <w:rPr>
          <w:lang w:val="fr-FR"/>
        </w:rPr>
        <w:t xml:space="preserve">utilisation potentielle du système de la propriété intellectuelle </w:t>
      </w:r>
      <w:r w:rsidR="00C902D9" w:rsidRPr="00EE65CE">
        <w:rPr>
          <w:lang w:val="fr-FR"/>
        </w:rPr>
        <w:t>au service d</w:t>
      </w:r>
      <w:r w:rsidR="00BC436D" w:rsidRPr="00EE65CE">
        <w:rPr>
          <w:lang w:val="fr-FR"/>
        </w:rPr>
        <w:t>es œuvres audiovisuelles</w:t>
      </w:r>
      <w:r w:rsidR="00C902D9" w:rsidRPr="00EE65CE">
        <w:rPr>
          <w:lang w:val="fr-FR"/>
        </w:rPr>
        <w:t xml:space="preserve"> dans les trois pays participants et en la faisant mieux connaître</w:t>
      </w:r>
      <w:r w:rsidR="00434176" w:rsidRPr="00EE65CE">
        <w:rPr>
          <w:lang w:val="fr-FR"/>
        </w:rPr>
        <w:t xml:space="preserve">, </w:t>
      </w:r>
      <w:r w:rsidR="00C902D9" w:rsidRPr="00EE65CE">
        <w:rPr>
          <w:lang w:val="fr-FR"/>
        </w:rPr>
        <w:t xml:space="preserve">comme il est ressorti du programme de formation </w:t>
      </w:r>
      <w:r w:rsidR="002E19DD" w:rsidRPr="00EE65CE">
        <w:rPr>
          <w:lang w:val="fr-FR"/>
        </w:rPr>
        <w:t>(</w:t>
      </w:r>
      <w:r w:rsidR="00C902D9" w:rsidRPr="00EE65CE">
        <w:rPr>
          <w:lang w:val="fr-FR"/>
        </w:rPr>
        <w:t>activité de p</w:t>
      </w:r>
      <w:r w:rsidR="00434176" w:rsidRPr="00EE65CE">
        <w:rPr>
          <w:lang w:val="fr-FR"/>
        </w:rPr>
        <w:t xml:space="preserve">rojet </w:t>
      </w:r>
      <w:r w:rsidR="00C902D9" w:rsidRPr="00EE65CE">
        <w:rPr>
          <w:lang w:val="fr-FR"/>
        </w:rPr>
        <w:t>n° </w:t>
      </w:r>
      <w:r w:rsidR="00434176" w:rsidRPr="00EE65CE">
        <w:rPr>
          <w:lang w:val="fr-FR"/>
        </w:rPr>
        <w:t>2</w:t>
      </w:r>
      <w:r w:rsidR="002E19DD" w:rsidRPr="00EE65CE">
        <w:rPr>
          <w:lang w:val="fr-FR"/>
        </w:rPr>
        <w:t>)</w:t>
      </w:r>
      <w:r w:rsidR="00DC5F67" w:rsidRPr="00EE65CE">
        <w:rPr>
          <w:lang w:val="fr-FR"/>
        </w:rPr>
        <w:t>.</w:t>
      </w:r>
      <w:r w:rsidR="00DE286B" w:rsidRPr="00EE65CE">
        <w:rPr>
          <w:lang w:val="fr-FR"/>
        </w:rPr>
        <w:t xml:space="preserve"> </w:t>
      </w:r>
      <w:r w:rsidR="00E74148" w:rsidRPr="00EE65CE">
        <w:rPr>
          <w:lang w:val="fr-FR"/>
        </w:rPr>
        <w:t xml:space="preserve"> </w:t>
      </w:r>
      <w:r w:rsidR="00C902D9" w:rsidRPr="00EE65CE">
        <w:rPr>
          <w:lang w:val="fr-FR"/>
        </w:rPr>
        <w:t>Compte tenu du très faible niveau de connaissance et d</w:t>
      </w:r>
      <w:r w:rsidR="009D6827" w:rsidRPr="00EE65CE">
        <w:rPr>
          <w:lang w:val="fr-FR"/>
        </w:rPr>
        <w:t>’</w:t>
      </w:r>
      <w:r w:rsidR="00C902D9" w:rsidRPr="00EE65CE">
        <w:rPr>
          <w:lang w:val="fr-FR"/>
        </w:rPr>
        <w:t xml:space="preserve">utilisation de la propriété intellectuelle au service des œuvres audiovisuelles, </w:t>
      </w:r>
      <w:r w:rsidR="00446158" w:rsidRPr="00EE65CE">
        <w:rPr>
          <w:lang w:val="fr-FR"/>
        </w:rPr>
        <w:t>parvenir à apporter des changements substantiels à l</w:t>
      </w:r>
      <w:r w:rsidR="009D6827" w:rsidRPr="00EE65CE">
        <w:rPr>
          <w:lang w:val="fr-FR"/>
        </w:rPr>
        <w:t>’</w:t>
      </w:r>
      <w:r w:rsidR="00446158" w:rsidRPr="00EE65CE">
        <w:rPr>
          <w:lang w:val="fr-FR"/>
        </w:rPr>
        <w:t>utilisation effective de la propriété intellectuelle dans le délai de 32 mois fixé pour l</w:t>
      </w:r>
      <w:r w:rsidR="009D6827" w:rsidRPr="00EE65CE">
        <w:rPr>
          <w:lang w:val="fr-FR"/>
        </w:rPr>
        <w:t>’</w:t>
      </w:r>
      <w:r w:rsidR="00446158" w:rsidRPr="00EE65CE">
        <w:rPr>
          <w:lang w:val="fr-FR"/>
        </w:rPr>
        <w:t>exécution du projet constituait un défi majeur</w:t>
      </w:r>
      <w:r w:rsidR="00434176" w:rsidRPr="00EE65CE">
        <w:rPr>
          <w:lang w:val="fr-FR"/>
        </w:rPr>
        <w:t xml:space="preserve">. </w:t>
      </w:r>
      <w:r w:rsidR="00446158" w:rsidRPr="00EE65CE">
        <w:rPr>
          <w:lang w:val="fr-FR"/>
        </w:rPr>
        <w:t xml:space="preserve"> </w:t>
      </w:r>
      <w:r w:rsidR="00434176" w:rsidRPr="00EE65CE">
        <w:rPr>
          <w:lang w:val="fr-FR"/>
        </w:rPr>
        <w:t>N</w:t>
      </w:r>
      <w:r w:rsidR="00446158" w:rsidRPr="00EE65CE">
        <w:rPr>
          <w:lang w:val="fr-FR"/>
        </w:rPr>
        <w:t>éanmoins, selon les informations fournies par les coordonnateurs locaux, les fonctionnaires de l</w:t>
      </w:r>
      <w:r w:rsidR="009D6827" w:rsidRPr="00EE65CE">
        <w:rPr>
          <w:lang w:val="fr-FR"/>
        </w:rPr>
        <w:t>’</w:t>
      </w:r>
      <w:r w:rsidR="00446158" w:rsidRPr="00EE65CE">
        <w:rPr>
          <w:lang w:val="fr-FR"/>
        </w:rPr>
        <w:t>OMPI et les formateurs dans le cadre des ateliers</w:t>
      </w:r>
      <w:r w:rsidR="00434176" w:rsidRPr="00EE65CE">
        <w:rPr>
          <w:lang w:val="fr-FR"/>
        </w:rPr>
        <w:t xml:space="preserve">, </w:t>
      </w:r>
      <w:r w:rsidR="00446158" w:rsidRPr="00EE65CE">
        <w:rPr>
          <w:lang w:val="fr-FR"/>
        </w:rPr>
        <w:t xml:space="preserve">une augmentation du recours à des contrats écrits </w:t>
      </w:r>
      <w:r w:rsidR="0043156C" w:rsidRPr="00EE65CE">
        <w:rPr>
          <w:lang w:val="fr-FR"/>
        </w:rPr>
        <w:t>parmi</w:t>
      </w:r>
      <w:r w:rsidR="00446158" w:rsidRPr="00EE65CE">
        <w:rPr>
          <w:lang w:val="fr-FR"/>
        </w:rPr>
        <w:t xml:space="preserve"> les professionnels du cinéma participant au processus de </w:t>
      </w:r>
      <w:r w:rsidR="00DE286B" w:rsidRPr="00EE65CE">
        <w:rPr>
          <w:lang w:val="fr-FR"/>
        </w:rPr>
        <w:t xml:space="preserve">production </w:t>
      </w:r>
      <w:r w:rsidR="00446158" w:rsidRPr="00EE65CE">
        <w:rPr>
          <w:lang w:val="fr-FR"/>
        </w:rPr>
        <w:t>a été constatée dans les trois pays</w:t>
      </w:r>
      <w:r w:rsidR="00DE286B" w:rsidRPr="00EE65CE">
        <w:rPr>
          <w:lang w:val="fr-FR"/>
        </w:rPr>
        <w:t>.</w:t>
      </w:r>
      <w:r w:rsidR="00670E86" w:rsidRPr="00EE65CE">
        <w:rPr>
          <w:lang w:val="fr-FR"/>
        </w:rPr>
        <w:t xml:space="preserve"> </w:t>
      </w:r>
      <w:r w:rsidR="005708A5" w:rsidRPr="00EE65CE">
        <w:rPr>
          <w:lang w:val="fr-FR"/>
        </w:rPr>
        <w:t xml:space="preserve"> </w:t>
      </w:r>
      <w:r w:rsidR="00446158" w:rsidRPr="00EE65CE">
        <w:rPr>
          <w:lang w:val="fr-FR"/>
        </w:rPr>
        <w:t xml:space="preserve">La </w:t>
      </w:r>
      <w:r w:rsidR="00670E86" w:rsidRPr="00EE65CE">
        <w:rPr>
          <w:lang w:val="fr-FR"/>
        </w:rPr>
        <w:t xml:space="preserve">Kenya Copyright </w:t>
      </w:r>
      <w:proofErr w:type="spellStart"/>
      <w:r w:rsidR="00670E86" w:rsidRPr="00EE65CE">
        <w:rPr>
          <w:lang w:val="fr-FR"/>
        </w:rPr>
        <w:t>Board</w:t>
      </w:r>
      <w:proofErr w:type="spellEnd"/>
      <w:r w:rsidR="00670E86" w:rsidRPr="00EE65CE">
        <w:rPr>
          <w:lang w:val="fr-FR"/>
        </w:rPr>
        <w:t xml:space="preserve"> </w:t>
      </w:r>
      <w:r w:rsidR="005708A5" w:rsidRPr="00EE65CE">
        <w:rPr>
          <w:lang w:val="fr-FR"/>
        </w:rPr>
        <w:t xml:space="preserve">(KECOBO) </w:t>
      </w:r>
      <w:r w:rsidR="00446158" w:rsidRPr="00EE65CE">
        <w:rPr>
          <w:lang w:val="fr-FR"/>
        </w:rPr>
        <w:t>a fait état d</w:t>
      </w:r>
      <w:r w:rsidR="009D6827" w:rsidRPr="00EE65CE">
        <w:rPr>
          <w:lang w:val="fr-FR"/>
        </w:rPr>
        <w:t>’</w:t>
      </w:r>
      <w:r w:rsidR="00446158" w:rsidRPr="00EE65CE">
        <w:rPr>
          <w:lang w:val="fr-FR"/>
        </w:rPr>
        <w:t>une augmentation du nombre d</w:t>
      </w:r>
      <w:r w:rsidR="009D6827" w:rsidRPr="00EE65CE">
        <w:rPr>
          <w:lang w:val="fr-FR"/>
        </w:rPr>
        <w:t>’</w:t>
      </w:r>
      <w:r w:rsidR="00446158" w:rsidRPr="00EE65CE">
        <w:rPr>
          <w:lang w:val="fr-FR"/>
        </w:rPr>
        <w:t>enregistrements volontaires d</w:t>
      </w:r>
      <w:r w:rsidR="009D6827" w:rsidRPr="00EE65CE">
        <w:rPr>
          <w:lang w:val="fr-FR"/>
        </w:rPr>
        <w:t>’</w:t>
      </w:r>
      <w:r w:rsidR="00446158" w:rsidRPr="00EE65CE">
        <w:rPr>
          <w:lang w:val="fr-FR"/>
        </w:rPr>
        <w:t>œuvres audiovisuelles et a indiqué qu</w:t>
      </w:r>
      <w:r w:rsidR="009D6827" w:rsidRPr="00EE65CE">
        <w:rPr>
          <w:lang w:val="fr-FR"/>
        </w:rPr>
        <w:t>’</w:t>
      </w:r>
      <w:r w:rsidR="00446158" w:rsidRPr="00EE65CE">
        <w:rPr>
          <w:lang w:val="fr-FR"/>
        </w:rPr>
        <w:t xml:space="preserve">un participant des ateliers, </w:t>
      </w:r>
      <w:r w:rsidR="005160EF" w:rsidRPr="00EE65CE">
        <w:rPr>
          <w:lang w:val="fr-FR"/>
        </w:rPr>
        <w:t>Historia Films</w:t>
      </w:r>
      <w:r w:rsidR="00446158" w:rsidRPr="00EE65CE">
        <w:rPr>
          <w:lang w:val="fr-FR"/>
        </w:rPr>
        <w:t xml:space="preserve">, avait, pour la première fois concédé sous </w:t>
      </w:r>
      <w:r w:rsidR="005160EF" w:rsidRPr="00EE65CE">
        <w:rPr>
          <w:lang w:val="fr-FR"/>
        </w:rPr>
        <w:t>licen</w:t>
      </w:r>
      <w:r w:rsidR="00446158" w:rsidRPr="00EE65CE">
        <w:rPr>
          <w:lang w:val="fr-FR"/>
        </w:rPr>
        <w:t>ce certain</w:t>
      </w:r>
      <w:r w:rsidR="005160EF" w:rsidRPr="00EE65CE">
        <w:rPr>
          <w:lang w:val="fr-FR"/>
        </w:rPr>
        <w:t>s</w:t>
      </w:r>
      <w:r w:rsidR="00446158" w:rsidRPr="00EE65CE">
        <w:rPr>
          <w:lang w:val="fr-FR"/>
        </w:rPr>
        <w:t xml:space="preserve"> de ses films </w:t>
      </w:r>
      <w:r w:rsidR="0043156C" w:rsidRPr="00EE65CE">
        <w:rPr>
          <w:lang w:val="fr-FR"/>
        </w:rPr>
        <w:t>dans la ré</w:t>
      </w:r>
      <w:r w:rsidR="005160EF" w:rsidRPr="00EE65CE">
        <w:rPr>
          <w:lang w:val="fr-FR"/>
        </w:rPr>
        <w:t xml:space="preserve">gion </w:t>
      </w:r>
      <w:r w:rsidR="0043156C" w:rsidRPr="00EE65CE">
        <w:rPr>
          <w:lang w:val="fr-FR"/>
        </w:rPr>
        <w:t>grâce aux connaissances acquises dans le cadre de la formation.  En outre, il a été indiqué que des juristes ayant participé aux ateliers organisés au Sénégal proposaient désormais la gestion de contrats dans le secteur de l</w:t>
      </w:r>
      <w:r w:rsidR="009D6827" w:rsidRPr="00EE65CE">
        <w:rPr>
          <w:lang w:val="fr-FR"/>
        </w:rPr>
        <w:t>’</w:t>
      </w:r>
      <w:r w:rsidR="0043156C" w:rsidRPr="00EE65CE">
        <w:rPr>
          <w:lang w:val="fr-FR"/>
        </w:rPr>
        <w:t>audiovisuel dans le cadre de leurs services</w:t>
      </w:r>
      <w:r w:rsidR="00434176" w:rsidRPr="00EE65CE">
        <w:rPr>
          <w:lang w:val="fr-FR"/>
        </w:rPr>
        <w:t>.</w:t>
      </w:r>
    </w:p>
    <w:p w:rsidR="009D6827" w:rsidRPr="00EE65CE" w:rsidRDefault="00274D74" w:rsidP="00542460">
      <w:pPr>
        <w:pStyle w:val="BodyText"/>
        <w:numPr>
          <w:ilvl w:val="0"/>
          <w:numId w:val="25"/>
        </w:numPr>
        <w:rPr>
          <w:lang w:val="fr-FR"/>
        </w:rPr>
      </w:pPr>
      <w:r w:rsidRPr="00EE65CE">
        <w:rPr>
          <w:b/>
          <w:lang w:val="fr-FR"/>
        </w:rPr>
        <w:t>Observation</w:t>
      </w:r>
      <w:r w:rsidR="0043156C" w:rsidRPr="00EE65CE">
        <w:rPr>
          <w:b/>
          <w:lang w:val="fr-FR"/>
        </w:rPr>
        <w:t xml:space="preserve"> n</w:t>
      </w:r>
      <w:r w:rsidR="00954C58" w:rsidRPr="00EE65CE">
        <w:rPr>
          <w:b/>
          <w:lang w:val="fr-FR"/>
        </w:rPr>
        <w:t>° </w:t>
      </w:r>
      <w:r w:rsidR="00DF6DE9" w:rsidRPr="00EE65CE">
        <w:rPr>
          <w:b/>
          <w:lang w:val="fr-FR"/>
        </w:rPr>
        <w:t>8</w:t>
      </w:r>
      <w:r w:rsidR="0043156C" w:rsidRPr="00EE65CE">
        <w:rPr>
          <w:b/>
          <w:lang w:val="fr-FR"/>
        </w:rPr>
        <w:t> </w:t>
      </w:r>
      <w:r w:rsidR="00E207BD" w:rsidRPr="00EE65CE">
        <w:rPr>
          <w:b/>
          <w:lang w:val="fr-FR"/>
        </w:rPr>
        <w:t>:</w:t>
      </w:r>
      <w:r w:rsidR="005708A5" w:rsidRPr="00EE65CE">
        <w:rPr>
          <w:lang w:val="fr-FR"/>
        </w:rPr>
        <w:t xml:space="preserve"> </w:t>
      </w:r>
      <w:r w:rsidR="0043156C" w:rsidRPr="00EE65CE">
        <w:rPr>
          <w:lang w:val="fr-FR"/>
        </w:rPr>
        <w:t>Par conséquent, le projet a jeté les bases nécessaires au renforcement éventuel de l</w:t>
      </w:r>
      <w:r w:rsidR="009D6827" w:rsidRPr="00EE65CE">
        <w:rPr>
          <w:lang w:val="fr-FR"/>
        </w:rPr>
        <w:t>’</w:t>
      </w:r>
      <w:r w:rsidR="0043156C" w:rsidRPr="00EE65CE">
        <w:rPr>
          <w:lang w:val="fr-FR"/>
        </w:rPr>
        <w:t>utilisation de la propriété intellectuelle, même si des progrès notables restent encore à enregistrer en ce qui concerne plusieurs indicateurs pertinents de réussite, notamment l</w:t>
      </w:r>
      <w:r w:rsidR="009D6827" w:rsidRPr="00EE65CE">
        <w:rPr>
          <w:lang w:val="fr-FR"/>
        </w:rPr>
        <w:t>’</w:t>
      </w:r>
      <w:r w:rsidR="0043156C" w:rsidRPr="00EE65CE">
        <w:rPr>
          <w:lang w:val="fr-FR"/>
        </w:rPr>
        <w:t xml:space="preserve">augmentation du nombre de </w:t>
      </w:r>
      <w:r w:rsidR="00605DF9" w:rsidRPr="00EE65CE">
        <w:rPr>
          <w:lang w:val="fr-FR"/>
        </w:rPr>
        <w:t xml:space="preserve">transactions de </w:t>
      </w:r>
      <w:r w:rsidR="0043156C" w:rsidRPr="00EE65CE">
        <w:rPr>
          <w:lang w:val="fr-FR"/>
        </w:rPr>
        <w:t>propriété intellectuelle dans le secteur de l</w:t>
      </w:r>
      <w:r w:rsidR="009D6827" w:rsidRPr="00EE65CE">
        <w:rPr>
          <w:lang w:val="fr-FR"/>
        </w:rPr>
        <w:t>’</w:t>
      </w:r>
      <w:r w:rsidR="0043156C" w:rsidRPr="00EE65CE">
        <w:rPr>
          <w:lang w:val="fr-FR"/>
        </w:rPr>
        <w:t>audiovisuel</w:t>
      </w:r>
      <w:r w:rsidR="00434176" w:rsidRPr="00EE65CE">
        <w:rPr>
          <w:lang w:val="fr-FR"/>
        </w:rPr>
        <w:t xml:space="preserve"> </w:t>
      </w:r>
      <w:r w:rsidR="0043156C" w:rsidRPr="00EE65CE">
        <w:rPr>
          <w:lang w:val="fr-FR"/>
        </w:rPr>
        <w:t>et l</w:t>
      </w:r>
      <w:r w:rsidR="009D6827" w:rsidRPr="00EE65CE">
        <w:rPr>
          <w:lang w:val="fr-FR"/>
        </w:rPr>
        <w:t>’</w:t>
      </w:r>
      <w:r w:rsidR="0043156C" w:rsidRPr="00EE65CE">
        <w:rPr>
          <w:lang w:val="fr-FR"/>
        </w:rPr>
        <w:t>augmentation du nombre de voies légitimes pour la vente des droits sur des films africains</w:t>
      </w:r>
      <w:r w:rsidR="00434176" w:rsidRPr="00EE65CE">
        <w:rPr>
          <w:lang w:val="fr-FR"/>
        </w:rPr>
        <w:t>.</w:t>
      </w:r>
      <w:r w:rsidR="00BC3A65" w:rsidRPr="00EE65CE">
        <w:rPr>
          <w:lang w:val="fr-FR"/>
        </w:rPr>
        <w:t xml:space="preserve"> </w:t>
      </w:r>
      <w:r w:rsidR="00BE5761" w:rsidRPr="00EE65CE">
        <w:rPr>
          <w:lang w:val="fr-FR"/>
        </w:rPr>
        <w:t xml:space="preserve"> I</w:t>
      </w:r>
      <w:r w:rsidR="0043156C" w:rsidRPr="00EE65CE">
        <w:rPr>
          <w:lang w:val="fr-FR"/>
        </w:rPr>
        <w:t xml:space="preserve">l a été estimé par les parties prenantes compétentes que pour atteindre ces résultats, il </w:t>
      </w:r>
      <w:r w:rsidR="0039638C" w:rsidRPr="00EE65CE">
        <w:rPr>
          <w:lang w:val="fr-FR"/>
        </w:rPr>
        <w:t>conviendrait</w:t>
      </w:r>
      <w:r w:rsidR="0043156C" w:rsidRPr="00EE65CE">
        <w:rPr>
          <w:lang w:val="fr-FR"/>
        </w:rPr>
        <w:t xml:space="preserve"> de mener des activités différentes mais complémentaires</w:t>
      </w:r>
      <w:r w:rsidR="0039638C" w:rsidRPr="00EE65CE">
        <w:rPr>
          <w:lang w:val="fr-FR"/>
        </w:rPr>
        <w:t>, en facilitant, par exemple, l</w:t>
      </w:r>
      <w:r w:rsidR="009D6827" w:rsidRPr="00EE65CE">
        <w:rPr>
          <w:lang w:val="fr-FR"/>
        </w:rPr>
        <w:t>’</w:t>
      </w:r>
      <w:r w:rsidR="0039638C" w:rsidRPr="00EE65CE">
        <w:rPr>
          <w:lang w:val="fr-FR"/>
        </w:rPr>
        <w:t>accès des professionnels du cinéma aux marchés ou en élaborant et en diffusant des pratiques recommandées ou des lignes directrices en matière de contrats</w:t>
      </w:r>
      <w:r w:rsidR="00BE5761" w:rsidRPr="00EE65CE">
        <w:rPr>
          <w:lang w:val="fr-FR"/>
        </w:rPr>
        <w:t xml:space="preserve">. </w:t>
      </w:r>
      <w:r w:rsidR="005B2087" w:rsidRPr="00EE65CE">
        <w:rPr>
          <w:lang w:val="fr-FR"/>
        </w:rPr>
        <w:t xml:space="preserve"> </w:t>
      </w:r>
    </w:p>
    <w:p w:rsidR="00544DB2" w:rsidRPr="00EE65CE" w:rsidRDefault="0039638C" w:rsidP="00542460">
      <w:pPr>
        <w:pStyle w:val="BodyText"/>
        <w:keepNext/>
        <w:rPr>
          <w:i/>
          <w:szCs w:val="22"/>
          <w:u w:val="single"/>
          <w:lang w:val="fr-FR"/>
        </w:rPr>
      </w:pPr>
      <w:r w:rsidRPr="00EE65CE">
        <w:rPr>
          <w:i/>
          <w:szCs w:val="22"/>
          <w:u w:val="single"/>
          <w:lang w:val="fr-FR"/>
        </w:rPr>
        <w:t xml:space="preserve">Efficacité et utilité du projet au regard de sa capacité à </w:t>
      </w:r>
      <w:r w:rsidR="00D40F58" w:rsidRPr="00EE65CE">
        <w:rPr>
          <w:i/>
          <w:szCs w:val="22"/>
          <w:u w:val="single"/>
          <w:lang w:val="fr-FR"/>
        </w:rPr>
        <w:t>accélérer</w:t>
      </w:r>
      <w:r w:rsidRPr="00EE65CE">
        <w:rPr>
          <w:i/>
          <w:szCs w:val="22"/>
          <w:u w:val="single"/>
          <w:lang w:val="fr-FR"/>
        </w:rPr>
        <w:t xml:space="preserve"> </w:t>
      </w:r>
      <w:r w:rsidR="00D40F58" w:rsidRPr="00EE65CE">
        <w:rPr>
          <w:i/>
          <w:szCs w:val="22"/>
          <w:u w:val="single"/>
          <w:lang w:val="fr-FR"/>
        </w:rPr>
        <w:t>la mise en place d</w:t>
      </w:r>
      <w:r w:rsidR="009D6827" w:rsidRPr="00EE65CE">
        <w:rPr>
          <w:i/>
          <w:szCs w:val="22"/>
          <w:u w:val="single"/>
          <w:lang w:val="fr-FR"/>
        </w:rPr>
        <w:t>’</w:t>
      </w:r>
      <w:r w:rsidR="00D40F58" w:rsidRPr="00EE65CE">
        <w:rPr>
          <w:i/>
          <w:szCs w:val="22"/>
          <w:u w:val="single"/>
          <w:lang w:val="fr-FR"/>
        </w:rPr>
        <w:t xml:space="preserve">un cadre </w:t>
      </w:r>
      <w:r w:rsidR="00EA6039" w:rsidRPr="00EE65CE">
        <w:rPr>
          <w:i/>
          <w:szCs w:val="22"/>
          <w:u w:val="single"/>
          <w:lang w:val="fr-FR"/>
        </w:rPr>
        <w:t xml:space="preserve">d’action </w:t>
      </w:r>
      <w:r w:rsidR="00D40F58" w:rsidRPr="00EE65CE">
        <w:rPr>
          <w:i/>
          <w:szCs w:val="22"/>
          <w:u w:val="single"/>
          <w:lang w:val="fr-FR"/>
        </w:rPr>
        <w:t>et d</w:t>
      </w:r>
      <w:r w:rsidR="009D6827" w:rsidRPr="00EE65CE">
        <w:rPr>
          <w:i/>
          <w:szCs w:val="22"/>
          <w:u w:val="single"/>
          <w:lang w:val="fr-FR"/>
        </w:rPr>
        <w:t>’</w:t>
      </w:r>
      <w:r w:rsidR="00D40F58" w:rsidRPr="00EE65CE">
        <w:rPr>
          <w:i/>
          <w:szCs w:val="22"/>
          <w:u w:val="single"/>
          <w:lang w:val="fr-FR"/>
        </w:rPr>
        <w:t>une infrastructure efficaces et équilibrés pour l</w:t>
      </w:r>
      <w:r w:rsidR="009D6827" w:rsidRPr="00EE65CE">
        <w:rPr>
          <w:i/>
          <w:szCs w:val="22"/>
          <w:u w:val="single"/>
          <w:lang w:val="fr-FR"/>
        </w:rPr>
        <w:t>’</w:t>
      </w:r>
      <w:r w:rsidR="00D40F58" w:rsidRPr="00EE65CE">
        <w:rPr>
          <w:i/>
          <w:szCs w:val="22"/>
          <w:u w:val="single"/>
          <w:lang w:val="fr-FR"/>
        </w:rPr>
        <w:t>exercice et la gestion des transactions basées sur les droits de propriété intellectuelle dans le secteur de l</w:t>
      </w:r>
      <w:r w:rsidR="009D6827" w:rsidRPr="00EE65CE">
        <w:rPr>
          <w:i/>
          <w:szCs w:val="22"/>
          <w:u w:val="single"/>
          <w:lang w:val="fr-FR"/>
        </w:rPr>
        <w:t>’</w:t>
      </w:r>
      <w:r w:rsidR="00D40F58" w:rsidRPr="00EE65CE">
        <w:rPr>
          <w:i/>
          <w:szCs w:val="22"/>
          <w:u w:val="single"/>
          <w:lang w:val="fr-FR"/>
        </w:rPr>
        <w:t>audiovisuel</w:t>
      </w:r>
      <w:r w:rsidRPr="00EE65CE">
        <w:rPr>
          <w:i/>
          <w:szCs w:val="22"/>
          <w:u w:val="single"/>
          <w:lang w:val="fr-FR"/>
        </w:rPr>
        <w:t xml:space="preserve"> dans les pays pilotes retenus</w:t>
      </w:r>
      <w:r w:rsidR="00A95F9D" w:rsidRPr="00EE65CE">
        <w:rPr>
          <w:i/>
          <w:szCs w:val="22"/>
          <w:u w:val="single"/>
          <w:lang w:val="fr-FR"/>
        </w:rPr>
        <w:t>.</w:t>
      </w:r>
    </w:p>
    <w:p w:rsidR="009D6827" w:rsidRPr="00EE65CE" w:rsidRDefault="00274D74" w:rsidP="00542460">
      <w:pPr>
        <w:numPr>
          <w:ilvl w:val="0"/>
          <w:numId w:val="25"/>
        </w:numPr>
        <w:rPr>
          <w:lang w:val="fr-FR"/>
        </w:rPr>
      </w:pPr>
      <w:r w:rsidRPr="00EE65CE">
        <w:rPr>
          <w:b/>
          <w:lang w:val="fr-FR"/>
        </w:rPr>
        <w:t>Observation</w:t>
      </w:r>
      <w:r w:rsidR="0039638C" w:rsidRPr="00EE65CE">
        <w:rPr>
          <w:b/>
          <w:lang w:val="fr-FR"/>
        </w:rPr>
        <w:t xml:space="preserve"> n° </w:t>
      </w:r>
      <w:r w:rsidR="00DF6DE9" w:rsidRPr="00EE65CE">
        <w:rPr>
          <w:b/>
          <w:lang w:val="fr-FR"/>
        </w:rPr>
        <w:t>9</w:t>
      </w:r>
      <w:r w:rsidR="0039638C" w:rsidRPr="00EE65CE">
        <w:rPr>
          <w:b/>
          <w:lang w:val="fr-FR"/>
        </w:rPr>
        <w:t> :</w:t>
      </w:r>
      <w:r w:rsidR="00E620DE" w:rsidRPr="00EE65CE">
        <w:rPr>
          <w:lang w:val="fr-FR"/>
        </w:rPr>
        <w:t xml:space="preserve"> </w:t>
      </w:r>
      <w:r w:rsidR="00B92DDD" w:rsidRPr="00EE65CE">
        <w:rPr>
          <w:lang w:val="fr-FR"/>
        </w:rPr>
        <w:t>grâce à son action essentiellement ciblée sur trois pays, le projet a pu agir en interaction avec les autorités et parties prenantes compétent</w:t>
      </w:r>
      <w:r w:rsidR="008F5869" w:rsidRPr="00EE65CE">
        <w:rPr>
          <w:lang w:val="fr-FR"/>
        </w:rPr>
        <w:t>e</w:t>
      </w:r>
      <w:r w:rsidR="00B92DDD" w:rsidRPr="00EE65CE">
        <w:rPr>
          <w:lang w:val="fr-FR"/>
        </w:rPr>
        <w:t>s.  Cela a permis de mieux comprendre leurs besoins en ce qui concerne les cadres d</w:t>
      </w:r>
      <w:r w:rsidR="009D6827" w:rsidRPr="00EE65CE">
        <w:rPr>
          <w:lang w:val="fr-FR"/>
        </w:rPr>
        <w:t>’</w:t>
      </w:r>
      <w:r w:rsidR="00B92DDD" w:rsidRPr="00EE65CE">
        <w:rPr>
          <w:lang w:val="fr-FR"/>
        </w:rPr>
        <w:t>action et infrastructures nécessaires pour appuyer l</w:t>
      </w:r>
      <w:r w:rsidR="009D6827" w:rsidRPr="00EE65CE">
        <w:rPr>
          <w:lang w:val="fr-FR"/>
        </w:rPr>
        <w:t>’</w:t>
      </w:r>
      <w:r w:rsidR="00B92DDD" w:rsidRPr="00EE65CE">
        <w:rPr>
          <w:lang w:val="fr-FR"/>
        </w:rPr>
        <w:t>utilisation de la propriété intellectuelle dans le secteur de l</w:t>
      </w:r>
      <w:r w:rsidR="009D6827" w:rsidRPr="00EE65CE">
        <w:rPr>
          <w:lang w:val="fr-FR"/>
        </w:rPr>
        <w:t>’</w:t>
      </w:r>
      <w:r w:rsidR="00B92DDD" w:rsidRPr="00EE65CE">
        <w:rPr>
          <w:lang w:val="fr-FR"/>
        </w:rPr>
        <w:t>audiovisuel.  Des initiatives menées dans les trois pays ont donc permis de participer à la mise en place de ces cadres d</w:t>
      </w:r>
      <w:r w:rsidR="009D6827" w:rsidRPr="00EE65CE">
        <w:rPr>
          <w:lang w:val="fr-FR"/>
        </w:rPr>
        <w:t>’</w:t>
      </w:r>
      <w:r w:rsidR="00B92DDD" w:rsidRPr="00EE65CE">
        <w:rPr>
          <w:lang w:val="fr-FR"/>
        </w:rPr>
        <w:t xml:space="preserve">action et </w:t>
      </w:r>
      <w:r w:rsidR="002B47CF" w:rsidRPr="00EE65CE">
        <w:rPr>
          <w:lang w:val="fr-FR"/>
        </w:rPr>
        <w:t>structures, nota</w:t>
      </w:r>
      <w:r w:rsidR="00B92DDD" w:rsidRPr="00EE65CE">
        <w:rPr>
          <w:lang w:val="fr-FR"/>
        </w:rPr>
        <w:t>mment</w:t>
      </w:r>
      <w:r w:rsidR="00EA6039" w:rsidRPr="00EE65CE">
        <w:rPr>
          <w:lang w:val="fr-FR"/>
        </w:rPr>
        <w:t> :</w:t>
      </w:r>
    </w:p>
    <w:p w:rsidR="00A95F9D" w:rsidRPr="00EE65CE" w:rsidRDefault="00A95F9D" w:rsidP="00542460">
      <w:pPr>
        <w:rPr>
          <w:lang w:val="fr-FR"/>
        </w:rPr>
      </w:pPr>
    </w:p>
    <w:p w:rsidR="00045945" w:rsidRPr="00EE65CE" w:rsidRDefault="00B92DDD" w:rsidP="00542460">
      <w:pPr>
        <w:pStyle w:val="ONUME"/>
        <w:numPr>
          <w:ilvl w:val="0"/>
          <w:numId w:val="26"/>
        </w:numPr>
        <w:rPr>
          <w:lang w:val="fr-FR"/>
        </w:rPr>
      </w:pPr>
      <w:r w:rsidRPr="00EE65CE">
        <w:rPr>
          <w:lang w:val="fr-FR"/>
        </w:rPr>
        <w:t>contribution à l</w:t>
      </w:r>
      <w:r w:rsidR="009D6827" w:rsidRPr="00EE65CE">
        <w:rPr>
          <w:lang w:val="fr-FR"/>
        </w:rPr>
        <w:t>’</w:t>
      </w:r>
      <w:r w:rsidRPr="00EE65CE">
        <w:rPr>
          <w:lang w:val="fr-FR"/>
        </w:rPr>
        <w:t>élaboration des dispositions pertinentes de la législation sur le droit d</w:t>
      </w:r>
      <w:r w:rsidR="009D6827" w:rsidRPr="00EE65CE">
        <w:rPr>
          <w:lang w:val="fr-FR"/>
        </w:rPr>
        <w:t>’</w:t>
      </w:r>
      <w:r w:rsidRPr="00EE65CE">
        <w:rPr>
          <w:lang w:val="fr-FR"/>
        </w:rPr>
        <w:t xml:space="preserve">auteur au </w:t>
      </w:r>
      <w:r w:rsidR="00D51DC4" w:rsidRPr="00EE65CE">
        <w:rPr>
          <w:lang w:val="fr-FR"/>
        </w:rPr>
        <w:t>Burkina</w:t>
      </w:r>
      <w:r w:rsidRPr="00EE65CE">
        <w:rPr>
          <w:lang w:val="fr-FR"/>
        </w:rPr>
        <w:t> </w:t>
      </w:r>
      <w:r w:rsidR="00D51DC4" w:rsidRPr="00EE65CE">
        <w:rPr>
          <w:lang w:val="fr-FR"/>
        </w:rPr>
        <w:t xml:space="preserve">Faso </w:t>
      </w:r>
      <w:r w:rsidRPr="00EE65CE">
        <w:rPr>
          <w:lang w:val="fr-FR"/>
        </w:rPr>
        <w:t xml:space="preserve">et au </w:t>
      </w:r>
      <w:r w:rsidR="00D51DC4" w:rsidRPr="00EE65CE">
        <w:rPr>
          <w:lang w:val="fr-FR"/>
        </w:rPr>
        <w:t>S</w:t>
      </w:r>
      <w:r w:rsidRPr="00EE65CE">
        <w:rPr>
          <w:lang w:val="fr-FR"/>
        </w:rPr>
        <w:t>é</w:t>
      </w:r>
      <w:r w:rsidR="00D51DC4" w:rsidRPr="00EE65CE">
        <w:rPr>
          <w:lang w:val="fr-FR"/>
        </w:rPr>
        <w:t>n</w:t>
      </w:r>
      <w:r w:rsidRPr="00EE65CE">
        <w:rPr>
          <w:lang w:val="fr-FR"/>
        </w:rPr>
        <w:t>é</w:t>
      </w:r>
      <w:r w:rsidR="00D51DC4" w:rsidRPr="00EE65CE">
        <w:rPr>
          <w:lang w:val="fr-FR"/>
        </w:rPr>
        <w:t>gal</w:t>
      </w:r>
      <w:r w:rsidR="00045945" w:rsidRPr="00EE65CE">
        <w:rPr>
          <w:lang w:val="fr-FR"/>
        </w:rPr>
        <w:t>;</w:t>
      </w:r>
    </w:p>
    <w:p w:rsidR="00045945" w:rsidRPr="00EE65CE" w:rsidRDefault="00B92DDD" w:rsidP="00542460">
      <w:pPr>
        <w:pStyle w:val="ONUME"/>
        <w:numPr>
          <w:ilvl w:val="0"/>
          <w:numId w:val="26"/>
        </w:numPr>
        <w:rPr>
          <w:lang w:val="fr-FR"/>
        </w:rPr>
      </w:pPr>
      <w:r w:rsidRPr="00EE65CE">
        <w:rPr>
          <w:lang w:val="fr-FR"/>
        </w:rPr>
        <w:t>contribution à l</w:t>
      </w:r>
      <w:r w:rsidR="009D6827" w:rsidRPr="00EE65CE">
        <w:rPr>
          <w:lang w:val="fr-FR"/>
        </w:rPr>
        <w:t>’</w:t>
      </w:r>
      <w:r w:rsidRPr="00EE65CE">
        <w:rPr>
          <w:lang w:val="fr-FR"/>
        </w:rPr>
        <w:t xml:space="preserve">élaboration de la nouvelle politique nationale dans le domaine du cinéma au </w:t>
      </w:r>
      <w:r w:rsidR="00045945" w:rsidRPr="00EE65CE">
        <w:rPr>
          <w:lang w:val="fr-FR"/>
        </w:rPr>
        <w:t>Kenya</w:t>
      </w:r>
      <w:r w:rsidR="00FF1D83" w:rsidRPr="00EE65CE">
        <w:rPr>
          <w:lang w:val="fr-FR"/>
        </w:rPr>
        <w:t xml:space="preserve"> </w:t>
      </w:r>
      <w:r w:rsidRPr="00EE65CE">
        <w:rPr>
          <w:lang w:val="fr-FR"/>
        </w:rPr>
        <w:t>et à la loi sur les c</w:t>
      </w:r>
      <w:r w:rsidR="00FF1D83" w:rsidRPr="00EE65CE">
        <w:rPr>
          <w:lang w:val="fr-FR"/>
        </w:rPr>
        <w:t xml:space="preserve">ommunications </w:t>
      </w:r>
      <w:r w:rsidRPr="00EE65CE">
        <w:rPr>
          <w:lang w:val="fr-FR"/>
        </w:rPr>
        <w:t>au Sénégal</w:t>
      </w:r>
      <w:r w:rsidR="00FE6D7E" w:rsidRPr="00EE65CE">
        <w:rPr>
          <w:lang w:val="fr-FR"/>
        </w:rPr>
        <w:t>;</w:t>
      </w:r>
      <w:r w:rsidR="00E74148" w:rsidRPr="00EE65CE">
        <w:rPr>
          <w:lang w:val="fr-FR"/>
        </w:rPr>
        <w:t xml:space="preserve">  </w:t>
      </w:r>
      <w:r w:rsidRPr="00EE65CE">
        <w:rPr>
          <w:lang w:val="fr-FR"/>
        </w:rPr>
        <w:t>et</w:t>
      </w:r>
    </w:p>
    <w:p w:rsidR="009D6827" w:rsidRDefault="00B92DDD" w:rsidP="00542460">
      <w:pPr>
        <w:pStyle w:val="ONUME"/>
        <w:numPr>
          <w:ilvl w:val="0"/>
          <w:numId w:val="26"/>
        </w:numPr>
        <w:spacing w:after="0"/>
        <w:rPr>
          <w:lang w:val="fr-FR"/>
        </w:rPr>
      </w:pPr>
      <w:r w:rsidRPr="00EE65CE">
        <w:rPr>
          <w:lang w:val="fr-FR"/>
        </w:rPr>
        <w:t xml:space="preserve">appui à la mise en place de nouvelles organisations de gestion collective des droits au </w:t>
      </w:r>
      <w:r w:rsidR="00D51DC4" w:rsidRPr="00EE65CE">
        <w:rPr>
          <w:lang w:val="fr-FR"/>
        </w:rPr>
        <w:t xml:space="preserve">Kenya </w:t>
      </w:r>
      <w:r w:rsidRPr="00EE65CE">
        <w:rPr>
          <w:lang w:val="fr-FR"/>
        </w:rPr>
        <w:t xml:space="preserve">et au </w:t>
      </w:r>
      <w:r w:rsidR="00D51DC4" w:rsidRPr="00EE65CE">
        <w:rPr>
          <w:lang w:val="fr-FR"/>
        </w:rPr>
        <w:t>S</w:t>
      </w:r>
      <w:r w:rsidRPr="00EE65CE">
        <w:rPr>
          <w:lang w:val="fr-FR"/>
        </w:rPr>
        <w:t>é</w:t>
      </w:r>
      <w:r w:rsidR="00D51DC4" w:rsidRPr="00EE65CE">
        <w:rPr>
          <w:lang w:val="fr-FR"/>
        </w:rPr>
        <w:t>n</w:t>
      </w:r>
      <w:r w:rsidRPr="00EE65CE">
        <w:rPr>
          <w:lang w:val="fr-FR"/>
        </w:rPr>
        <w:t>é</w:t>
      </w:r>
      <w:r w:rsidR="00D51DC4" w:rsidRPr="00EE65CE">
        <w:rPr>
          <w:lang w:val="fr-FR"/>
        </w:rPr>
        <w:t>gal.</w:t>
      </w:r>
    </w:p>
    <w:p w:rsidR="008759FF" w:rsidRPr="00EE65CE" w:rsidRDefault="008759FF" w:rsidP="008759FF">
      <w:pPr>
        <w:pStyle w:val="ONUME"/>
        <w:numPr>
          <w:ilvl w:val="0"/>
          <w:numId w:val="0"/>
        </w:numPr>
        <w:spacing w:after="0"/>
        <w:ind w:left="567"/>
        <w:rPr>
          <w:lang w:val="fr-FR"/>
        </w:rPr>
      </w:pPr>
    </w:p>
    <w:p w:rsidR="00045945" w:rsidRPr="00EE65CE" w:rsidRDefault="00045945" w:rsidP="00542460">
      <w:pPr>
        <w:rPr>
          <w:lang w:val="fr-FR"/>
        </w:rPr>
      </w:pPr>
    </w:p>
    <w:p w:rsidR="009D6827" w:rsidRPr="00EE65CE" w:rsidRDefault="00274D74" w:rsidP="00542460">
      <w:pPr>
        <w:numPr>
          <w:ilvl w:val="0"/>
          <w:numId w:val="25"/>
        </w:numPr>
        <w:rPr>
          <w:lang w:val="fr-FR"/>
        </w:rPr>
      </w:pPr>
      <w:r w:rsidRPr="00EE65CE">
        <w:rPr>
          <w:b/>
          <w:lang w:val="fr-FR"/>
        </w:rPr>
        <w:lastRenderedPageBreak/>
        <w:t>Observation</w:t>
      </w:r>
      <w:r w:rsidR="009771CB" w:rsidRPr="00EE65CE">
        <w:rPr>
          <w:b/>
          <w:lang w:val="fr-FR"/>
        </w:rPr>
        <w:t xml:space="preserve"> n° </w:t>
      </w:r>
      <w:r w:rsidR="00DF6DE9" w:rsidRPr="00EE65CE">
        <w:rPr>
          <w:b/>
          <w:lang w:val="fr-FR"/>
        </w:rPr>
        <w:t>10</w:t>
      </w:r>
      <w:r w:rsidR="009771CB" w:rsidRPr="00EE65CE">
        <w:rPr>
          <w:b/>
          <w:lang w:val="fr-FR"/>
        </w:rPr>
        <w:t> </w:t>
      </w:r>
      <w:r w:rsidR="00045945" w:rsidRPr="00EE65CE">
        <w:rPr>
          <w:b/>
          <w:lang w:val="fr-FR"/>
        </w:rPr>
        <w:t>:</w:t>
      </w:r>
      <w:r w:rsidR="00045945" w:rsidRPr="00EE65CE">
        <w:rPr>
          <w:lang w:val="fr-FR"/>
        </w:rPr>
        <w:t xml:space="preserve"> </w:t>
      </w:r>
      <w:r w:rsidR="009771CB" w:rsidRPr="00EE65CE">
        <w:rPr>
          <w:lang w:val="fr-FR"/>
        </w:rPr>
        <w:t>l</w:t>
      </w:r>
      <w:r w:rsidR="009D6827" w:rsidRPr="00EE65CE">
        <w:rPr>
          <w:lang w:val="fr-FR"/>
        </w:rPr>
        <w:t>’</w:t>
      </w:r>
      <w:r w:rsidR="009771CB" w:rsidRPr="00EE65CE">
        <w:rPr>
          <w:lang w:val="fr-FR"/>
        </w:rPr>
        <w:t>activité de projet n° </w:t>
      </w:r>
      <w:r w:rsidR="00045945" w:rsidRPr="00EE65CE">
        <w:rPr>
          <w:lang w:val="fr-FR"/>
        </w:rPr>
        <w:t xml:space="preserve">3 </w:t>
      </w:r>
      <w:r w:rsidR="00CD66CA" w:rsidRPr="00EE65CE">
        <w:rPr>
          <w:lang w:val="fr-FR"/>
        </w:rPr>
        <w:t>a servi de cadre principal à la réalisation de cet objectif relatif aux cadres d</w:t>
      </w:r>
      <w:r w:rsidR="009D6827" w:rsidRPr="00EE65CE">
        <w:rPr>
          <w:lang w:val="fr-FR"/>
        </w:rPr>
        <w:t>’</w:t>
      </w:r>
      <w:r w:rsidR="00CD66CA" w:rsidRPr="00EE65CE">
        <w:rPr>
          <w:lang w:val="fr-FR"/>
        </w:rPr>
        <w:t xml:space="preserve">action et aux </w:t>
      </w:r>
      <w:r w:rsidR="00045945" w:rsidRPr="00EE65CE">
        <w:rPr>
          <w:lang w:val="fr-FR"/>
        </w:rPr>
        <w:t xml:space="preserve">institutions. </w:t>
      </w:r>
      <w:r w:rsidR="004C0FA7" w:rsidRPr="00EE65CE">
        <w:rPr>
          <w:lang w:val="fr-FR"/>
        </w:rPr>
        <w:t xml:space="preserve"> </w:t>
      </w:r>
      <w:r w:rsidR="00CD66CA" w:rsidRPr="00EE65CE">
        <w:rPr>
          <w:lang w:val="fr-FR"/>
        </w:rPr>
        <w:t>Compte tenu du retard enregistré dans la mise en œuvre du projet, ces activités ont été essentiellement mises en œuvre au cours des 10 derniers mois d</w:t>
      </w:r>
      <w:r w:rsidR="009D6827" w:rsidRPr="00EE65CE">
        <w:rPr>
          <w:lang w:val="fr-FR"/>
        </w:rPr>
        <w:t>’</w:t>
      </w:r>
      <w:r w:rsidR="00CD66CA" w:rsidRPr="00EE65CE">
        <w:rPr>
          <w:lang w:val="fr-FR"/>
        </w:rPr>
        <w:t>exécution du projet (de janvier à octobre </w:t>
      </w:r>
      <w:r w:rsidR="00045945" w:rsidRPr="00EE65CE">
        <w:rPr>
          <w:lang w:val="fr-FR"/>
        </w:rPr>
        <w:t xml:space="preserve">2015). </w:t>
      </w:r>
      <w:r w:rsidR="00CD66CA" w:rsidRPr="00EE65CE">
        <w:rPr>
          <w:lang w:val="fr-FR"/>
        </w:rPr>
        <w:t xml:space="preserve"> Par conséquent, les résultats potentiels ont été éventuellement limités par le délai réduit.  Toutefois, les questions relatives aux cadres d</w:t>
      </w:r>
      <w:r w:rsidR="009D6827" w:rsidRPr="00EE65CE">
        <w:rPr>
          <w:lang w:val="fr-FR"/>
        </w:rPr>
        <w:t>’</w:t>
      </w:r>
      <w:r w:rsidR="00CD66CA" w:rsidRPr="00EE65CE">
        <w:rPr>
          <w:lang w:val="fr-FR"/>
        </w:rPr>
        <w:t xml:space="preserve">action et aux </w:t>
      </w:r>
      <w:r w:rsidR="00A53801" w:rsidRPr="00EE65CE">
        <w:rPr>
          <w:lang w:val="fr-FR"/>
        </w:rPr>
        <w:t xml:space="preserve">institutions </w:t>
      </w:r>
      <w:r w:rsidR="00CD66CA" w:rsidRPr="00EE65CE">
        <w:rPr>
          <w:lang w:val="fr-FR"/>
        </w:rPr>
        <w:t>ont été en partie prises en considération dans les ateliers organisés dans le cadre de l</w:t>
      </w:r>
      <w:r w:rsidR="009D6827" w:rsidRPr="00EE65CE">
        <w:rPr>
          <w:lang w:val="fr-FR"/>
        </w:rPr>
        <w:t>’</w:t>
      </w:r>
      <w:r w:rsidR="00CD66CA" w:rsidRPr="00EE65CE">
        <w:rPr>
          <w:lang w:val="fr-FR"/>
        </w:rPr>
        <w:t>activité de projet n° 2 et d</w:t>
      </w:r>
      <w:r w:rsidR="009D6827" w:rsidRPr="00EE65CE">
        <w:rPr>
          <w:lang w:val="fr-FR"/>
        </w:rPr>
        <w:t>’</w:t>
      </w:r>
      <w:r w:rsidR="00CD66CA" w:rsidRPr="00EE65CE">
        <w:rPr>
          <w:lang w:val="fr-FR"/>
        </w:rPr>
        <w:t>une collaboration avec l</w:t>
      </w:r>
      <w:r w:rsidR="009D6827" w:rsidRPr="00EE65CE">
        <w:rPr>
          <w:lang w:val="fr-FR"/>
        </w:rPr>
        <w:t>’</w:t>
      </w:r>
      <w:r w:rsidR="00CD66CA" w:rsidRPr="00EE65CE">
        <w:rPr>
          <w:lang w:val="fr-FR"/>
        </w:rPr>
        <w:t>organisation de gestion collective des droits et le bureau du droit d</w:t>
      </w:r>
      <w:r w:rsidR="009D6827" w:rsidRPr="00EE65CE">
        <w:rPr>
          <w:lang w:val="fr-FR"/>
        </w:rPr>
        <w:t>’</w:t>
      </w:r>
      <w:r w:rsidR="00CD66CA" w:rsidRPr="00EE65CE">
        <w:rPr>
          <w:lang w:val="fr-FR"/>
        </w:rPr>
        <w:t>auteur de l</w:t>
      </w:r>
      <w:r w:rsidR="009D6827" w:rsidRPr="00EE65CE">
        <w:rPr>
          <w:lang w:val="fr-FR"/>
        </w:rPr>
        <w:t>’</w:t>
      </w:r>
      <w:r w:rsidR="00CD66CA" w:rsidRPr="00EE65CE">
        <w:rPr>
          <w:lang w:val="fr-FR"/>
        </w:rPr>
        <w:t>Algérie, qui ont dispensé une formation aux fonctionnaires de l</w:t>
      </w:r>
      <w:r w:rsidR="009D6827" w:rsidRPr="00EE65CE">
        <w:rPr>
          <w:lang w:val="fr-FR"/>
        </w:rPr>
        <w:t>’</w:t>
      </w:r>
      <w:r w:rsidR="00CD66CA" w:rsidRPr="00EE65CE">
        <w:rPr>
          <w:lang w:val="fr-FR"/>
        </w:rPr>
        <w:t xml:space="preserve">organisation de gestion collective des droits du </w:t>
      </w:r>
      <w:r w:rsidR="00CF3571" w:rsidRPr="00EE65CE">
        <w:rPr>
          <w:lang w:val="fr-FR"/>
        </w:rPr>
        <w:t>Burkina</w:t>
      </w:r>
      <w:r w:rsidR="00CD66CA" w:rsidRPr="00EE65CE">
        <w:rPr>
          <w:lang w:val="fr-FR"/>
        </w:rPr>
        <w:t> </w:t>
      </w:r>
      <w:r w:rsidR="00CF3571" w:rsidRPr="00EE65CE">
        <w:rPr>
          <w:lang w:val="fr-FR"/>
        </w:rPr>
        <w:t>Faso</w:t>
      </w:r>
      <w:r w:rsidR="00FF1D83" w:rsidRPr="00EE65CE">
        <w:rPr>
          <w:lang w:val="fr-FR"/>
        </w:rPr>
        <w:t xml:space="preserve">, </w:t>
      </w:r>
      <w:r w:rsidR="009D6827" w:rsidRPr="00EE65CE">
        <w:rPr>
          <w:lang w:val="fr-FR"/>
        </w:rPr>
        <w:t>y compris</w:t>
      </w:r>
      <w:r w:rsidR="00CD66CA" w:rsidRPr="00EE65CE">
        <w:rPr>
          <w:lang w:val="fr-FR"/>
        </w:rPr>
        <w:t xml:space="preserve"> son nouveau directeur général.  Comme indiqué dans les </w:t>
      </w:r>
      <w:r w:rsidRPr="00EE65CE">
        <w:rPr>
          <w:lang w:val="fr-FR"/>
        </w:rPr>
        <w:t>observation</w:t>
      </w:r>
      <w:r w:rsidR="00CD66CA" w:rsidRPr="00EE65CE">
        <w:rPr>
          <w:lang w:val="fr-FR"/>
        </w:rPr>
        <w:t>s n°</w:t>
      </w:r>
      <w:r w:rsidR="005B2087" w:rsidRPr="00EE65CE">
        <w:rPr>
          <w:lang w:val="fr-FR"/>
        </w:rPr>
        <w:t> </w:t>
      </w:r>
      <w:r w:rsidR="00CD66CA" w:rsidRPr="00EE65CE">
        <w:rPr>
          <w:vertAlign w:val="superscript"/>
          <w:lang w:val="fr-FR"/>
        </w:rPr>
        <w:t>s</w:t>
      </w:r>
      <w:r w:rsidR="00CD66CA" w:rsidRPr="00EE65CE">
        <w:rPr>
          <w:lang w:val="fr-FR"/>
        </w:rPr>
        <w:t xml:space="preserve"> 7 et 8, la </w:t>
      </w:r>
      <w:r w:rsidR="00045945" w:rsidRPr="00EE65CE">
        <w:rPr>
          <w:lang w:val="fr-FR"/>
        </w:rPr>
        <w:t xml:space="preserve">contribution </w:t>
      </w:r>
      <w:r w:rsidR="00CD66CA" w:rsidRPr="00EE65CE">
        <w:rPr>
          <w:lang w:val="fr-FR"/>
        </w:rPr>
        <w:t xml:space="preserve">du projet à cet égard constituait également un élément fondamental pour assurer </w:t>
      </w:r>
      <w:r w:rsidR="00D40F58" w:rsidRPr="00EE65CE">
        <w:rPr>
          <w:lang w:val="fr-FR"/>
        </w:rPr>
        <w:t>d</w:t>
      </w:r>
      <w:r w:rsidR="009D6827" w:rsidRPr="00EE65CE">
        <w:rPr>
          <w:lang w:val="fr-FR"/>
        </w:rPr>
        <w:t>’</w:t>
      </w:r>
      <w:r w:rsidR="00D40F58" w:rsidRPr="00EE65CE">
        <w:rPr>
          <w:lang w:val="fr-FR"/>
        </w:rPr>
        <w:t>éventuels progrès à l</w:t>
      </w:r>
      <w:r w:rsidR="009D6827" w:rsidRPr="00EE65CE">
        <w:rPr>
          <w:lang w:val="fr-FR"/>
        </w:rPr>
        <w:t>’</w:t>
      </w:r>
      <w:r w:rsidR="00D40F58" w:rsidRPr="00EE65CE">
        <w:rPr>
          <w:lang w:val="fr-FR"/>
        </w:rPr>
        <w:t>avenir.</w:t>
      </w:r>
    </w:p>
    <w:p w:rsidR="000202D0" w:rsidRPr="00EE65CE" w:rsidRDefault="000202D0" w:rsidP="00542460">
      <w:pPr>
        <w:rPr>
          <w:i/>
          <w:szCs w:val="22"/>
          <w:u w:val="single"/>
          <w:lang w:val="fr-FR"/>
        </w:rPr>
      </w:pPr>
    </w:p>
    <w:p w:rsidR="004C0FA7" w:rsidRPr="00EE65CE" w:rsidRDefault="004C0FA7" w:rsidP="00542460">
      <w:pPr>
        <w:rPr>
          <w:i/>
          <w:szCs w:val="22"/>
          <w:u w:val="single"/>
          <w:lang w:val="fr-FR"/>
        </w:rPr>
      </w:pPr>
    </w:p>
    <w:p w:rsidR="00780960" w:rsidRPr="00EE65CE" w:rsidRDefault="00D40F58" w:rsidP="00542460">
      <w:pPr>
        <w:jc w:val="both"/>
        <w:rPr>
          <w:i/>
          <w:szCs w:val="22"/>
          <w:u w:val="single"/>
          <w:lang w:val="fr-FR"/>
        </w:rPr>
      </w:pPr>
      <w:r w:rsidRPr="00EE65CE">
        <w:rPr>
          <w:i/>
          <w:szCs w:val="22"/>
          <w:u w:val="single"/>
          <w:lang w:val="fr-FR"/>
        </w:rPr>
        <w:t>Utilité de l</w:t>
      </w:r>
      <w:r w:rsidR="009D6827" w:rsidRPr="00EE65CE">
        <w:rPr>
          <w:i/>
          <w:szCs w:val="22"/>
          <w:u w:val="single"/>
          <w:lang w:val="fr-FR"/>
        </w:rPr>
        <w:t>’</w:t>
      </w:r>
      <w:r w:rsidRPr="00EE65CE">
        <w:rPr>
          <w:i/>
          <w:szCs w:val="22"/>
          <w:u w:val="single"/>
          <w:lang w:val="fr-FR"/>
        </w:rPr>
        <w:t>étude exploratoire pour les États membres.</w:t>
      </w:r>
    </w:p>
    <w:p w:rsidR="00A95F9D" w:rsidRPr="00EE65CE" w:rsidRDefault="00A95F9D" w:rsidP="00542460">
      <w:pPr>
        <w:jc w:val="both"/>
        <w:rPr>
          <w:b/>
          <w:lang w:val="fr-FR"/>
        </w:rPr>
      </w:pPr>
    </w:p>
    <w:p w:rsidR="009D6827" w:rsidRPr="00EE65CE" w:rsidRDefault="00274D74" w:rsidP="00542460">
      <w:pPr>
        <w:numPr>
          <w:ilvl w:val="0"/>
          <w:numId w:val="25"/>
        </w:numPr>
        <w:rPr>
          <w:lang w:val="fr-FR"/>
        </w:rPr>
      </w:pPr>
      <w:r w:rsidRPr="00EE65CE">
        <w:rPr>
          <w:b/>
          <w:lang w:val="fr-FR"/>
        </w:rPr>
        <w:t>Observation</w:t>
      </w:r>
      <w:r w:rsidR="00D40F58" w:rsidRPr="00EE65CE">
        <w:rPr>
          <w:b/>
          <w:lang w:val="fr-FR"/>
        </w:rPr>
        <w:t xml:space="preserve"> n° </w:t>
      </w:r>
      <w:r w:rsidR="007369DE" w:rsidRPr="00EE65CE">
        <w:rPr>
          <w:b/>
          <w:lang w:val="fr-FR"/>
        </w:rPr>
        <w:t>1</w:t>
      </w:r>
      <w:r w:rsidR="00C94E4E" w:rsidRPr="00EE65CE">
        <w:rPr>
          <w:b/>
          <w:lang w:val="fr-FR"/>
        </w:rPr>
        <w:t>1</w:t>
      </w:r>
      <w:r w:rsidR="00D40F58" w:rsidRPr="00EE65CE">
        <w:rPr>
          <w:b/>
          <w:lang w:val="fr-FR"/>
        </w:rPr>
        <w:t> :</w:t>
      </w:r>
      <w:r w:rsidR="00D40F58" w:rsidRPr="00EE65CE">
        <w:rPr>
          <w:lang w:val="fr-FR"/>
        </w:rPr>
        <w:t xml:space="preserve"> l</w:t>
      </w:r>
      <w:r w:rsidR="009D6827" w:rsidRPr="00EE65CE">
        <w:rPr>
          <w:lang w:val="fr-FR"/>
        </w:rPr>
        <w:t>’</w:t>
      </w:r>
      <w:r w:rsidR="00D40F58" w:rsidRPr="00EE65CE">
        <w:rPr>
          <w:lang w:val="fr-FR"/>
        </w:rPr>
        <w:t>étude exploratoire, établie par deux</w:t>
      </w:r>
      <w:r w:rsidR="005B2087" w:rsidRPr="00EE65CE">
        <w:rPr>
          <w:lang w:val="fr-FR"/>
        </w:rPr>
        <w:t> </w:t>
      </w:r>
      <w:r w:rsidR="00D40F58" w:rsidRPr="00EE65CE">
        <w:rPr>
          <w:lang w:val="fr-FR"/>
        </w:rPr>
        <w:t xml:space="preserve">experts extérieurs </w:t>
      </w:r>
      <w:r w:rsidR="009F5D98" w:rsidRPr="00EE65CE">
        <w:rPr>
          <w:lang w:val="fr-FR"/>
        </w:rPr>
        <w:t>(M</w:t>
      </w:r>
      <w:r w:rsidR="00D40F58" w:rsidRPr="00EE65CE">
        <w:rPr>
          <w:lang w:val="fr-FR"/>
        </w:rPr>
        <w:t>M</w:t>
      </w:r>
      <w:r w:rsidR="009F5D98" w:rsidRPr="00EE65CE">
        <w:rPr>
          <w:lang w:val="fr-FR"/>
        </w:rPr>
        <w:t>.</w:t>
      </w:r>
      <w:r w:rsidR="00D40F58" w:rsidRPr="00EE65CE">
        <w:rPr>
          <w:lang w:val="fr-FR"/>
        </w:rPr>
        <w:t> Bertrand </w:t>
      </w:r>
      <w:proofErr w:type="spellStart"/>
      <w:r w:rsidR="009F5D98" w:rsidRPr="00EE65CE">
        <w:rPr>
          <w:lang w:val="fr-FR"/>
        </w:rPr>
        <w:t>Moullier</w:t>
      </w:r>
      <w:proofErr w:type="spellEnd"/>
      <w:r w:rsidR="009F5D98" w:rsidRPr="00EE65CE">
        <w:rPr>
          <w:lang w:val="fr-FR"/>
        </w:rPr>
        <w:t xml:space="preserve"> </w:t>
      </w:r>
      <w:r w:rsidR="00D40F58" w:rsidRPr="00EE65CE">
        <w:rPr>
          <w:lang w:val="fr-FR"/>
        </w:rPr>
        <w:t xml:space="preserve">et </w:t>
      </w:r>
      <w:r w:rsidR="009F5D98" w:rsidRPr="00EE65CE">
        <w:rPr>
          <w:lang w:val="fr-FR"/>
        </w:rPr>
        <w:t>Beno</w:t>
      </w:r>
      <w:r w:rsidR="00D40F58" w:rsidRPr="00EE65CE">
        <w:rPr>
          <w:lang w:val="fr-FR"/>
        </w:rPr>
        <w:t>î</w:t>
      </w:r>
      <w:r w:rsidR="009F5D98" w:rsidRPr="00EE65CE">
        <w:rPr>
          <w:lang w:val="fr-FR"/>
        </w:rPr>
        <w:t>t</w:t>
      </w:r>
      <w:r w:rsidR="00D40F58" w:rsidRPr="00EE65CE">
        <w:rPr>
          <w:lang w:val="fr-FR"/>
        </w:rPr>
        <w:t> </w:t>
      </w:r>
      <w:r w:rsidR="009F5D98" w:rsidRPr="00EE65CE">
        <w:rPr>
          <w:lang w:val="fr-FR"/>
        </w:rPr>
        <w:t xml:space="preserve">Muller) </w:t>
      </w:r>
      <w:r w:rsidR="00D40F58" w:rsidRPr="00EE65CE">
        <w:rPr>
          <w:lang w:val="fr-FR"/>
        </w:rPr>
        <w:t>a été publiée et présentée aux États membres à la douzième </w:t>
      </w:r>
      <w:r w:rsidR="009F5D98" w:rsidRPr="00EE65CE">
        <w:rPr>
          <w:lang w:val="fr-FR"/>
        </w:rPr>
        <w:t>session</w:t>
      </w:r>
      <w:r w:rsidR="009D6827" w:rsidRPr="00EE65CE">
        <w:rPr>
          <w:lang w:val="fr-FR"/>
        </w:rPr>
        <w:t xml:space="preserve"> du CDI</w:t>
      </w:r>
      <w:r w:rsidR="009F5D98" w:rsidRPr="00EE65CE">
        <w:rPr>
          <w:lang w:val="fr-FR"/>
        </w:rPr>
        <w:t xml:space="preserve">P </w:t>
      </w:r>
      <w:r w:rsidR="00D40F58" w:rsidRPr="00EE65CE">
        <w:rPr>
          <w:lang w:val="fr-FR"/>
        </w:rPr>
        <w:t>en novembre </w:t>
      </w:r>
      <w:r w:rsidR="009F5D98" w:rsidRPr="00EE65CE">
        <w:rPr>
          <w:lang w:val="fr-FR"/>
        </w:rPr>
        <w:t xml:space="preserve">2013. </w:t>
      </w:r>
      <w:r w:rsidR="00126A62" w:rsidRPr="00EE65CE">
        <w:rPr>
          <w:lang w:val="fr-FR"/>
        </w:rPr>
        <w:t xml:space="preserve"> </w:t>
      </w:r>
      <w:r w:rsidR="00D40F58" w:rsidRPr="00EE65CE">
        <w:rPr>
          <w:lang w:val="fr-FR"/>
        </w:rPr>
        <w:t>Elle proposait une définition de la “norme internationale” dans le cadre des transactions fondées sur le droit d</w:t>
      </w:r>
      <w:r w:rsidR="009D6827" w:rsidRPr="00EE65CE">
        <w:rPr>
          <w:lang w:val="fr-FR"/>
        </w:rPr>
        <w:t>’</w:t>
      </w:r>
      <w:r w:rsidR="00D40F58" w:rsidRPr="00EE65CE">
        <w:rPr>
          <w:lang w:val="fr-FR"/>
        </w:rPr>
        <w:t>auteur dans le secteur de l</w:t>
      </w:r>
      <w:r w:rsidR="009D6827" w:rsidRPr="00EE65CE">
        <w:rPr>
          <w:lang w:val="fr-FR"/>
        </w:rPr>
        <w:t>’</w:t>
      </w:r>
      <w:r w:rsidR="00D40F58" w:rsidRPr="00EE65CE">
        <w:rPr>
          <w:lang w:val="fr-FR"/>
        </w:rPr>
        <w:t>audiovisuel et présentait un aperçu des questions structurelles et de droit d</w:t>
      </w:r>
      <w:r w:rsidR="009D6827" w:rsidRPr="00EE65CE">
        <w:rPr>
          <w:lang w:val="fr-FR"/>
        </w:rPr>
        <w:t>’</w:t>
      </w:r>
      <w:r w:rsidR="00D40F58" w:rsidRPr="00EE65CE">
        <w:rPr>
          <w:lang w:val="fr-FR"/>
        </w:rPr>
        <w:t>auteur qui se posaient dans le secteur de l</w:t>
      </w:r>
      <w:r w:rsidR="009D6827" w:rsidRPr="00EE65CE">
        <w:rPr>
          <w:lang w:val="fr-FR"/>
        </w:rPr>
        <w:t>’</w:t>
      </w:r>
      <w:r w:rsidR="00D40F58" w:rsidRPr="00EE65CE">
        <w:rPr>
          <w:lang w:val="fr-FR"/>
        </w:rPr>
        <w:t>audiovisuel des pays participant au projet</w:t>
      </w:r>
      <w:r w:rsidR="009F5D98" w:rsidRPr="00EE65CE">
        <w:rPr>
          <w:lang w:val="fr-FR"/>
        </w:rPr>
        <w:t>.</w:t>
      </w:r>
    </w:p>
    <w:p w:rsidR="009F5D98" w:rsidRPr="00EE65CE" w:rsidRDefault="009F5D98" w:rsidP="00542460">
      <w:pPr>
        <w:rPr>
          <w:lang w:val="fr-FR"/>
        </w:rPr>
      </w:pPr>
    </w:p>
    <w:p w:rsidR="009D6827" w:rsidRPr="00EE65CE" w:rsidRDefault="00274D74" w:rsidP="00542460">
      <w:pPr>
        <w:numPr>
          <w:ilvl w:val="0"/>
          <w:numId w:val="25"/>
        </w:numPr>
        <w:rPr>
          <w:lang w:val="fr-FR"/>
        </w:rPr>
      </w:pPr>
      <w:r w:rsidRPr="00EE65CE">
        <w:rPr>
          <w:b/>
          <w:lang w:val="fr-FR"/>
        </w:rPr>
        <w:t>Observation</w:t>
      </w:r>
      <w:r w:rsidR="00D40F58" w:rsidRPr="00EE65CE">
        <w:rPr>
          <w:b/>
          <w:lang w:val="fr-FR"/>
        </w:rPr>
        <w:t xml:space="preserve"> n° </w:t>
      </w:r>
      <w:r w:rsidR="009F5D98" w:rsidRPr="00EE65CE">
        <w:rPr>
          <w:b/>
          <w:lang w:val="fr-FR"/>
        </w:rPr>
        <w:t>1</w:t>
      </w:r>
      <w:r w:rsidR="00C94E4E" w:rsidRPr="00EE65CE">
        <w:rPr>
          <w:b/>
          <w:lang w:val="fr-FR"/>
        </w:rPr>
        <w:t>2</w:t>
      </w:r>
      <w:r w:rsidR="00D40F58" w:rsidRPr="00EE65CE">
        <w:rPr>
          <w:b/>
          <w:lang w:val="fr-FR"/>
        </w:rPr>
        <w:t> </w:t>
      </w:r>
      <w:r w:rsidR="009F5D98" w:rsidRPr="00EE65CE">
        <w:rPr>
          <w:b/>
          <w:lang w:val="fr-FR"/>
        </w:rPr>
        <w:t>:</w:t>
      </w:r>
      <w:r w:rsidR="00D40F58" w:rsidRPr="00EE65CE">
        <w:rPr>
          <w:lang w:val="fr-FR"/>
        </w:rPr>
        <w:t xml:space="preserve"> selon les coordonnateurs et les représentants des pays participants, l</w:t>
      </w:r>
      <w:r w:rsidR="009D6827" w:rsidRPr="00EE65CE">
        <w:rPr>
          <w:lang w:val="fr-FR"/>
        </w:rPr>
        <w:t>’</w:t>
      </w:r>
      <w:r w:rsidR="00D40F58" w:rsidRPr="00EE65CE">
        <w:rPr>
          <w:lang w:val="fr-FR"/>
        </w:rPr>
        <w:t xml:space="preserve">étude exploratoire a permis de mieux comprendre </w:t>
      </w:r>
      <w:r w:rsidR="00EB3081" w:rsidRPr="00EE65CE">
        <w:rPr>
          <w:lang w:val="fr-FR"/>
        </w:rPr>
        <w:t xml:space="preserve">la </w:t>
      </w:r>
      <w:r w:rsidR="00DD3EA6" w:rsidRPr="00EE65CE">
        <w:rPr>
          <w:lang w:val="fr-FR"/>
        </w:rPr>
        <w:t>“</w:t>
      </w:r>
      <w:r w:rsidR="00EB3081" w:rsidRPr="00EE65CE">
        <w:rPr>
          <w:lang w:val="fr-FR"/>
        </w:rPr>
        <w:t xml:space="preserve">norme </w:t>
      </w:r>
      <w:r w:rsidR="00DD3EA6" w:rsidRPr="00EE65CE">
        <w:rPr>
          <w:lang w:val="fr-FR"/>
        </w:rPr>
        <w:t>international</w:t>
      </w:r>
      <w:r w:rsidR="00EB3081" w:rsidRPr="00EE65CE">
        <w:rPr>
          <w:lang w:val="fr-FR"/>
        </w:rPr>
        <w:t>e</w:t>
      </w:r>
      <w:r w:rsidR="00DD3EA6" w:rsidRPr="00EE65CE">
        <w:rPr>
          <w:lang w:val="fr-FR"/>
        </w:rPr>
        <w:t xml:space="preserve">” </w:t>
      </w:r>
      <w:r w:rsidR="00EB3081" w:rsidRPr="00EE65CE">
        <w:rPr>
          <w:lang w:val="fr-FR"/>
        </w:rPr>
        <w:t xml:space="preserve">au regard de la situation dans leur propre pays, ce qui leur a permis de recenser les lacunes en matière de politique générale ou de législation, de fixer des </w:t>
      </w:r>
      <w:r w:rsidR="00DD3EA6" w:rsidRPr="00EE65CE">
        <w:rPr>
          <w:lang w:val="fr-FR"/>
        </w:rPr>
        <w:t>priorit</w:t>
      </w:r>
      <w:r w:rsidR="00EB3081" w:rsidRPr="00EE65CE">
        <w:rPr>
          <w:lang w:val="fr-FR"/>
        </w:rPr>
        <w:t>é</w:t>
      </w:r>
      <w:r w:rsidR="00DD3EA6" w:rsidRPr="00EE65CE">
        <w:rPr>
          <w:lang w:val="fr-FR"/>
        </w:rPr>
        <w:t xml:space="preserve">s </w:t>
      </w:r>
      <w:r w:rsidR="00EB3081" w:rsidRPr="00EE65CE">
        <w:rPr>
          <w:lang w:val="fr-FR"/>
        </w:rPr>
        <w:t>et de mieux saisir le potentiel qu</w:t>
      </w:r>
      <w:r w:rsidR="009D6827" w:rsidRPr="00EE65CE">
        <w:rPr>
          <w:lang w:val="fr-FR"/>
        </w:rPr>
        <w:t>’</w:t>
      </w:r>
      <w:r w:rsidR="00EB3081" w:rsidRPr="00EE65CE">
        <w:rPr>
          <w:lang w:val="fr-FR"/>
        </w:rPr>
        <w:t xml:space="preserve">offrait la propriété intellectuelle.  Le rôle essentiel que pouvaient jouer les </w:t>
      </w:r>
      <w:r w:rsidR="002A424F" w:rsidRPr="00EE65CE">
        <w:rPr>
          <w:lang w:val="fr-FR"/>
        </w:rPr>
        <w:t xml:space="preserve">transactions </w:t>
      </w:r>
      <w:r w:rsidR="00EB3081" w:rsidRPr="00EE65CE">
        <w:rPr>
          <w:lang w:val="fr-FR"/>
        </w:rPr>
        <w:t xml:space="preserve">basées sur les droits de propriété intellectuelle dans le financement de films a notamment été mentionné.  </w:t>
      </w:r>
      <w:r w:rsidR="00CF6C8D" w:rsidRPr="00EE65CE">
        <w:rPr>
          <w:lang w:val="fr-FR"/>
        </w:rPr>
        <w:t>L</w:t>
      </w:r>
      <w:r w:rsidR="009D6827" w:rsidRPr="00EE65CE">
        <w:rPr>
          <w:lang w:val="fr-FR"/>
        </w:rPr>
        <w:t>’</w:t>
      </w:r>
      <w:r w:rsidR="00CF6C8D" w:rsidRPr="00EE65CE">
        <w:rPr>
          <w:lang w:val="fr-FR"/>
        </w:rPr>
        <w:t>étude s</w:t>
      </w:r>
      <w:r w:rsidR="009D6827" w:rsidRPr="00EE65CE">
        <w:rPr>
          <w:lang w:val="fr-FR"/>
        </w:rPr>
        <w:t>’</w:t>
      </w:r>
      <w:r w:rsidR="00CF6C8D" w:rsidRPr="00EE65CE">
        <w:rPr>
          <w:lang w:val="fr-FR"/>
        </w:rPr>
        <w:t>est également révélée utile dans la mesure où elle a donné des orientations quant aux aspects à privilégier dans le cadre du projet, par exemple dans les ateliers de formation.  Plus généralement, le document constituait la première étude approfondie connue consacrée à la question du droit d</w:t>
      </w:r>
      <w:r w:rsidR="009D6827" w:rsidRPr="00EE65CE">
        <w:rPr>
          <w:lang w:val="fr-FR"/>
        </w:rPr>
        <w:t>’</w:t>
      </w:r>
      <w:r w:rsidR="00CF6C8D" w:rsidRPr="00EE65CE">
        <w:rPr>
          <w:lang w:val="fr-FR"/>
        </w:rPr>
        <w:t>auteur dans le secteur de l</w:t>
      </w:r>
      <w:r w:rsidR="009D6827" w:rsidRPr="00EE65CE">
        <w:rPr>
          <w:lang w:val="fr-FR"/>
        </w:rPr>
        <w:t>’</w:t>
      </w:r>
      <w:r w:rsidR="00CF6C8D" w:rsidRPr="00EE65CE">
        <w:rPr>
          <w:lang w:val="fr-FR"/>
        </w:rPr>
        <w:t xml:space="preserve">audiovisuel en Afrique et, à ce titre, présentait un intérêt pour les autres États membres et parties prenantes, outre </w:t>
      </w:r>
      <w:r w:rsidR="00697416" w:rsidRPr="00EE65CE">
        <w:rPr>
          <w:lang w:val="fr-FR"/>
        </w:rPr>
        <w:t>le fait qu</w:t>
      </w:r>
      <w:r w:rsidR="009D6827" w:rsidRPr="00EE65CE">
        <w:rPr>
          <w:lang w:val="fr-FR"/>
        </w:rPr>
        <w:t>’</w:t>
      </w:r>
      <w:r w:rsidR="00697416" w:rsidRPr="00EE65CE">
        <w:rPr>
          <w:lang w:val="fr-FR"/>
        </w:rPr>
        <w:t>il mettait en évidence la contribution positive que la propriété intellectuelle pouvait apporter à l</w:t>
      </w:r>
      <w:r w:rsidR="009D6827" w:rsidRPr="00EE65CE">
        <w:rPr>
          <w:lang w:val="fr-FR"/>
        </w:rPr>
        <w:t>’</w:t>
      </w:r>
      <w:r w:rsidR="00697416" w:rsidRPr="00EE65CE">
        <w:rPr>
          <w:lang w:val="fr-FR"/>
        </w:rPr>
        <w:t>industrie de la création.  L</w:t>
      </w:r>
      <w:r w:rsidR="009D6827" w:rsidRPr="00EE65CE">
        <w:rPr>
          <w:lang w:val="fr-FR"/>
        </w:rPr>
        <w:t>’</w:t>
      </w:r>
      <w:r w:rsidR="00697416" w:rsidRPr="00EE65CE">
        <w:rPr>
          <w:lang w:val="fr-FR"/>
        </w:rPr>
        <w:t xml:space="preserve">étude complémentaire sur la </w:t>
      </w:r>
      <w:r w:rsidR="00FE64B9" w:rsidRPr="00EE65CE">
        <w:rPr>
          <w:lang w:val="fr-FR"/>
        </w:rPr>
        <w:t>“</w:t>
      </w:r>
      <w:r w:rsidR="00697416" w:rsidRPr="00EE65CE">
        <w:rPr>
          <w:lang w:val="fr-FR"/>
        </w:rPr>
        <w:t>négociation collective des droits et la gestion collective des droits dans le secteur de l</w:t>
      </w:r>
      <w:r w:rsidR="009D6827" w:rsidRPr="00EE65CE">
        <w:rPr>
          <w:lang w:val="fr-FR"/>
        </w:rPr>
        <w:t>’</w:t>
      </w:r>
      <w:r w:rsidR="00697416" w:rsidRPr="00EE65CE">
        <w:rPr>
          <w:lang w:val="fr-FR"/>
        </w:rPr>
        <w:t>audiovisuel</w:t>
      </w:r>
      <w:r w:rsidR="00FE64B9" w:rsidRPr="00EE65CE">
        <w:rPr>
          <w:lang w:val="fr-FR"/>
        </w:rPr>
        <w:t>” (</w:t>
      </w:r>
      <w:r w:rsidR="00697416" w:rsidRPr="00EE65CE">
        <w:rPr>
          <w:lang w:val="fr-FR"/>
        </w:rPr>
        <w:t>établie par Mme </w:t>
      </w:r>
      <w:proofErr w:type="spellStart"/>
      <w:r w:rsidR="00FE64B9" w:rsidRPr="00EE65CE">
        <w:rPr>
          <w:lang w:val="fr-FR"/>
        </w:rPr>
        <w:t>Tarja</w:t>
      </w:r>
      <w:proofErr w:type="spellEnd"/>
      <w:r w:rsidR="00697416" w:rsidRPr="00EE65CE">
        <w:rPr>
          <w:lang w:val="fr-FR"/>
        </w:rPr>
        <w:t> </w:t>
      </w:r>
      <w:proofErr w:type="spellStart"/>
      <w:r w:rsidR="00FE64B9" w:rsidRPr="00EE65CE">
        <w:rPr>
          <w:lang w:val="fr-FR"/>
        </w:rPr>
        <w:t>Koskinen</w:t>
      </w:r>
      <w:r w:rsidR="00992678" w:rsidRPr="00EE65CE">
        <w:rPr>
          <w:lang w:val="fr-FR"/>
        </w:rPr>
        <w:noBreakHyphen/>
      </w:r>
      <w:r w:rsidR="00FE64B9" w:rsidRPr="00EE65CE">
        <w:rPr>
          <w:lang w:val="fr-FR"/>
        </w:rPr>
        <w:t>Olsson</w:t>
      </w:r>
      <w:proofErr w:type="spellEnd"/>
      <w:r w:rsidR="008D6253" w:rsidRPr="00EE65CE">
        <w:rPr>
          <w:lang w:val="fr-FR"/>
        </w:rPr>
        <w:t>)</w:t>
      </w:r>
      <w:r w:rsidR="00DF24DD" w:rsidRPr="00EE65CE">
        <w:rPr>
          <w:lang w:val="fr-FR"/>
        </w:rPr>
        <w:t xml:space="preserve"> a</w:t>
      </w:r>
      <w:r w:rsidR="00697416" w:rsidRPr="00EE65CE">
        <w:rPr>
          <w:lang w:val="fr-FR"/>
        </w:rPr>
        <w:t xml:space="preserve"> également fourni aux pays participants des indications </w:t>
      </w:r>
      <w:r w:rsidR="000660F3" w:rsidRPr="00EE65CE">
        <w:rPr>
          <w:lang w:val="fr-FR"/>
        </w:rPr>
        <w:t>similaires et des propositions concrètes dans le domaine de la gestion des droits.</w:t>
      </w:r>
    </w:p>
    <w:p w:rsidR="00FE64B9" w:rsidRPr="00EE65CE" w:rsidRDefault="00FE64B9" w:rsidP="00542460">
      <w:pPr>
        <w:rPr>
          <w:lang w:val="fr-FR"/>
        </w:rPr>
      </w:pPr>
    </w:p>
    <w:p w:rsidR="00A95F9D" w:rsidRPr="00EE65CE" w:rsidRDefault="000660F3" w:rsidP="00542460">
      <w:pPr>
        <w:jc w:val="both"/>
        <w:rPr>
          <w:i/>
          <w:szCs w:val="22"/>
          <w:u w:val="single"/>
          <w:lang w:val="fr-FR"/>
        </w:rPr>
      </w:pPr>
      <w:r w:rsidRPr="00EE65CE">
        <w:rPr>
          <w:i/>
          <w:szCs w:val="22"/>
          <w:u w:val="single"/>
          <w:lang w:val="fr-FR"/>
        </w:rPr>
        <w:t>Utilité des ateliers et des programmes de formation et d</w:t>
      </w:r>
      <w:r w:rsidR="009D6827" w:rsidRPr="00EE65CE">
        <w:rPr>
          <w:i/>
          <w:szCs w:val="22"/>
          <w:u w:val="single"/>
          <w:lang w:val="fr-FR"/>
        </w:rPr>
        <w:t>’</w:t>
      </w:r>
      <w:r w:rsidRPr="00EE65CE">
        <w:rPr>
          <w:i/>
          <w:szCs w:val="22"/>
          <w:u w:val="single"/>
          <w:lang w:val="fr-FR"/>
        </w:rPr>
        <w:t>enseignement à distance pour l</w:t>
      </w:r>
      <w:r w:rsidR="009D6827" w:rsidRPr="00EE65CE">
        <w:rPr>
          <w:i/>
          <w:szCs w:val="22"/>
          <w:u w:val="single"/>
          <w:lang w:val="fr-FR"/>
        </w:rPr>
        <w:t>’</w:t>
      </w:r>
      <w:r w:rsidRPr="00EE65CE">
        <w:rPr>
          <w:i/>
          <w:szCs w:val="22"/>
          <w:u w:val="single"/>
          <w:lang w:val="fr-FR"/>
        </w:rPr>
        <w:t>acquisition d</w:t>
      </w:r>
      <w:r w:rsidR="009D6827" w:rsidRPr="00EE65CE">
        <w:rPr>
          <w:i/>
          <w:szCs w:val="22"/>
          <w:u w:val="single"/>
          <w:lang w:val="fr-FR"/>
        </w:rPr>
        <w:t>’</w:t>
      </w:r>
      <w:r w:rsidRPr="00EE65CE">
        <w:rPr>
          <w:i/>
          <w:szCs w:val="22"/>
          <w:u w:val="single"/>
          <w:lang w:val="fr-FR"/>
        </w:rPr>
        <w:t>une formation professionnelle et d</w:t>
      </w:r>
      <w:r w:rsidR="009D6827" w:rsidRPr="00EE65CE">
        <w:rPr>
          <w:i/>
          <w:szCs w:val="22"/>
          <w:u w:val="single"/>
          <w:lang w:val="fr-FR"/>
        </w:rPr>
        <w:t>’</w:t>
      </w:r>
      <w:r w:rsidRPr="00EE65CE">
        <w:rPr>
          <w:i/>
          <w:szCs w:val="22"/>
          <w:u w:val="single"/>
          <w:lang w:val="fr-FR"/>
        </w:rPr>
        <w:t>une connaissance pratique en matière de financement, de distribution, de gestion et de concession de licences dans le domaine de l</w:t>
      </w:r>
      <w:r w:rsidR="009D6827" w:rsidRPr="00EE65CE">
        <w:rPr>
          <w:i/>
          <w:szCs w:val="22"/>
          <w:u w:val="single"/>
          <w:lang w:val="fr-FR"/>
        </w:rPr>
        <w:t>’</w:t>
      </w:r>
      <w:r w:rsidRPr="00EE65CE">
        <w:rPr>
          <w:i/>
          <w:szCs w:val="22"/>
          <w:u w:val="single"/>
          <w:lang w:val="fr-FR"/>
        </w:rPr>
        <w:t>audiovisuel afin de favoriser le développement local dans ce domaine</w:t>
      </w:r>
      <w:r w:rsidR="00A95F9D" w:rsidRPr="00EE65CE">
        <w:rPr>
          <w:i/>
          <w:szCs w:val="22"/>
          <w:u w:val="single"/>
          <w:lang w:val="fr-FR"/>
        </w:rPr>
        <w:t>.</w:t>
      </w:r>
    </w:p>
    <w:p w:rsidR="006D1965" w:rsidRPr="00EE65CE" w:rsidRDefault="006D1965" w:rsidP="00542460">
      <w:pPr>
        <w:jc w:val="both"/>
        <w:rPr>
          <w:lang w:val="fr-FR"/>
        </w:rPr>
      </w:pPr>
    </w:p>
    <w:p w:rsidR="009D6827" w:rsidRPr="00EE65CE" w:rsidRDefault="00274D74" w:rsidP="00542460">
      <w:pPr>
        <w:numPr>
          <w:ilvl w:val="0"/>
          <w:numId w:val="25"/>
        </w:numPr>
        <w:rPr>
          <w:lang w:val="fr-FR"/>
        </w:rPr>
      </w:pPr>
      <w:r w:rsidRPr="00EE65CE">
        <w:rPr>
          <w:b/>
          <w:lang w:val="fr-FR"/>
        </w:rPr>
        <w:t>Observation</w:t>
      </w:r>
      <w:r w:rsidR="000660F3" w:rsidRPr="00EE65CE">
        <w:rPr>
          <w:b/>
          <w:lang w:val="fr-FR"/>
        </w:rPr>
        <w:t xml:space="preserve"> n° </w:t>
      </w:r>
      <w:r w:rsidR="007369DE" w:rsidRPr="00EE65CE">
        <w:rPr>
          <w:b/>
          <w:lang w:val="fr-FR"/>
        </w:rPr>
        <w:t>1</w:t>
      </w:r>
      <w:r w:rsidR="00C94E4E" w:rsidRPr="00EE65CE">
        <w:rPr>
          <w:b/>
          <w:lang w:val="fr-FR"/>
        </w:rPr>
        <w:t>3</w:t>
      </w:r>
      <w:r w:rsidR="000660F3" w:rsidRPr="00EE65CE">
        <w:rPr>
          <w:b/>
          <w:lang w:val="fr-FR"/>
        </w:rPr>
        <w:t> </w:t>
      </w:r>
      <w:r w:rsidR="00780960" w:rsidRPr="00EE65CE">
        <w:rPr>
          <w:b/>
          <w:lang w:val="fr-FR"/>
        </w:rPr>
        <w:t>:</w:t>
      </w:r>
      <w:r w:rsidR="00780960" w:rsidRPr="00EE65CE">
        <w:rPr>
          <w:lang w:val="fr-FR"/>
        </w:rPr>
        <w:t xml:space="preserve"> </w:t>
      </w:r>
      <w:r w:rsidR="000660F3" w:rsidRPr="00EE65CE">
        <w:rPr>
          <w:lang w:val="fr-FR"/>
        </w:rPr>
        <w:t xml:space="preserve">selon les informations recueillies auprès des participants et des formateurs, les ateliers se sont révélés très utiles pour renforcer les </w:t>
      </w:r>
      <w:r w:rsidR="007347A8" w:rsidRPr="00EE65CE">
        <w:rPr>
          <w:lang w:val="fr-FR"/>
        </w:rPr>
        <w:t>connaissances des professionnels du cinéma et des autres parties prenantes en matière de propriété intellectuelle dans le secteur de l</w:t>
      </w:r>
      <w:r w:rsidR="009D6827" w:rsidRPr="00EE65CE">
        <w:rPr>
          <w:lang w:val="fr-FR"/>
        </w:rPr>
        <w:t>’</w:t>
      </w:r>
      <w:r w:rsidR="007347A8" w:rsidRPr="00EE65CE">
        <w:rPr>
          <w:lang w:val="fr-FR"/>
        </w:rPr>
        <w:t xml:space="preserve">audiovisuel.  Les ateliers ont été appréciés par les </w:t>
      </w:r>
      <w:r w:rsidR="00A53801" w:rsidRPr="00EE65CE">
        <w:rPr>
          <w:lang w:val="fr-FR"/>
        </w:rPr>
        <w:t xml:space="preserve">participants </w:t>
      </w:r>
      <w:r w:rsidR="007347A8" w:rsidRPr="00EE65CE">
        <w:rPr>
          <w:lang w:val="fr-FR"/>
        </w:rPr>
        <w:t>pour leur orientation pratique et le grand nombre d</w:t>
      </w:r>
      <w:r w:rsidR="009D6827" w:rsidRPr="00EE65CE">
        <w:rPr>
          <w:lang w:val="fr-FR"/>
        </w:rPr>
        <w:t>’</w:t>
      </w:r>
      <w:r w:rsidR="007347A8" w:rsidRPr="00EE65CE">
        <w:rPr>
          <w:lang w:val="fr-FR"/>
        </w:rPr>
        <w:t xml:space="preserve">informations </w:t>
      </w:r>
      <w:r w:rsidR="002A3BFC" w:rsidRPr="00EE65CE">
        <w:rPr>
          <w:lang w:val="fr-FR"/>
        </w:rPr>
        <w:t>fournies.  Compte tenu du faible degré de sensibilisation constaté, les ateliers ont été considérés p</w:t>
      </w:r>
      <w:r w:rsidR="008D3B25" w:rsidRPr="00EE65CE">
        <w:rPr>
          <w:lang w:val="fr-FR"/>
        </w:rPr>
        <w:t>ar</w:t>
      </w:r>
      <w:r w:rsidR="002A3BFC" w:rsidRPr="00EE65CE">
        <w:rPr>
          <w:lang w:val="fr-FR"/>
        </w:rPr>
        <w:t xml:space="preserve"> la majorité des </w:t>
      </w:r>
      <w:r w:rsidR="00130B13" w:rsidRPr="00EE65CE">
        <w:rPr>
          <w:lang w:val="fr-FR"/>
        </w:rPr>
        <w:t xml:space="preserve">participants </w:t>
      </w:r>
      <w:r w:rsidR="002A3BFC" w:rsidRPr="00EE65CE">
        <w:rPr>
          <w:lang w:val="fr-FR"/>
        </w:rPr>
        <w:t xml:space="preserve">comme </w:t>
      </w:r>
      <w:r w:rsidR="008D3B25" w:rsidRPr="00EE65CE">
        <w:rPr>
          <w:lang w:val="fr-FR"/>
        </w:rPr>
        <w:t>le</w:t>
      </w:r>
      <w:r w:rsidR="002A3BFC" w:rsidRPr="00EE65CE">
        <w:rPr>
          <w:lang w:val="fr-FR"/>
        </w:rPr>
        <w:t xml:space="preserve"> point de départ </w:t>
      </w:r>
      <w:r w:rsidR="008D3B25" w:rsidRPr="00EE65CE">
        <w:rPr>
          <w:lang w:val="fr-FR"/>
        </w:rPr>
        <w:t>d</w:t>
      </w:r>
      <w:r w:rsidR="009D6827" w:rsidRPr="00EE65CE">
        <w:rPr>
          <w:lang w:val="fr-FR"/>
        </w:rPr>
        <w:t>’</w:t>
      </w:r>
      <w:r w:rsidR="008D3B25" w:rsidRPr="00EE65CE">
        <w:rPr>
          <w:lang w:val="fr-FR"/>
        </w:rPr>
        <w:t>une connaissance plus approfondie du</w:t>
      </w:r>
      <w:r w:rsidR="002A3BFC" w:rsidRPr="00EE65CE">
        <w:rPr>
          <w:lang w:val="fr-FR"/>
        </w:rPr>
        <w:t xml:space="preserve"> potentiel offert par la propriété intellectuelle dans le cadre de leurs projets dans le domaine de l</w:t>
      </w:r>
      <w:r w:rsidR="009D6827" w:rsidRPr="00EE65CE">
        <w:rPr>
          <w:lang w:val="fr-FR"/>
        </w:rPr>
        <w:t>’</w:t>
      </w:r>
      <w:r w:rsidR="002A3BFC" w:rsidRPr="00EE65CE">
        <w:rPr>
          <w:lang w:val="fr-FR"/>
        </w:rPr>
        <w:t>audiovisuel.</w:t>
      </w:r>
    </w:p>
    <w:p w:rsidR="00DD3EA6" w:rsidRPr="00EE65CE" w:rsidRDefault="00DD3EA6" w:rsidP="00542460">
      <w:pPr>
        <w:jc w:val="both"/>
        <w:rPr>
          <w:lang w:val="fr-FR"/>
        </w:rPr>
      </w:pPr>
    </w:p>
    <w:p w:rsidR="009D6827" w:rsidRPr="00EE65CE" w:rsidRDefault="00274D74" w:rsidP="00542460">
      <w:pPr>
        <w:numPr>
          <w:ilvl w:val="0"/>
          <w:numId w:val="25"/>
        </w:numPr>
        <w:rPr>
          <w:lang w:val="fr-FR"/>
        </w:rPr>
      </w:pPr>
      <w:r w:rsidRPr="00EE65CE">
        <w:rPr>
          <w:b/>
          <w:lang w:val="fr-FR"/>
        </w:rPr>
        <w:lastRenderedPageBreak/>
        <w:t>Observation</w:t>
      </w:r>
      <w:r w:rsidR="008D3B25" w:rsidRPr="00EE65CE">
        <w:rPr>
          <w:b/>
          <w:lang w:val="fr-FR"/>
        </w:rPr>
        <w:t xml:space="preserve"> n° </w:t>
      </w:r>
      <w:r w:rsidR="00DD3EA6" w:rsidRPr="00EE65CE">
        <w:rPr>
          <w:b/>
          <w:lang w:val="fr-FR"/>
        </w:rPr>
        <w:t>1</w:t>
      </w:r>
      <w:r w:rsidR="00C94E4E" w:rsidRPr="00EE65CE">
        <w:rPr>
          <w:b/>
          <w:lang w:val="fr-FR"/>
        </w:rPr>
        <w:t>4</w:t>
      </w:r>
      <w:r w:rsidR="008D3B25" w:rsidRPr="00EE65CE">
        <w:rPr>
          <w:b/>
          <w:lang w:val="fr-FR"/>
        </w:rPr>
        <w:t> :</w:t>
      </w:r>
      <w:r w:rsidR="00A53801" w:rsidRPr="00EE65CE">
        <w:rPr>
          <w:lang w:val="fr-FR"/>
        </w:rPr>
        <w:t xml:space="preserve"> </w:t>
      </w:r>
      <w:r w:rsidR="008D3B25" w:rsidRPr="00EE65CE">
        <w:rPr>
          <w:lang w:val="fr-FR"/>
        </w:rPr>
        <w:t>dans la majeure partie des ateliers, il a été décidé d</w:t>
      </w:r>
      <w:r w:rsidR="009D6827" w:rsidRPr="00EE65CE">
        <w:rPr>
          <w:lang w:val="fr-FR"/>
        </w:rPr>
        <w:t>’</w:t>
      </w:r>
      <w:r w:rsidR="008D3B25" w:rsidRPr="00EE65CE">
        <w:rPr>
          <w:lang w:val="fr-FR"/>
        </w:rPr>
        <w:t xml:space="preserve">aborder un large éventail de questions plutôt que de traiter </w:t>
      </w:r>
      <w:r w:rsidR="00CF6795" w:rsidRPr="00EE65CE">
        <w:rPr>
          <w:lang w:val="fr-FR"/>
        </w:rPr>
        <w:t xml:space="preserve">de manière approfondie un certain nombre de </w:t>
      </w:r>
      <w:r w:rsidR="008D3B25" w:rsidRPr="00EE65CE">
        <w:rPr>
          <w:lang w:val="fr-FR"/>
        </w:rPr>
        <w:t xml:space="preserve">thèmes </w:t>
      </w:r>
      <w:r w:rsidR="00CF6795" w:rsidRPr="00EE65CE">
        <w:rPr>
          <w:lang w:val="fr-FR"/>
        </w:rPr>
        <w:t>précis.  Toutefois, dans la mesure où deux</w:t>
      </w:r>
      <w:r w:rsidR="005B2087" w:rsidRPr="00EE65CE">
        <w:rPr>
          <w:lang w:val="fr-FR"/>
        </w:rPr>
        <w:t> </w:t>
      </w:r>
      <w:r w:rsidR="00CF6795" w:rsidRPr="00EE65CE">
        <w:rPr>
          <w:lang w:val="fr-FR"/>
        </w:rPr>
        <w:t>ateliers ont été organisés dans chaque pays, le deuxième atelier a été davantage axé sur des thèmes précis, en s</w:t>
      </w:r>
      <w:r w:rsidR="009D6827" w:rsidRPr="00EE65CE">
        <w:rPr>
          <w:lang w:val="fr-FR"/>
        </w:rPr>
        <w:t>’</w:t>
      </w:r>
      <w:r w:rsidR="00CF6795" w:rsidRPr="00EE65CE">
        <w:rPr>
          <w:lang w:val="fr-FR"/>
        </w:rPr>
        <w:t>appuyant sur les besoins recensés lors du premier atelier (au total, huit ateliers ont été tenus, deux</w:t>
      </w:r>
      <w:r w:rsidR="005B2087" w:rsidRPr="00EE65CE">
        <w:rPr>
          <w:lang w:val="fr-FR"/>
        </w:rPr>
        <w:t> </w:t>
      </w:r>
      <w:r w:rsidR="00CF6795" w:rsidRPr="00EE65CE">
        <w:rPr>
          <w:lang w:val="fr-FR"/>
        </w:rPr>
        <w:t>par pays et deux autres au Sénégal à l</w:t>
      </w:r>
      <w:r w:rsidR="009D6827" w:rsidRPr="00EE65CE">
        <w:rPr>
          <w:lang w:val="fr-FR"/>
        </w:rPr>
        <w:t>’</w:t>
      </w:r>
      <w:r w:rsidR="00CF6795" w:rsidRPr="00EE65CE">
        <w:rPr>
          <w:lang w:val="fr-FR"/>
        </w:rPr>
        <w:t>intention des juristes</w:t>
      </w:r>
      <w:r w:rsidR="00193388" w:rsidRPr="00EE65CE">
        <w:rPr>
          <w:lang w:val="fr-FR"/>
        </w:rPr>
        <w:t xml:space="preserve">).  </w:t>
      </w:r>
      <w:r w:rsidR="00CF6795" w:rsidRPr="00EE65CE">
        <w:rPr>
          <w:lang w:val="fr-FR"/>
        </w:rPr>
        <w:t xml:space="preserve">En outre, dans certains cas, les ateliers ont donné lieu à des initiatives concrètes </w:t>
      </w:r>
      <w:r w:rsidR="007658BC" w:rsidRPr="00EE65CE">
        <w:rPr>
          <w:lang w:val="fr-FR"/>
        </w:rPr>
        <w:t>pour faire progresser les questions</w:t>
      </w:r>
      <w:r w:rsidR="00C05697" w:rsidRPr="00EE65CE">
        <w:rPr>
          <w:lang w:val="fr-FR"/>
        </w:rPr>
        <w:t xml:space="preserve">. </w:t>
      </w:r>
      <w:r w:rsidR="008505E7" w:rsidRPr="00EE65CE">
        <w:rPr>
          <w:lang w:val="fr-FR"/>
        </w:rPr>
        <w:t xml:space="preserve"> </w:t>
      </w:r>
      <w:r w:rsidR="007658BC" w:rsidRPr="00EE65CE">
        <w:rPr>
          <w:lang w:val="fr-FR"/>
        </w:rPr>
        <w:t>Par exemple, à la suite de l</w:t>
      </w:r>
      <w:r w:rsidR="009D6827" w:rsidRPr="00EE65CE">
        <w:rPr>
          <w:lang w:val="fr-FR"/>
        </w:rPr>
        <w:t>’</w:t>
      </w:r>
      <w:r w:rsidR="007658BC" w:rsidRPr="00EE65CE">
        <w:rPr>
          <w:lang w:val="fr-FR"/>
        </w:rPr>
        <w:t>atelier tenu au Kenya en</w:t>
      </w:r>
      <w:r w:rsidR="005B2087" w:rsidRPr="00EE65CE">
        <w:rPr>
          <w:lang w:val="fr-FR"/>
        </w:rPr>
        <w:t> </w:t>
      </w:r>
      <w:r w:rsidR="007658BC" w:rsidRPr="00EE65CE">
        <w:rPr>
          <w:lang w:val="fr-FR"/>
        </w:rPr>
        <w:t>2015, une équipe d</w:t>
      </w:r>
      <w:r w:rsidR="009D6827" w:rsidRPr="00EE65CE">
        <w:rPr>
          <w:lang w:val="fr-FR"/>
        </w:rPr>
        <w:t>’</w:t>
      </w:r>
      <w:r w:rsidR="007658BC" w:rsidRPr="00EE65CE">
        <w:rPr>
          <w:lang w:val="fr-FR"/>
        </w:rPr>
        <w:t>experts a été créée en vue d</w:t>
      </w:r>
      <w:r w:rsidR="009D6827" w:rsidRPr="00EE65CE">
        <w:rPr>
          <w:lang w:val="fr-FR"/>
        </w:rPr>
        <w:t>’</w:t>
      </w:r>
      <w:r w:rsidR="007658BC" w:rsidRPr="00EE65CE">
        <w:rPr>
          <w:lang w:val="fr-FR"/>
        </w:rPr>
        <w:t>appuyer la création d</w:t>
      </w:r>
      <w:r w:rsidR="009D6827" w:rsidRPr="00EE65CE">
        <w:rPr>
          <w:lang w:val="fr-FR"/>
        </w:rPr>
        <w:t>’</w:t>
      </w:r>
      <w:r w:rsidR="007658BC" w:rsidRPr="00EE65CE">
        <w:rPr>
          <w:lang w:val="fr-FR"/>
        </w:rPr>
        <w:t>une nouvelle organisation de gestion collective des droits.  Il convient de noter que le lancement du programme d</w:t>
      </w:r>
      <w:r w:rsidR="009D6827" w:rsidRPr="00EE65CE">
        <w:rPr>
          <w:lang w:val="fr-FR"/>
        </w:rPr>
        <w:t>’</w:t>
      </w:r>
      <w:r w:rsidR="007658BC" w:rsidRPr="00EE65CE">
        <w:rPr>
          <w:lang w:val="fr-FR"/>
        </w:rPr>
        <w:t>enseignement à distance a été reporté au début de</w:t>
      </w:r>
      <w:r w:rsidR="005B2087" w:rsidRPr="00EE65CE">
        <w:rPr>
          <w:lang w:val="fr-FR"/>
        </w:rPr>
        <w:t> </w:t>
      </w:r>
      <w:r w:rsidR="007658BC" w:rsidRPr="00EE65CE">
        <w:rPr>
          <w:lang w:val="fr-FR"/>
        </w:rPr>
        <w:t>2016.</w:t>
      </w:r>
    </w:p>
    <w:p w:rsidR="00693D40" w:rsidRPr="00EE65CE" w:rsidRDefault="00693D40" w:rsidP="00542460">
      <w:pPr>
        <w:pStyle w:val="Numbers"/>
        <w:numPr>
          <w:ilvl w:val="0"/>
          <w:numId w:val="0"/>
        </w:numPr>
        <w:spacing w:before="0"/>
        <w:ind w:left="1350"/>
        <w:rPr>
          <w:rFonts w:ascii="Arial" w:hAnsi="Arial" w:cs="Arial"/>
          <w:sz w:val="24"/>
          <w:szCs w:val="24"/>
          <w:lang w:val="fr-FR"/>
        </w:rPr>
      </w:pPr>
    </w:p>
    <w:p w:rsidR="00CF75E5" w:rsidRPr="00EE65CE" w:rsidRDefault="00385620" w:rsidP="00BC6A54">
      <w:pPr>
        <w:pStyle w:val="Heading2"/>
      </w:pPr>
      <w:bookmarkStart w:id="28" w:name="_Toc336032072"/>
      <w:bookmarkStart w:id="29" w:name="_Toc441830358"/>
      <w:r w:rsidRPr="00EE65CE">
        <w:t>C.</w:t>
      </w:r>
      <w:r w:rsidRPr="00EE65CE">
        <w:tab/>
      </w:r>
      <w:bookmarkEnd w:id="28"/>
      <w:r w:rsidR="00C03EB3">
        <w:t>Viabilité</w:t>
      </w:r>
      <w:bookmarkEnd w:id="29"/>
    </w:p>
    <w:p w:rsidR="000308C7" w:rsidRPr="00EE65CE" w:rsidRDefault="00F94E3B" w:rsidP="00542460">
      <w:pPr>
        <w:keepNext/>
        <w:keepLines/>
        <w:rPr>
          <w:szCs w:val="22"/>
          <w:lang w:val="fr-FR"/>
        </w:rPr>
      </w:pPr>
      <w:r w:rsidRPr="00EE65CE">
        <w:rPr>
          <w:i/>
          <w:szCs w:val="22"/>
          <w:u w:val="single"/>
          <w:lang w:val="fr-FR"/>
        </w:rPr>
        <w:t>Probabilité de la poursuite des activités relatives au renforcement du secteur de l</w:t>
      </w:r>
      <w:r w:rsidR="009D6827" w:rsidRPr="00EE65CE">
        <w:rPr>
          <w:i/>
          <w:szCs w:val="22"/>
          <w:u w:val="single"/>
          <w:lang w:val="fr-FR"/>
        </w:rPr>
        <w:t>’</w:t>
      </w:r>
      <w:r w:rsidRPr="00EE65CE">
        <w:rPr>
          <w:i/>
          <w:szCs w:val="22"/>
          <w:u w:val="single"/>
          <w:lang w:val="fr-FR"/>
        </w:rPr>
        <w:t>audiovisuel à l</w:t>
      </w:r>
      <w:r w:rsidR="009D6827" w:rsidRPr="00EE65CE">
        <w:rPr>
          <w:i/>
          <w:szCs w:val="22"/>
          <w:u w:val="single"/>
          <w:lang w:val="fr-FR"/>
        </w:rPr>
        <w:t>’</w:t>
      </w:r>
      <w:r w:rsidRPr="00EE65CE">
        <w:rPr>
          <w:i/>
          <w:szCs w:val="22"/>
          <w:u w:val="single"/>
          <w:lang w:val="fr-FR"/>
        </w:rPr>
        <w:t>OMPI et dans ses États membres</w:t>
      </w:r>
      <w:r w:rsidR="00A95F9D" w:rsidRPr="00EE65CE">
        <w:rPr>
          <w:i/>
          <w:szCs w:val="22"/>
          <w:u w:val="single"/>
          <w:lang w:val="fr-FR"/>
        </w:rPr>
        <w:t>.</w:t>
      </w:r>
    </w:p>
    <w:p w:rsidR="00077463" w:rsidRPr="00EE65CE" w:rsidRDefault="00077463" w:rsidP="00542460">
      <w:pPr>
        <w:keepNext/>
        <w:rPr>
          <w:szCs w:val="22"/>
          <w:lang w:val="fr-FR"/>
        </w:rPr>
      </w:pPr>
    </w:p>
    <w:p w:rsidR="009D6827" w:rsidRPr="00EE65CE" w:rsidRDefault="00274D74" w:rsidP="00542460">
      <w:pPr>
        <w:numPr>
          <w:ilvl w:val="0"/>
          <w:numId w:val="25"/>
        </w:numPr>
        <w:rPr>
          <w:szCs w:val="22"/>
          <w:lang w:val="fr-FR"/>
        </w:rPr>
      </w:pPr>
      <w:r w:rsidRPr="00EE65CE">
        <w:rPr>
          <w:b/>
          <w:szCs w:val="22"/>
          <w:lang w:val="fr-FR"/>
        </w:rPr>
        <w:t>Observation</w:t>
      </w:r>
      <w:r w:rsidR="00F94E3B" w:rsidRPr="00EE65CE">
        <w:rPr>
          <w:b/>
          <w:szCs w:val="22"/>
          <w:lang w:val="fr-FR"/>
        </w:rPr>
        <w:t xml:space="preserve"> n° </w:t>
      </w:r>
      <w:r w:rsidR="004329B7" w:rsidRPr="00EE65CE">
        <w:rPr>
          <w:b/>
          <w:szCs w:val="22"/>
          <w:lang w:val="fr-FR"/>
        </w:rPr>
        <w:t>1</w:t>
      </w:r>
      <w:r w:rsidR="00C94E4E" w:rsidRPr="00EE65CE">
        <w:rPr>
          <w:b/>
          <w:szCs w:val="22"/>
          <w:lang w:val="fr-FR"/>
        </w:rPr>
        <w:t>5</w:t>
      </w:r>
      <w:r w:rsidR="00F94E3B" w:rsidRPr="00EE65CE">
        <w:rPr>
          <w:b/>
          <w:szCs w:val="22"/>
          <w:lang w:val="fr-FR"/>
        </w:rPr>
        <w:t> </w:t>
      </w:r>
      <w:r w:rsidR="00077463" w:rsidRPr="00EE65CE">
        <w:rPr>
          <w:b/>
          <w:szCs w:val="22"/>
          <w:lang w:val="fr-FR"/>
        </w:rPr>
        <w:t xml:space="preserve">: </w:t>
      </w:r>
      <w:r w:rsidR="00F94E3B" w:rsidRPr="00EE65CE">
        <w:rPr>
          <w:szCs w:val="22"/>
          <w:lang w:val="fr-FR"/>
        </w:rPr>
        <w:t>le projet était conçu comme un projet pilote, comme il ressort du nombre limité de pays participants</w:t>
      </w:r>
      <w:r w:rsidR="0039191B" w:rsidRPr="00EE65CE">
        <w:rPr>
          <w:szCs w:val="22"/>
          <w:lang w:val="fr-FR"/>
        </w:rPr>
        <w:t>,</w:t>
      </w:r>
      <w:r w:rsidR="00B62812" w:rsidRPr="00EE65CE">
        <w:rPr>
          <w:szCs w:val="22"/>
          <w:lang w:val="fr-FR"/>
        </w:rPr>
        <w:t xml:space="preserve"> de l</w:t>
      </w:r>
      <w:r w:rsidR="009D6827" w:rsidRPr="00EE65CE">
        <w:rPr>
          <w:szCs w:val="22"/>
          <w:lang w:val="fr-FR"/>
        </w:rPr>
        <w:t>’</w:t>
      </w:r>
      <w:r w:rsidR="00B62812" w:rsidRPr="00EE65CE">
        <w:rPr>
          <w:szCs w:val="22"/>
          <w:lang w:val="fr-FR"/>
        </w:rPr>
        <w:t>organisation des ateliers de formation à titre expérimental et de l</w:t>
      </w:r>
      <w:r w:rsidR="009D6827" w:rsidRPr="00EE65CE">
        <w:rPr>
          <w:szCs w:val="22"/>
          <w:lang w:val="fr-FR"/>
        </w:rPr>
        <w:t>’</w:t>
      </w:r>
      <w:r w:rsidR="00B62812" w:rsidRPr="00EE65CE">
        <w:rPr>
          <w:szCs w:val="22"/>
          <w:lang w:val="fr-FR"/>
        </w:rPr>
        <w:t>assistance fournie.  À cet égard, il s</w:t>
      </w:r>
      <w:r w:rsidR="009D6827" w:rsidRPr="00EE65CE">
        <w:rPr>
          <w:szCs w:val="22"/>
          <w:lang w:val="fr-FR"/>
        </w:rPr>
        <w:t>’</w:t>
      </w:r>
      <w:r w:rsidR="00B62812" w:rsidRPr="00EE65CE">
        <w:rPr>
          <w:szCs w:val="22"/>
          <w:lang w:val="fr-FR"/>
        </w:rPr>
        <w:t>agissait pour l</w:t>
      </w:r>
      <w:r w:rsidR="009D6827" w:rsidRPr="00EE65CE">
        <w:rPr>
          <w:szCs w:val="22"/>
          <w:lang w:val="fr-FR"/>
        </w:rPr>
        <w:t>’</w:t>
      </w:r>
      <w:r w:rsidR="00B62812" w:rsidRPr="00EE65CE">
        <w:rPr>
          <w:szCs w:val="22"/>
          <w:lang w:val="fr-FR"/>
        </w:rPr>
        <w:t>OMPI d</w:t>
      </w:r>
      <w:r w:rsidR="009D6827" w:rsidRPr="00EE65CE">
        <w:rPr>
          <w:szCs w:val="22"/>
          <w:lang w:val="fr-FR"/>
        </w:rPr>
        <w:t>’</w:t>
      </w:r>
      <w:r w:rsidR="00B62812" w:rsidRPr="00EE65CE">
        <w:rPr>
          <w:szCs w:val="22"/>
          <w:lang w:val="fr-FR"/>
        </w:rPr>
        <w:t>une première expérience s</w:t>
      </w:r>
      <w:r w:rsidR="009D6827" w:rsidRPr="00EE65CE">
        <w:rPr>
          <w:szCs w:val="22"/>
          <w:lang w:val="fr-FR"/>
        </w:rPr>
        <w:t>’</w:t>
      </w:r>
      <w:r w:rsidR="00B62812" w:rsidRPr="00EE65CE">
        <w:rPr>
          <w:szCs w:val="22"/>
          <w:lang w:val="fr-FR"/>
        </w:rPr>
        <w:t>agissant de la mise en œuvre de ce type de projet dans le domaine du droit d</w:t>
      </w:r>
      <w:r w:rsidR="009D6827" w:rsidRPr="00EE65CE">
        <w:rPr>
          <w:szCs w:val="22"/>
          <w:lang w:val="fr-FR"/>
        </w:rPr>
        <w:t>’</w:t>
      </w:r>
      <w:r w:rsidR="00B62812" w:rsidRPr="00EE65CE">
        <w:rPr>
          <w:szCs w:val="22"/>
          <w:lang w:val="fr-FR"/>
        </w:rPr>
        <w:t>auteur</w:t>
      </w:r>
      <w:r w:rsidR="00C05697" w:rsidRPr="00EE65CE">
        <w:rPr>
          <w:szCs w:val="22"/>
          <w:lang w:val="fr-FR"/>
        </w:rPr>
        <w:t xml:space="preserve">, </w:t>
      </w:r>
      <w:r w:rsidR="00B62812" w:rsidRPr="00EE65CE">
        <w:rPr>
          <w:szCs w:val="22"/>
          <w:lang w:val="fr-FR"/>
        </w:rPr>
        <w:t>d</w:t>
      </w:r>
      <w:r w:rsidR="0039191B" w:rsidRPr="00EE65CE">
        <w:rPr>
          <w:szCs w:val="22"/>
          <w:lang w:val="fr-FR"/>
        </w:rPr>
        <w:t xml:space="preserve">ans le </w:t>
      </w:r>
      <w:r w:rsidR="00B62812" w:rsidRPr="00EE65CE">
        <w:rPr>
          <w:szCs w:val="22"/>
          <w:lang w:val="fr-FR"/>
        </w:rPr>
        <w:t>secteur de l</w:t>
      </w:r>
      <w:r w:rsidR="009D6827" w:rsidRPr="00EE65CE">
        <w:rPr>
          <w:szCs w:val="22"/>
          <w:lang w:val="fr-FR"/>
        </w:rPr>
        <w:t>’</w:t>
      </w:r>
      <w:r w:rsidR="00B62812" w:rsidRPr="00EE65CE">
        <w:rPr>
          <w:szCs w:val="22"/>
          <w:lang w:val="fr-FR"/>
        </w:rPr>
        <w:t>audiovisue</w:t>
      </w:r>
      <w:r w:rsidR="00C05697" w:rsidRPr="00EE65CE">
        <w:rPr>
          <w:szCs w:val="22"/>
          <w:lang w:val="fr-FR"/>
        </w:rPr>
        <w:t xml:space="preserve">l </w:t>
      </w:r>
      <w:r w:rsidR="00B62812" w:rsidRPr="00EE65CE">
        <w:rPr>
          <w:szCs w:val="22"/>
          <w:lang w:val="fr-FR"/>
        </w:rPr>
        <w:t xml:space="preserve">et en </w:t>
      </w:r>
      <w:r w:rsidR="00C05697" w:rsidRPr="00EE65CE">
        <w:rPr>
          <w:szCs w:val="22"/>
          <w:lang w:val="fr-FR"/>
        </w:rPr>
        <w:t>Afri</w:t>
      </w:r>
      <w:r w:rsidR="00B62812" w:rsidRPr="00EE65CE">
        <w:rPr>
          <w:szCs w:val="22"/>
          <w:lang w:val="fr-FR"/>
        </w:rPr>
        <w:t>que</w:t>
      </w:r>
      <w:r w:rsidR="004329B7" w:rsidRPr="00EE65CE">
        <w:rPr>
          <w:szCs w:val="22"/>
          <w:lang w:val="fr-FR"/>
        </w:rPr>
        <w:t>.</w:t>
      </w:r>
    </w:p>
    <w:p w:rsidR="004329B7" w:rsidRPr="00EE65CE" w:rsidRDefault="004329B7" w:rsidP="00542460">
      <w:pPr>
        <w:rPr>
          <w:lang w:val="fr-FR"/>
        </w:rPr>
      </w:pPr>
    </w:p>
    <w:p w:rsidR="009D6827" w:rsidRPr="00EE65CE" w:rsidRDefault="00274D74" w:rsidP="00542460">
      <w:pPr>
        <w:pStyle w:val="BodyText"/>
        <w:numPr>
          <w:ilvl w:val="0"/>
          <w:numId w:val="25"/>
        </w:numPr>
        <w:rPr>
          <w:lang w:val="fr-FR"/>
        </w:rPr>
      </w:pPr>
      <w:r w:rsidRPr="00EE65CE">
        <w:rPr>
          <w:b/>
          <w:szCs w:val="22"/>
          <w:lang w:val="fr-FR"/>
        </w:rPr>
        <w:t>Observation</w:t>
      </w:r>
      <w:r w:rsidR="00B62812" w:rsidRPr="00EE65CE">
        <w:rPr>
          <w:b/>
          <w:szCs w:val="22"/>
          <w:lang w:val="fr-FR"/>
        </w:rPr>
        <w:t xml:space="preserve"> n° </w:t>
      </w:r>
      <w:r w:rsidR="004329B7" w:rsidRPr="00EE65CE">
        <w:rPr>
          <w:b/>
          <w:szCs w:val="22"/>
          <w:lang w:val="fr-FR"/>
        </w:rPr>
        <w:t>1</w:t>
      </w:r>
      <w:r w:rsidR="00C94E4E" w:rsidRPr="00EE65CE">
        <w:rPr>
          <w:b/>
          <w:szCs w:val="22"/>
          <w:lang w:val="fr-FR"/>
        </w:rPr>
        <w:t>6</w:t>
      </w:r>
      <w:r w:rsidR="00B62812" w:rsidRPr="00EE65CE">
        <w:rPr>
          <w:b/>
          <w:szCs w:val="22"/>
          <w:lang w:val="fr-FR"/>
        </w:rPr>
        <w:t> </w:t>
      </w:r>
      <w:r w:rsidR="00AE2E5B" w:rsidRPr="00EE65CE">
        <w:rPr>
          <w:b/>
          <w:szCs w:val="22"/>
          <w:lang w:val="fr-FR"/>
        </w:rPr>
        <w:t>:</w:t>
      </w:r>
      <w:r w:rsidR="008505E7" w:rsidRPr="00EE65CE">
        <w:rPr>
          <w:b/>
          <w:szCs w:val="22"/>
          <w:lang w:val="fr-FR"/>
        </w:rPr>
        <w:t xml:space="preserve"> </w:t>
      </w:r>
      <w:r w:rsidR="00B62812" w:rsidRPr="00EE65CE">
        <w:rPr>
          <w:szCs w:val="22"/>
          <w:lang w:val="fr-FR"/>
        </w:rPr>
        <w:t xml:space="preserve">Comme indiqué dans les précédentes </w:t>
      </w:r>
      <w:r w:rsidRPr="00EE65CE">
        <w:rPr>
          <w:szCs w:val="22"/>
          <w:lang w:val="fr-FR"/>
        </w:rPr>
        <w:t>observation</w:t>
      </w:r>
      <w:r w:rsidR="00B62812" w:rsidRPr="00EE65CE">
        <w:rPr>
          <w:szCs w:val="22"/>
          <w:lang w:val="fr-FR"/>
        </w:rPr>
        <w:t>s, le projet a jeté les bases d</w:t>
      </w:r>
      <w:r w:rsidR="009D6827" w:rsidRPr="00EE65CE">
        <w:rPr>
          <w:szCs w:val="22"/>
          <w:lang w:val="fr-FR"/>
        </w:rPr>
        <w:t>’</w:t>
      </w:r>
      <w:r w:rsidR="00B62812" w:rsidRPr="00EE65CE">
        <w:rPr>
          <w:szCs w:val="22"/>
          <w:lang w:val="fr-FR"/>
        </w:rPr>
        <w:t>un renforcement de la connaissance et de l</w:t>
      </w:r>
      <w:r w:rsidR="009D6827" w:rsidRPr="00EE65CE">
        <w:rPr>
          <w:szCs w:val="22"/>
          <w:lang w:val="fr-FR"/>
        </w:rPr>
        <w:t>’</w:t>
      </w:r>
      <w:r w:rsidR="00B62812" w:rsidRPr="00EE65CE">
        <w:rPr>
          <w:szCs w:val="22"/>
          <w:lang w:val="fr-FR"/>
        </w:rPr>
        <w:t>utilisation potentielle de la propriété intellectuelle dans le secteur de l</w:t>
      </w:r>
      <w:r w:rsidR="009D6827" w:rsidRPr="00EE65CE">
        <w:rPr>
          <w:szCs w:val="22"/>
          <w:lang w:val="fr-FR"/>
        </w:rPr>
        <w:t>’</w:t>
      </w:r>
      <w:r w:rsidR="00B62812" w:rsidRPr="00EE65CE">
        <w:rPr>
          <w:szCs w:val="22"/>
          <w:lang w:val="fr-FR"/>
        </w:rPr>
        <w:t>audiovisuel dans les trois</w:t>
      </w:r>
      <w:r w:rsidR="005B2087" w:rsidRPr="00EE65CE">
        <w:rPr>
          <w:szCs w:val="22"/>
          <w:lang w:val="fr-FR"/>
        </w:rPr>
        <w:t> </w:t>
      </w:r>
      <w:r w:rsidR="00B62812" w:rsidRPr="00EE65CE">
        <w:rPr>
          <w:szCs w:val="22"/>
          <w:lang w:val="fr-FR"/>
        </w:rPr>
        <w:t xml:space="preserve">pays concernés.  Toutefois, pour que les résultats soient viables et que les objectifs du projet soient atteints, </w:t>
      </w:r>
      <w:r w:rsidR="00B85D31" w:rsidRPr="00EE65CE">
        <w:rPr>
          <w:szCs w:val="22"/>
          <w:lang w:val="fr-FR"/>
        </w:rPr>
        <w:t>un appui supplémentaire de l</w:t>
      </w:r>
      <w:r w:rsidR="009D6827" w:rsidRPr="00EE65CE">
        <w:rPr>
          <w:szCs w:val="22"/>
          <w:lang w:val="fr-FR"/>
        </w:rPr>
        <w:t>’</w:t>
      </w:r>
      <w:r w:rsidR="00B85D31" w:rsidRPr="00EE65CE">
        <w:rPr>
          <w:szCs w:val="22"/>
          <w:lang w:val="fr-FR"/>
        </w:rPr>
        <w:t xml:space="preserve">OMPI </w:t>
      </w:r>
      <w:r w:rsidR="00B85D31" w:rsidRPr="00EE65CE">
        <w:rPr>
          <w:lang w:val="fr-FR"/>
        </w:rPr>
        <w:t>serait nécessaire</w:t>
      </w:r>
      <w:r w:rsidR="00444FF4" w:rsidRPr="00EE65CE">
        <w:rPr>
          <w:lang w:val="fr-FR"/>
        </w:rPr>
        <w:t>.</w:t>
      </w:r>
      <w:r w:rsidR="00B85D31" w:rsidRPr="00EE65CE">
        <w:rPr>
          <w:lang w:val="fr-FR"/>
        </w:rPr>
        <w:t xml:space="preserve"> </w:t>
      </w:r>
      <w:r w:rsidR="00444FF4" w:rsidRPr="00EE65CE">
        <w:rPr>
          <w:lang w:val="fr-FR"/>
        </w:rPr>
        <w:t xml:space="preserve"> </w:t>
      </w:r>
      <w:r w:rsidR="00B85D31" w:rsidRPr="00EE65CE">
        <w:rPr>
          <w:lang w:val="fr-FR"/>
        </w:rPr>
        <w:t>Il convient, à cet égard, de tenir compte du fait que les objectifs du projet étaient très ambitieux au regard du calendrier d</w:t>
      </w:r>
      <w:r w:rsidR="009D6827" w:rsidRPr="00EE65CE">
        <w:rPr>
          <w:lang w:val="fr-FR"/>
        </w:rPr>
        <w:t>’</w:t>
      </w:r>
      <w:r w:rsidR="00B85D31" w:rsidRPr="00EE65CE">
        <w:rPr>
          <w:lang w:val="fr-FR"/>
        </w:rPr>
        <w:t>exécution fixé et qu</w:t>
      </w:r>
      <w:r w:rsidR="009D6827" w:rsidRPr="00EE65CE">
        <w:rPr>
          <w:lang w:val="fr-FR"/>
        </w:rPr>
        <w:t>’</w:t>
      </w:r>
      <w:r w:rsidR="00B85D31" w:rsidRPr="00EE65CE">
        <w:rPr>
          <w:lang w:val="fr-FR"/>
        </w:rPr>
        <w:t>il n</w:t>
      </w:r>
      <w:r w:rsidR="009D6827" w:rsidRPr="00EE65CE">
        <w:rPr>
          <w:lang w:val="fr-FR"/>
        </w:rPr>
        <w:t>’</w:t>
      </w:r>
      <w:r w:rsidR="00B85D31" w:rsidRPr="00EE65CE">
        <w:rPr>
          <w:lang w:val="fr-FR"/>
        </w:rPr>
        <w:t>avait pas été possible d</w:t>
      </w:r>
      <w:r w:rsidR="009D6827" w:rsidRPr="00EE65CE">
        <w:rPr>
          <w:lang w:val="fr-FR"/>
        </w:rPr>
        <w:t>’</w:t>
      </w:r>
      <w:r w:rsidR="00B85D31" w:rsidRPr="00EE65CE">
        <w:rPr>
          <w:lang w:val="fr-FR"/>
        </w:rPr>
        <w:t>anticiper pleinement le faible degré de sensibilisation et les difficultés rencontrées dans la mise en œuvre du projet.</w:t>
      </w:r>
    </w:p>
    <w:p w:rsidR="009D6827" w:rsidRPr="00EE65CE" w:rsidRDefault="00274D74" w:rsidP="00542460">
      <w:pPr>
        <w:pStyle w:val="BodyText"/>
        <w:numPr>
          <w:ilvl w:val="0"/>
          <w:numId w:val="25"/>
        </w:numPr>
        <w:rPr>
          <w:szCs w:val="22"/>
          <w:lang w:val="fr-FR"/>
        </w:rPr>
      </w:pPr>
      <w:r w:rsidRPr="00EE65CE">
        <w:rPr>
          <w:b/>
          <w:szCs w:val="22"/>
          <w:lang w:val="fr-FR"/>
        </w:rPr>
        <w:t>Observation</w:t>
      </w:r>
      <w:r w:rsidR="00B85D31" w:rsidRPr="00EE65CE">
        <w:rPr>
          <w:b/>
          <w:szCs w:val="22"/>
          <w:lang w:val="fr-FR"/>
        </w:rPr>
        <w:t xml:space="preserve"> n° 1</w:t>
      </w:r>
      <w:r w:rsidR="00C94E4E" w:rsidRPr="00EE65CE">
        <w:rPr>
          <w:b/>
          <w:szCs w:val="22"/>
          <w:lang w:val="fr-FR"/>
        </w:rPr>
        <w:t>7</w:t>
      </w:r>
      <w:r w:rsidR="00B85D31" w:rsidRPr="00EE65CE">
        <w:rPr>
          <w:b/>
          <w:szCs w:val="22"/>
          <w:lang w:val="fr-FR"/>
        </w:rPr>
        <w:t> </w:t>
      </w:r>
      <w:r w:rsidR="008A55D9" w:rsidRPr="00EE65CE">
        <w:rPr>
          <w:b/>
          <w:szCs w:val="22"/>
          <w:lang w:val="fr-FR"/>
        </w:rPr>
        <w:t>:</w:t>
      </w:r>
      <w:r w:rsidR="00077463" w:rsidRPr="00EE65CE">
        <w:rPr>
          <w:szCs w:val="22"/>
          <w:lang w:val="fr-FR"/>
        </w:rPr>
        <w:t xml:space="preserve"> </w:t>
      </w:r>
      <w:r w:rsidR="00B85D31" w:rsidRPr="00EE65CE">
        <w:rPr>
          <w:szCs w:val="22"/>
          <w:lang w:val="fr-FR"/>
        </w:rPr>
        <w:t>la probabilité que les progrès accomplis jusqu</w:t>
      </w:r>
      <w:r w:rsidR="009D6827" w:rsidRPr="00EE65CE">
        <w:rPr>
          <w:szCs w:val="22"/>
          <w:lang w:val="fr-FR"/>
        </w:rPr>
        <w:t>’</w:t>
      </w:r>
      <w:r w:rsidR="00B85D31" w:rsidRPr="00EE65CE">
        <w:rPr>
          <w:szCs w:val="22"/>
          <w:lang w:val="fr-FR"/>
        </w:rPr>
        <w:t>ici soient viables dépend également de l</w:t>
      </w:r>
      <w:r w:rsidR="009D6827" w:rsidRPr="00EE65CE">
        <w:rPr>
          <w:szCs w:val="22"/>
          <w:lang w:val="fr-FR"/>
        </w:rPr>
        <w:t>’</w:t>
      </w:r>
      <w:r w:rsidR="00B85D31" w:rsidRPr="00EE65CE">
        <w:rPr>
          <w:szCs w:val="22"/>
          <w:lang w:val="fr-FR"/>
        </w:rPr>
        <w:t>appui apporté par les autorités compétentes dans les trois pays.  Comme indiqué plus haut, le rôle des coordonnateurs était essentiel, tout comme l</w:t>
      </w:r>
      <w:r w:rsidR="009D6827" w:rsidRPr="00EE65CE">
        <w:rPr>
          <w:szCs w:val="22"/>
          <w:lang w:val="fr-FR"/>
        </w:rPr>
        <w:t>’</w:t>
      </w:r>
      <w:r w:rsidR="00B85D31" w:rsidRPr="00EE65CE">
        <w:rPr>
          <w:szCs w:val="22"/>
          <w:lang w:val="fr-FR"/>
        </w:rPr>
        <w:t>appui des bureaux du droit d</w:t>
      </w:r>
      <w:r w:rsidR="009D6827" w:rsidRPr="00EE65CE">
        <w:rPr>
          <w:szCs w:val="22"/>
          <w:lang w:val="fr-FR"/>
        </w:rPr>
        <w:t>’</w:t>
      </w:r>
      <w:r w:rsidR="00B85D31" w:rsidRPr="00EE65CE">
        <w:rPr>
          <w:szCs w:val="22"/>
          <w:lang w:val="fr-FR"/>
        </w:rPr>
        <w:t>auteur, des ministères de la culture et des autres institutions compétentes.  Apporter son appui à un projet de cette</w:t>
      </w:r>
      <w:r w:rsidR="00560BAA" w:rsidRPr="00EE65CE">
        <w:rPr>
          <w:szCs w:val="22"/>
          <w:lang w:val="fr-FR"/>
        </w:rPr>
        <w:t xml:space="preserve"> nature </w:t>
      </w:r>
      <w:r w:rsidR="00B85D31" w:rsidRPr="00EE65CE">
        <w:rPr>
          <w:szCs w:val="22"/>
          <w:lang w:val="fr-FR"/>
        </w:rPr>
        <w:t xml:space="preserve">constituait également une première </w:t>
      </w:r>
      <w:r w:rsidR="00560BAA" w:rsidRPr="00EE65CE">
        <w:rPr>
          <w:szCs w:val="22"/>
          <w:lang w:val="fr-FR"/>
        </w:rPr>
        <w:t>exp</w:t>
      </w:r>
      <w:r w:rsidR="00B85D31" w:rsidRPr="00EE65CE">
        <w:rPr>
          <w:szCs w:val="22"/>
          <w:lang w:val="fr-FR"/>
        </w:rPr>
        <w:t>é</w:t>
      </w:r>
      <w:r w:rsidR="00560BAA" w:rsidRPr="00EE65CE">
        <w:rPr>
          <w:szCs w:val="22"/>
          <w:lang w:val="fr-FR"/>
        </w:rPr>
        <w:t xml:space="preserve">rience </w:t>
      </w:r>
      <w:r w:rsidR="00B85D31" w:rsidRPr="00EE65CE">
        <w:rPr>
          <w:szCs w:val="22"/>
          <w:lang w:val="fr-FR"/>
        </w:rPr>
        <w:t>pour un grand nombre de ces autorités</w:t>
      </w:r>
      <w:r w:rsidR="00560BAA" w:rsidRPr="00EE65CE">
        <w:rPr>
          <w:szCs w:val="22"/>
          <w:lang w:val="fr-FR"/>
        </w:rPr>
        <w:t>.</w:t>
      </w:r>
    </w:p>
    <w:p w:rsidR="009D6827" w:rsidRPr="00EE65CE" w:rsidRDefault="00385620" w:rsidP="00BC6A54">
      <w:pPr>
        <w:pStyle w:val="Heading2"/>
      </w:pPr>
      <w:bookmarkStart w:id="30" w:name="_Toc336032073"/>
      <w:bookmarkStart w:id="31" w:name="_Toc441830359"/>
      <w:r w:rsidRPr="00EE65CE">
        <w:t>D.</w:t>
      </w:r>
      <w:r w:rsidRPr="00EE65CE">
        <w:tab/>
      </w:r>
      <w:r w:rsidR="00BC6A54" w:rsidRPr="00EE65CE">
        <w:t xml:space="preserve">Mise </w:t>
      </w:r>
      <w:r w:rsidR="00B11793" w:rsidRPr="00EE65CE">
        <w:t>en œuvre des recommandations du plan d</w:t>
      </w:r>
      <w:r w:rsidR="009D6827" w:rsidRPr="00EE65CE">
        <w:t>’</w:t>
      </w:r>
      <w:r w:rsidR="00B11793" w:rsidRPr="00EE65CE">
        <w:t xml:space="preserve">action pour le </w:t>
      </w:r>
      <w:r w:rsidR="00BC6A54" w:rsidRPr="00EE65CE">
        <w:t>développement</w:t>
      </w:r>
      <w:bookmarkEnd w:id="30"/>
      <w:bookmarkEnd w:id="31"/>
    </w:p>
    <w:p w:rsidR="00A95F9D" w:rsidRPr="00EE65CE" w:rsidRDefault="00B11793" w:rsidP="00542460">
      <w:pPr>
        <w:rPr>
          <w:szCs w:val="22"/>
          <w:lang w:val="fr-FR"/>
        </w:rPr>
      </w:pPr>
      <w:r w:rsidRPr="00EE65CE">
        <w:rPr>
          <w:i/>
          <w:szCs w:val="22"/>
          <w:u w:val="single"/>
          <w:lang w:val="fr-FR"/>
        </w:rPr>
        <w:t xml:space="preserve">Dans quelle mesure </w:t>
      </w:r>
      <w:r w:rsidR="00762647" w:rsidRPr="00EE65CE">
        <w:rPr>
          <w:i/>
          <w:szCs w:val="22"/>
          <w:u w:val="single"/>
          <w:lang w:val="fr-FR"/>
        </w:rPr>
        <w:t>les recommandations n</w:t>
      </w:r>
      <w:r w:rsidR="00762647" w:rsidRPr="00EE65CE">
        <w:rPr>
          <w:i/>
          <w:szCs w:val="22"/>
          <w:u w:val="single"/>
          <w:vertAlign w:val="superscript"/>
          <w:lang w:val="fr-FR"/>
        </w:rPr>
        <w:t>os</w:t>
      </w:r>
      <w:r w:rsidRPr="00EE65CE">
        <w:rPr>
          <w:i/>
          <w:szCs w:val="22"/>
          <w:u w:val="single"/>
          <w:lang w:val="fr-FR"/>
        </w:rPr>
        <w:t> 1, 2, 4, 10 et 11 du Plan d</w:t>
      </w:r>
      <w:r w:rsidR="009D6827" w:rsidRPr="00EE65CE">
        <w:rPr>
          <w:i/>
          <w:szCs w:val="22"/>
          <w:u w:val="single"/>
          <w:lang w:val="fr-FR"/>
        </w:rPr>
        <w:t>’</w:t>
      </w:r>
      <w:r w:rsidRPr="00EE65CE">
        <w:rPr>
          <w:i/>
          <w:szCs w:val="22"/>
          <w:u w:val="single"/>
          <w:lang w:val="fr-FR"/>
        </w:rPr>
        <w:t>action pour le développement ont été mises en œuvre dans le cadre de ce projet</w:t>
      </w:r>
    </w:p>
    <w:p w:rsidR="00A95F9D" w:rsidRPr="00EE65CE" w:rsidRDefault="00A95F9D" w:rsidP="00542460">
      <w:pPr>
        <w:rPr>
          <w:szCs w:val="22"/>
          <w:lang w:val="fr-FR"/>
        </w:rPr>
      </w:pPr>
    </w:p>
    <w:p w:rsidR="00137FA4" w:rsidRPr="00EE65CE" w:rsidRDefault="00274D74" w:rsidP="00542460">
      <w:pPr>
        <w:numPr>
          <w:ilvl w:val="0"/>
          <w:numId w:val="25"/>
        </w:numPr>
        <w:rPr>
          <w:szCs w:val="22"/>
          <w:lang w:val="fr-FR"/>
        </w:rPr>
      </w:pPr>
      <w:r w:rsidRPr="00EE65CE">
        <w:rPr>
          <w:b/>
          <w:szCs w:val="22"/>
          <w:lang w:val="fr-FR"/>
        </w:rPr>
        <w:t>Observation</w:t>
      </w:r>
      <w:r w:rsidR="00B11793" w:rsidRPr="00EE65CE">
        <w:rPr>
          <w:b/>
          <w:szCs w:val="22"/>
          <w:lang w:val="fr-FR"/>
        </w:rPr>
        <w:t xml:space="preserve"> n° </w:t>
      </w:r>
      <w:r w:rsidR="00C94E4E" w:rsidRPr="00EE65CE">
        <w:rPr>
          <w:b/>
          <w:szCs w:val="22"/>
          <w:lang w:val="fr-FR"/>
        </w:rPr>
        <w:t>18</w:t>
      </w:r>
      <w:r w:rsidR="00B11793" w:rsidRPr="00EE65CE">
        <w:rPr>
          <w:b/>
          <w:szCs w:val="22"/>
          <w:lang w:val="fr-FR"/>
        </w:rPr>
        <w:t> </w:t>
      </w:r>
      <w:r w:rsidR="00F15C94" w:rsidRPr="00EE65CE">
        <w:rPr>
          <w:b/>
          <w:szCs w:val="22"/>
          <w:lang w:val="fr-FR"/>
        </w:rPr>
        <w:t>:</w:t>
      </w:r>
      <w:r w:rsidR="007147EC" w:rsidRPr="00EE65CE">
        <w:rPr>
          <w:szCs w:val="22"/>
          <w:lang w:val="fr-FR"/>
        </w:rPr>
        <w:t xml:space="preserve"> </w:t>
      </w:r>
      <w:r w:rsidR="00B11793" w:rsidRPr="00EE65CE">
        <w:rPr>
          <w:szCs w:val="22"/>
          <w:lang w:val="fr-FR"/>
        </w:rPr>
        <w:t xml:space="preserve">la présente évaluation a établi que dans le cadre du projet, il a été tenu compte de ces </w:t>
      </w:r>
      <w:r w:rsidR="00137FA4" w:rsidRPr="00EE65CE">
        <w:rPr>
          <w:szCs w:val="22"/>
          <w:lang w:val="fr-FR"/>
        </w:rPr>
        <w:t>recomm</w:t>
      </w:r>
      <w:r w:rsidR="00B11793" w:rsidRPr="00EE65CE">
        <w:rPr>
          <w:szCs w:val="22"/>
          <w:lang w:val="fr-FR"/>
        </w:rPr>
        <w:t>a</w:t>
      </w:r>
      <w:r w:rsidR="00137FA4" w:rsidRPr="00EE65CE">
        <w:rPr>
          <w:szCs w:val="22"/>
          <w:lang w:val="fr-FR"/>
        </w:rPr>
        <w:t xml:space="preserve">ndations </w:t>
      </w:r>
      <w:r w:rsidR="00B11793" w:rsidRPr="00EE65CE">
        <w:rPr>
          <w:szCs w:val="22"/>
          <w:lang w:val="fr-FR"/>
        </w:rPr>
        <w:t>de la manière suivante </w:t>
      </w:r>
      <w:r w:rsidR="00137FA4" w:rsidRPr="00EE65CE">
        <w:rPr>
          <w:szCs w:val="22"/>
          <w:lang w:val="fr-FR"/>
        </w:rPr>
        <w:t xml:space="preserve">: </w:t>
      </w:r>
      <w:r w:rsidR="004966A3" w:rsidRPr="00EE65CE">
        <w:rPr>
          <w:szCs w:val="22"/>
          <w:lang w:val="fr-FR"/>
        </w:rPr>
        <w:br/>
      </w:r>
    </w:p>
    <w:p w:rsidR="009D6827" w:rsidRPr="00EE65CE" w:rsidRDefault="00B11793" w:rsidP="00542460">
      <w:pPr>
        <w:pStyle w:val="ONUME"/>
        <w:numPr>
          <w:ilvl w:val="0"/>
          <w:numId w:val="18"/>
        </w:numPr>
        <w:ind w:left="567"/>
        <w:rPr>
          <w:lang w:val="fr-FR"/>
        </w:rPr>
      </w:pPr>
      <w:r w:rsidRPr="00EE65CE">
        <w:rPr>
          <w:lang w:val="fr-FR"/>
        </w:rPr>
        <w:t>la r</w:t>
      </w:r>
      <w:r w:rsidR="00137FA4" w:rsidRPr="00EE65CE">
        <w:rPr>
          <w:lang w:val="fr-FR"/>
        </w:rPr>
        <w:t>ecomm</w:t>
      </w:r>
      <w:r w:rsidRPr="00EE65CE">
        <w:rPr>
          <w:lang w:val="fr-FR"/>
        </w:rPr>
        <w:t>a</w:t>
      </w:r>
      <w:r w:rsidR="00137FA4" w:rsidRPr="00EE65CE">
        <w:rPr>
          <w:lang w:val="fr-FR"/>
        </w:rPr>
        <w:t xml:space="preserve">ndation </w:t>
      </w:r>
      <w:r w:rsidRPr="00EE65CE">
        <w:rPr>
          <w:lang w:val="fr-FR"/>
        </w:rPr>
        <w:t>n° 1</w:t>
      </w:r>
      <w:r w:rsidR="00343A47" w:rsidRPr="00EE65CE">
        <w:rPr>
          <w:lang w:val="fr-FR"/>
        </w:rPr>
        <w:t xml:space="preserve"> </w:t>
      </w:r>
      <w:r w:rsidRPr="00EE65CE">
        <w:rPr>
          <w:lang w:val="fr-FR"/>
        </w:rPr>
        <w:t>stipul</w:t>
      </w:r>
      <w:r w:rsidR="0039191B" w:rsidRPr="00EE65CE">
        <w:rPr>
          <w:lang w:val="fr-FR"/>
        </w:rPr>
        <w:t>ait</w:t>
      </w:r>
      <w:r w:rsidRPr="00EE65CE">
        <w:rPr>
          <w:lang w:val="fr-FR"/>
        </w:rPr>
        <w:t xml:space="preserve"> que l</w:t>
      </w:r>
      <w:r w:rsidR="009D6827" w:rsidRPr="00EE65CE">
        <w:rPr>
          <w:lang w:val="fr-FR"/>
        </w:rPr>
        <w:t>’</w:t>
      </w:r>
      <w:r w:rsidRPr="00EE65CE">
        <w:rPr>
          <w:lang w:val="fr-FR"/>
        </w:rPr>
        <w:t>assistance technique fournie par l</w:t>
      </w:r>
      <w:r w:rsidR="009D6827" w:rsidRPr="00EE65CE">
        <w:rPr>
          <w:lang w:val="fr-FR"/>
        </w:rPr>
        <w:t>’</w:t>
      </w:r>
      <w:r w:rsidRPr="00EE65CE">
        <w:rPr>
          <w:lang w:val="fr-FR"/>
        </w:rPr>
        <w:t>OMPI d</w:t>
      </w:r>
      <w:r w:rsidR="0039191B" w:rsidRPr="00EE65CE">
        <w:rPr>
          <w:lang w:val="fr-FR"/>
        </w:rPr>
        <w:t>eva</w:t>
      </w:r>
      <w:r w:rsidRPr="00EE65CE">
        <w:rPr>
          <w:lang w:val="fr-FR"/>
        </w:rPr>
        <w:t>it être axée sur le développement</w:t>
      </w:r>
      <w:r w:rsidR="00FA47F1" w:rsidRPr="00EE65CE">
        <w:rPr>
          <w:lang w:val="fr-FR"/>
        </w:rPr>
        <w:t xml:space="preserve">, déterminée par </w:t>
      </w:r>
      <w:r w:rsidRPr="00EE65CE">
        <w:rPr>
          <w:lang w:val="fr-FR"/>
        </w:rPr>
        <w:t>la demande, transparente</w:t>
      </w:r>
      <w:r w:rsidR="00FA47F1" w:rsidRPr="00EE65CE">
        <w:rPr>
          <w:lang w:val="fr-FR"/>
        </w:rPr>
        <w:t xml:space="preserve"> et ciblée par pays</w:t>
      </w:r>
      <w:r w:rsidR="004966A3" w:rsidRPr="00EE65CE">
        <w:rPr>
          <w:lang w:val="fr-FR"/>
        </w:rPr>
        <w:t>.</w:t>
      </w:r>
      <w:r w:rsidR="00946294" w:rsidRPr="00EE65CE">
        <w:rPr>
          <w:lang w:val="fr-FR"/>
        </w:rPr>
        <w:t xml:space="preserve"> </w:t>
      </w:r>
      <w:r w:rsidR="002876BC" w:rsidRPr="00EE65CE">
        <w:rPr>
          <w:lang w:val="fr-FR"/>
        </w:rPr>
        <w:t xml:space="preserve"> </w:t>
      </w:r>
      <w:r w:rsidR="00FA47F1" w:rsidRPr="00EE65CE">
        <w:rPr>
          <w:lang w:val="fr-FR"/>
        </w:rPr>
        <w:t>Le projet a contribué à la mise en œuvre de cette recomma</w:t>
      </w:r>
      <w:r w:rsidR="00D3321B" w:rsidRPr="00EE65CE">
        <w:rPr>
          <w:lang w:val="fr-FR"/>
        </w:rPr>
        <w:t>ndation</w:t>
      </w:r>
      <w:r w:rsidR="00FA47F1" w:rsidRPr="00EE65CE">
        <w:rPr>
          <w:lang w:val="fr-FR"/>
        </w:rPr>
        <w:t xml:space="preserve">, dans la mesure où il était fondé sur une demande présentée par un État membre </w:t>
      </w:r>
      <w:r w:rsidR="00D3321B" w:rsidRPr="00EE65CE">
        <w:rPr>
          <w:lang w:val="fr-FR"/>
        </w:rPr>
        <w:t xml:space="preserve">(Burkina Faso), transparent </w:t>
      </w:r>
      <w:r w:rsidR="00FA47F1" w:rsidRPr="00EE65CE">
        <w:rPr>
          <w:lang w:val="fr-FR"/>
        </w:rPr>
        <w:t>au regard de sa mise en œuvre et ciblé par pays</w:t>
      </w:r>
      <w:r w:rsidR="00D3321B" w:rsidRPr="00EE65CE">
        <w:rPr>
          <w:lang w:val="fr-FR"/>
        </w:rPr>
        <w:t xml:space="preserve"> (limit</w:t>
      </w:r>
      <w:r w:rsidR="00FA47F1" w:rsidRPr="00EE65CE">
        <w:rPr>
          <w:lang w:val="fr-FR"/>
        </w:rPr>
        <w:t>é à trois pays</w:t>
      </w:r>
      <w:r w:rsidR="00D3321B" w:rsidRPr="00EE65CE">
        <w:rPr>
          <w:lang w:val="fr-FR"/>
        </w:rPr>
        <w:t>)</w:t>
      </w:r>
      <w:r w:rsidR="00D05A4E" w:rsidRPr="00EE65CE">
        <w:rPr>
          <w:lang w:val="fr-FR"/>
        </w:rPr>
        <w:t>;</w:t>
      </w:r>
    </w:p>
    <w:p w:rsidR="009D6827" w:rsidRPr="00EE65CE" w:rsidRDefault="00D05A4E" w:rsidP="00542460">
      <w:pPr>
        <w:pStyle w:val="ONUME"/>
        <w:numPr>
          <w:ilvl w:val="0"/>
          <w:numId w:val="18"/>
        </w:numPr>
        <w:ind w:left="567"/>
        <w:rPr>
          <w:lang w:val="fr-FR"/>
        </w:rPr>
      </w:pPr>
      <w:r w:rsidRPr="00EE65CE">
        <w:rPr>
          <w:lang w:val="fr-FR"/>
        </w:rPr>
        <w:t>la r</w:t>
      </w:r>
      <w:r w:rsidR="00137FA4" w:rsidRPr="00EE65CE">
        <w:rPr>
          <w:lang w:val="fr-FR"/>
        </w:rPr>
        <w:t>ecomm</w:t>
      </w:r>
      <w:r w:rsidRPr="00EE65CE">
        <w:rPr>
          <w:lang w:val="fr-FR"/>
        </w:rPr>
        <w:t>a</w:t>
      </w:r>
      <w:r w:rsidR="00137FA4" w:rsidRPr="00EE65CE">
        <w:rPr>
          <w:lang w:val="fr-FR"/>
        </w:rPr>
        <w:t xml:space="preserve">ndation </w:t>
      </w:r>
      <w:r w:rsidRPr="00EE65CE">
        <w:rPr>
          <w:lang w:val="fr-FR"/>
        </w:rPr>
        <w:t>n° </w:t>
      </w:r>
      <w:r w:rsidR="00137FA4" w:rsidRPr="00EE65CE">
        <w:rPr>
          <w:lang w:val="fr-FR"/>
        </w:rPr>
        <w:t>2</w:t>
      </w:r>
      <w:r w:rsidR="004966A3" w:rsidRPr="00EE65CE">
        <w:rPr>
          <w:lang w:val="fr-FR"/>
        </w:rPr>
        <w:t xml:space="preserve"> </w:t>
      </w:r>
      <w:r w:rsidR="00947CBE" w:rsidRPr="00EE65CE">
        <w:rPr>
          <w:lang w:val="fr-FR"/>
        </w:rPr>
        <w:t>préconisait</w:t>
      </w:r>
      <w:r w:rsidRPr="00EE65CE">
        <w:rPr>
          <w:lang w:val="fr-FR"/>
        </w:rPr>
        <w:t xml:space="preserve"> la fourniture </w:t>
      </w:r>
      <w:r w:rsidR="00440EE0" w:rsidRPr="00EE65CE">
        <w:rPr>
          <w:lang w:val="fr-FR"/>
        </w:rPr>
        <w:t>prioritaire d</w:t>
      </w:r>
      <w:r w:rsidR="009D6827" w:rsidRPr="00EE65CE">
        <w:rPr>
          <w:lang w:val="fr-FR"/>
        </w:rPr>
        <w:t>’</w:t>
      </w:r>
      <w:r w:rsidR="00440EE0" w:rsidRPr="00EE65CE">
        <w:rPr>
          <w:lang w:val="fr-FR"/>
        </w:rPr>
        <w:t xml:space="preserve">une assistance financière aux pays les moins avancés </w:t>
      </w:r>
      <w:r w:rsidR="00C00DF5" w:rsidRPr="00EE65CE">
        <w:rPr>
          <w:lang w:val="fr-FR"/>
        </w:rPr>
        <w:t>(</w:t>
      </w:r>
      <w:r w:rsidR="00440EE0" w:rsidRPr="00EE65CE">
        <w:rPr>
          <w:lang w:val="fr-FR"/>
        </w:rPr>
        <w:t>PMA</w:t>
      </w:r>
      <w:r w:rsidR="00C00DF5" w:rsidRPr="00EE65CE">
        <w:rPr>
          <w:lang w:val="fr-FR"/>
        </w:rPr>
        <w:t xml:space="preserve">) </w:t>
      </w:r>
      <w:r w:rsidR="00440EE0" w:rsidRPr="00EE65CE">
        <w:rPr>
          <w:lang w:val="fr-FR"/>
        </w:rPr>
        <w:t xml:space="preserve">et </w:t>
      </w:r>
      <w:r w:rsidR="00947CBE" w:rsidRPr="00EE65CE">
        <w:rPr>
          <w:lang w:val="fr-FR"/>
        </w:rPr>
        <w:t xml:space="preserve">aux pays africains aux fins de la </w:t>
      </w:r>
      <w:r w:rsidR="00C00DF5" w:rsidRPr="00EE65CE">
        <w:rPr>
          <w:lang w:val="fr-FR"/>
        </w:rPr>
        <w:t xml:space="preserve">promotion </w:t>
      </w:r>
      <w:r w:rsidR="00947CBE" w:rsidRPr="00EE65CE">
        <w:rPr>
          <w:lang w:val="fr-FR"/>
        </w:rPr>
        <w:t>de la propriété intellectuelle</w:t>
      </w:r>
      <w:r w:rsidR="00C00DF5" w:rsidRPr="00EE65CE">
        <w:rPr>
          <w:lang w:val="fr-FR"/>
        </w:rPr>
        <w:t xml:space="preserve">. </w:t>
      </w:r>
      <w:r w:rsidR="00D3321B" w:rsidRPr="00EE65CE">
        <w:rPr>
          <w:lang w:val="fr-FR"/>
        </w:rPr>
        <w:t xml:space="preserve"> </w:t>
      </w:r>
      <w:r w:rsidR="00947CBE" w:rsidRPr="00EE65CE">
        <w:rPr>
          <w:lang w:val="fr-FR"/>
        </w:rPr>
        <w:t xml:space="preserve">Étant donné que le projet était </w:t>
      </w:r>
      <w:r w:rsidR="0039191B" w:rsidRPr="00EE65CE">
        <w:rPr>
          <w:lang w:val="fr-FR"/>
        </w:rPr>
        <w:t>bas</w:t>
      </w:r>
      <w:r w:rsidR="00947CBE" w:rsidRPr="00EE65CE">
        <w:rPr>
          <w:lang w:val="fr-FR"/>
        </w:rPr>
        <w:t xml:space="preserve">é en Afrique et </w:t>
      </w:r>
      <w:r w:rsidR="00947CBE" w:rsidRPr="00EE65CE">
        <w:rPr>
          <w:lang w:val="fr-FR"/>
        </w:rPr>
        <w:lastRenderedPageBreak/>
        <w:t xml:space="preserve">concernait deux PMA </w:t>
      </w:r>
      <w:r w:rsidR="00D3321B" w:rsidRPr="00EE65CE">
        <w:rPr>
          <w:lang w:val="fr-FR"/>
        </w:rPr>
        <w:t>(</w:t>
      </w:r>
      <w:r w:rsidR="00C00DF5" w:rsidRPr="00EE65CE">
        <w:rPr>
          <w:lang w:val="fr-FR"/>
        </w:rPr>
        <w:t>Burkina</w:t>
      </w:r>
      <w:r w:rsidR="00947CBE" w:rsidRPr="00EE65CE">
        <w:rPr>
          <w:lang w:val="fr-FR"/>
        </w:rPr>
        <w:t> </w:t>
      </w:r>
      <w:r w:rsidR="00C00DF5" w:rsidRPr="00EE65CE">
        <w:rPr>
          <w:lang w:val="fr-FR"/>
        </w:rPr>
        <w:t xml:space="preserve">Faso </w:t>
      </w:r>
      <w:r w:rsidR="00947CBE" w:rsidRPr="00EE65CE">
        <w:rPr>
          <w:lang w:val="fr-FR"/>
        </w:rPr>
        <w:t xml:space="preserve">et </w:t>
      </w:r>
      <w:r w:rsidR="00C00DF5" w:rsidRPr="00EE65CE">
        <w:rPr>
          <w:lang w:val="fr-FR"/>
        </w:rPr>
        <w:t>S</w:t>
      </w:r>
      <w:r w:rsidR="00947CBE" w:rsidRPr="00EE65CE">
        <w:rPr>
          <w:lang w:val="fr-FR"/>
        </w:rPr>
        <w:t>é</w:t>
      </w:r>
      <w:r w:rsidR="00C00DF5" w:rsidRPr="00EE65CE">
        <w:rPr>
          <w:lang w:val="fr-FR"/>
        </w:rPr>
        <w:t>n</w:t>
      </w:r>
      <w:r w:rsidR="00947CBE" w:rsidRPr="00EE65CE">
        <w:rPr>
          <w:lang w:val="fr-FR"/>
        </w:rPr>
        <w:t>é</w:t>
      </w:r>
      <w:r w:rsidR="00C00DF5" w:rsidRPr="00EE65CE">
        <w:rPr>
          <w:lang w:val="fr-FR"/>
        </w:rPr>
        <w:t>gal</w:t>
      </w:r>
      <w:r w:rsidR="00D3321B" w:rsidRPr="00EE65CE">
        <w:rPr>
          <w:lang w:val="fr-FR"/>
        </w:rPr>
        <w:t xml:space="preserve">), </w:t>
      </w:r>
      <w:r w:rsidR="00947CBE" w:rsidRPr="00EE65CE">
        <w:rPr>
          <w:lang w:val="fr-FR"/>
        </w:rPr>
        <w:t>on peut considérer qu</w:t>
      </w:r>
      <w:r w:rsidR="009D6827" w:rsidRPr="00EE65CE">
        <w:rPr>
          <w:lang w:val="fr-FR"/>
        </w:rPr>
        <w:t>’</w:t>
      </w:r>
      <w:r w:rsidR="00947CBE" w:rsidRPr="00EE65CE">
        <w:rPr>
          <w:lang w:val="fr-FR"/>
        </w:rPr>
        <w:t>il a contribué à la réalisation de cette recommanda</w:t>
      </w:r>
      <w:r w:rsidR="00D3321B" w:rsidRPr="00EE65CE">
        <w:rPr>
          <w:lang w:val="fr-FR"/>
        </w:rPr>
        <w:t>t</w:t>
      </w:r>
      <w:r w:rsidR="00947CBE" w:rsidRPr="00EE65CE">
        <w:rPr>
          <w:lang w:val="fr-FR"/>
        </w:rPr>
        <w:t>ion</w:t>
      </w:r>
      <w:r w:rsidR="00D3321B" w:rsidRPr="00EE65CE">
        <w:rPr>
          <w:lang w:val="fr-FR"/>
        </w:rPr>
        <w:t>.</w:t>
      </w:r>
    </w:p>
    <w:p w:rsidR="009D6827" w:rsidRPr="00EE65CE" w:rsidRDefault="00947CBE" w:rsidP="00542460">
      <w:pPr>
        <w:pStyle w:val="ONUME"/>
        <w:numPr>
          <w:ilvl w:val="0"/>
          <w:numId w:val="18"/>
        </w:numPr>
        <w:ind w:left="567"/>
        <w:rPr>
          <w:lang w:val="fr-FR"/>
        </w:rPr>
      </w:pPr>
      <w:r w:rsidRPr="00EE65CE">
        <w:rPr>
          <w:lang w:val="fr-FR"/>
        </w:rPr>
        <w:t>la r</w:t>
      </w:r>
      <w:r w:rsidR="00137FA4" w:rsidRPr="00EE65CE">
        <w:rPr>
          <w:lang w:val="fr-FR"/>
        </w:rPr>
        <w:t>ecomm</w:t>
      </w:r>
      <w:r w:rsidRPr="00EE65CE">
        <w:rPr>
          <w:lang w:val="fr-FR"/>
        </w:rPr>
        <w:t>a</w:t>
      </w:r>
      <w:r w:rsidR="00137FA4" w:rsidRPr="00EE65CE">
        <w:rPr>
          <w:lang w:val="fr-FR"/>
        </w:rPr>
        <w:t xml:space="preserve">ndation </w:t>
      </w:r>
      <w:r w:rsidRPr="00EE65CE">
        <w:rPr>
          <w:lang w:val="fr-FR"/>
        </w:rPr>
        <w:t>n° 4 mettait l</w:t>
      </w:r>
      <w:r w:rsidR="009D6827" w:rsidRPr="00EE65CE">
        <w:rPr>
          <w:lang w:val="fr-FR"/>
        </w:rPr>
        <w:t>’</w:t>
      </w:r>
      <w:r w:rsidRPr="00EE65CE">
        <w:rPr>
          <w:lang w:val="fr-FR"/>
        </w:rPr>
        <w:t>accent sur les besoins des petites et moyennes entreprises (PME), des institutions chargées de la recherche scientifique et des industries culturelles et sur la nécessité d</w:t>
      </w:r>
      <w:r w:rsidR="009D6827" w:rsidRPr="00EE65CE">
        <w:rPr>
          <w:lang w:val="fr-FR"/>
        </w:rPr>
        <w:t>’</w:t>
      </w:r>
      <w:r w:rsidRPr="00EE65CE">
        <w:rPr>
          <w:lang w:val="fr-FR"/>
        </w:rPr>
        <w:t>élaborer des stratégies nationales appropriées.  Cette recommandation a été, en partie, prise en considération dans le cadre du projet dans la mesure où l</w:t>
      </w:r>
      <w:r w:rsidR="009D6827" w:rsidRPr="00EE65CE">
        <w:rPr>
          <w:lang w:val="fr-FR"/>
        </w:rPr>
        <w:t>’</w:t>
      </w:r>
      <w:r w:rsidRPr="00EE65CE">
        <w:rPr>
          <w:lang w:val="fr-FR"/>
        </w:rPr>
        <w:t xml:space="preserve">industrie cinématographique dans les pays participants est en grande partie constituée de PME, qui ont été les principaux bénéficiaires du projet.  </w:t>
      </w:r>
      <w:r w:rsidR="00D63E2D" w:rsidRPr="00EE65CE">
        <w:rPr>
          <w:lang w:val="fr-FR"/>
        </w:rPr>
        <w:t xml:space="preserve">Le </w:t>
      </w:r>
      <w:r w:rsidR="00D3321B" w:rsidRPr="00EE65CE">
        <w:rPr>
          <w:lang w:val="fr-FR"/>
        </w:rPr>
        <w:t>projet a</w:t>
      </w:r>
      <w:r w:rsidR="00D63E2D" w:rsidRPr="00EE65CE">
        <w:rPr>
          <w:lang w:val="fr-FR"/>
        </w:rPr>
        <w:t xml:space="preserve"> également appuyé les stratégies nationales en matière de propriété intellectuelle et dans le secteur de l</w:t>
      </w:r>
      <w:r w:rsidR="009D6827" w:rsidRPr="00EE65CE">
        <w:rPr>
          <w:lang w:val="fr-FR"/>
        </w:rPr>
        <w:t>’</w:t>
      </w:r>
      <w:r w:rsidR="00D63E2D" w:rsidRPr="00EE65CE">
        <w:rPr>
          <w:lang w:val="fr-FR"/>
        </w:rPr>
        <w:t>audiovisuel</w:t>
      </w:r>
      <w:r w:rsidR="00D3321B" w:rsidRPr="00EE65CE">
        <w:rPr>
          <w:lang w:val="fr-FR"/>
        </w:rPr>
        <w:t xml:space="preserve">, </w:t>
      </w:r>
      <w:r w:rsidR="00D63E2D" w:rsidRPr="00EE65CE">
        <w:rPr>
          <w:lang w:val="fr-FR"/>
        </w:rPr>
        <w:t>comme il ressort des contributions apportées dans le cadre de l</w:t>
      </w:r>
      <w:r w:rsidR="009D6827" w:rsidRPr="00EE65CE">
        <w:rPr>
          <w:lang w:val="fr-FR"/>
        </w:rPr>
        <w:t>’</w:t>
      </w:r>
      <w:r w:rsidR="00D63E2D" w:rsidRPr="00EE65CE">
        <w:rPr>
          <w:lang w:val="fr-FR"/>
        </w:rPr>
        <w:t>élaboration de lois et politiques nationales.</w:t>
      </w:r>
    </w:p>
    <w:p w:rsidR="009D6827" w:rsidRPr="00EE65CE" w:rsidRDefault="00D63E2D" w:rsidP="00542460">
      <w:pPr>
        <w:pStyle w:val="ONUME"/>
        <w:numPr>
          <w:ilvl w:val="0"/>
          <w:numId w:val="18"/>
        </w:numPr>
        <w:ind w:left="567"/>
        <w:rPr>
          <w:lang w:val="fr-FR"/>
        </w:rPr>
      </w:pPr>
      <w:r w:rsidRPr="00EE65CE">
        <w:rPr>
          <w:lang w:val="fr-FR"/>
        </w:rPr>
        <w:t>dans la r</w:t>
      </w:r>
      <w:r w:rsidR="00137FA4" w:rsidRPr="00EE65CE">
        <w:rPr>
          <w:lang w:val="fr-FR"/>
        </w:rPr>
        <w:t>ecomm</w:t>
      </w:r>
      <w:r w:rsidRPr="00EE65CE">
        <w:rPr>
          <w:lang w:val="fr-FR"/>
        </w:rPr>
        <w:t>a</w:t>
      </w:r>
      <w:r w:rsidR="00137FA4" w:rsidRPr="00EE65CE">
        <w:rPr>
          <w:lang w:val="fr-FR"/>
        </w:rPr>
        <w:t xml:space="preserve">ndation </w:t>
      </w:r>
      <w:r w:rsidRPr="00EE65CE">
        <w:rPr>
          <w:lang w:val="fr-FR"/>
        </w:rPr>
        <w:t>n° </w:t>
      </w:r>
      <w:r w:rsidR="00137FA4" w:rsidRPr="00EE65CE">
        <w:rPr>
          <w:lang w:val="fr-FR"/>
        </w:rPr>
        <w:t>10</w:t>
      </w:r>
      <w:r w:rsidRPr="00EE65CE">
        <w:rPr>
          <w:lang w:val="fr-FR"/>
        </w:rPr>
        <w:t>, il était demandé d</w:t>
      </w:r>
      <w:r w:rsidR="009D6827" w:rsidRPr="00EE65CE">
        <w:rPr>
          <w:lang w:val="fr-FR"/>
        </w:rPr>
        <w:t>’</w:t>
      </w:r>
      <w:r w:rsidRPr="00EE65CE">
        <w:rPr>
          <w:lang w:val="fr-FR"/>
        </w:rPr>
        <w:t>a</w:t>
      </w:r>
      <w:r w:rsidR="00102FFA" w:rsidRPr="00EE65CE">
        <w:rPr>
          <w:lang w:val="fr-FR"/>
        </w:rPr>
        <w:t>ider les États membres à renforcer leurs capacités nationales en matière de propriété intellectuelle au moyen d</w:t>
      </w:r>
      <w:r w:rsidR="009D6827" w:rsidRPr="00EE65CE">
        <w:rPr>
          <w:lang w:val="fr-FR"/>
        </w:rPr>
        <w:t>’</w:t>
      </w:r>
      <w:r w:rsidR="00102FFA" w:rsidRPr="00EE65CE">
        <w:rPr>
          <w:lang w:val="fr-FR"/>
        </w:rPr>
        <w:t>infrastructures et d</w:t>
      </w:r>
      <w:r w:rsidR="009D6827" w:rsidRPr="00EE65CE">
        <w:rPr>
          <w:lang w:val="fr-FR"/>
        </w:rPr>
        <w:t>’</w:t>
      </w:r>
      <w:r w:rsidR="00102FFA" w:rsidRPr="00EE65CE">
        <w:rPr>
          <w:lang w:val="fr-FR"/>
        </w:rPr>
        <w:t xml:space="preserve">autres mécanismes. </w:t>
      </w:r>
      <w:r w:rsidR="00343A47" w:rsidRPr="00EE65CE">
        <w:rPr>
          <w:lang w:val="fr-FR"/>
        </w:rPr>
        <w:t xml:space="preserve"> </w:t>
      </w:r>
      <w:r w:rsidR="00102FFA" w:rsidRPr="00EE65CE">
        <w:rPr>
          <w:lang w:val="fr-FR"/>
        </w:rPr>
        <w:t>Le projet, qui avait mis l</w:t>
      </w:r>
      <w:r w:rsidR="009D6827" w:rsidRPr="00EE65CE">
        <w:rPr>
          <w:lang w:val="fr-FR"/>
        </w:rPr>
        <w:t>’</w:t>
      </w:r>
      <w:r w:rsidR="00102FFA" w:rsidRPr="00EE65CE">
        <w:rPr>
          <w:lang w:val="fr-FR"/>
        </w:rPr>
        <w:t>accent sur le renforcement des cadres d</w:t>
      </w:r>
      <w:r w:rsidR="009D6827" w:rsidRPr="00EE65CE">
        <w:rPr>
          <w:lang w:val="fr-FR"/>
        </w:rPr>
        <w:t>’</w:t>
      </w:r>
      <w:r w:rsidR="00102FFA" w:rsidRPr="00EE65CE">
        <w:rPr>
          <w:lang w:val="fr-FR"/>
        </w:rPr>
        <w:t>action et des institutions dans le domaine du droit d</w:t>
      </w:r>
      <w:r w:rsidR="009D6827" w:rsidRPr="00EE65CE">
        <w:rPr>
          <w:lang w:val="fr-FR"/>
        </w:rPr>
        <w:t>’</w:t>
      </w:r>
      <w:r w:rsidR="00102FFA" w:rsidRPr="00EE65CE">
        <w:rPr>
          <w:lang w:val="fr-FR"/>
        </w:rPr>
        <w:t>auteur, a contribué à la mise en œuvre de cette recommandation, bien que, comme indiqué plus haut, il s</w:t>
      </w:r>
      <w:r w:rsidR="009D6827" w:rsidRPr="00EE65CE">
        <w:rPr>
          <w:lang w:val="fr-FR"/>
        </w:rPr>
        <w:t>’</w:t>
      </w:r>
      <w:r w:rsidR="00102FFA" w:rsidRPr="00EE65CE">
        <w:rPr>
          <w:lang w:val="fr-FR"/>
        </w:rPr>
        <w:t>agissait d</w:t>
      </w:r>
      <w:r w:rsidR="009D6827" w:rsidRPr="00EE65CE">
        <w:rPr>
          <w:lang w:val="fr-FR"/>
        </w:rPr>
        <w:t>’</w:t>
      </w:r>
      <w:r w:rsidR="00102FFA" w:rsidRPr="00EE65CE">
        <w:rPr>
          <w:lang w:val="fr-FR"/>
        </w:rPr>
        <w:t>une étape initiale, un appui supplémentaire étant nécessaire</w:t>
      </w:r>
      <w:r w:rsidR="003906F4" w:rsidRPr="00EE65CE">
        <w:rPr>
          <w:lang w:val="fr-FR"/>
        </w:rPr>
        <w:t>.</w:t>
      </w:r>
    </w:p>
    <w:p w:rsidR="009D6827" w:rsidRPr="00EE65CE" w:rsidRDefault="00102FFA" w:rsidP="00542460">
      <w:pPr>
        <w:pStyle w:val="ONUME"/>
        <w:numPr>
          <w:ilvl w:val="0"/>
          <w:numId w:val="18"/>
        </w:numPr>
        <w:spacing w:after="0"/>
        <w:ind w:left="567"/>
        <w:rPr>
          <w:szCs w:val="22"/>
          <w:lang w:val="fr-FR"/>
        </w:rPr>
      </w:pPr>
      <w:r w:rsidRPr="00EE65CE">
        <w:rPr>
          <w:lang w:val="fr-FR"/>
        </w:rPr>
        <w:t>la recomma</w:t>
      </w:r>
      <w:r w:rsidR="00137FA4" w:rsidRPr="00EE65CE">
        <w:rPr>
          <w:lang w:val="fr-FR"/>
        </w:rPr>
        <w:t xml:space="preserve">ndation </w:t>
      </w:r>
      <w:r w:rsidRPr="00EE65CE">
        <w:rPr>
          <w:lang w:val="fr-FR"/>
        </w:rPr>
        <w:t>n</w:t>
      </w:r>
      <w:r w:rsidR="008F5869" w:rsidRPr="00EE65CE">
        <w:rPr>
          <w:lang w:val="fr-FR"/>
        </w:rPr>
        <w:t>° </w:t>
      </w:r>
      <w:r w:rsidR="00137FA4" w:rsidRPr="00EE65CE">
        <w:rPr>
          <w:lang w:val="fr-FR"/>
        </w:rPr>
        <w:t>11</w:t>
      </w:r>
      <w:r w:rsidR="00343A47" w:rsidRPr="00EE65CE">
        <w:rPr>
          <w:lang w:val="fr-FR"/>
        </w:rPr>
        <w:t xml:space="preserve"> </w:t>
      </w:r>
      <w:r w:rsidRPr="00EE65CE">
        <w:rPr>
          <w:lang w:val="fr-FR"/>
        </w:rPr>
        <w:t xml:space="preserve">visait à aider les États membres à renforcer leur capacité nationale de protection des créations, innovations et inventions nationales et </w:t>
      </w:r>
      <w:r w:rsidR="00C27BFD" w:rsidRPr="00EE65CE">
        <w:rPr>
          <w:lang w:val="fr-FR"/>
        </w:rPr>
        <w:t xml:space="preserve">à </w:t>
      </w:r>
      <w:r w:rsidRPr="00EE65CE">
        <w:rPr>
          <w:lang w:val="fr-FR"/>
        </w:rPr>
        <w:t>soutenir le développement des infrastructures</w:t>
      </w:r>
      <w:r w:rsidR="00274D74" w:rsidRPr="00EE65CE">
        <w:rPr>
          <w:lang w:val="fr-FR"/>
        </w:rPr>
        <w:t xml:space="preserve"> appropriées</w:t>
      </w:r>
      <w:r w:rsidR="00343A47" w:rsidRPr="00EE65CE">
        <w:rPr>
          <w:szCs w:val="22"/>
          <w:lang w:val="fr-FR"/>
        </w:rPr>
        <w:t xml:space="preserve">. </w:t>
      </w:r>
      <w:r w:rsidR="002876BC" w:rsidRPr="00EE65CE">
        <w:rPr>
          <w:szCs w:val="22"/>
          <w:lang w:val="fr-FR"/>
        </w:rPr>
        <w:t xml:space="preserve"> </w:t>
      </w:r>
      <w:r w:rsidR="00274D74" w:rsidRPr="00EE65CE">
        <w:rPr>
          <w:szCs w:val="22"/>
          <w:lang w:val="fr-FR"/>
        </w:rPr>
        <w:t>Cette recommandation a été pleinement prise en considération dans le cadre du projet, qui était axé sur une meilleure connaissance et une utilisation à terme de la propriété intellectuelle pour protéger les créations nationales (</w:t>
      </w:r>
      <w:r w:rsidR="009D6827" w:rsidRPr="00EE65CE">
        <w:rPr>
          <w:szCs w:val="22"/>
          <w:lang w:val="fr-FR"/>
        </w:rPr>
        <w:t>à savoir</w:t>
      </w:r>
      <w:r w:rsidR="00274D74" w:rsidRPr="00EE65CE">
        <w:rPr>
          <w:szCs w:val="22"/>
          <w:lang w:val="fr-FR"/>
        </w:rPr>
        <w:t xml:space="preserve"> les œuvres audiovisuelles) en Afrique et</w:t>
      </w:r>
      <w:r w:rsidR="0039191B" w:rsidRPr="00EE65CE">
        <w:rPr>
          <w:szCs w:val="22"/>
          <w:lang w:val="fr-FR"/>
        </w:rPr>
        <w:t xml:space="preserve"> sur</w:t>
      </w:r>
      <w:r w:rsidR="00274D74" w:rsidRPr="00EE65CE">
        <w:rPr>
          <w:szCs w:val="22"/>
          <w:lang w:val="fr-FR"/>
        </w:rPr>
        <w:t xml:space="preserve"> la promotion de leur diffusion au niveau international.</w:t>
      </w:r>
    </w:p>
    <w:p w:rsidR="002876BC" w:rsidRPr="00EE65CE" w:rsidRDefault="002876BC" w:rsidP="00542460">
      <w:pPr>
        <w:pStyle w:val="ONUME"/>
        <w:numPr>
          <w:ilvl w:val="0"/>
          <w:numId w:val="0"/>
        </w:numPr>
        <w:spacing w:after="0"/>
        <w:ind w:left="567"/>
        <w:rPr>
          <w:lang w:val="fr-FR"/>
        </w:rPr>
      </w:pPr>
    </w:p>
    <w:p w:rsidR="00560BAA" w:rsidRDefault="00385620" w:rsidP="00542460">
      <w:pPr>
        <w:pStyle w:val="Heading1"/>
        <w:rPr>
          <w:lang w:val="fr-FR"/>
        </w:rPr>
      </w:pPr>
      <w:bookmarkStart w:id="32" w:name="_Toc336032074"/>
      <w:bookmarkStart w:id="33" w:name="_Toc441830360"/>
      <w:r w:rsidRPr="00EE65CE">
        <w:rPr>
          <w:lang w:val="fr-FR"/>
        </w:rPr>
        <w:t>V.</w:t>
      </w:r>
      <w:r w:rsidRPr="00EE65CE">
        <w:rPr>
          <w:lang w:val="fr-FR"/>
        </w:rPr>
        <w:tab/>
      </w:r>
      <w:bookmarkEnd w:id="32"/>
      <w:r w:rsidR="00BE1B49">
        <w:rPr>
          <w:lang w:val="fr-FR"/>
        </w:rPr>
        <w:t>Conclusions</w:t>
      </w:r>
      <w:bookmarkEnd w:id="33"/>
    </w:p>
    <w:p w:rsidR="008759FF" w:rsidRPr="008759FF" w:rsidRDefault="008759FF" w:rsidP="008759FF">
      <w:pPr>
        <w:rPr>
          <w:lang w:val="fr-FR"/>
        </w:rPr>
      </w:pPr>
    </w:p>
    <w:p w:rsidR="009D6827" w:rsidRPr="00EE65CE" w:rsidRDefault="005C58F1" w:rsidP="00542460">
      <w:pPr>
        <w:pStyle w:val="BodyText"/>
        <w:numPr>
          <w:ilvl w:val="0"/>
          <w:numId w:val="25"/>
        </w:numPr>
        <w:rPr>
          <w:lang w:val="fr-FR"/>
        </w:rPr>
      </w:pPr>
      <w:r w:rsidRPr="00EE65CE">
        <w:rPr>
          <w:b/>
          <w:lang w:val="fr-FR"/>
        </w:rPr>
        <w:t xml:space="preserve">Conclusion </w:t>
      </w:r>
      <w:r w:rsidR="00274D74" w:rsidRPr="00EE65CE">
        <w:rPr>
          <w:b/>
          <w:lang w:val="fr-FR"/>
        </w:rPr>
        <w:t>n° </w:t>
      </w:r>
      <w:r w:rsidRPr="00EE65CE">
        <w:rPr>
          <w:b/>
          <w:lang w:val="fr-FR"/>
        </w:rPr>
        <w:t xml:space="preserve">1 </w:t>
      </w:r>
      <w:r w:rsidRPr="00EE65CE">
        <w:rPr>
          <w:bCs/>
          <w:lang w:val="fr-FR"/>
        </w:rPr>
        <w:t>(</w:t>
      </w:r>
      <w:r w:rsidR="00274D74" w:rsidRPr="00EE65CE">
        <w:rPr>
          <w:bCs/>
          <w:i/>
          <w:lang w:val="fr-FR"/>
        </w:rPr>
        <w:t xml:space="preserve">voir les observations </w:t>
      </w:r>
      <w:r w:rsidR="00954C58" w:rsidRPr="00EE65CE">
        <w:rPr>
          <w:bCs/>
          <w:i/>
          <w:lang w:val="fr-FR"/>
        </w:rPr>
        <w:t>n</w:t>
      </w:r>
      <w:r w:rsidR="00954C58" w:rsidRPr="00EE65CE">
        <w:rPr>
          <w:bCs/>
          <w:i/>
          <w:vertAlign w:val="superscript"/>
          <w:lang w:val="fr-FR"/>
        </w:rPr>
        <w:t>os</w:t>
      </w:r>
      <w:r w:rsidR="00274D74" w:rsidRPr="00EE65CE">
        <w:rPr>
          <w:bCs/>
          <w:i/>
          <w:lang w:val="fr-FR"/>
        </w:rPr>
        <w:t> </w:t>
      </w:r>
      <w:r w:rsidR="00121189" w:rsidRPr="00EE65CE">
        <w:rPr>
          <w:bCs/>
          <w:i/>
          <w:lang w:val="fr-FR"/>
        </w:rPr>
        <w:t>1</w:t>
      </w:r>
      <w:r w:rsidR="00274D74" w:rsidRPr="00EE65CE">
        <w:rPr>
          <w:bCs/>
          <w:i/>
          <w:lang w:val="fr-FR"/>
        </w:rPr>
        <w:t xml:space="preserve"> à </w:t>
      </w:r>
      <w:r w:rsidR="00121189" w:rsidRPr="00EE65CE">
        <w:rPr>
          <w:bCs/>
          <w:i/>
          <w:lang w:val="fr-FR"/>
        </w:rPr>
        <w:t>18</w:t>
      </w:r>
      <w:r w:rsidRPr="00EE65CE">
        <w:rPr>
          <w:bCs/>
          <w:lang w:val="fr-FR"/>
        </w:rPr>
        <w:t>).</w:t>
      </w:r>
      <w:r w:rsidRPr="00EE65CE">
        <w:rPr>
          <w:lang w:val="fr-FR"/>
        </w:rPr>
        <w:t xml:space="preserve">  </w:t>
      </w:r>
      <w:r w:rsidR="00864FAB" w:rsidRPr="00EE65CE">
        <w:rPr>
          <w:lang w:val="fr-FR"/>
        </w:rPr>
        <w:t>Dans l</w:t>
      </w:r>
      <w:r w:rsidR="009D6827" w:rsidRPr="00EE65CE">
        <w:rPr>
          <w:lang w:val="fr-FR"/>
        </w:rPr>
        <w:t>’</w:t>
      </w:r>
      <w:r w:rsidR="00864FAB" w:rsidRPr="00EE65CE">
        <w:rPr>
          <w:lang w:val="fr-FR"/>
        </w:rPr>
        <w:t xml:space="preserve">ensemble, le projet a réussi à faire mieux comprendre les avantages </w:t>
      </w:r>
      <w:r w:rsidR="00121189" w:rsidRPr="00EE65CE">
        <w:rPr>
          <w:lang w:val="fr-FR"/>
        </w:rPr>
        <w:t>potenti</w:t>
      </w:r>
      <w:r w:rsidR="00864FAB" w:rsidRPr="00EE65CE">
        <w:rPr>
          <w:lang w:val="fr-FR"/>
        </w:rPr>
        <w:t>els de la propriété intellectuelle pour le secteur de l</w:t>
      </w:r>
      <w:r w:rsidR="009D6827" w:rsidRPr="00EE65CE">
        <w:rPr>
          <w:lang w:val="fr-FR"/>
        </w:rPr>
        <w:t>’</w:t>
      </w:r>
      <w:r w:rsidR="00864FAB" w:rsidRPr="00EE65CE">
        <w:rPr>
          <w:lang w:val="fr-FR"/>
        </w:rPr>
        <w:t xml:space="preserve">audiovisuel et à créer une dynamique </w:t>
      </w:r>
      <w:r w:rsidR="00502E3A" w:rsidRPr="00EE65CE">
        <w:rPr>
          <w:lang w:val="fr-FR"/>
        </w:rPr>
        <w:t>en ce qui concerne le renforcement de l</w:t>
      </w:r>
      <w:r w:rsidR="009D6827" w:rsidRPr="00EE65CE">
        <w:rPr>
          <w:lang w:val="fr-FR"/>
        </w:rPr>
        <w:t>’</w:t>
      </w:r>
      <w:r w:rsidR="00502E3A" w:rsidRPr="00EE65CE">
        <w:rPr>
          <w:lang w:val="fr-FR"/>
        </w:rPr>
        <w:t>utilisation de la propriété intellectuelle dans les trois pays participan</w:t>
      </w:r>
      <w:r w:rsidR="00121189" w:rsidRPr="00EE65CE">
        <w:rPr>
          <w:lang w:val="fr-FR"/>
        </w:rPr>
        <w:t xml:space="preserve">ts. </w:t>
      </w:r>
      <w:r w:rsidR="001E2480" w:rsidRPr="00EE65CE">
        <w:rPr>
          <w:lang w:val="fr-FR"/>
        </w:rPr>
        <w:t xml:space="preserve"> </w:t>
      </w:r>
      <w:r w:rsidR="00502E3A" w:rsidRPr="00EE65CE">
        <w:rPr>
          <w:lang w:val="fr-FR"/>
        </w:rPr>
        <w:t>Il a aidé les autorités à renforcer leurs cadres d</w:t>
      </w:r>
      <w:r w:rsidR="009D6827" w:rsidRPr="00EE65CE">
        <w:rPr>
          <w:lang w:val="fr-FR"/>
        </w:rPr>
        <w:t>’</w:t>
      </w:r>
      <w:r w:rsidR="00502E3A" w:rsidRPr="00EE65CE">
        <w:rPr>
          <w:lang w:val="fr-FR"/>
        </w:rPr>
        <w:t xml:space="preserve">action et leurs </w:t>
      </w:r>
      <w:r w:rsidR="00121189" w:rsidRPr="00EE65CE">
        <w:rPr>
          <w:lang w:val="fr-FR"/>
        </w:rPr>
        <w:t xml:space="preserve">infrastructures </w:t>
      </w:r>
      <w:r w:rsidR="00502E3A" w:rsidRPr="00EE65CE">
        <w:rPr>
          <w:lang w:val="fr-FR"/>
        </w:rPr>
        <w:t>afin d</w:t>
      </w:r>
      <w:r w:rsidR="009D6827" w:rsidRPr="00EE65CE">
        <w:rPr>
          <w:lang w:val="fr-FR"/>
        </w:rPr>
        <w:t>’</w:t>
      </w:r>
      <w:r w:rsidR="00502E3A" w:rsidRPr="00EE65CE">
        <w:rPr>
          <w:lang w:val="fr-FR"/>
        </w:rPr>
        <w:t>appuyer cette utilisation.  Le projet a également donné l</w:t>
      </w:r>
      <w:r w:rsidR="009D6827" w:rsidRPr="00EE65CE">
        <w:rPr>
          <w:lang w:val="fr-FR"/>
        </w:rPr>
        <w:t>’</w:t>
      </w:r>
      <w:r w:rsidR="00502E3A" w:rsidRPr="00EE65CE">
        <w:rPr>
          <w:lang w:val="fr-FR"/>
        </w:rPr>
        <w:t>occasion de mettre en évidence une utilisation positive de la propriété intellectuelle en Afrique au service des industries de la création.</w:t>
      </w:r>
    </w:p>
    <w:p w:rsidR="009D6827" w:rsidRPr="00EE65CE" w:rsidRDefault="005C58F1" w:rsidP="00542460">
      <w:pPr>
        <w:pStyle w:val="BodyText"/>
        <w:numPr>
          <w:ilvl w:val="0"/>
          <w:numId w:val="25"/>
        </w:numPr>
        <w:rPr>
          <w:lang w:val="fr-FR"/>
        </w:rPr>
      </w:pPr>
      <w:r w:rsidRPr="00EE65CE">
        <w:rPr>
          <w:b/>
          <w:lang w:val="fr-FR"/>
        </w:rPr>
        <w:t xml:space="preserve">Conclusion </w:t>
      </w:r>
      <w:r w:rsidR="00864FAB" w:rsidRPr="00EE65CE">
        <w:rPr>
          <w:b/>
          <w:lang w:val="fr-FR"/>
        </w:rPr>
        <w:t>n° </w:t>
      </w:r>
      <w:r w:rsidRPr="00EE65CE">
        <w:rPr>
          <w:b/>
          <w:lang w:val="fr-FR"/>
        </w:rPr>
        <w:t xml:space="preserve">2 </w:t>
      </w:r>
      <w:r w:rsidRPr="00EE65CE">
        <w:rPr>
          <w:bCs/>
          <w:lang w:val="fr-FR"/>
        </w:rPr>
        <w:t>(</w:t>
      </w:r>
      <w:r w:rsidR="00864FAB" w:rsidRPr="00EE65CE">
        <w:rPr>
          <w:bCs/>
          <w:i/>
          <w:lang w:val="fr-FR"/>
        </w:rPr>
        <w:t xml:space="preserve">voir les observations </w:t>
      </w:r>
      <w:r w:rsidR="00954C58" w:rsidRPr="00EE65CE">
        <w:rPr>
          <w:bCs/>
          <w:i/>
          <w:lang w:val="fr-FR"/>
        </w:rPr>
        <w:t>n</w:t>
      </w:r>
      <w:r w:rsidR="00954C58" w:rsidRPr="00EE65CE">
        <w:rPr>
          <w:bCs/>
          <w:i/>
          <w:vertAlign w:val="superscript"/>
          <w:lang w:val="fr-FR"/>
        </w:rPr>
        <w:t>os</w:t>
      </w:r>
      <w:r w:rsidR="00864FAB" w:rsidRPr="00EE65CE">
        <w:rPr>
          <w:bCs/>
          <w:i/>
          <w:lang w:val="fr-FR"/>
        </w:rPr>
        <w:t> </w:t>
      </w:r>
      <w:r w:rsidRPr="00EE65CE">
        <w:rPr>
          <w:bCs/>
          <w:i/>
          <w:lang w:val="fr-FR"/>
        </w:rPr>
        <w:t>1</w:t>
      </w:r>
      <w:r w:rsidR="00864FAB" w:rsidRPr="00EE65CE">
        <w:rPr>
          <w:bCs/>
          <w:i/>
          <w:lang w:val="fr-FR"/>
        </w:rPr>
        <w:t xml:space="preserve"> à </w:t>
      </w:r>
      <w:r w:rsidRPr="00EE65CE">
        <w:rPr>
          <w:bCs/>
          <w:i/>
          <w:lang w:val="fr-FR"/>
        </w:rPr>
        <w:t>6</w:t>
      </w:r>
      <w:r w:rsidRPr="00EE65CE">
        <w:rPr>
          <w:bCs/>
          <w:lang w:val="fr-FR"/>
        </w:rPr>
        <w:t>)</w:t>
      </w:r>
      <w:r w:rsidRPr="00EE65CE">
        <w:rPr>
          <w:lang w:val="fr-FR"/>
        </w:rPr>
        <w:t xml:space="preserve">.  </w:t>
      </w:r>
      <w:r w:rsidR="00502E3A" w:rsidRPr="00EE65CE">
        <w:rPr>
          <w:lang w:val="fr-FR"/>
        </w:rPr>
        <w:t>Le projet a rencontré certaines difficultés au niveau de l</w:t>
      </w:r>
      <w:r w:rsidR="009D6827" w:rsidRPr="00EE65CE">
        <w:rPr>
          <w:lang w:val="fr-FR"/>
        </w:rPr>
        <w:t>’</w:t>
      </w:r>
      <w:r w:rsidR="00502E3A" w:rsidRPr="00EE65CE">
        <w:rPr>
          <w:lang w:val="fr-FR"/>
        </w:rPr>
        <w:t xml:space="preserve">encadrement, découlant essentiellement de la disponibilité du personnel et des </w:t>
      </w:r>
      <w:r w:rsidR="00664E15" w:rsidRPr="00EE65CE">
        <w:rPr>
          <w:lang w:val="fr-FR"/>
        </w:rPr>
        <w:t>divers degrés d</w:t>
      </w:r>
      <w:r w:rsidR="009D6827" w:rsidRPr="00EE65CE">
        <w:rPr>
          <w:lang w:val="fr-FR"/>
        </w:rPr>
        <w:t>’</w:t>
      </w:r>
      <w:r w:rsidR="00664E15" w:rsidRPr="00EE65CE">
        <w:rPr>
          <w:lang w:val="fr-FR"/>
        </w:rPr>
        <w:t>implication du personnel local, qui ont donné lieu à des retards dans la mise en œuvre du projet, notamment en ce qui concerne la programmation des ateliers et le lancement du programme d</w:t>
      </w:r>
      <w:r w:rsidR="009D6827" w:rsidRPr="00EE65CE">
        <w:rPr>
          <w:lang w:val="fr-FR"/>
        </w:rPr>
        <w:t>’</w:t>
      </w:r>
      <w:r w:rsidR="00664E15" w:rsidRPr="00EE65CE">
        <w:rPr>
          <w:lang w:val="fr-FR"/>
        </w:rPr>
        <w:t>enseignement à distance</w:t>
      </w:r>
      <w:r w:rsidR="00316A68" w:rsidRPr="00EE65CE">
        <w:rPr>
          <w:lang w:val="fr-FR"/>
        </w:rPr>
        <w:t>.</w:t>
      </w:r>
      <w:r w:rsidR="00E62833" w:rsidRPr="00EE65CE">
        <w:rPr>
          <w:lang w:val="fr-FR"/>
        </w:rPr>
        <w:t xml:space="preserve"> </w:t>
      </w:r>
      <w:r w:rsidR="001E2480" w:rsidRPr="00EE65CE">
        <w:rPr>
          <w:lang w:val="fr-FR"/>
        </w:rPr>
        <w:t xml:space="preserve"> </w:t>
      </w:r>
      <w:r w:rsidR="00664E15" w:rsidRPr="00EE65CE">
        <w:rPr>
          <w:lang w:val="fr-FR"/>
        </w:rPr>
        <w:t>En outre, certaines activités de suivi n</w:t>
      </w:r>
      <w:r w:rsidR="009D6827" w:rsidRPr="00EE65CE">
        <w:rPr>
          <w:lang w:val="fr-FR"/>
        </w:rPr>
        <w:t>’</w:t>
      </w:r>
      <w:r w:rsidR="00664E15" w:rsidRPr="00EE65CE">
        <w:rPr>
          <w:lang w:val="fr-FR"/>
        </w:rPr>
        <w:t xml:space="preserve">ont, de ce fait, pas pu être pleinement réalisées, en particulier en ce qui concerne la manière dont les participants de la formation </w:t>
      </w:r>
      <w:proofErr w:type="gramStart"/>
      <w:r w:rsidR="00664E15" w:rsidRPr="00EE65CE">
        <w:rPr>
          <w:lang w:val="fr-FR"/>
        </w:rPr>
        <w:t>ont</w:t>
      </w:r>
      <w:proofErr w:type="gramEnd"/>
      <w:r w:rsidR="00664E15" w:rsidRPr="00EE65CE">
        <w:rPr>
          <w:lang w:val="fr-FR"/>
        </w:rPr>
        <w:t xml:space="preserve"> utilisé les </w:t>
      </w:r>
      <w:r w:rsidR="0039191B" w:rsidRPr="00EE65CE">
        <w:rPr>
          <w:lang w:val="fr-FR"/>
        </w:rPr>
        <w:t>compétences acquises</w:t>
      </w:r>
      <w:r w:rsidR="00664E15" w:rsidRPr="00EE65CE">
        <w:rPr>
          <w:lang w:val="fr-FR"/>
        </w:rPr>
        <w:t xml:space="preserve">.  La disponibilité permanente du responsable du projet et un plus grand appui administratif </w:t>
      </w:r>
      <w:proofErr w:type="gramStart"/>
      <w:r w:rsidR="00664E15" w:rsidRPr="00EE65CE">
        <w:rPr>
          <w:lang w:val="fr-FR"/>
        </w:rPr>
        <w:t>auraient</w:t>
      </w:r>
      <w:proofErr w:type="gramEnd"/>
      <w:r w:rsidR="00664E15" w:rsidRPr="00EE65CE">
        <w:rPr>
          <w:lang w:val="fr-FR"/>
        </w:rPr>
        <w:t xml:space="preserve"> pu permettre de remédier à cette</w:t>
      </w:r>
      <w:r w:rsidR="00DE7465" w:rsidRPr="00EE65CE">
        <w:rPr>
          <w:lang w:val="fr-FR"/>
        </w:rPr>
        <w:t xml:space="preserve"> situation.</w:t>
      </w:r>
    </w:p>
    <w:p w:rsidR="009D6827" w:rsidRPr="00EE65CE" w:rsidRDefault="005C58F1" w:rsidP="00542460">
      <w:pPr>
        <w:pStyle w:val="BodyText"/>
        <w:numPr>
          <w:ilvl w:val="0"/>
          <w:numId w:val="25"/>
        </w:numPr>
        <w:spacing w:after="0"/>
        <w:rPr>
          <w:lang w:val="fr-FR"/>
        </w:rPr>
      </w:pPr>
      <w:r w:rsidRPr="00EE65CE">
        <w:rPr>
          <w:b/>
          <w:lang w:val="fr-FR"/>
        </w:rPr>
        <w:t xml:space="preserve">Conclusion </w:t>
      </w:r>
      <w:r w:rsidR="00864FAB" w:rsidRPr="00EE65CE">
        <w:rPr>
          <w:b/>
          <w:lang w:val="fr-FR"/>
        </w:rPr>
        <w:t>n° </w:t>
      </w:r>
      <w:r w:rsidRPr="00EE65CE">
        <w:rPr>
          <w:b/>
          <w:lang w:val="fr-FR"/>
        </w:rPr>
        <w:t xml:space="preserve">3 </w:t>
      </w:r>
      <w:r w:rsidRPr="00EE65CE">
        <w:rPr>
          <w:bCs/>
          <w:lang w:val="fr-FR"/>
        </w:rPr>
        <w:t>(</w:t>
      </w:r>
      <w:r w:rsidR="00864FAB" w:rsidRPr="00EE65CE">
        <w:rPr>
          <w:bCs/>
          <w:i/>
          <w:lang w:val="fr-FR"/>
        </w:rPr>
        <w:t xml:space="preserve">voir les observations </w:t>
      </w:r>
      <w:r w:rsidR="00954C58" w:rsidRPr="00EE65CE">
        <w:rPr>
          <w:bCs/>
          <w:i/>
          <w:lang w:val="fr-FR"/>
        </w:rPr>
        <w:t>n</w:t>
      </w:r>
      <w:r w:rsidR="00954C58" w:rsidRPr="00EE65CE">
        <w:rPr>
          <w:bCs/>
          <w:i/>
          <w:vertAlign w:val="superscript"/>
          <w:lang w:val="fr-FR"/>
        </w:rPr>
        <w:t>os</w:t>
      </w:r>
      <w:r w:rsidR="00864FAB" w:rsidRPr="00EE65CE">
        <w:rPr>
          <w:bCs/>
          <w:i/>
          <w:lang w:val="fr-FR"/>
        </w:rPr>
        <w:t> </w:t>
      </w:r>
      <w:r w:rsidR="00316A68" w:rsidRPr="00EE65CE">
        <w:rPr>
          <w:bCs/>
          <w:i/>
          <w:lang w:val="fr-FR"/>
        </w:rPr>
        <w:t>7</w:t>
      </w:r>
      <w:r w:rsidRPr="00EE65CE">
        <w:rPr>
          <w:bCs/>
          <w:i/>
          <w:lang w:val="fr-FR"/>
        </w:rPr>
        <w:t xml:space="preserve"> </w:t>
      </w:r>
      <w:r w:rsidR="00864FAB" w:rsidRPr="00EE65CE">
        <w:rPr>
          <w:bCs/>
          <w:i/>
          <w:lang w:val="fr-FR"/>
        </w:rPr>
        <w:t xml:space="preserve">à </w:t>
      </w:r>
      <w:r w:rsidR="00316A68" w:rsidRPr="00EE65CE">
        <w:rPr>
          <w:bCs/>
          <w:i/>
          <w:lang w:val="fr-FR"/>
        </w:rPr>
        <w:t>14</w:t>
      </w:r>
      <w:r w:rsidRPr="00EE65CE">
        <w:rPr>
          <w:bCs/>
          <w:lang w:val="fr-FR"/>
        </w:rPr>
        <w:t>).</w:t>
      </w:r>
      <w:r w:rsidR="00E62833" w:rsidRPr="00EE65CE">
        <w:rPr>
          <w:lang w:val="fr-FR"/>
        </w:rPr>
        <w:t xml:space="preserve">  </w:t>
      </w:r>
      <w:r w:rsidR="00664E15" w:rsidRPr="00EE65CE">
        <w:rPr>
          <w:lang w:val="fr-FR"/>
        </w:rPr>
        <w:t xml:space="preserve">Il ressort des observations que le projet était essentiellement axé sur le programme de formation dans les pays </w:t>
      </w:r>
      <w:r w:rsidR="00002F00" w:rsidRPr="00EE65CE">
        <w:rPr>
          <w:lang w:val="fr-FR"/>
        </w:rPr>
        <w:t>et une importance moindre a été accordée à l</w:t>
      </w:r>
      <w:r w:rsidR="009D6827" w:rsidRPr="00EE65CE">
        <w:rPr>
          <w:lang w:val="fr-FR"/>
        </w:rPr>
        <w:t>’</w:t>
      </w:r>
      <w:r w:rsidR="00002F00" w:rsidRPr="00EE65CE">
        <w:rPr>
          <w:lang w:val="fr-FR"/>
        </w:rPr>
        <w:t xml:space="preserve">appui aux </w:t>
      </w:r>
      <w:r w:rsidR="00E62833" w:rsidRPr="00EE65CE">
        <w:rPr>
          <w:lang w:val="fr-FR"/>
        </w:rPr>
        <w:t xml:space="preserve">infrastructures </w:t>
      </w:r>
      <w:r w:rsidR="00002F00" w:rsidRPr="00EE65CE">
        <w:rPr>
          <w:lang w:val="fr-FR"/>
        </w:rPr>
        <w:t>et aux cadres d</w:t>
      </w:r>
      <w:r w:rsidR="009D6827" w:rsidRPr="00EE65CE">
        <w:rPr>
          <w:lang w:val="fr-FR"/>
        </w:rPr>
        <w:t>’</w:t>
      </w:r>
      <w:r w:rsidR="00002F00" w:rsidRPr="00EE65CE">
        <w:rPr>
          <w:lang w:val="fr-FR"/>
        </w:rPr>
        <w:t xml:space="preserve">action. </w:t>
      </w:r>
      <w:r w:rsidR="00E62833" w:rsidRPr="00EE65CE">
        <w:rPr>
          <w:lang w:val="fr-FR"/>
        </w:rPr>
        <w:t xml:space="preserve"> </w:t>
      </w:r>
      <w:r w:rsidR="00002F00" w:rsidRPr="00EE65CE">
        <w:rPr>
          <w:lang w:val="fr-FR"/>
        </w:rPr>
        <w:t>Cela est compréhensible étant donné que la formation était nécessaire pour jeter les bases de l</w:t>
      </w:r>
      <w:r w:rsidR="009D6827" w:rsidRPr="00EE65CE">
        <w:rPr>
          <w:lang w:val="fr-FR"/>
        </w:rPr>
        <w:t>’</w:t>
      </w:r>
      <w:r w:rsidR="00002F00" w:rsidRPr="00EE65CE">
        <w:rPr>
          <w:lang w:val="fr-FR"/>
        </w:rPr>
        <w:t>appui aux infrastructures et aux cadres d</w:t>
      </w:r>
      <w:r w:rsidR="009D6827" w:rsidRPr="00EE65CE">
        <w:rPr>
          <w:lang w:val="fr-FR"/>
        </w:rPr>
        <w:t>’</w:t>
      </w:r>
      <w:r w:rsidR="00002F00" w:rsidRPr="00EE65CE">
        <w:rPr>
          <w:lang w:val="fr-FR"/>
        </w:rPr>
        <w:t>action</w:t>
      </w:r>
      <w:r w:rsidR="00E62833" w:rsidRPr="00EE65CE">
        <w:rPr>
          <w:lang w:val="fr-FR"/>
        </w:rPr>
        <w:t xml:space="preserve">. </w:t>
      </w:r>
      <w:r w:rsidR="00002F00" w:rsidRPr="00EE65CE">
        <w:rPr>
          <w:lang w:val="fr-FR"/>
        </w:rPr>
        <w:t xml:space="preserve"> Toutefois, compte tenu des délais d</w:t>
      </w:r>
      <w:r w:rsidR="009D6827" w:rsidRPr="00EE65CE">
        <w:rPr>
          <w:lang w:val="fr-FR"/>
        </w:rPr>
        <w:t>’</w:t>
      </w:r>
      <w:r w:rsidR="00002F00" w:rsidRPr="00EE65CE">
        <w:rPr>
          <w:lang w:val="fr-FR"/>
        </w:rPr>
        <w:t>exécution du projet, le potentiel de cet appui n</w:t>
      </w:r>
      <w:r w:rsidR="009D6827" w:rsidRPr="00EE65CE">
        <w:rPr>
          <w:lang w:val="fr-FR"/>
        </w:rPr>
        <w:t>’</w:t>
      </w:r>
      <w:r w:rsidR="00002F00" w:rsidRPr="00EE65CE">
        <w:rPr>
          <w:lang w:val="fr-FR"/>
        </w:rPr>
        <w:t>a peut</w:t>
      </w:r>
      <w:r w:rsidR="00992678" w:rsidRPr="00EE65CE">
        <w:rPr>
          <w:lang w:val="fr-FR"/>
        </w:rPr>
        <w:noBreakHyphen/>
      </w:r>
      <w:r w:rsidR="00002F00" w:rsidRPr="00EE65CE">
        <w:rPr>
          <w:lang w:val="fr-FR"/>
        </w:rPr>
        <w:t>être pas été pleinement atteint et pourrait constituer un objectif pour des activités futures</w:t>
      </w:r>
      <w:r w:rsidR="00E62833" w:rsidRPr="00EE65CE">
        <w:rPr>
          <w:lang w:val="fr-FR"/>
        </w:rPr>
        <w:t>.</w:t>
      </w:r>
    </w:p>
    <w:p w:rsidR="00E62833" w:rsidRPr="00EE65CE" w:rsidRDefault="00E62833" w:rsidP="00542460">
      <w:pPr>
        <w:pStyle w:val="BodyText"/>
        <w:spacing w:after="0"/>
        <w:rPr>
          <w:lang w:val="fr-FR"/>
        </w:rPr>
      </w:pPr>
    </w:p>
    <w:p w:rsidR="009D6827" w:rsidRPr="00EE65CE" w:rsidRDefault="005C58F1" w:rsidP="00542460">
      <w:pPr>
        <w:pStyle w:val="BodyText"/>
        <w:numPr>
          <w:ilvl w:val="0"/>
          <w:numId w:val="25"/>
        </w:numPr>
        <w:spacing w:after="0"/>
        <w:rPr>
          <w:lang w:val="fr-FR"/>
        </w:rPr>
      </w:pPr>
      <w:r w:rsidRPr="00EE65CE">
        <w:rPr>
          <w:b/>
          <w:lang w:val="fr-FR"/>
        </w:rPr>
        <w:t xml:space="preserve">Conclusion </w:t>
      </w:r>
      <w:r w:rsidR="00864FAB" w:rsidRPr="00EE65CE">
        <w:rPr>
          <w:b/>
          <w:lang w:val="fr-FR"/>
        </w:rPr>
        <w:t>n° </w:t>
      </w:r>
      <w:r w:rsidRPr="00EE65CE">
        <w:rPr>
          <w:b/>
          <w:lang w:val="fr-FR"/>
        </w:rPr>
        <w:t xml:space="preserve">4 </w:t>
      </w:r>
      <w:r w:rsidRPr="00EE65CE">
        <w:rPr>
          <w:bCs/>
          <w:lang w:val="fr-FR"/>
        </w:rPr>
        <w:t>(</w:t>
      </w:r>
      <w:r w:rsidR="00864FAB" w:rsidRPr="00EE65CE">
        <w:rPr>
          <w:bCs/>
          <w:i/>
          <w:lang w:val="fr-FR"/>
        </w:rPr>
        <w:t xml:space="preserve">voir les observations </w:t>
      </w:r>
      <w:r w:rsidR="00954C58" w:rsidRPr="00EE65CE">
        <w:rPr>
          <w:bCs/>
          <w:i/>
          <w:lang w:val="fr-FR"/>
        </w:rPr>
        <w:t>n</w:t>
      </w:r>
      <w:r w:rsidR="00954C58" w:rsidRPr="00EE65CE">
        <w:rPr>
          <w:bCs/>
          <w:i/>
          <w:vertAlign w:val="superscript"/>
          <w:lang w:val="fr-FR"/>
        </w:rPr>
        <w:t>os</w:t>
      </w:r>
      <w:r w:rsidR="00864FAB" w:rsidRPr="00EE65CE">
        <w:rPr>
          <w:bCs/>
          <w:i/>
          <w:lang w:val="fr-FR"/>
        </w:rPr>
        <w:t> </w:t>
      </w:r>
      <w:r w:rsidR="00E62833" w:rsidRPr="00EE65CE">
        <w:rPr>
          <w:bCs/>
          <w:i/>
          <w:lang w:val="fr-FR"/>
        </w:rPr>
        <w:t>15</w:t>
      </w:r>
      <w:r w:rsidR="00864FAB" w:rsidRPr="00EE65CE">
        <w:rPr>
          <w:bCs/>
          <w:i/>
          <w:lang w:val="fr-FR"/>
        </w:rPr>
        <w:t xml:space="preserve"> à </w:t>
      </w:r>
      <w:r w:rsidR="00E62833" w:rsidRPr="00EE65CE">
        <w:rPr>
          <w:bCs/>
          <w:i/>
          <w:lang w:val="fr-FR"/>
        </w:rPr>
        <w:t>1</w:t>
      </w:r>
      <w:r w:rsidRPr="00EE65CE">
        <w:rPr>
          <w:bCs/>
          <w:i/>
          <w:lang w:val="fr-FR"/>
        </w:rPr>
        <w:t>8</w:t>
      </w:r>
      <w:r w:rsidRPr="00EE65CE">
        <w:rPr>
          <w:bCs/>
          <w:lang w:val="fr-FR"/>
        </w:rPr>
        <w:t xml:space="preserve">). </w:t>
      </w:r>
      <w:r w:rsidRPr="00EE65CE">
        <w:rPr>
          <w:lang w:val="fr-FR"/>
        </w:rPr>
        <w:t xml:space="preserve"> </w:t>
      </w:r>
      <w:r w:rsidR="00647A5F" w:rsidRPr="00EE65CE">
        <w:rPr>
          <w:lang w:val="fr-FR"/>
        </w:rPr>
        <w:t>Il ressort des</w:t>
      </w:r>
      <w:r w:rsidR="00002F00" w:rsidRPr="00EE65CE">
        <w:rPr>
          <w:lang w:val="fr-FR"/>
        </w:rPr>
        <w:t xml:space="preserve"> </w:t>
      </w:r>
      <w:r w:rsidR="00647A5F" w:rsidRPr="00EE65CE">
        <w:rPr>
          <w:lang w:val="fr-FR"/>
        </w:rPr>
        <w:t>observations que, pour que les progrès constatés dans les trois pays participants soient pleinement exploités et donnent lieu à une utilisation accrue de la propriété intellectuelle, un appui supplémentaire de l</w:t>
      </w:r>
      <w:r w:rsidR="009D6827" w:rsidRPr="00EE65CE">
        <w:rPr>
          <w:lang w:val="fr-FR"/>
        </w:rPr>
        <w:t>’</w:t>
      </w:r>
      <w:r w:rsidR="00647A5F" w:rsidRPr="00EE65CE">
        <w:rPr>
          <w:lang w:val="fr-FR"/>
        </w:rPr>
        <w:t>OMPI serait nécessaire.  Il est fondamental de déterminer le type d</w:t>
      </w:r>
      <w:r w:rsidR="009D6827" w:rsidRPr="00EE65CE">
        <w:rPr>
          <w:lang w:val="fr-FR"/>
        </w:rPr>
        <w:t>’</w:t>
      </w:r>
      <w:r w:rsidR="00647A5F" w:rsidRPr="00EE65CE">
        <w:rPr>
          <w:lang w:val="fr-FR"/>
        </w:rPr>
        <w:t>appui nécessaire afin de s</w:t>
      </w:r>
      <w:r w:rsidR="009D6827" w:rsidRPr="00EE65CE">
        <w:rPr>
          <w:lang w:val="fr-FR"/>
        </w:rPr>
        <w:t>’</w:t>
      </w:r>
      <w:r w:rsidR="00647A5F" w:rsidRPr="00EE65CE">
        <w:rPr>
          <w:lang w:val="fr-FR"/>
        </w:rPr>
        <w:t>assurer que la propriété intellectuelle est bien intégrée dans le secteur de l</w:t>
      </w:r>
      <w:r w:rsidR="009D6827" w:rsidRPr="00EE65CE">
        <w:rPr>
          <w:lang w:val="fr-FR"/>
        </w:rPr>
        <w:t>’</w:t>
      </w:r>
      <w:r w:rsidR="00647A5F" w:rsidRPr="00EE65CE">
        <w:rPr>
          <w:lang w:val="fr-FR"/>
        </w:rPr>
        <w:t>audiovisuel dans ces pays.  Il semble approprié que l</w:t>
      </w:r>
      <w:r w:rsidR="009D6827" w:rsidRPr="00EE65CE">
        <w:rPr>
          <w:lang w:val="fr-FR"/>
        </w:rPr>
        <w:t>’</w:t>
      </w:r>
      <w:r w:rsidR="00647A5F" w:rsidRPr="00EE65CE">
        <w:rPr>
          <w:lang w:val="fr-FR"/>
        </w:rPr>
        <w:t>OMPI redouble d</w:t>
      </w:r>
      <w:r w:rsidR="009D6827" w:rsidRPr="00EE65CE">
        <w:rPr>
          <w:lang w:val="fr-FR"/>
        </w:rPr>
        <w:t>’</w:t>
      </w:r>
      <w:r w:rsidR="00647A5F" w:rsidRPr="00EE65CE">
        <w:rPr>
          <w:lang w:val="fr-FR"/>
        </w:rPr>
        <w:t>efforts dans les trois</w:t>
      </w:r>
      <w:r w:rsidR="005B2087" w:rsidRPr="00EE65CE">
        <w:rPr>
          <w:lang w:val="fr-FR"/>
        </w:rPr>
        <w:t> </w:t>
      </w:r>
      <w:r w:rsidR="00647A5F" w:rsidRPr="00EE65CE">
        <w:rPr>
          <w:lang w:val="fr-FR"/>
        </w:rPr>
        <w:t>pays participants afin de stimuler l</w:t>
      </w:r>
      <w:r w:rsidR="009D6827" w:rsidRPr="00EE65CE">
        <w:rPr>
          <w:lang w:val="fr-FR"/>
        </w:rPr>
        <w:t>’</w:t>
      </w:r>
      <w:r w:rsidR="00647A5F" w:rsidRPr="00EE65CE">
        <w:rPr>
          <w:lang w:val="fr-FR"/>
        </w:rPr>
        <w:t>utilisation de la propriété intellectuelle</w:t>
      </w:r>
      <w:r w:rsidR="00B31DD7" w:rsidRPr="00EE65CE">
        <w:rPr>
          <w:lang w:val="fr-FR"/>
        </w:rPr>
        <w:t xml:space="preserve">, </w:t>
      </w:r>
      <w:r w:rsidR="004E06F4" w:rsidRPr="00EE65CE">
        <w:rPr>
          <w:lang w:val="fr-FR"/>
        </w:rPr>
        <w:t>éventuellement en fournissant un appui plus ciblé aux professionnels du cinéma, aux autres parties prenantes (juristes, radiodiffuseurs</w:t>
      </w:r>
      <w:r w:rsidR="006A1264" w:rsidRPr="00EE65CE">
        <w:rPr>
          <w:lang w:val="fr-FR"/>
        </w:rPr>
        <w:t>, etc.)</w:t>
      </w:r>
      <w:r w:rsidR="00B31DD7" w:rsidRPr="00EE65CE">
        <w:rPr>
          <w:lang w:val="fr-FR"/>
        </w:rPr>
        <w:t xml:space="preserve"> </w:t>
      </w:r>
      <w:r w:rsidR="004E06F4" w:rsidRPr="00EE65CE">
        <w:rPr>
          <w:lang w:val="fr-FR"/>
        </w:rPr>
        <w:t xml:space="preserve">et dans le cadre des </w:t>
      </w:r>
      <w:r w:rsidR="00B31DD7" w:rsidRPr="00EE65CE">
        <w:rPr>
          <w:lang w:val="fr-FR"/>
        </w:rPr>
        <w:t xml:space="preserve">infrastructures </w:t>
      </w:r>
      <w:r w:rsidR="004E06F4" w:rsidRPr="00EE65CE">
        <w:rPr>
          <w:lang w:val="fr-FR"/>
        </w:rPr>
        <w:t>et cadres d</w:t>
      </w:r>
      <w:r w:rsidR="009D6827" w:rsidRPr="00EE65CE">
        <w:rPr>
          <w:lang w:val="fr-FR"/>
        </w:rPr>
        <w:t>’</w:t>
      </w:r>
      <w:r w:rsidR="004E06F4" w:rsidRPr="00EE65CE">
        <w:rPr>
          <w:lang w:val="fr-FR"/>
        </w:rPr>
        <w:t>action nécessaires</w:t>
      </w:r>
      <w:r w:rsidR="00B31DD7" w:rsidRPr="00EE65CE">
        <w:rPr>
          <w:lang w:val="fr-FR"/>
        </w:rPr>
        <w:t xml:space="preserve">.  </w:t>
      </w:r>
      <w:r w:rsidR="004E06F4" w:rsidRPr="00EE65CE">
        <w:rPr>
          <w:lang w:val="fr-FR"/>
        </w:rPr>
        <w:t>Les deux études susmentionnées et les rapports relatifs aux ateliers de formation contiennent un grand nombre de recommandations concrètes à cet égard.  L</w:t>
      </w:r>
      <w:r w:rsidR="009D6827" w:rsidRPr="00EE65CE">
        <w:rPr>
          <w:lang w:val="fr-FR"/>
        </w:rPr>
        <w:t>’</w:t>
      </w:r>
      <w:r w:rsidR="004E06F4" w:rsidRPr="00EE65CE">
        <w:rPr>
          <w:lang w:val="fr-FR"/>
        </w:rPr>
        <w:t>OMPI pourrait envisager d</w:t>
      </w:r>
      <w:r w:rsidR="009D6827" w:rsidRPr="00EE65CE">
        <w:rPr>
          <w:lang w:val="fr-FR"/>
        </w:rPr>
        <w:t>’</w:t>
      </w:r>
      <w:r w:rsidR="004E06F4" w:rsidRPr="00EE65CE">
        <w:rPr>
          <w:lang w:val="fr-FR"/>
        </w:rPr>
        <w:t>intégrer d</w:t>
      </w:r>
      <w:r w:rsidR="009D6827" w:rsidRPr="00EE65CE">
        <w:rPr>
          <w:lang w:val="fr-FR"/>
        </w:rPr>
        <w:t>’</w:t>
      </w:r>
      <w:r w:rsidR="004E06F4" w:rsidRPr="00EE65CE">
        <w:rPr>
          <w:lang w:val="fr-FR"/>
        </w:rPr>
        <w:t>autres pays, mais compte tenu des ressources limitées, elle devrait poser des limites en ce qui concerne le nombre de pays auxquels elle pourrait fournir une assistance afin d</w:t>
      </w:r>
      <w:r w:rsidR="009D6827" w:rsidRPr="00EE65CE">
        <w:rPr>
          <w:lang w:val="fr-FR"/>
        </w:rPr>
        <w:t>’</w:t>
      </w:r>
      <w:r w:rsidR="004E06F4" w:rsidRPr="00EE65CE">
        <w:rPr>
          <w:lang w:val="fr-FR"/>
        </w:rPr>
        <w:t>éviter d</w:t>
      </w:r>
      <w:r w:rsidR="009D6827" w:rsidRPr="00EE65CE">
        <w:rPr>
          <w:lang w:val="fr-FR"/>
        </w:rPr>
        <w:t>’</w:t>
      </w:r>
      <w:r w:rsidR="004E06F4" w:rsidRPr="00EE65CE">
        <w:rPr>
          <w:lang w:val="fr-FR"/>
        </w:rPr>
        <w:t>entrer dans un cycle permanent de formation qui pourrait prendre beaucoup de temps</w:t>
      </w:r>
      <w:r w:rsidR="000E6884" w:rsidRPr="00EE65CE">
        <w:rPr>
          <w:lang w:val="fr-FR"/>
        </w:rPr>
        <w:t xml:space="preserve"> (</w:t>
      </w:r>
      <w:r w:rsidR="004E06F4" w:rsidRPr="00EE65CE">
        <w:rPr>
          <w:lang w:val="fr-FR"/>
        </w:rPr>
        <w:t>d</w:t>
      </w:r>
      <w:r w:rsidR="009D6827" w:rsidRPr="00EE65CE">
        <w:rPr>
          <w:lang w:val="fr-FR"/>
        </w:rPr>
        <w:t>’</w:t>
      </w:r>
      <w:r w:rsidR="004E06F4" w:rsidRPr="00EE65CE">
        <w:rPr>
          <w:lang w:val="fr-FR"/>
        </w:rPr>
        <w:t>où le rôle positif que peut jouer le programme d</w:t>
      </w:r>
      <w:r w:rsidR="009D6827" w:rsidRPr="00EE65CE">
        <w:rPr>
          <w:lang w:val="fr-FR"/>
        </w:rPr>
        <w:t>’</w:t>
      </w:r>
      <w:r w:rsidR="004E06F4" w:rsidRPr="00EE65CE">
        <w:rPr>
          <w:lang w:val="fr-FR"/>
        </w:rPr>
        <w:t>enseignement à distance</w:t>
      </w:r>
      <w:r w:rsidR="000E6884" w:rsidRPr="00EE65CE">
        <w:rPr>
          <w:lang w:val="fr-FR"/>
        </w:rPr>
        <w:t>).</w:t>
      </w:r>
    </w:p>
    <w:p w:rsidR="00137FA4" w:rsidRPr="00EE65CE" w:rsidRDefault="00137FA4" w:rsidP="00542460">
      <w:pPr>
        <w:pStyle w:val="BodyText"/>
        <w:spacing w:after="0"/>
        <w:rPr>
          <w:lang w:val="fr-FR"/>
        </w:rPr>
      </w:pPr>
    </w:p>
    <w:p w:rsidR="009D6827" w:rsidRPr="00EE65CE" w:rsidRDefault="005C58F1" w:rsidP="00542460">
      <w:pPr>
        <w:pStyle w:val="BodyText"/>
        <w:numPr>
          <w:ilvl w:val="0"/>
          <w:numId w:val="25"/>
        </w:numPr>
        <w:spacing w:after="0"/>
        <w:rPr>
          <w:lang w:val="fr-FR"/>
        </w:rPr>
      </w:pPr>
      <w:r w:rsidRPr="00EE65CE">
        <w:rPr>
          <w:b/>
          <w:lang w:val="fr-FR"/>
        </w:rPr>
        <w:t>Recomm</w:t>
      </w:r>
      <w:r w:rsidR="00864FAB" w:rsidRPr="00EE65CE">
        <w:rPr>
          <w:b/>
          <w:lang w:val="fr-FR"/>
        </w:rPr>
        <w:t>a</w:t>
      </w:r>
      <w:r w:rsidRPr="00EE65CE">
        <w:rPr>
          <w:b/>
          <w:lang w:val="fr-FR"/>
        </w:rPr>
        <w:t xml:space="preserve">ndation </w:t>
      </w:r>
      <w:r w:rsidR="00864FAB" w:rsidRPr="00EE65CE">
        <w:rPr>
          <w:b/>
          <w:lang w:val="fr-FR"/>
        </w:rPr>
        <w:t>n° </w:t>
      </w:r>
      <w:r w:rsidRPr="00EE65CE">
        <w:rPr>
          <w:b/>
          <w:lang w:val="fr-FR"/>
        </w:rPr>
        <w:t xml:space="preserve">1 </w:t>
      </w:r>
      <w:r w:rsidRPr="00EE65CE">
        <w:rPr>
          <w:bCs/>
          <w:i/>
          <w:lang w:val="fr-FR"/>
        </w:rPr>
        <w:t>(</w:t>
      </w:r>
      <w:r w:rsidR="00864FAB" w:rsidRPr="00EE65CE">
        <w:rPr>
          <w:bCs/>
          <w:i/>
          <w:lang w:val="fr-FR"/>
        </w:rPr>
        <w:t>voir les c</w:t>
      </w:r>
      <w:r w:rsidRPr="00EE65CE">
        <w:rPr>
          <w:bCs/>
          <w:i/>
          <w:lang w:val="fr-FR"/>
        </w:rPr>
        <w:t>onclusion</w:t>
      </w:r>
      <w:r w:rsidR="00864FAB" w:rsidRPr="00EE65CE">
        <w:rPr>
          <w:bCs/>
          <w:i/>
          <w:lang w:val="fr-FR"/>
        </w:rPr>
        <w:t xml:space="preserve">s </w:t>
      </w:r>
      <w:r w:rsidR="00954C58" w:rsidRPr="00EE65CE">
        <w:rPr>
          <w:bCs/>
          <w:i/>
          <w:lang w:val="fr-FR"/>
        </w:rPr>
        <w:t>n</w:t>
      </w:r>
      <w:r w:rsidR="00954C58" w:rsidRPr="00EE65CE">
        <w:rPr>
          <w:bCs/>
          <w:i/>
          <w:vertAlign w:val="superscript"/>
          <w:lang w:val="fr-FR"/>
        </w:rPr>
        <w:t>os</w:t>
      </w:r>
      <w:r w:rsidR="00864FAB" w:rsidRPr="00EE65CE">
        <w:rPr>
          <w:bCs/>
          <w:i/>
          <w:lang w:val="fr-FR"/>
        </w:rPr>
        <w:t xml:space="preserve"> 1 à </w:t>
      </w:r>
      <w:r w:rsidR="000E6884" w:rsidRPr="00EE65CE">
        <w:rPr>
          <w:bCs/>
          <w:i/>
          <w:lang w:val="fr-FR"/>
        </w:rPr>
        <w:t>4</w:t>
      </w:r>
      <w:r w:rsidRPr="00EE65CE">
        <w:rPr>
          <w:bCs/>
          <w:i/>
          <w:lang w:val="fr-FR"/>
        </w:rPr>
        <w:t xml:space="preserve">, </w:t>
      </w:r>
      <w:r w:rsidR="00864FAB" w:rsidRPr="00EE65CE">
        <w:rPr>
          <w:bCs/>
          <w:i/>
          <w:lang w:val="fr-FR"/>
        </w:rPr>
        <w:t xml:space="preserve">et les observations </w:t>
      </w:r>
      <w:r w:rsidR="00954C58" w:rsidRPr="00EE65CE">
        <w:rPr>
          <w:bCs/>
          <w:i/>
          <w:lang w:val="fr-FR"/>
        </w:rPr>
        <w:t>n</w:t>
      </w:r>
      <w:r w:rsidR="00954C58" w:rsidRPr="00EE65CE">
        <w:rPr>
          <w:bCs/>
          <w:i/>
          <w:vertAlign w:val="superscript"/>
          <w:lang w:val="fr-FR"/>
        </w:rPr>
        <w:t>os</w:t>
      </w:r>
      <w:r w:rsidR="00864FAB" w:rsidRPr="00EE65CE">
        <w:rPr>
          <w:bCs/>
          <w:i/>
          <w:lang w:val="fr-FR"/>
        </w:rPr>
        <w:t> </w:t>
      </w:r>
      <w:r w:rsidR="000E6884" w:rsidRPr="00EE65CE">
        <w:rPr>
          <w:bCs/>
          <w:i/>
          <w:lang w:val="fr-FR"/>
        </w:rPr>
        <w:t>1</w:t>
      </w:r>
      <w:r w:rsidR="00864FAB" w:rsidRPr="00EE65CE">
        <w:rPr>
          <w:bCs/>
          <w:i/>
          <w:lang w:val="fr-FR"/>
        </w:rPr>
        <w:t xml:space="preserve"> à </w:t>
      </w:r>
      <w:r w:rsidR="000E6884" w:rsidRPr="00EE65CE">
        <w:rPr>
          <w:bCs/>
          <w:i/>
          <w:lang w:val="fr-FR"/>
        </w:rPr>
        <w:t>18</w:t>
      </w:r>
      <w:r w:rsidRPr="00EE65CE">
        <w:rPr>
          <w:bCs/>
          <w:i/>
          <w:lang w:val="fr-FR"/>
        </w:rPr>
        <w:t xml:space="preserve">). </w:t>
      </w:r>
      <w:r w:rsidRPr="00EE65CE">
        <w:rPr>
          <w:i/>
          <w:lang w:val="fr-FR"/>
        </w:rPr>
        <w:t xml:space="preserve"> </w:t>
      </w:r>
      <w:r w:rsidRPr="00EE65CE">
        <w:rPr>
          <w:lang w:val="fr-FR"/>
        </w:rPr>
        <w:t>I</w:t>
      </w:r>
      <w:r w:rsidR="004E06F4" w:rsidRPr="00EE65CE">
        <w:rPr>
          <w:lang w:val="fr-FR"/>
        </w:rPr>
        <w:t xml:space="preserve">l est </w:t>
      </w:r>
      <w:r w:rsidRPr="00EE65CE">
        <w:rPr>
          <w:lang w:val="fr-FR"/>
        </w:rPr>
        <w:t>recomm</w:t>
      </w:r>
      <w:r w:rsidR="004E06F4" w:rsidRPr="00EE65CE">
        <w:rPr>
          <w:lang w:val="fr-FR"/>
        </w:rPr>
        <w:t>a</w:t>
      </w:r>
      <w:r w:rsidRPr="00EE65CE">
        <w:rPr>
          <w:lang w:val="fr-FR"/>
        </w:rPr>
        <w:t>nd</w:t>
      </w:r>
      <w:r w:rsidR="004E06F4" w:rsidRPr="00EE65CE">
        <w:rPr>
          <w:lang w:val="fr-FR"/>
        </w:rPr>
        <w:t>é</w:t>
      </w:r>
      <w:r w:rsidR="009D6827" w:rsidRPr="00EE65CE">
        <w:rPr>
          <w:lang w:val="fr-FR"/>
        </w:rPr>
        <w:t xml:space="preserve"> au CDI</w:t>
      </w:r>
      <w:r w:rsidR="000E6884" w:rsidRPr="00EE65CE">
        <w:rPr>
          <w:lang w:val="fr-FR"/>
        </w:rPr>
        <w:t xml:space="preserve">P </w:t>
      </w:r>
      <w:r w:rsidR="004E06F4" w:rsidRPr="00EE65CE">
        <w:rPr>
          <w:lang w:val="fr-FR"/>
        </w:rPr>
        <w:t>d</w:t>
      </w:r>
      <w:r w:rsidR="009D6827" w:rsidRPr="00EE65CE">
        <w:rPr>
          <w:lang w:val="fr-FR"/>
        </w:rPr>
        <w:t>’</w:t>
      </w:r>
      <w:r w:rsidR="004E06F4" w:rsidRPr="00EE65CE">
        <w:rPr>
          <w:lang w:val="fr-FR"/>
        </w:rPr>
        <w:t xml:space="preserve">appuyer </w:t>
      </w:r>
      <w:r w:rsidR="007F4547" w:rsidRPr="00EE65CE">
        <w:rPr>
          <w:lang w:val="fr-FR"/>
        </w:rPr>
        <w:t>le lancement d</w:t>
      </w:r>
      <w:r w:rsidR="009D6827" w:rsidRPr="00EE65CE">
        <w:rPr>
          <w:lang w:val="fr-FR"/>
        </w:rPr>
        <w:t>’</w:t>
      </w:r>
      <w:r w:rsidR="007F4547" w:rsidRPr="00EE65CE">
        <w:rPr>
          <w:lang w:val="fr-FR"/>
        </w:rPr>
        <w:t xml:space="preserve">une deuxième phase du projet et la mise à la disposition du </w:t>
      </w:r>
      <w:r w:rsidR="000E6884" w:rsidRPr="00EE65CE">
        <w:rPr>
          <w:lang w:val="fr-FR"/>
        </w:rPr>
        <w:t>Secr</w:t>
      </w:r>
      <w:r w:rsidR="007F4547" w:rsidRPr="00EE65CE">
        <w:rPr>
          <w:lang w:val="fr-FR"/>
        </w:rPr>
        <w:t>é</w:t>
      </w:r>
      <w:r w:rsidR="000E6884" w:rsidRPr="00EE65CE">
        <w:rPr>
          <w:lang w:val="fr-FR"/>
        </w:rPr>
        <w:t xml:space="preserve">tariat </w:t>
      </w:r>
      <w:r w:rsidR="007F4547" w:rsidRPr="00EE65CE">
        <w:rPr>
          <w:lang w:val="fr-FR"/>
        </w:rPr>
        <w:t>de l</w:t>
      </w:r>
      <w:r w:rsidR="009D6827" w:rsidRPr="00EE65CE">
        <w:rPr>
          <w:lang w:val="fr-FR"/>
        </w:rPr>
        <w:t>’</w:t>
      </w:r>
      <w:r w:rsidR="007F4547" w:rsidRPr="00EE65CE">
        <w:rPr>
          <w:lang w:val="fr-FR"/>
        </w:rPr>
        <w:t>OMPI des ressources nécessaires pour permettre une mise en œuvre efficace</w:t>
      </w:r>
      <w:r w:rsidR="00DE7465" w:rsidRPr="00EE65CE">
        <w:rPr>
          <w:lang w:val="fr-FR"/>
        </w:rPr>
        <w:t>.</w:t>
      </w:r>
    </w:p>
    <w:p w:rsidR="005C58F1" w:rsidRPr="00EE65CE" w:rsidRDefault="005C58F1" w:rsidP="00542460">
      <w:pPr>
        <w:pStyle w:val="BodyText"/>
        <w:spacing w:after="0"/>
        <w:jc w:val="both"/>
        <w:rPr>
          <w:lang w:val="fr-FR"/>
        </w:rPr>
      </w:pPr>
    </w:p>
    <w:p w:rsidR="009D6827" w:rsidRPr="00EE65CE" w:rsidRDefault="005C58F1" w:rsidP="00542460">
      <w:pPr>
        <w:pStyle w:val="BodyText"/>
        <w:numPr>
          <w:ilvl w:val="0"/>
          <w:numId w:val="25"/>
        </w:numPr>
        <w:rPr>
          <w:lang w:val="fr-FR"/>
        </w:rPr>
      </w:pPr>
      <w:r w:rsidRPr="00EE65CE">
        <w:rPr>
          <w:b/>
          <w:lang w:val="fr-FR"/>
        </w:rPr>
        <w:t>Recomm</w:t>
      </w:r>
      <w:r w:rsidR="00864FAB" w:rsidRPr="00EE65CE">
        <w:rPr>
          <w:b/>
          <w:lang w:val="fr-FR"/>
        </w:rPr>
        <w:t>a</w:t>
      </w:r>
      <w:r w:rsidRPr="00EE65CE">
        <w:rPr>
          <w:b/>
          <w:lang w:val="fr-FR"/>
        </w:rPr>
        <w:t xml:space="preserve">ndation </w:t>
      </w:r>
      <w:r w:rsidR="00864FAB" w:rsidRPr="00EE65CE">
        <w:rPr>
          <w:b/>
          <w:lang w:val="fr-FR"/>
        </w:rPr>
        <w:t>n° </w:t>
      </w:r>
      <w:r w:rsidRPr="00EE65CE">
        <w:rPr>
          <w:b/>
          <w:lang w:val="fr-FR"/>
        </w:rPr>
        <w:t xml:space="preserve">2 </w:t>
      </w:r>
      <w:r w:rsidRPr="00EE65CE">
        <w:rPr>
          <w:bCs/>
          <w:i/>
          <w:lang w:val="fr-FR"/>
        </w:rPr>
        <w:t>(</w:t>
      </w:r>
      <w:r w:rsidR="00864FAB" w:rsidRPr="00EE65CE">
        <w:rPr>
          <w:bCs/>
          <w:i/>
          <w:lang w:val="fr-FR"/>
        </w:rPr>
        <w:t xml:space="preserve">voir les conclusions </w:t>
      </w:r>
      <w:r w:rsidR="008F5869" w:rsidRPr="00EE65CE">
        <w:rPr>
          <w:bCs/>
          <w:i/>
          <w:lang w:val="fr-FR"/>
        </w:rPr>
        <w:t>n</w:t>
      </w:r>
      <w:r w:rsidR="008F5869" w:rsidRPr="00EE65CE">
        <w:rPr>
          <w:bCs/>
          <w:i/>
          <w:vertAlign w:val="superscript"/>
          <w:lang w:val="fr-FR"/>
        </w:rPr>
        <w:t>os</w:t>
      </w:r>
      <w:r w:rsidR="00864FAB" w:rsidRPr="00EE65CE">
        <w:rPr>
          <w:bCs/>
          <w:i/>
          <w:lang w:val="fr-FR"/>
        </w:rPr>
        <w:t> </w:t>
      </w:r>
      <w:r w:rsidRPr="00EE65CE">
        <w:rPr>
          <w:bCs/>
          <w:i/>
          <w:lang w:val="fr-FR"/>
        </w:rPr>
        <w:t>2</w:t>
      </w:r>
      <w:r w:rsidR="00864FAB" w:rsidRPr="00EE65CE">
        <w:rPr>
          <w:bCs/>
          <w:i/>
          <w:lang w:val="fr-FR"/>
        </w:rPr>
        <w:t xml:space="preserve"> et </w:t>
      </w:r>
      <w:r w:rsidR="000E6884" w:rsidRPr="00EE65CE">
        <w:rPr>
          <w:bCs/>
          <w:i/>
          <w:lang w:val="fr-FR"/>
        </w:rPr>
        <w:t>3</w:t>
      </w:r>
      <w:r w:rsidR="00864FAB" w:rsidRPr="00EE65CE">
        <w:rPr>
          <w:bCs/>
          <w:i/>
          <w:lang w:val="fr-FR"/>
        </w:rPr>
        <w:t xml:space="preserve"> et les observations </w:t>
      </w:r>
      <w:r w:rsidR="00954C58" w:rsidRPr="00EE65CE">
        <w:rPr>
          <w:bCs/>
          <w:i/>
          <w:lang w:val="fr-FR"/>
        </w:rPr>
        <w:t>n</w:t>
      </w:r>
      <w:r w:rsidR="00954C58" w:rsidRPr="00EE65CE">
        <w:rPr>
          <w:bCs/>
          <w:i/>
          <w:vertAlign w:val="superscript"/>
          <w:lang w:val="fr-FR"/>
        </w:rPr>
        <w:t>os</w:t>
      </w:r>
      <w:r w:rsidR="00864FAB" w:rsidRPr="00EE65CE">
        <w:rPr>
          <w:bCs/>
          <w:i/>
          <w:lang w:val="fr-FR"/>
        </w:rPr>
        <w:t> </w:t>
      </w:r>
      <w:r w:rsidRPr="00EE65CE">
        <w:rPr>
          <w:bCs/>
          <w:i/>
          <w:lang w:val="fr-FR"/>
        </w:rPr>
        <w:t>1</w:t>
      </w:r>
      <w:r w:rsidR="00864FAB" w:rsidRPr="00EE65CE">
        <w:rPr>
          <w:bCs/>
          <w:i/>
          <w:lang w:val="fr-FR"/>
        </w:rPr>
        <w:t xml:space="preserve"> à </w:t>
      </w:r>
      <w:r w:rsidR="000E6884" w:rsidRPr="00EE65CE">
        <w:rPr>
          <w:bCs/>
          <w:i/>
          <w:lang w:val="fr-FR"/>
        </w:rPr>
        <w:t>14</w:t>
      </w:r>
      <w:r w:rsidRPr="00EE65CE">
        <w:rPr>
          <w:bCs/>
          <w:lang w:val="fr-FR"/>
        </w:rPr>
        <w:t>).</w:t>
      </w:r>
      <w:r w:rsidRPr="00EE65CE">
        <w:rPr>
          <w:lang w:val="fr-FR"/>
        </w:rPr>
        <w:t xml:space="preserve">  I</w:t>
      </w:r>
      <w:r w:rsidR="007F4547" w:rsidRPr="00EE65CE">
        <w:rPr>
          <w:lang w:val="fr-FR"/>
        </w:rPr>
        <w:t>l est recommandé au Secrétariat de l</w:t>
      </w:r>
      <w:r w:rsidR="009D6827" w:rsidRPr="00EE65CE">
        <w:rPr>
          <w:lang w:val="fr-FR"/>
        </w:rPr>
        <w:t>’</w:t>
      </w:r>
      <w:r w:rsidR="007F4547" w:rsidRPr="00EE65CE">
        <w:rPr>
          <w:lang w:val="fr-FR"/>
        </w:rPr>
        <w:t>OMPI de mettre l</w:t>
      </w:r>
      <w:r w:rsidR="009D6827" w:rsidRPr="00EE65CE">
        <w:rPr>
          <w:lang w:val="fr-FR"/>
        </w:rPr>
        <w:t>’</w:t>
      </w:r>
      <w:r w:rsidR="007F4547" w:rsidRPr="00EE65CE">
        <w:rPr>
          <w:lang w:val="fr-FR"/>
        </w:rPr>
        <w:t>accent, lors de l</w:t>
      </w:r>
      <w:r w:rsidR="009D6827" w:rsidRPr="00EE65CE">
        <w:rPr>
          <w:lang w:val="fr-FR"/>
        </w:rPr>
        <w:t>’</w:t>
      </w:r>
      <w:r w:rsidR="007F4547" w:rsidRPr="00EE65CE">
        <w:rPr>
          <w:lang w:val="fr-FR"/>
        </w:rPr>
        <w:t>élaboration d</w:t>
      </w:r>
      <w:r w:rsidR="009D6827" w:rsidRPr="00EE65CE">
        <w:rPr>
          <w:lang w:val="fr-FR"/>
        </w:rPr>
        <w:t>’</w:t>
      </w:r>
      <w:r w:rsidR="007F4547" w:rsidRPr="00EE65CE">
        <w:rPr>
          <w:lang w:val="fr-FR"/>
        </w:rPr>
        <w:t>une deuxième phase, sur la consolidation des progrès réalisés jusqu</w:t>
      </w:r>
      <w:r w:rsidR="009D6827" w:rsidRPr="00EE65CE">
        <w:rPr>
          <w:lang w:val="fr-FR"/>
        </w:rPr>
        <w:t>’</w:t>
      </w:r>
      <w:r w:rsidR="007F4547" w:rsidRPr="00EE65CE">
        <w:rPr>
          <w:lang w:val="fr-FR"/>
        </w:rPr>
        <w:t>ici dans les trois pays participants et, si d</w:t>
      </w:r>
      <w:r w:rsidR="009D6827" w:rsidRPr="00EE65CE">
        <w:rPr>
          <w:lang w:val="fr-FR"/>
        </w:rPr>
        <w:t>’</w:t>
      </w:r>
      <w:r w:rsidR="007F4547" w:rsidRPr="00EE65CE">
        <w:rPr>
          <w:lang w:val="fr-FR"/>
        </w:rPr>
        <w:t>autres pays son</w:t>
      </w:r>
      <w:r w:rsidRPr="00EE65CE">
        <w:rPr>
          <w:lang w:val="fr-FR"/>
        </w:rPr>
        <w:t xml:space="preserve">t </w:t>
      </w:r>
      <w:r w:rsidR="007F4547" w:rsidRPr="00EE65CE">
        <w:rPr>
          <w:lang w:val="fr-FR"/>
        </w:rPr>
        <w:t>intégrés, de définir précisément la portée de l</w:t>
      </w:r>
      <w:r w:rsidR="009D6827" w:rsidRPr="00EE65CE">
        <w:rPr>
          <w:lang w:val="fr-FR"/>
        </w:rPr>
        <w:t>’</w:t>
      </w:r>
      <w:r w:rsidR="007F4547" w:rsidRPr="00EE65CE">
        <w:rPr>
          <w:lang w:val="fr-FR"/>
        </w:rPr>
        <w:t>assistance fournie.  En outre, il conviendrait d</w:t>
      </w:r>
      <w:r w:rsidR="009D6827" w:rsidRPr="00EE65CE">
        <w:rPr>
          <w:lang w:val="fr-FR"/>
        </w:rPr>
        <w:t>’</w:t>
      </w:r>
      <w:r w:rsidR="007F4547" w:rsidRPr="00EE65CE">
        <w:rPr>
          <w:lang w:val="fr-FR"/>
        </w:rPr>
        <w:t xml:space="preserve">assurer un meilleur suivi des activités et de prévoir des crédits suffisants pour apporter un soutien accru au personnel administratif ou aux autres </w:t>
      </w:r>
      <w:r w:rsidR="004E41F7" w:rsidRPr="00EE65CE">
        <w:rPr>
          <w:lang w:val="fr-FR"/>
        </w:rPr>
        <w:t>intervenants, tels que les coordonnateurs régionaux.  Par ailleurs, il conviendrait de prévoir un budget suffisant pour fournir une assistance aux trois</w:t>
      </w:r>
      <w:r w:rsidR="005B2087" w:rsidRPr="00EE65CE">
        <w:rPr>
          <w:lang w:val="fr-FR"/>
        </w:rPr>
        <w:t> </w:t>
      </w:r>
      <w:r w:rsidR="004E41F7" w:rsidRPr="00EE65CE">
        <w:rPr>
          <w:lang w:val="fr-FR"/>
        </w:rPr>
        <w:t>pays participants et aux autres pays intéressés.</w:t>
      </w:r>
    </w:p>
    <w:p w:rsidR="009D6827" w:rsidRPr="00EE65CE" w:rsidRDefault="005C58F1" w:rsidP="00542460">
      <w:pPr>
        <w:pStyle w:val="BodyText"/>
        <w:numPr>
          <w:ilvl w:val="0"/>
          <w:numId w:val="25"/>
        </w:numPr>
        <w:spacing w:after="0"/>
        <w:rPr>
          <w:lang w:val="fr-FR"/>
        </w:rPr>
      </w:pPr>
      <w:r w:rsidRPr="00EE65CE">
        <w:rPr>
          <w:b/>
          <w:lang w:val="fr-FR"/>
        </w:rPr>
        <w:t>Recomm</w:t>
      </w:r>
      <w:r w:rsidR="00864FAB" w:rsidRPr="00EE65CE">
        <w:rPr>
          <w:b/>
          <w:lang w:val="fr-FR"/>
        </w:rPr>
        <w:t>a</w:t>
      </w:r>
      <w:r w:rsidRPr="00EE65CE">
        <w:rPr>
          <w:b/>
          <w:lang w:val="fr-FR"/>
        </w:rPr>
        <w:t xml:space="preserve">ndation </w:t>
      </w:r>
      <w:r w:rsidR="00864FAB" w:rsidRPr="00EE65CE">
        <w:rPr>
          <w:b/>
          <w:lang w:val="fr-FR"/>
        </w:rPr>
        <w:t>n° </w:t>
      </w:r>
      <w:r w:rsidRPr="00EE65CE">
        <w:rPr>
          <w:b/>
          <w:lang w:val="fr-FR"/>
        </w:rPr>
        <w:t xml:space="preserve">3 </w:t>
      </w:r>
      <w:r w:rsidRPr="00EE65CE">
        <w:rPr>
          <w:bCs/>
          <w:lang w:val="fr-FR"/>
        </w:rPr>
        <w:t>(</w:t>
      </w:r>
      <w:r w:rsidR="00864FAB" w:rsidRPr="00EE65CE">
        <w:rPr>
          <w:bCs/>
          <w:i/>
          <w:lang w:val="fr-FR"/>
        </w:rPr>
        <w:t xml:space="preserve">voir les </w:t>
      </w:r>
      <w:r w:rsidR="008F5869" w:rsidRPr="00EE65CE">
        <w:rPr>
          <w:bCs/>
          <w:i/>
          <w:lang w:val="fr-FR"/>
        </w:rPr>
        <w:t>conclusions n</w:t>
      </w:r>
      <w:r w:rsidR="008F5869" w:rsidRPr="00EE65CE">
        <w:rPr>
          <w:bCs/>
          <w:i/>
          <w:vertAlign w:val="superscript"/>
          <w:lang w:val="fr-FR"/>
        </w:rPr>
        <w:t>os</w:t>
      </w:r>
      <w:r w:rsidR="00864FAB" w:rsidRPr="00EE65CE">
        <w:rPr>
          <w:bCs/>
          <w:i/>
          <w:lang w:val="fr-FR"/>
        </w:rPr>
        <w:t> </w:t>
      </w:r>
      <w:r w:rsidRPr="00EE65CE">
        <w:rPr>
          <w:bCs/>
          <w:i/>
          <w:lang w:val="fr-FR"/>
        </w:rPr>
        <w:t>3</w:t>
      </w:r>
      <w:r w:rsidR="00864FAB" w:rsidRPr="00EE65CE">
        <w:rPr>
          <w:bCs/>
          <w:i/>
          <w:lang w:val="fr-FR"/>
        </w:rPr>
        <w:t xml:space="preserve"> et </w:t>
      </w:r>
      <w:r w:rsidR="000E6884" w:rsidRPr="00EE65CE">
        <w:rPr>
          <w:bCs/>
          <w:i/>
          <w:lang w:val="fr-FR"/>
        </w:rPr>
        <w:t>4</w:t>
      </w:r>
      <w:r w:rsidR="00864FAB" w:rsidRPr="00EE65CE">
        <w:rPr>
          <w:bCs/>
          <w:i/>
          <w:lang w:val="fr-FR"/>
        </w:rPr>
        <w:t xml:space="preserve"> et les observations </w:t>
      </w:r>
      <w:r w:rsidR="008F5869" w:rsidRPr="00EE65CE">
        <w:rPr>
          <w:bCs/>
          <w:i/>
          <w:lang w:val="fr-FR"/>
        </w:rPr>
        <w:t>n</w:t>
      </w:r>
      <w:r w:rsidR="008F5869" w:rsidRPr="00EE65CE">
        <w:rPr>
          <w:bCs/>
          <w:i/>
          <w:vertAlign w:val="superscript"/>
          <w:lang w:val="fr-FR"/>
        </w:rPr>
        <w:t>os</w:t>
      </w:r>
      <w:r w:rsidR="00864FAB" w:rsidRPr="00EE65CE">
        <w:rPr>
          <w:bCs/>
          <w:i/>
          <w:lang w:val="fr-FR"/>
        </w:rPr>
        <w:t> </w:t>
      </w:r>
      <w:r w:rsidR="000E6884" w:rsidRPr="00EE65CE">
        <w:rPr>
          <w:bCs/>
          <w:i/>
          <w:lang w:val="fr-FR"/>
        </w:rPr>
        <w:t>7</w:t>
      </w:r>
      <w:r w:rsidR="00864FAB" w:rsidRPr="00EE65CE">
        <w:rPr>
          <w:bCs/>
          <w:i/>
          <w:lang w:val="fr-FR"/>
        </w:rPr>
        <w:t xml:space="preserve"> à </w:t>
      </w:r>
      <w:r w:rsidR="000E6884" w:rsidRPr="00EE65CE">
        <w:rPr>
          <w:bCs/>
          <w:i/>
          <w:lang w:val="fr-FR"/>
        </w:rPr>
        <w:t>18</w:t>
      </w:r>
      <w:r w:rsidRPr="00EE65CE">
        <w:rPr>
          <w:bCs/>
          <w:lang w:val="fr-FR"/>
        </w:rPr>
        <w:t>)</w:t>
      </w:r>
      <w:r w:rsidRPr="00EE65CE">
        <w:rPr>
          <w:lang w:val="fr-FR"/>
        </w:rPr>
        <w:t>.  I</w:t>
      </w:r>
      <w:r w:rsidR="00275C25" w:rsidRPr="00EE65CE">
        <w:rPr>
          <w:lang w:val="fr-FR"/>
        </w:rPr>
        <w:t>l est recom</w:t>
      </w:r>
      <w:r w:rsidR="004E41F7" w:rsidRPr="00EE65CE">
        <w:rPr>
          <w:lang w:val="fr-FR"/>
        </w:rPr>
        <w:t>mandé que toutes les par</w:t>
      </w:r>
      <w:r w:rsidRPr="00EE65CE">
        <w:rPr>
          <w:lang w:val="fr-FR"/>
        </w:rPr>
        <w:t>t</w:t>
      </w:r>
      <w:r w:rsidR="004E41F7" w:rsidRPr="00EE65CE">
        <w:rPr>
          <w:lang w:val="fr-FR"/>
        </w:rPr>
        <w:t xml:space="preserve">ies prenantes concernées </w:t>
      </w:r>
      <w:r w:rsidRPr="00EE65CE">
        <w:rPr>
          <w:lang w:val="fr-FR"/>
        </w:rPr>
        <w:t>(</w:t>
      </w:r>
      <w:r w:rsidR="004E41F7" w:rsidRPr="00EE65CE">
        <w:rPr>
          <w:lang w:val="fr-FR"/>
        </w:rPr>
        <w:t>bureau du droit d</w:t>
      </w:r>
      <w:r w:rsidR="009D6827" w:rsidRPr="00EE65CE">
        <w:rPr>
          <w:lang w:val="fr-FR"/>
        </w:rPr>
        <w:t>’</w:t>
      </w:r>
      <w:r w:rsidR="004E41F7" w:rsidRPr="00EE65CE">
        <w:rPr>
          <w:lang w:val="fr-FR"/>
        </w:rPr>
        <w:t xml:space="preserve">auteur, </w:t>
      </w:r>
      <w:r w:rsidR="008F5869" w:rsidRPr="00EE65CE">
        <w:rPr>
          <w:lang w:val="fr-FR"/>
        </w:rPr>
        <w:t>m</w:t>
      </w:r>
      <w:r w:rsidR="004E41F7" w:rsidRPr="00EE65CE">
        <w:rPr>
          <w:lang w:val="fr-FR"/>
        </w:rPr>
        <w:t>inistère de la culture, commission</w:t>
      </w:r>
      <w:r w:rsidR="00275C25" w:rsidRPr="00EE65CE">
        <w:rPr>
          <w:lang w:val="fr-FR"/>
        </w:rPr>
        <w:t xml:space="preserve"> cinématographique</w:t>
      </w:r>
      <w:r w:rsidR="004E41F7" w:rsidRPr="00EE65CE">
        <w:rPr>
          <w:lang w:val="fr-FR"/>
        </w:rPr>
        <w:t xml:space="preserve"> et autres organismes</w:t>
      </w:r>
      <w:r w:rsidRPr="00EE65CE">
        <w:rPr>
          <w:lang w:val="fr-FR"/>
        </w:rPr>
        <w:t>)</w:t>
      </w:r>
      <w:r w:rsidR="000E6884" w:rsidRPr="00EE65CE">
        <w:rPr>
          <w:lang w:val="fr-FR"/>
        </w:rPr>
        <w:t xml:space="preserve"> </w:t>
      </w:r>
      <w:r w:rsidR="004E41F7" w:rsidRPr="00EE65CE">
        <w:rPr>
          <w:lang w:val="fr-FR"/>
        </w:rPr>
        <w:t xml:space="preserve">dans les pays </w:t>
      </w:r>
      <w:r w:rsidR="000E6884" w:rsidRPr="00EE65CE">
        <w:rPr>
          <w:lang w:val="fr-FR"/>
        </w:rPr>
        <w:t>participa</w:t>
      </w:r>
      <w:r w:rsidR="004E41F7" w:rsidRPr="00EE65CE">
        <w:rPr>
          <w:lang w:val="fr-FR"/>
        </w:rPr>
        <w:t>n</w:t>
      </w:r>
      <w:r w:rsidR="000E6884" w:rsidRPr="00EE65CE">
        <w:rPr>
          <w:lang w:val="fr-FR"/>
        </w:rPr>
        <w:t>t</w:t>
      </w:r>
      <w:r w:rsidR="004E41F7" w:rsidRPr="00EE65CE">
        <w:rPr>
          <w:lang w:val="fr-FR"/>
        </w:rPr>
        <w:t>s</w:t>
      </w:r>
      <w:r w:rsidR="000E6884" w:rsidRPr="00EE65CE">
        <w:rPr>
          <w:lang w:val="fr-FR"/>
        </w:rPr>
        <w:t xml:space="preserve"> r</w:t>
      </w:r>
      <w:r w:rsidR="004E41F7" w:rsidRPr="00EE65CE">
        <w:rPr>
          <w:lang w:val="fr-FR"/>
        </w:rPr>
        <w:t xml:space="preserve">éaffirment leur </w:t>
      </w:r>
      <w:r w:rsidR="00275C25" w:rsidRPr="00EE65CE">
        <w:rPr>
          <w:lang w:val="fr-FR"/>
        </w:rPr>
        <w:t>soutien</w:t>
      </w:r>
      <w:r w:rsidR="004E41F7" w:rsidRPr="00EE65CE">
        <w:rPr>
          <w:lang w:val="fr-FR"/>
        </w:rPr>
        <w:t xml:space="preserve"> et leur engagement en faveur du projet </w:t>
      </w:r>
      <w:r w:rsidR="00275C25" w:rsidRPr="00EE65CE">
        <w:rPr>
          <w:lang w:val="fr-FR"/>
        </w:rPr>
        <w:t>et fassent en sorte que les fonctions essentielles, telles que celles des coordonnateurs locaux soient créées et garanties</w:t>
      </w:r>
      <w:r w:rsidR="000E6884" w:rsidRPr="00EE65CE">
        <w:rPr>
          <w:lang w:val="fr-FR"/>
        </w:rPr>
        <w:t>.</w:t>
      </w:r>
    </w:p>
    <w:p w:rsidR="00CF6C5D" w:rsidRPr="00EE65CE" w:rsidRDefault="00CF6C5D" w:rsidP="00542460">
      <w:pPr>
        <w:pStyle w:val="Endofdocument"/>
        <w:spacing w:line="240" w:lineRule="auto"/>
        <w:ind w:left="5080"/>
        <w:rPr>
          <w:lang w:val="fr-FR"/>
        </w:rPr>
      </w:pPr>
    </w:p>
    <w:p w:rsidR="00CF6C5D" w:rsidRPr="00EE65CE" w:rsidRDefault="00CF6C5D" w:rsidP="00542460">
      <w:pPr>
        <w:pStyle w:val="Endofdocument"/>
        <w:spacing w:line="240" w:lineRule="auto"/>
        <w:ind w:left="5080"/>
        <w:rPr>
          <w:lang w:val="fr-FR"/>
        </w:rPr>
      </w:pPr>
    </w:p>
    <w:p w:rsidR="00CF6C5D" w:rsidRPr="00EE65CE" w:rsidRDefault="00CF6C5D" w:rsidP="00542460">
      <w:pPr>
        <w:pStyle w:val="Endofdocument"/>
        <w:spacing w:line="240" w:lineRule="auto"/>
        <w:ind w:left="5080"/>
        <w:rPr>
          <w:lang w:val="fr-FR"/>
        </w:rPr>
      </w:pPr>
    </w:p>
    <w:p w:rsidR="008759FF" w:rsidRDefault="00CF6C5D" w:rsidP="00542460">
      <w:pPr>
        <w:pStyle w:val="Endofdocument"/>
        <w:spacing w:line="240" w:lineRule="auto"/>
        <w:ind w:left="5080"/>
        <w:rPr>
          <w:lang w:val="fr-FR"/>
        </w:rPr>
        <w:sectPr w:rsidR="008759FF" w:rsidSect="0044353E">
          <w:head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r w:rsidRPr="00EE65CE">
        <w:rPr>
          <w:lang w:val="fr-FR"/>
        </w:rPr>
        <w:t>[</w:t>
      </w:r>
      <w:r w:rsidR="008E54F2" w:rsidRPr="00EE65CE">
        <w:rPr>
          <w:lang w:val="fr-FR"/>
        </w:rPr>
        <w:t>Les appendices suivent</w:t>
      </w:r>
      <w:r w:rsidRPr="00EE65CE">
        <w:rPr>
          <w:lang w:val="fr-FR"/>
        </w:rPr>
        <w:t>]</w:t>
      </w:r>
    </w:p>
    <w:p w:rsidR="008759FF" w:rsidRPr="0023436F" w:rsidRDefault="008759FF" w:rsidP="008759FF">
      <w:pPr>
        <w:pStyle w:val="Heading1"/>
        <w:rPr>
          <w:lang w:val="fr-FR"/>
        </w:rPr>
      </w:pPr>
      <w:bookmarkStart w:id="34" w:name="_Toc336032075"/>
      <w:bookmarkStart w:id="35" w:name="_Toc396377089"/>
      <w:bookmarkStart w:id="36" w:name="_Toc441830361"/>
      <w:r w:rsidRPr="0023436F">
        <w:rPr>
          <w:lang w:val="fr-FR"/>
        </w:rPr>
        <w:lastRenderedPageBreak/>
        <w:t>Appendi</w:t>
      </w:r>
      <w:r w:rsidR="000B5444">
        <w:rPr>
          <w:lang w:val="fr-FR"/>
        </w:rPr>
        <w:t>ce</w:t>
      </w:r>
      <w:r w:rsidRPr="0023436F">
        <w:rPr>
          <w:lang w:val="fr-FR"/>
        </w:rPr>
        <w:t xml:space="preserve"> I</w:t>
      </w:r>
      <w:r>
        <w:rPr>
          <w:lang w:val="fr-FR"/>
        </w:rPr>
        <w:t> :</w:t>
      </w:r>
      <w:r w:rsidRPr="0023436F">
        <w:rPr>
          <w:lang w:val="fr-FR"/>
        </w:rPr>
        <w:t xml:space="preserve"> </w:t>
      </w:r>
      <w:bookmarkEnd w:id="34"/>
      <w:bookmarkEnd w:id="35"/>
      <w:r w:rsidR="00C03EB3">
        <w:rPr>
          <w:lang w:val="fr-FR"/>
        </w:rPr>
        <w:t>P</w:t>
      </w:r>
      <w:r>
        <w:rPr>
          <w:lang w:val="fr-FR"/>
        </w:rPr>
        <w:t>ersonnes consultées</w:t>
      </w:r>
      <w:bookmarkEnd w:id="36"/>
    </w:p>
    <w:p w:rsidR="008759FF" w:rsidRPr="0023436F" w:rsidRDefault="008759FF" w:rsidP="008759FF">
      <w:pPr>
        <w:rPr>
          <w:szCs w:val="22"/>
          <w:lang w:val="fr-FR"/>
        </w:rPr>
      </w:pPr>
    </w:p>
    <w:p w:rsidR="008759FF" w:rsidRDefault="008759FF" w:rsidP="008759FF">
      <w:pPr>
        <w:rPr>
          <w:b/>
          <w:szCs w:val="22"/>
          <w:lang w:val="fr-FR"/>
        </w:rPr>
      </w:pPr>
      <w:r>
        <w:rPr>
          <w:b/>
          <w:szCs w:val="22"/>
          <w:lang w:val="fr-FR"/>
        </w:rPr>
        <w:t>Fonctionnaires de l’OMPI :</w:t>
      </w:r>
    </w:p>
    <w:p w:rsidR="008759FF" w:rsidRPr="0023436F" w:rsidRDefault="008759FF" w:rsidP="008759FF">
      <w:pPr>
        <w:rPr>
          <w:szCs w:val="22"/>
          <w:lang w:val="fr-FR"/>
        </w:rPr>
      </w:pPr>
    </w:p>
    <w:p w:rsidR="008759FF" w:rsidRDefault="008759FF" w:rsidP="008759FF">
      <w:pPr>
        <w:pStyle w:val="Numbers"/>
        <w:numPr>
          <w:ilvl w:val="0"/>
          <w:numId w:val="0"/>
        </w:numPr>
        <w:spacing w:before="0"/>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Maya Bachner, </w:t>
      </w:r>
      <w:r>
        <w:rPr>
          <w:rFonts w:ascii="Arial" w:hAnsi="Arial" w:cs="Arial"/>
          <w:lang w:val="fr-FR"/>
        </w:rPr>
        <w:t>directrice, Division de l’exécution des programmes et du budget</w:t>
      </w:r>
    </w:p>
    <w:p w:rsidR="008759FF" w:rsidRPr="0023436F" w:rsidRDefault="008759FF" w:rsidP="008759FF">
      <w:pPr>
        <w:pStyle w:val="Numbers"/>
        <w:numPr>
          <w:ilvl w:val="0"/>
          <w:numId w:val="0"/>
        </w:numPr>
        <w:spacing w:before="0"/>
        <w:jc w:val="both"/>
        <w:rPr>
          <w:rFonts w:ascii="Arial" w:hAnsi="Arial" w:cs="Arial"/>
          <w:lang w:val="fr-FR"/>
        </w:rPr>
      </w:pPr>
    </w:p>
    <w:p w:rsidR="008759FF" w:rsidRDefault="008759FF" w:rsidP="008759FF">
      <w:pPr>
        <w:pStyle w:val="Numbers"/>
        <w:numPr>
          <w:ilvl w:val="0"/>
          <w:numId w:val="0"/>
        </w:numPr>
        <w:spacing w:before="0"/>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Carole Croella, </w:t>
      </w:r>
      <w:r>
        <w:rPr>
          <w:rFonts w:ascii="Arial" w:hAnsi="Arial" w:cs="Arial"/>
          <w:lang w:val="fr-FR"/>
        </w:rPr>
        <w:t>conseillère principale, Division du droit d’auteur</w:t>
      </w:r>
    </w:p>
    <w:p w:rsidR="008759FF" w:rsidRPr="0023436F" w:rsidRDefault="008759FF" w:rsidP="008759FF">
      <w:pPr>
        <w:rPr>
          <w:lang w:val="fr-FR"/>
        </w:rPr>
      </w:pPr>
    </w:p>
    <w:p w:rsidR="008759FF" w:rsidRPr="0023436F" w:rsidRDefault="008759FF" w:rsidP="008759FF">
      <w:pPr>
        <w:rPr>
          <w:szCs w:val="22"/>
          <w:lang w:val="fr-FR"/>
        </w:rPr>
      </w:pPr>
      <w:r w:rsidRPr="0023436F">
        <w:rPr>
          <w:szCs w:val="22"/>
          <w:lang w:val="fr-FR"/>
        </w:rPr>
        <w:t>M.</w:t>
      </w:r>
      <w:r>
        <w:rPr>
          <w:lang w:val="fr-FR"/>
        </w:rPr>
        <w:t> </w:t>
      </w:r>
      <w:r w:rsidRPr="0023436F">
        <w:rPr>
          <w:szCs w:val="22"/>
          <w:lang w:val="fr-FR"/>
        </w:rPr>
        <w:t xml:space="preserve">Georges Ghandour, </w:t>
      </w:r>
      <w:r>
        <w:rPr>
          <w:szCs w:val="22"/>
          <w:lang w:val="fr-FR"/>
        </w:rPr>
        <w:t>administrateur principal de programme</w:t>
      </w:r>
      <w:r w:rsidRPr="0023436F">
        <w:rPr>
          <w:szCs w:val="22"/>
          <w:lang w:val="fr-FR"/>
        </w:rPr>
        <w:t xml:space="preserve">, </w:t>
      </w:r>
      <w:r>
        <w:rPr>
          <w:szCs w:val="22"/>
          <w:lang w:val="fr-FR"/>
        </w:rPr>
        <w:t>Division de la coordination du Plan d’action pour le développement</w:t>
      </w:r>
    </w:p>
    <w:p w:rsidR="008759FF" w:rsidRPr="0023436F" w:rsidRDefault="008759FF" w:rsidP="008759FF">
      <w:pPr>
        <w:rPr>
          <w:lang w:val="fr-FR"/>
        </w:rPr>
      </w:pPr>
    </w:p>
    <w:p w:rsidR="008759FF" w:rsidRPr="0023436F" w:rsidRDefault="008759FF" w:rsidP="008759FF">
      <w:pPr>
        <w:pStyle w:val="Numbers"/>
        <w:numPr>
          <w:ilvl w:val="0"/>
          <w:numId w:val="0"/>
        </w:numPr>
        <w:spacing w:before="0"/>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Alexandra Grazioli, </w:t>
      </w:r>
      <w:r>
        <w:rPr>
          <w:rFonts w:ascii="Arial" w:hAnsi="Arial" w:cs="Arial"/>
          <w:lang w:val="fr-FR"/>
        </w:rPr>
        <w:t>directrice</w:t>
      </w:r>
      <w:r w:rsidRPr="0023436F">
        <w:rPr>
          <w:rFonts w:ascii="Arial" w:hAnsi="Arial" w:cs="Arial"/>
          <w:lang w:val="fr-FR"/>
        </w:rPr>
        <w:t xml:space="preserve">, </w:t>
      </w:r>
      <w:r>
        <w:rPr>
          <w:rFonts w:ascii="Arial" w:hAnsi="Arial" w:cs="Arial"/>
          <w:lang w:val="fr-FR"/>
        </w:rPr>
        <w:t>Cabinet du Directeur général</w:t>
      </w:r>
    </w:p>
    <w:p w:rsidR="008759FF" w:rsidRPr="0023436F" w:rsidRDefault="008759FF" w:rsidP="008759FF">
      <w:pPr>
        <w:rPr>
          <w:lang w:val="fr-FR"/>
        </w:rPr>
      </w:pPr>
    </w:p>
    <w:p w:rsidR="008759FF" w:rsidRDefault="008759FF" w:rsidP="008759FF">
      <w:pPr>
        <w:rPr>
          <w:lang w:val="fr-FR"/>
        </w:rPr>
      </w:pPr>
      <w:r w:rsidRPr="0023436F">
        <w:rPr>
          <w:lang w:val="fr-FR"/>
        </w:rPr>
        <w:t>M.</w:t>
      </w:r>
      <w:r>
        <w:rPr>
          <w:lang w:val="fr-FR"/>
        </w:rPr>
        <w:t> </w:t>
      </w:r>
      <w:r w:rsidRPr="0023436F">
        <w:rPr>
          <w:lang w:val="fr-FR"/>
        </w:rPr>
        <w:t xml:space="preserve">Sebastien Mamy, </w:t>
      </w:r>
      <w:r>
        <w:rPr>
          <w:lang w:val="fr-FR"/>
        </w:rPr>
        <w:t>chef de projet, Secteur de l’infrastructure mondiale</w:t>
      </w:r>
    </w:p>
    <w:p w:rsidR="008759FF" w:rsidRPr="0023436F" w:rsidRDefault="008759FF" w:rsidP="008759FF">
      <w:pPr>
        <w:rPr>
          <w:lang w:val="fr-FR"/>
        </w:rPr>
      </w:pPr>
    </w:p>
    <w:p w:rsidR="008759FF" w:rsidRPr="0023436F" w:rsidRDefault="008759FF" w:rsidP="008759FF">
      <w:pPr>
        <w:pStyle w:val="Numbers"/>
        <w:numPr>
          <w:ilvl w:val="0"/>
          <w:numId w:val="0"/>
        </w:numPr>
        <w:spacing w:before="0"/>
        <w:jc w:val="both"/>
        <w:rPr>
          <w:rFonts w:ascii="Arial" w:hAnsi="Arial" w:cs="Arial"/>
          <w:lang w:val="fr-FR"/>
        </w:rPr>
      </w:pPr>
      <w:r>
        <w:rPr>
          <w:rFonts w:ascii="Arial" w:hAnsi="Arial" w:cs="Arial"/>
          <w:lang w:val="fr-FR"/>
        </w:rPr>
        <w:t>Mme </w:t>
      </w:r>
      <w:r w:rsidRPr="0023436F">
        <w:rPr>
          <w:rFonts w:ascii="Arial" w:hAnsi="Arial" w:cs="Arial"/>
          <w:lang w:val="fr-FR"/>
        </w:rPr>
        <w:t xml:space="preserve">Michelle Woods, </w:t>
      </w:r>
      <w:r>
        <w:rPr>
          <w:rFonts w:ascii="Arial" w:hAnsi="Arial" w:cs="Arial"/>
          <w:lang w:val="fr-FR"/>
        </w:rPr>
        <w:t>directrice, Division du droit d’auteur</w:t>
      </w:r>
    </w:p>
    <w:p w:rsidR="008759FF" w:rsidRPr="0023436F" w:rsidRDefault="008759FF" w:rsidP="008759FF">
      <w:pPr>
        <w:rPr>
          <w:lang w:val="fr-FR"/>
        </w:rPr>
      </w:pPr>
    </w:p>
    <w:p w:rsidR="008759FF" w:rsidRPr="0023436F" w:rsidRDefault="008759FF" w:rsidP="008759FF">
      <w:pPr>
        <w:rPr>
          <w:lang w:val="fr-FR"/>
        </w:rPr>
      </w:pPr>
    </w:p>
    <w:p w:rsidR="008759FF" w:rsidRDefault="008759FF" w:rsidP="008759FF">
      <w:pPr>
        <w:rPr>
          <w:b/>
          <w:szCs w:val="22"/>
          <w:lang w:val="fr-FR"/>
        </w:rPr>
      </w:pPr>
      <w:r w:rsidRPr="0023436F">
        <w:rPr>
          <w:b/>
          <w:szCs w:val="22"/>
          <w:lang w:val="fr-FR"/>
        </w:rPr>
        <w:t>Extern</w:t>
      </w:r>
      <w:r>
        <w:rPr>
          <w:b/>
          <w:szCs w:val="22"/>
          <w:lang w:val="fr-FR"/>
        </w:rPr>
        <w:t>e :</w:t>
      </w:r>
    </w:p>
    <w:p w:rsidR="008759FF" w:rsidRPr="0023436F" w:rsidRDefault="008759FF" w:rsidP="008759FF">
      <w:pPr>
        <w:rPr>
          <w:szCs w:val="22"/>
          <w:lang w:val="fr-FR"/>
        </w:rPr>
      </w:pPr>
    </w:p>
    <w:p w:rsidR="008759FF" w:rsidRDefault="008759FF" w:rsidP="008759FF">
      <w:pPr>
        <w:pStyle w:val="Numbers"/>
        <w:numPr>
          <w:ilvl w:val="0"/>
          <w:numId w:val="0"/>
        </w:numPr>
        <w:jc w:val="both"/>
        <w:rPr>
          <w:rFonts w:ascii="Arial" w:hAnsi="Arial" w:cs="Arial"/>
          <w:b/>
          <w:i/>
          <w:lang w:val="fr-FR"/>
        </w:rPr>
      </w:pPr>
      <w:r>
        <w:rPr>
          <w:rFonts w:ascii="Arial" w:hAnsi="Arial" w:cs="Arial"/>
          <w:b/>
          <w:i/>
          <w:lang w:val="fr-FR"/>
        </w:rPr>
        <w:t>États membres :</w:t>
      </w:r>
    </w:p>
    <w:p w:rsidR="008759FF" w:rsidRPr="0023436F" w:rsidRDefault="008759FF" w:rsidP="008759FF">
      <w:pPr>
        <w:pStyle w:val="Numbers"/>
        <w:numPr>
          <w:ilvl w:val="0"/>
          <w:numId w:val="0"/>
        </w:numPr>
        <w:jc w:val="both"/>
        <w:rPr>
          <w:rFonts w:ascii="Arial" w:hAnsi="Arial" w:cs="Arial"/>
          <w:lang w:val="fr-FR"/>
        </w:rPr>
      </w:pPr>
      <w:r w:rsidRPr="00FA2C3F">
        <w:rPr>
          <w:rFonts w:ascii="Arial" w:hAnsi="Arial"/>
          <w:lang w:val="fr-FR"/>
        </w:rPr>
        <w:t>M.</w:t>
      </w:r>
      <w:r w:rsidRPr="00FA2C3F">
        <w:rPr>
          <w:rFonts w:ascii="Arial" w:hAnsi="Arial" w:cs="Arial"/>
          <w:lang w:val="fr-FR"/>
        </w:rPr>
        <w:t> Abdoul</w:t>
      </w:r>
      <w:r w:rsidRPr="0023436F">
        <w:rPr>
          <w:rFonts w:ascii="Arial" w:hAnsi="Arial" w:cs="Arial"/>
          <w:lang w:val="fr-FR"/>
        </w:rPr>
        <w:t xml:space="preserve"> Aziz Dieng, Minist</w:t>
      </w:r>
      <w:r>
        <w:rPr>
          <w:rFonts w:ascii="Arial" w:hAnsi="Arial" w:cs="Arial"/>
          <w:lang w:val="fr-FR"/>
        </w:rPr>
        <w:t>ère de la culture</w:t>
      </w:r>
      <w:r w:rsidRPr="0023436F">
        <w:rPr>
          <w:rFonts w:ascii="Arial" w:hAnsi="Arial" w:cs="Arial"/>
          <w:lang w:val="fr-FR"/>
        </w:rPr>
        <w:t>,</w:t>
      </w:r>
      <w:r>
        <w:rPr>
          <w:rFonts w:ascii="Arial" w:hAnsi="Arial" w:cs="Arial"/>
          <w:lang w:val="fr-FR"/>
        </w:rPr>
        <w:t xml:space="preserve"> Sénégal</w:t>
      </w:r>
    </w:p>
    <w:p w:rsidR="008759FF" w:rsidRPr="0023436F" w:rsidRDefault="008759FF" w:rsidP="008759FF">
      <w:pPr>
        <w:pStyle w:val="Numbers"/>
        <w:numPr>
          <w:ilvl w:val="0"/>
          <w:numId w:val="0"/>
        </w:numPr>
        <w:jc w:val="both"/>
        <w:rPr>
          <w:rFonts w:ascii="Arial" w:hAnsi="Arial" w:cs="Arial"/>
          <w:lang w:val="fr-FR"/>
        </w:rPr>
      </w:pPr>
    </w:p>
    <w:p w:rsidR="008759FF" w:rsidRPr="0023436F" w:rsidRDefault="008759FF" w:rsidP="008759FF">
      <w:pPr>
        <w:rPr>
          <w:lang w:val="fr-FR"/>
        </w:rPr>
      </w:pPr>
      <w:r>
        <w:rPr>
          <w:szCs w:val="22"/>
          <w:lang w:val="fr-FR"/>
        </w:rPr>
        <w:t>Son Excellence Mme </w:t>
      </w:r>
      <w:r w:rsidRPr="0023436F">
        <w:rPr>
          <w:szCs w:val="22"/>
          <w:lang w:val="fr-FR"/>
        </w:rPr>
        <w:t xml:space="preserve">Evelyne Marie Augustine </w:t>
      </w:r>
      <w:proofErr w:type="spellStart"/>
      <w:r w:rsidRPr="0023436F">
        <w:rPr>
          <w:szCs w:val="22"/>
          <w:lang w:val="fr-FR"/>
        </w:rPr>
        <w:t>Ilboudo</w:t>
      </w:r>
      <w:proofErr w:type="spellEnd"/>
      <w:r w:rsidRPr="0023436F">
        <w:rPr>
          <w:szCs w:val="22"/>
          <w:lang w:val="fr-FR"/>
        </w:rPr>
        <w:t xml:space="preserve">, </w:t>
      </w:r>
      <w:r>
        <w:rPr>
          <w:szCs w:val="22"/>
          <w:lang w:val="fr-FR"/>
        </w:rPr>
        <w:t>A</w:t>
      </w:r>
      <w:r w:rsidRPr="0023436F">
        <w:rPr>
          <w:szCs w:val="22"/>
          <w:lang w:val="fr-FR"/>
        </w:rPr>
        <w:t>mbassad</w:t>
      </w:r>
      <w:r>
        <w:rPr>
          <w:szCs w:val="22"/>
          <w:lang w:val="fr-FR"/>
        </w:rPr>
        <w:t>rice et représentante permanente adjointe</w:t>
      </w:r>
      <w:r w:rsidRPr="0023436F">
        <w:rPr>
          <w:szCs w:val="22"/>
          <w:lang w:val="fr-FR"/>
        </w:rPr>
        <w:t xml:space="preserve">, </w:t>
      </w:r>
      <w:r>
        <w:rPr>
          <w:szCs w:val="22"/>
          <w:lang w:val="fr-FR"/>
        </w:rPr>
        <w:t>Mission permanente du B</w:t>
      </w:r>
      <w:r w:rsidRPr="0023436F">
        <w:rPr>
          <w:szCs w:val="22"/>
          <w:lang w:val="fr-FR"/>
        </w:rPr>
        <w:t>urkina Faso, Gen</w:t>
      </w:r>
      <w:r>
        <w:rPr>
          <w:szCs w:val="22"/>
          <w:lang w:val="fr-FR"/>
        </w:rPr>
        <w:t>ève</w:t>
      </w:r>
      <w:r w:rsidRPr="0023436F">
        <w:rPr>
          <w:szCs w:val="22"/>
          <w:lang w:val="fr-FR"/>
        </w:rPr>
        <w:br/>
      </w:r>
      <w:r w:rsidRPr="0023436F">
        <w:rPr>
          <w:szCs w:val="22"/>
          <w:lang w:val="fr-FR"/>
        </w:rPr>
        <w:br/>
      </w:r>
      <w:r>
        <w:rPr>
          <w:lang w:val="fr-FR"/>
        </w:rPr>
        <w:t>M. </w:t>
      </w:r>
      <w:proofErr w:type="spellStart"/>
      <w:r w:rsidRPr="0023436F">
        <w:rPr>
          <w:lang w:val="fr-FR"/>
        </w:rPr>
        <w:t>Balamine</w:t>
      </w:r>
      <w:proofErr w:type="spellEnd"/>
      <w:r w:rsidRPr="0023436F">
        <w:rPr>
          <w:lang w:val="fr-FR"/>
        </w:rPr>
        <w:t xml:space="preserve"> Ouattara, </w:t>
      </w:r>
      <w:r>
        <w:rPr>
          <w:lang w:val="fr-FR"/>
        </w:rPr>
        <w:t>Bureau du droit d’auteur</w:t>
      </w:r>
      <w:r w:rsidRPr="0023436F">
        <w:rPr>
          <w:lang w:val="fr-FR"/>
        </w:rPr>
        <w:t>, Burkina Faso</w:t>
      </w:r>
      <w:r w:rsidRPr="0023436F">
        <w:rPr>
          <w:lang w:val="fr-FR"/>
        </w:rPr>
        <w:br/>
      </w:r>
    </w:p>
    <w:p w:rsidR="008759FF" w:rsidRPr="00FA2C3F" w:rsidRDefault="008759FF" w:rsidP="008759FF">
      <w:pPr>
        <w:pStyle w:val="Numbers"/>
        <w:numPr>
          <w:ilvl w:val="0"/>
          <w:numId w:val="0"/>
        </w:numPr>
        <w:jc w:val="both"/>
        <w:rPr>
          <w:rFonts w:ascii="Arial" w:hAnsi="Arial" w:cs="Arial"/>
          <w:lang w:val="fr-FR"/>
        </w:rPr>
      </w:pPr>
      <w:r w:rsidRPr="00FA2C3F">
        <w:rPr>
          <w:rFonts w:ascii="Arial" w:hAnsi="Arial" w:cs="Arial"/>
          <w:lang w:val="fr-FR"/>
        </w:rPr>
        <w:t xml:space="preserve">M. Timothy </w:t>
      </w:r>
      <w:proofErr w:type="spellStart"/>
      <w:r w:rsidRPr="00FA2C3F">
        <w:rPr>
          <w:rFonts w:ascii="Arial" w:hAnsi="Arial" w:cs="Arial"/>
          <w:lang w:val="fr-FR"/>
        </w:rPr>
        <w:t>Owase</w:t>
      </w:r>
      <w:proofErr w:type="spellEnd"/>
      <w:r w:rsidRPr="00FA2C3F">
        <w:rPr>
          <w:rFonts w:ascii="Arial" w:hAnsi="Arial" w:cs="Arial"/>
          <w:lang w:val="fr-FR"/>
        </w:rPr>
        <w:t>, directeur du développement, Commission cinématographique du Kenya</w:t>
      </w:r>
    </w:p>
    <w:p w:rsidR="008759FF" w:rsidRPr="0023436F" w:rsidRDefault="008759FF" w:rsidP="008759FF">
      <w:pPr>
        <w:rPr>
          <w:szCs w:val="22"/>
          <w:lang w:val="fr-FR"/>
        </w:rPr>
      </w:pPr>
    </w:p>
    <w:p w:rsidR="008759FF" w:rsidRPr="0023436F" w:rsidRDefault="008759FF" w:rsidP="008759FF">
      <w:pPr>
        <w:rPr>
          <w:szCs w:val="22"/>
          <w:lang w:val="fr-FR"/>
        </w:rPr>
      </w:pPr>
      <w:r w:rsidRPr="0023436F">
        <w:rPr>
          <w:szCs w:val="22"/>
          <w:lang w:val="fr-FR"/>
        </w:rPr>
        <w:t>M</w:t>
      </w:r>
      <w:r>
        <w:rPr>
          <w:szCs w:val="22"/>
          <w:lang w:val="fr-FR"/>
        </w:rPr>
        <w:t>me </w:t>
      </w:r>
      <w:r w:rsidRPr="0023436F">
        <w:rPr>
          <w:szCs w:val="22"/>
          <w:lang w:val="fr-FR"/>
        </w:rPr>
        <w:t xml:space="preserve">Pamela </w:t>
      </w:r>
      <w:proofErr w:type="spellStart"/>
      <w:r w:rsidRPr="0023436F">
        <w:rPr>
          <w:szCs w:val="22"/>
          <w:lang w:val="fr-FR"/>
        </w:rPr>
        <w:t>Wille</w:t>
      </w:r>
      <w:proofErr w:type="spellEnd"/>
      <w:r w:rsidRPr="0023436F">
        <w:rPr>
          <w:szCs w:val="22"/>
          <w:lang w:val="fr-FR"/>
        </w:rPr>
        <w:t xml:space="preserve">, </w:t>
      </w:r>
      <w:r>
        <w:rPr>
          <w:szCs w:val="22"/>
          <w:lang w:val="fr-FR"/>
        </w:rPr>
        <w:t>conseillère, Division économique, Mission permanente de l’Allemagne à Genève</w:t>
      </w:r>
    </w:p>
    <w:p w:rsidR="008759FF" w:rsidRPr="0023436F" w:rsidRDefault="008759FF" w:rsidP="008759FF">
      <w:pPr>
        <w:rPr>
          <w:szCs w:val="22"/>
          <w:lang w:val="fr-FR"/>
        </w:rPr>
      </w:pPr>
    </w:p>
    <w:p w:rsidR="008759FF" w:rsidRPr="0023436F" w:rsidRDefault="008759FF" w:rsidP="008759FF">
      <w:pPr>
        <w:rPr>
          <w:szCs w:val="22"/>
          <w:lang w:val="fr-FR"/>
        </w:rPr>
      </w:pPr>
    </w:p>
    <w:p w:rsidR="008759FF" w:rsidRDefault="008759FF" w:rsidP="008759FF">
      <w:pPr>
        <w:spacing w:before="120"/>
        <w:rPr>
          <w:b/>
          <w:i/>
          <w:szCs w:val="22"/>
          <w:lang w:val="fr-FR"/>
        </w:rPr>
      </w:pPr>
      <w:r>
        <w:rPr>
          <w:b/>
          <w:i/>
          <w:szCs w:val="22"/>
          <w:lang w:val="fr-FR"/>
        </w:rPr>
        <w:t>Consultants externes :</w:t>
      </w:r>
      <w:r w:rsidRPr="0023436F">
        <w:rPr>
          <w:b/>
          <w:i/>
          <w:szCs w:val="22"/>
          <w:lang w:val="fr-FR"/>
        </w:rPr>
        <w:t xml:space="preserve"> </w:t>
      </w:r>
    </w:p>
    <w:p w:rsidR="008759FF" w:rsidRPr="0023436F" w:rsidRDefault="008759FF" w:rsidP="008759FF">
      <w:pPr>
        <w:spacing w:before="120"/>
        <w:rPr>
          <w:szCs w:val="22"/>
          <w:lang w:val="fr-FR"/>
        </w:rPr>
      </w:pPr>
      <w:r w:rsidRPr="00FA2C3F">
        <w:rPr>
          <w:lang w:val="fr-FR"/>
        </w:rPr>
        <w:t>M.</w:t>
      </w:r>
      <w:r w:rsidRPr="00FA2C3F">
        <w:rPr>
          <w:szCs w:val="22"/>
          <w:lang w:val="fr-FR"/>
        </w:rPr>
        <w:t> </w:t>
      </w:r>
      <w:r w:rsidRPr="00FA2C3F">
        <w:rPr>
          <w:lang w:val="fr-FR"/>
        </w:rPr>
        <w:t xml:space="preserve">Bertrand </w:t>
      </w:r>
      <w:proofErr w:type="spellStart"/>
      <w:r w:rsidRPr="00FA2C3F">
        <w:rPr>
          <w:lang w:val="fr-FR"/>
        </w:rPr>
        <w:t>Moullier</w:t>
      </w:r>
      <w:proofErr w:type="spellEnd"/>
      <w:r w:rsidRPr="00FA2C3F">
        <w:rPr>
          <w:lang w:val="fr-FR"/>
        </w:rPr>
        <w:t>, NARVAL Media Limited, Royaume</w:t>
      </w:r>
      <w:r w:rsidRPr="00FA2C3F">
        <w:rPr>
          <w:lang w:val="fr-FR"/>
        </w:rPr>
        <w:noBreakHyphen/>
        <w:t>Uni</w:t>
      </w:r>
      <w:r w:rsidRPr="00FA2C3F">
        <w:rPr>
          <w:lang w:val="fr-FR"/>
        </w:rPr>
        <w:br/>
      </w:r>
      <w:r w:rsidRPr="0023436F">
        <w:rPr>
          <w:lang w:val="fr-FR"/>
        </w:rPr>
        <w:br/>
        <w:t>M</w:t>
      </w:r>
      <w:r>
        <w:rPr>
          <w:lang w:val="fr-FR"/>
        </w:rPr>
        <w:t>me </w:t>
      </w:r>
      <w:proofErr w:type="spellStart"/>
      <w:r w:rsidRPr="0023436F">
        <w:rPr>
          <w:lang w:val="fr-FR"/>
        </w:rPr>
        <w:t>Tarja</w:t>
      </w:r>
      <w:proofErr w:type="spellEnd"/>
      <w:r w:rsidRPr="0023436F">
        <w:rPr>
          <w:lang w:val="fr-FR"/>
        </w:rPr>
        <w:t xml:space="preserve"> </w:t>
      </w:r>
      <w:proofErr w:type="spellStart"/>
      <w:r w:rsidRPr="0023436F">
        <w:rPr>
          <w:lang w:val="fr-FR"/>
        </w:rPr>
        <w:t>Koskinen</w:t>
      </w:r>
      <w:proofErr w:type="spellEnd"/>
      <w:r w:rsidRPr="0023436F">
        <w:rPr>
          <w:lang w:val="fr-FR"/>
        </w:rPr>
        <w:t xml:space="preserve"> </w:t>
      </w:r>
      <w:proofErr w:type="spellStart"/>
      <w:r w:rsidRPr="0023436F">
        <w:rPr>
          <w:lang w:val="fr-FR"/>
        </w:rPr>
        <w:t>Olson</w:t>
      </w:r>
      <w:proofErr w:type="spellEnd"/>
      <w:r w:rsidRPr="0023436F">
        <w:rPr>
          <w:lang w:val="fr-FR"/>
        </w:rPr>
        <w:t xml:space="preserve">, </w:t>
      </w:r>
      <w:r>
        <w:rPr>
          <w:lang w:val="fr-FR"/>
        </w:rPr>
        <w:t>conseillère internationale</w:t>
      </w:r>
      <w:r w:rsidRPr="0023436F">
        <w:rPr>
          <w:lang w:val="fr-FR"/>
        </w:rPr>
        <w:t xml:space="preserve">, </w:t>
      </w:r>
      <w:proofErr w:type="spellStart"/>
      <w:r w:rsidRPr="0023436F">
        <w:rPr>
          <w:lang w:val="fr-FR"/>
        </w:rPr>
        <w:t>Olsson</w:t>
      </w:r>
      <w:proofErr w:type="spellEnd"/>
      <w:r w:rsidRPr="0023436F">
        <w:rPr>
          <w:lang w:val="fr-FR"/>
        </w:rPr>
        <w:t xml:space="preserve"> &amp; </w:t>
      </w:r>
      <w:proofErr w:type="spellStart"/>
      <w:r w:rsidRPr="0023436F">
        <w:rPr>
          <w:lang w:val="fr-FR"/>
        </w:rPr>
        <w:t>Koskinen</w:t>
      </w:r>
      <w:proofErr w:type="spellEnd"/>
      <w:r w:rsidRPr="0023436F">
        <w:rPr>
          <w:lang w:val="fr-FR"/>
        </w:rPr>
        <w:t xml:space="preserve"> Consulting, </w:t>
      </w:r>
      <w:r>
        <w:rPr>
          <w:lang w:val="fr-FR"/>
        </w:rPr>
        <w:t>Finlande</w:t>
      </w:r>
      <w:r w:rsidRPr="0023436F">
        <w:rPr>
          <w:lang w:val="fr-FR"/>
        </w:rPr>
        <w:br/>
      </w:r>
      <w:r w:rsidRPr="0023436F">
        <w:rPr>
          <w:lang w:val="fr-FR"/>
        </w:rPr>
        <w:br/>
        <w:t>M</w:t>
      </w:r>
      <w:r>
        <w:rPr>
          <w:lang w:val="fr-FR"/>
        </w:rPr>
        <w:t>me </w:t>
      </w:r>
      <w:r w:rsidRPr="0023436F">
        <w:rPr>
          <w:lang w:val="fr-FR"/>
        </w:rPr>
        <w:t xml:space="preserve">Sandra </w:t>
      </w:r>
      <w:proofErr w:type="spellStart"/>
      <w:r w:rsidRPr="0023436F">
        <w:rPr>
          <w:lang w:val="fr-FR"/>
        </w:rPr>
        <w:t>Oyewole</w:t>
      </w:r>
      <w:proofErr w:type="spellEnd"/>
      <w:r>
        <w:rPr>
          <w:lang w:val="fr-FR"/>
        </w:rPr>
        <w:t xml:space="preserve">, </w:t>
      </w:r>
      <w:proofErr w:type="spellStart"/>
      <w:r>
        <w:rPr>
          <w:lang w:val="fr-FR"/>
        </w:rPr>
        <w:t>Olajide</w:t>
      </w:r>
      <w:proofErr w:type="spellEnd"/>
      <w:r>
        <w:rPr>
          <w:lang w:val="fr-FR"/>
        </w:rPr>
        <w:t xml:space="preserve"> </w:t>
      </w:r>
      <w:proofErr w:type="spellStart"/>
      <w:r>
        <w:rPr>
          <w:lang w:val="fr-FR"/>
        </w:rPr>
        <w:t>Oyewole</w:t>
      </w:r>
      <w:proofErr w:type="spellEnd"/>
      <w:r>
        <w:rPr>
          <w:lang w:val="fr-FR"/>
        </w:rPr>
        <w:t xml:space="preserve"> </w:t>
      </w:r>
      <w:r w:rsidRPr="0023436F">
        <w:rPr>
          <w:lang w:val="fr-FR"/>
        </w:rPr>
        <w:t>LLP, Nig</w:t>
      </w:r>
      <w:r>
        <w:rPr>
          <w:lang w:val="fr-FR"/>
        </w:rPr>
        <w:t>é</w:t>
      </w:r>
      <w:r w:rsidRPr="0023436F">
        <w:rPr>
          <w:lang w:val="fr-FR"/>
        </w:rPr>
        <w:t>ria</w:t>
      </w:r>
    </w:p>
    <w:p w:rsidR="008759FF" w:rsidRPr="0023436F" w:rsidRDefault="008759FF" w:rsidP="008759FF">
      <w:pPr>
        <w:rPr>
          <w:szCs w:val="22"/>
          <w:lang w:val="fr-FR"/>
        </w:rPr>
      </w:pPr>
    </w:p>
    <w:p w:rsidR="008759FF" w:rsidRPr="0023436F" w:rsidRDefault="008759FF" w:rsidP="008759FF">
      <w:pPr>
        <w:pStyle w:val="Endofdocument"/>
        <w:spacing w:line="240" w:lineRule="auto"/>
        <w:ind w:left="5080"/>
        <w:rPr>
          <w:lang w:val="fr-FR"/>
        </w:rPr>
      </w:pPr>
      <w:r w:rsidRPr="0023436F">
        <w:rPr>
          <w:lang w:val="fr-FR"/>
        </w:rPr>
        <w:t>[</w:t>
      </w:r>
      <w:r>
        <w:rPr>
          <w:lang w:val="fr-FR"/>
        </w:rPr>
        <w:t>L’appendice II suit</w:t>
      </w:r>
      <w:r w:rsidRPr="0023436F">
        <w:rPr>
          <w:lang w:val="fr-FR"/>
        </w:rPr>
        <w:t>]</w:t>
      </w:r>
    </w:p>
    <w:p w:rsidR="008759FF" w:rsidRPr="0023436F" w:rsidRDefault="008759FF" w:rsidP="008759FF">
      <w:pPr>
        <w:rPr>
          <w:lang w:val="fr-FR" w:eastAsia="en-US"/>
        </w:rPr>
      </w:pPr>
    </w:p>
    <w:p w:rsidR="008759FF" w:rsidRPr="0023436F" w:rsidRDefault="008759FF" w:rsidP="008759FF">
      <w:pPr>
        <w:pStyle w:val="Heading1"/>
        <w:rPr>
          <w:lang w:val="fr-FR"/>
        </w:rPr>
      </w:pPr>
      <w:bookmarkStart w:id="37" w:name="_Toc336032076"/>
      <w:r w:rsidRPr="0023436F">
        <w:rPr>
          <w:lang w:val="fr-FR"/>
        </w:rPr>
        <w:br w:type="page"/>
      </w:r>
      <w:bookmarkStart w:id="38" w:name="_Toc396377090"/>
      <w:bookmarkStart w:id="39" w:name="_Toc441830362"/>
      <w:r w:rsidR="000B5444">
        <w:rPr>
          <w:lang w:val="fr-FR"/>
        </w:rPr>
        <w:lastRenderedPageBreak/>
        <w:t>Appendice</w:t>
      </w:r>
      <w:r w:rsidRPr="0023436F">
        <w:rPr>
          <w:lang w:val="fr-FR"/>
        </w:rPr>
        <w:t xml:space="preserve"> II</w:t>
      </w:r>
      <w:r>
        <w:rPr>
          <w:lang w:val="fr-FR"/>
        </w:rPr>
        <w:t> :</w:t>
      </w:r>
      <w:r w:rsidRPr="0023436F">
        <w:rPr>
          <w:lang w:val="fr-FR"/>
        </w:rPr>
        <w:t xml:space="preserve"> </w:t>
      </w:r>
      <w:bookmarkEnd w:id="37"/>
      <w:bookmarkEnd w:id="38"/>
      <w:r w:rsidR="00C03EB3">
        <w:rPr>
          <w:lang w:val="fr-FR"/>
        </w:rPr>
        <w:t>D</w:t>
      </w:r>
      <w:r w:rsidR="00D53A03">
        <w:rPr>
          <w:lang w:val="fr-FR"/>
        </w:rPr>
        <w:t>ocuments consultés</w:t>
      </w:r>
      <w:bookmarkEnd w:id="39"/>
    </w:p>
    <w:p w:rsidR="008759FF" w:rsidRPr="0023436F" w:rsidRDefault="008759FF" w:rsidP="008759FF">
      <w:pPr>
        <w:rPr>
          <w:lang w:val="fr-FR"/>
        </w:rPr>
      </w:pPr>
    </w:p>
    <w:p w:rsidR="008759FF" w:rsidRPr="0023436F" w:rsidRDefault="008759FF" w:rsidP="008759FF">
      <w:pPr>
        <w:rPr>
          <w:szCs w:val="22"/>
          <w:lang w:val="fr-FR"/>
        </w:rPr>
      </w:pPr>
      <w:r>
        <w:rPr>
          <w:szCs w:val="22"/>
          <w:lang w:val="fr-FR"/>
        </w:rPr>
        <w:t>OMPI</w:t>
      </w:r>
      <w:r w:rsidRPr="0023436F">
        <w:rPr>
          <w:szCs w:val="22"/>
          <w:lang w:val="fr-FR"/>
        </w:rPr>
        <w:t xml:space="preserve"> (2012), </w:t>
      </w:r>
      <w:r>
        <w:rPr>
          <w:i/>
          <w:szCs w:val="22"/>
          <w:lang w:val="fr-FR"/>
        </w:rPr>
        <w:t>Renforcement et développement du secteur de l’audiovisuel au Burkina Faso et dans certains pays africains</w:t>
      </w:r>
      <w:r w:rsidRPr="0023436F">
        <w:rPr>
          <w:szCs w:val="22"/>
          <w:lang w:val="fr-FR"/>
        </w:rPr>
        <w:t xml:space="preserve">, </w:t>
      </w:r>
      <w:r>
        <w:rPr>
          <w:i/>
          <w:szCs w:val="22"/>
          <w:lang w:val="fr-FR"/>
        </w:rPr>
        <w:t>descriptif du projet</w:t>
      </w:r>
      <w:r w:rsidRPr="0023436F">
        <w:rPr>
          <w:szCs w:val="22"/>
          <w:lang w:val="fr-FR"/>
        </w:rPr>
        <w:t xml:space="preserve">, </w:t>
      </w:r>
      <w:r>
        <w:rPr>
          <w:szCs w:val="22"/>
          <w:lang w:val="fr-FR"/>
        </w:rPr>
        <w:t xml:space="preserve">document </w:t>
      </w:r>
      <w:r w:rsidRPr="0023436F">
        <w:rPr>
          <w:szCs w:val="22"/>
          <w:lang w:val="fr-FR"/>
        </w:rPr>
        <w:t>CDIP/9/13.</w:t>
      </w:r>
    </w:p>
    <w:p w:rsidR="008759FF" w:rsidRPr="0023436F" w:rsidRDefault="008759FF" w:rsidP="008759FF">
      <w:pPr>
        <w:rPr>
          <w:lang w:val="fr-FR"/>
        </w:rPr>
      </w:pPr>
    </w:p>
    <w:p w:rsidR="008759FF" w:rsidRPr="0023436F" w:rsidRDefault="008759FF" w:rsidP="008759FF">
      <w:pPr>
        <w:rPr>
          <w:lang w:val="fr-FR"/>
        </w:rPr>
      </w:pPr>
      <w:r>
        <w:rPr>
          <w:lang w:val="fr-FR"/>
        </w:rPr>
        <w:t>OMPI</w:t>
      </w:r>
      <w:r w:rsidRPr="0023436F">
        <w:rPr>
          <w:lang w:val="fr-FR"/>
        </w:rPr>
        <w:t xml:space="preserve"> (2013), </w:t>
      </w:r>
      <w:r>
        <w:rPr>
          <w:lang w:val="fr-FR"/>
        </w:rPr>
        <w:t xml:space="preserve">MM. Bertrand </w:t>
      </w:r>
      <w:proofErr w:type="spellStart"/>
      <w:r>
        <w:rPr>
          <w:lang w:val="fr-FR"/>
        </w:rPr>
        <w:t>Moullier</w:t>
      </w:r>
      <w:proofErr w:type="spellEnd"/>
      <w:r>
        <w:rPr>
          <w:lang w:val="fr-FR"/>
        </w:rPr>
        <w:t xml:space="preserve"> et Benoît Müller</w:t>
      </w:r>
      <w:r w:rsidRPr="0023436F">
        <w:rPr>
          <w:lang w:val="fr-FR"/>
        </w:rPr>
        <w:t xml:space="preserve">, </w:t>
      </w:r>
      <w:r>
        <w:rPr>
          <w:i/>
          <w:lang w:val="fr-FR"/>
        </w:rPr>
        <w:t>Étude exploratoire sur le renforcement et le développement du secteur de l’audiovisuel au Burkina Faso et dans certains pays africains</w:t>
      </w:r>
      <w:r w:rsidRPr="0023436F">
        <w:rPr>
          <w:lang w:val="fr-FR"/>
        </w:rPr>
        <w:t xml:space="preserve">, </w:t>
      </w:r>
      <w:r>
        <w:rPr>
          <w:lang w:val="fr-FR"/>
        </w:rPr>
        <w:t xml:space="preserve">document </w:t>
      </w:r>
      <w:r w:rsidRPr="0023436F">
        <w:rPr>
          <w:lang w:val="fr-FR"/>
        </w:rPr>
        <w:t>CDIP/12/INF/3.</w:t>
      </w:r>
    </w:p>
    <w:p w:rsidR="008759FF" w:rsidRPr="0023436F" w:rsidRDefault="008759FF" w:rsidP="008759FF">
      <w:pPr>
        <w:rPr>
          <w:szCs w:val="22"/>
          <w:lang w:val="fr-FR"/>
        </w:rPr>
      </w:pPr>
    </w:p>
    <w:p w:rsidR="008759FF" w:rsidRPr="0023436F" w:rsidRDefault="008759FF" w:rsidP="008759FF">
      <w:pPr>
        <w:rPr>
          <w:szCs w:val="22"/>
          <w:lang w:val="fr-FR"/>
        </w:rPr>
      </w:pPr>
      <w:r>
        <w:rPr>
          <w:szCs w:val="22"/>
          <w:lang w:val="fr-FR"/>
        </w:rPr>
        <w:t>OMPI</w:t>
      </w:r>
      <w:r w:rsidRPr="0023436F">
        <w:rPr>
          <w:szCs w:val="22"/>
          <w:lang w:val="fr-FR"/>
        </w:rPr>
        <w:t xml:space="preserve"> (2014), CDIP, </w:t>
      </w:r>
      <w:r>
        <w:rPr>
          <w:szCs w:val="22"/>
          <w:lang w:val="fr-FR"/>
        </w:rPr>
        <w:t xml:space="preserve">quatorzième session, </w:t>
      </w:r>
      <w:r>
        <w:rPr>
          <w:i/>
          <w:szCs w:val="22"/>
          <w:lang w:val="fr-FR"/>
        </w:rPr>
        <w:t>Rapports sur l’état d’avancement des projets</w:t>
      </w:r>
      <w:r>
        <w:rPr>
          <w:szCs w:val="22"/>
          <w:lang w:val="fr-FR"/>
        </w:rPr>
        <w:t>, document</w:t>
      </w:r>
      <w:r w:rsidRPr="0023436F">
        <w:rPr>
          <w:szCs w:val="22"/>
          <w:lang w:val="fr-FR"/>
        </w:rPr>
        <w:t xml:space="preserve"> CDIP/14/2.</w:t>
      </w:r>
    </w:p>
    <w:p w:rsidR="008759FF" w:rsidRPr="0023436F" w:rsidRDefault="008759FF" w:rsidP="008759FF">
      <w:pPr>
        <w:rPr>
          <w:szCs w:val="22"/>
          <w:lang w:val="fr-FR"/>
        </w:rPr>
      </w:pPr>
    </w:p>
    <w:p w:rsidR="008759FF" w:rsidRPr="0023436F" w:rsidRDefault="008759FF" w:rsidP="008759FF">
      <w:pPr>
        <w:rPr>
          <w:szCs w:val="22"/>
          <w:lang w:val="fr-FR"/>
        </w:rPr>
      </w:pPr>
      <w:r>
        <w:rPr>
          <w:szCs w:val="22"/>
          <w:lang w:val="fr-FR"/>
        </w:rPr>
        <w:t>OMPI</w:t>
      </w:r>
      <w:r w:rsidRPr="0023436F">
        <w:rPr>
          <w:szCs w:val="22"/>
          <w:lang w:val="fr-FR"/>
        </w:rPr>
        <w:t xml:space="preserve"> (2014), </w:t>
      </w:r>
      <w:r>
        <w:rPr>
          <w:szCs w:val="22"/>
          <w:lang w:val="fr-FR"/>
        </w:rPr>
        <w:t>Mme </w:t>
      </w:r>
      <w:proofErr w:type="spellStart"/>
      <w:r>
        <w:rPr>
          <w:szCs w:val="22"/>
          <w:lang w:val="fr-FR"/>
        </w:rPr>
        <w:t>Tarja</w:t>
      </w:r>
      <w:proofErr w:type="spellEnd"/>
      <w:r>
        <w:rPr>
          <w:szCs w:val="22"/>
          <w:lang w:val="fr-FR"/>
        </w:rPr>
        <w:t xml:space="preserve"> </w:t>
      </w:r>
      <w:proofErr w:type="spellStart"/>
      <w:r w:rsidRPr="0023436F">
        <w:rPr>
          <w:szCs w:val="22"/>
          <w:lang w:val="fr-FR"/>
        </w:rPr>
        <w:t>Koskinen</w:t>
      </w:r>
      <w:r>
        <w:rPr>
          <w:szCs w:val="22"/>
          <w:lang w:val="fr-FR"/>
        </w:rPr>
        <w:noBreakHyphen/>
      </w:r>
      <w:r w:rsidRPr="0023436F">
        <w:rPr>
          <w:szCs w:val="22"/>
          <w:lang w:val="fr-FR"/>
        </w:rPr>
        <w:t>Olsson</w:t>
      </w:r>
      <w:proofErr w:type="spellEnd"/>
      <w:r w:rsidRPr="0023436F">
        <w:rPr>
          <w:szCs w:val="22"/>
          <w:lang w:val="fr-FR"/>
        </w:rPr>
        <w:t xml:space="preserve">, </w:t>
      </w:r>
      <w:r>
        <w:rPr>
          <w:i/>
          <w:szCs w:val="22"/>
          <w:lang w:val="fr-FR"/>
        </w:rPr>
        <w:t>Étude sur la négociation collective des droits et la gestion collective des droits dans le secteur de l’audiovisuel</w:t>
      </w:r>
      <w:r w:rsidRPr="0023436F">
        <w:rPr>
          <w:szCs w:val="22"/>
          <w:lang w:val="fr-FR"/>
        </w:rPr>
        <w:t xml:space="preserve">, </w:t>
      </w:r>
      <w:r>
        <w:rPr>
          <w:szCs w:val="22"/>
          <w:lang w:val="fr-FR"/>
        </w:rPr>
        <w:t xml:space="preserve">document </w:t>
      </w:r>
      <w:r w:rsidRPr="0023436F">
        <w:rPr>
          <w:szCs w:val="22"/>
          <w:lang w:val="fr-FR"/>
        </w:rPr>
        <w:t>CDIP/14/INF/2.</w:t>
      </w:r>
    </w:p>
    <w:p w:rsidR="008759FF" w:rsidRPr="0023436F" w:rsidRDefault="008759FF" w:rsidP="008759FF">
      <w:pPr>
        <w:rPr>
          <w:lang w:val="fr-FR"/>
        </w:rPr>
      </w:pPr>
    </w:p>
    <w:p w:rsidR="008759FF" w:rsidRPr="0023436F" w:rsidRDefault="008759FF" w:rsidP="008759FF">
      <w:pPr>
        <w:rPr>
          <w:szCs w:val="22"/>
          <w:lang w:val="fr-FR"/>
        </w:rPr>
      </w:pPr>
      <w:r>
        <w:rPr>
          <w:szCs w:val="22"/>
          <w:lang w:val="fr-FR"/>
        </w:rPr>
        <w:t>OMPI</w:t>
      </w:r>
      <w:r w:rsidRPr="0023436F">
        <w:rPr>
          <w:szCs w:val="22"/>
          <w:lang w:val="fr-FR"/>
        </w:rPr>
        <w:t xml:space="preserve"> (2015), CDIP, </w:t>
      </w:r>
      <w:r>
        <w:rPr>
          <w:szCs w:val="22"/>
          <w:lang w:val="fr-FR"/>
        </w:rPr>
        <w:t xml:space="preserve">seizième session, </w:t>
      </w:r>
      <w:r>
        <w:rPr>
          <w:i/>
          <w:szCs w:val="22"/>
          <w:lang w:val="fr-FR"/>
        </w:rPr>
        <w:t>Rapports sur l’état d’avancement des projets</w:t>
      </w:r>
      <w:r w:rsidRPr="0023436F">
        <w:rPr>
          <w:szCs w:val="22"/>
          <w:lang w:val="fr-FR"/>
        </w:rPr>
        <w:t xml:space="preserve">, </w:t>
      </w:r>
      <w:r>
        <w:rPr>
          <w:szCs w:val="22"/>
          <w:lang w:val="fr-FR"/>
        </w:rPr>
        <w:t xml:space="preserve">document </w:t>
      </w:r>
      <w:r w:rsidRPr="0023436F">
        <w:rPr>
          <w:szCs w:val="22"/>
          <w:lang w:val="fr-FR"/>
        </w:rPr>
        <w:t>CDIP/16/2.</w:t>
      </w:r>
    </w:p>
    <w:p w:rsidR="008759FF" w:rsidRPr="0023436F" w:rsidRDefault="008759FF" w:rsidP="008759FF">
      <w:pPr>
        <w:rPr>
          <w:lang w:val="fr-FR"/>
        </w:rPr>
      </w:pPr>
    </w:p>
    <w:p w:rsidR="008759FF" w:rsidRPr="0023436F" w:rsidRDefault="008759FF" w:rsidP="008759FF">
      <w:pPr>
        <w:rPr>
          <w:szCs w:val="22"/>
          <w:lang w:val="fr-FR"/>
        </w:rPr>
      </w:pPr>
    </w:p>
    <w:p w:rsidR="008759FF" w:rsidRPr="0023436F" w:rsidRDefault="008759FF" w:rsidP="008759FF">
      <w:pPr>
        <w:rPr>
          <w:szCs w:val="22"/>
          <w:lang w:val="fr-FR"/>
        </w:rPr>
      </w:pPr>
    </w:p>
    <w:p w:rsidR="008759FF" w:rsidRPr="0023436F" w:rsidRDefault="008759FF" w:rsidP="008759FF">
      <w:pPr>
        <w:rPr>
          <w:szCs w:val="22"/>
          <w:lang w:val="fr-FR"/>
        </w:rPr>
      </w:pPr>
    </w:p>
    <w:p w:rsidR="008759FF" w:rsidRPr="0023436F" w:rsidRDefault="008759FF" w:rsidP="008759FF">
      <w:pPr>
        <w:pStyle w:val="Endofdocument"/>
        <w:spacing w:line="240" w:lineRule="auto"/>
        <w:ind w:left="5080"/>
        <w:rPr>
          <w:lang w:val="fr-FR"/>
        </w:rPr>
        <w:sectPr w:rsidR="008759FF" w:rsidRPr="0023436F" w:rsidSect="0044353E">
          <w:headerReference w:type="default" r:id="rId15"/>
          <w:headerReference w:type="first" r:id="rId16"/>
          <w:endnotePr>
            <w:numFmt w:val="decimal"/>
          </w:endnotePr>
          <w:pgSz w:w="11907" w:h="16840" w:code="9"/>
          <w:pgMar w:top="567" w:right="1134" w:bottom="1417" w:left="1417" w:header="510" w:footer="1020" w:gutter="0"/>
          <w:pgNumType w:start="1"/>
          <w:cols w:space="720"/>
          <w:titlePg/>
          <w:docGrid w:linePitch="299"/>
        </w:sectPr>
      </w:pPr>
      <w:r w:rsidRPr="0023436F">
        <w:rPr>
          <w:lang w:val="fr-FR"/>
        </w:rPr>
        <w:t>[</w:t>
      </w:r>
      <w:r>
        <w:rPr>
          <w:lang w:val="fr-FR"/>
        </w:rPr>
        <w:t>L’appendice III suit</w:t>
      </w:r>
      <w:r w:rsidRPr="0023436F">
        <w:rPr>
          <w:lang w:val="fr-FR"/>
        </w:rPr>
        <w:t>]</w:t>
      </w:r>
    </w:p>
    <w:p w:rsidR="008759FF" w:rsidRPr="0023436F" w:rsidRDefault="008759FF" w:rsidP="008759FF">
      <w:pPr>
        <w:pStyle w:val="Heading1"/>
        <w:rPr>
          <w:lang w:val="fr-FR"/>
        </w:rPr>
      </w:pPr>
      <w:bookmarkStart w:id="40" w:name="_Toc336032077"/>
      <w:bookmarkStart w:id="41" w:name="_Toc396377091"/>
      <w:bookmarkStart w:id="42" w:name="_Toc441830363"/>
      <w:r w:rsidRPr="0023436F">
        <w:rPr>
          <w:lang w:val="fr-FR"/>
        </w:rPr>
        <w:lastRenderedPageBreak/>
        <w:t>Appendi</w:t>
      </w:r>
      <w:r w:rsidR="000B5444">
        <w:rPr>
          <w:lang w:val="fr-FR"/>
        </w:rPr>
        <w:t>ce</w:t>
      </w:r>
      <w:r w:rsidRPr="0023436F">
        <w:rPr>
          <w:lang w:val="fr-FR"/>
        </w:rPr>
        <w:t xml:space="preserve"> III</w:t>
      </w:r>
      <w:r>
        <w:rPr>
          <w:lang w:val="fr-FR"/>
        </w:rPr>
        <w:t> :</w:t>
      </w:r>
      <w:r w:rsidRPr="0023436F">
        <w:rPr>
          <w:lang w:val="fr-FR"/>
        </w:rPr>
        <w:t xml:space="preserve"> </w:t>
      </w:r>
      <w:r w:rsidR="00C03EB3">
        <w:rPr>
          <w:lang w:val="fr-FR"/>
        </w:rPr>
        <w:t>R</w:t>
      </w:r>
      <w:r>
        <w:rPr>
          <w:lang w:val="fr-FR"/>
        </w:rPr>
        <w:t>apport initial</w:t>
      </w:r>
      <w:bookmarkEnd w:id="40"/>
      <w:bookmarkEnd w:id="41"/>
      <w:bookmarkEnd w:id="42"/>
    </w:p>
    <w:p w:rsidR="008759FF" w:rsidRPr="0023436F" w:rsidRDefault="008759FF" w:rsidP="008759FF">
      <w:pPr>
        <w:pStyle w:val="Reporttext"/>
        <w:ind w:firstLine="0"/>
        <w:rPr>
          <w:rFonts w:ascii="Arial" w:hAnsi="Arial" w:cs="Arial"/>
          <w:b/>
          <w:lang w:val="fr-FR"/>
        </w:rPr>
      </w:pPr>
      <w:r w:rsidRPr="0023436F">
        <w:rPr>
          <w:rFonts w:ascii="Arial" w:hAnsi="Arial" w:cs="Arial"/>
          <w:b/>
          <w:lang w:val="fr-FR"/>
        </w:rPr>
        <w:t>1.</w:t>
      </w:r>
      <w:r w:rsidRPr="0023436F">
        <w:rPr>
          <w:rFonts w:ascii="Arial" w:hAnsi="Arial" w:cs="Arial"/>
          <w:b/>
          <w:lang w:val="fr-FR"/>
        </w:rPr>
        <w:tab/>
        <w:t>Introduction</w:t>
      </w:r>
    </w:p>
    <w:p w:rsidR="008759FF" w:rsidRPr="0023436F" w:rsidRDefault="008759FF" w:rsidP="008759FF">
      <w:pPr>
        <w:autoSpaceDE w:val="0"/>
        <w:autoSpaceDN w:val="0"/>
        <w:adjustRightInd w:val="0"/>
        <w:jc w:val="both"/>
        <w:rPr>
          <w:lang w:val="fr-FR"/>
        </w:rPr>
      </w:pPr>
    </w:p>
    <w:p w:rsidR="008759FF" w:rsidRPr="0023436F" w:rsidRDefault="008759FF" w:rsidP="008759FF">
      <w:pPr>
        <w:pStyle w:val="Reporttext"/>
        <w:ind w:firstLine="0"/>
        <w:rPr>
          <w:rFonts w:ascii="Arial" w:hAnsi="Arial" w:cs="Arial"/>
          <w:lang w:val="fr-FR"/>
        </w:rPr>
      </w:pPr>
      <w:r>
        <w:rPr>
          <w:rFonts w:ascii="Arial" w:eastAsia="SimSun" w:hAnsi="Arial" w:cs="Arial"/>
          <w:szCs w:val="20"/>
          <w:lang w:val="fr-FR" w:eastAsia="zh-CN"/>
        </w:rPr>
        <w:t>Le présent document contient le rapport d’évaluation initial concernant le projet sur le r</w:t>
      </w:r>
      <w:r w:rsidRPr="001148D9">
        <w:rPr>
          <w:rFonts w:ascii="Arial" w:eastAsia="SimSun" w:hAnsi="Arial" w:cs="Arial"/>
          <w:szCs w:val="20"/>
          <w:lang w:val="fr-FR" w:eastAsia="zh-CN"/>
        </w:rPr>
        <w:t>enforcement et</w:t>
      </w:r>
      <w:r>
        <w:rPr>
          <w:rFonts w:ascii="Arial" w:eastAsia="SimSun" w:hAnsi="Arial" w:cs="Arial"/>
          <w:szCs w:val="20"/>
          <w:lang w:val="fr-FR" w:eastAsia="zh-CN"/>
        </w:rPr>
        <w:t xml:space="preserve"> le</w:t>
      </w:r>
      <w:r w:rsidRPr="001148D9">
        <w:rPr>
          <w:rFonts w:ascii="Arial" w:eastAsia="SimSun" w:hAnsi="Arial" w:cs="Arial"/>
          <w:szCs w:val="20"/>
          <w:lang w:val="fr-FR" w:eastAsia="zh-CN"/>
        </w:rPr>
        <w:t xml:space="preserve"> développement du secteur de l</w:t>
      </w:r>
      <w:r>
        <w:rPr>
          <w:rFonts w:ascii="Arial" w:eastAsia="SimSun" w:hAnsi="Arial" w:cs="Arial"/>
          <w:szCs w:val="20"/>
          <w:lang w:val="fr-FR" w:eastAsia="zh-CN"/>
        </w:rPr>
        <w:t>’</w:t>
      </w:r>
      <w:r w:rsidRPr="001148D9">
        <w:rPr>
          <w:rFonts w:ascii="Arial" w:eastAsia="SimSun" w:hAnsi="Arial" w:cs="Arial"/>
          <w:szCs w:val="20"/>
          <w:lang w:val="fr-FR" w:eastAsia="zh-CN"/>
        </w:rPr>
        <w:t>audiovisuel au Burkina Faso et dans certains pays africains</w:t>
      </w:r>
      <w:r w:rsidRPr="0023436F">
        <w:rPr>
          <w:rFonts w:ascii="Arial" w:eastAsia="SimSun" w:hAnsi="Arial" w:cs="Arial"/>
          <w:szCs w:val="20"/>
          <w:lang w:val="fr-FR" w:eastAsia="zh-CN"/>
        </w:rPr>
        <w:t xml:space="preserve">.  </w:t>
      </w:r>
      <w:r>
        <w:rPr>
          <w:rFonts w:ascii="Arial" w:eastAsia="SimSun" w:hAnsi="Arial" w:cs="Arial"/>
          <w:szCs w:val="20"/>
          <w:lang w:val="fr-FR" w:eastAsia="zh-CN"/>
        </w:rPr>
        <w:t>Il présente l’objet de l’évaluation, les objectifs visés, la stratégie adoptée, la méthode suivie et le programme de travail</w:t>
      </w:r>
      <w:r w:rsidRPr="0023436F">
        <w:rPr>
          <w:rFonts w:ascii="Arial" w:eastAsia="SimSun" w:hAnsi="Arial" w:cs="Arial"/>
          <w:szCs w:val="20"/>
          <w:lang w:val="fr-FR" w:eastAsia="zh-CN"/>
        </w:rPr>
        <w:t xml:space="preserve">. </w:t>
      </w:r>
      <w:r>
        <w:rPr>
          <w:rFonts w:ascii="Arial" w:eastAsia="SimSun" w:hAnsi="Arial" w:cs="Arial"/>
          <w:szCs w:val="20"/>
          <w:lang w:val="fr-FR" w:eastAsia="zh-CN"/>
        </w:rPr>
        <w:t xml:space="preserve"> Le rapport final sera fondé sur le présent rapport initial, sous réserve d’approbation par l’OMPI</w:t>
      </w:r>
      <w:r w:rsidRPr="0023436F">
        <w:rPr>
          <w:rFonts w:ascii="Arial" w:eastAsia="SimSun" w:hAnsi="Arial" w:cs="Arial"/>
          <w:szCs w:val="20"/>
          <w:lang w:val="fr-FR" w:eastAsia="zh-CN"/>
        </w:rPr>
        <w:t>.</w:t>
      </w:r>
    </w:p>
    <w:p w:rsidR="008759FF" w:rsidRPr="0023436F" w:rsidRDefault="008759FF" w:rsidP="008759FF">
      <w:pPr>
        <w:rPr>
          <w:lang w:val="fr-FR"/>
        </w:rPr>
      </w:pPr>
    </w:p>
    <w:p w:rsidR="008759FF" w:rsidRPr="0023436F" w:rsidRDefault="008759FF" w:rsidP="008759FF">
      <w:pPr>
        <w:rPr>
          <w:b/>
          <w:lang w:val="fr-FR"/>
        </w:rPr>
      </w:pPr>
      <w:r w:rsidRPr="0023436F">
        <w:rPr>
          <w:b/>
          <w:lang w:val="fr-FR"/>
        </w:rPr>
        <w:t>2.</w:t>
      </w:r>
      <w:r w:rsidRPr="0023436F">
        <w:rPr>
          <w:b/>
          <w:lang w:val="fr-FR"/>
        </w:rPr>
        <w:tab/>
      </w:r>
      <w:r>
        <w:rPr>
          <w:b/>
          <w:lang w:val="fr-FR"/>
        </w:rPr>
        <w:t>Objet et objectifs</w:t>
      </w:r>
    </w:p>
    <w:p w:rsidR="008759FF" w:rsidRPr="0023436F" w:rsidRDefault="008759FF" w:rsidP="008759FF">
      <w:pPr>
        <w:rPr>
          <w:b/>
          <w:lang w:val="fr-FR"/>
        </w:rPr>
      </w:pPr>
    </w:p>
    <w:p w:rsidR="008759FF" w:rsidRPr="0023436F" w:rsidRDefault="008759FF" w:rsidP="008759FF">
      <w:pPr>
        <w:rPr>
          <w:lang w:val="fr-FR"/>
        </w:rPr>
      </w:pPr>
      <w:r>
        <w:rPr>
          <w:lang w:val="fr-FR"/>
        </w:rPr>
        <w:t>L’objet de cette évaluation est de déterminer dans quelle mesure le projet a été correctement mis en œuvre et les résultats escomptés obtenus</w:t>
      </w:r>
      <w:r w:rsidRPr="0023436F">
        <w:rPr>
          <w:lang w:val="fr-FR"/>
        </w:rPr>
        <w:t xml:space="preserve">. </w:t>
      </w:r>
      <w:r>
        <w:rPr>
          <w:lang w:val="fr-FR"/>
        </w:rPr>
        <w:t xml:space="preserve"> Les résultats de cette évaluation serviront dans le cadre du processus décisionnel du CDIP</w:t>
      </w:r>
      <w:r w:rsidRPr="0023436F">
        <w:rPr>
          <w:lang w:val="fr-FR"/>
        </w:rPr>
        <w:t>.</w:t>
      </w:r>
    </w:p>
    <w:p w:rsidR="008759FF" w:rsidRPr="0023436F" w:rsidRDefault="008759FF" w:rsidP="008759FF">
      <w:pPr>
        <w:rPr>
          <w:lang w:val="fr-FR"/>
        </w:rPr>
      </w:pPr>
    </w:p>
    <w:p w:rsidR="008759FF" w:rsidRDefault="008759FF" w:rsidP="008759FF">
      <w:pPr>
        <w:rPr>
          <w:lang w:val="fr-FR"/>
        </w:rPr>
      </w:pPr>
      <w:r>
        <w:rPr>
          <w:lang w:val="fr-FR"/>
        </w:rPr>
        <w:t>Cette évaluation vise deux objectifs :</w:t>
      </w:r>
    </w:p>
    <w:p w:rsidR="008759FF" w:rsidRPr="0023436F" w:rsidRDefault="008759FF" w:rsidP="008759FF">
      <w:pPr>
        <w:rPr>
          <w:lang w:val="fr-FR"/>
        </w:rPr>
      </w:pPr>
    </w:p>
    <w:p w:rsidR="008759FF" w:rsidRPr="0023436F" w:rsidRDefault="008759FF" w:rsidP="008759FF">
      <w:pPr>
        <w:rPr>
          <w:lang w:val="fr-FR"/>
        </w:rPr>
      </w:pPr>
      <w:r w:rsidRPr="0023436F">
        <w:rPr>
          <w:lang w:val="fr-FR"/>
        </w:rPr>
        <w:t>1.</w:t>
      </w:r>
      <w:r w:rsidRPr="0023436F">
        <w:rPr>
          <w:lang w:val="fr-FR"/>
        </w:rPr>
        <w:tab/>
      </w:r>
      <w:r w:rsidRPr="00B0113B">
        <w:rPr>
          <w:lang w:val="fr-FR"/>
        </w:rPr>
        <w:t>Tirer profit des expériences lors de l</w:t>
      </w:r>
      <w:r>
        <w:rPr>
          <w:lang w:val="fr-FR"/>
        </w:rPr>
        <w:t>’</w:t>
      </w:r>
      <w:r w:rsidRPr="00B0113B">
        <w:rPr>
          <w:lang w:val="fr-FR"/>
        </w:rPr>
        <w:t>exécution du projet</w:t>
      </w:r>
      <w:r>
        <w:rPr>
          <w:lang w:val="fr-FR"/>
        </w:rPr>
        <w:t> </w:t>
      </w:r>
      <w:r w:rsidRPr="00B0113B">
        <w:rPr>
          <w:lang w:val="fr-FR"/>
        </w:rPr>
        <w:t>: savoir ce qui a bien fonctionné et ce qui n</w:t>
      </w:r>
      <w:r>
        <w:rPr>
          <w:lang w:val="fr-FR"/>
        </w:rPr>
        <w:t>’</w:t>
      </w:r>
      <w:r w:rsidRPr="00B0113B">
        <w:rPr>
          <w:lang w:val="fr-FR"/>
        </w:rPr>
        <w:t>a pas bien fonctionné dans l</w:t>
      </w:r>
      <w:r>
        <w:rPr>
          <w:lang w:val="fr-FR"/>
        </w:rPr>
        <w:t>’</w:t>
      </w:r>
      <w:r w:rsidRPr="00B0113B">
        <w:rPr>
          <w:lang w:val="fr-FR"/>
        </w:rPr>
        <w:t>intérêt de la poursuite du projet.</w:t>
      </w:r>
      <w:r w:rsidRPr="0023436F">
        <w:rPr>
          <w:lang w:val="fr-FR"/>
        </w:rPr>
        <w:t xml:space="preserve">  </w:t>
      </w:r>
      <w:r w:rsidRPr="00B0113B">
        <w:rPr>
          <w:lang w:val="fr-FR"/>
        </w:rPr>
        <w:t>Cela inclut l</w:t>
      </w:r>
      <w:r>
        <w:rPr>
          <w:lang w:val="fr-FR"/>
        </w:rPr>
        <w:t>’</w:t>
      </w:r>
      <w:r w:rsidRPr="00B0113B">
        <w:rPr>
          <w:lang w:val="fr-FR"/>
        </w:rPr>
        <w:t xml:space="preserve">évaluation du cadre de conception du projet, la gestion de projet, </w:t>
      </w:r>
      <w:r>
        <w:rPr>
          <w:lang w:val="fr-FR"/>
        </w:rPr>
        <w:t>y compris</w:t>
      </w:r>
      <w:r w:rsidRPr="00B0113B">
        <w:rPr>
          <w:lang w:val="fr-FR"/>
        </w:rPr>
        <w:t xml:space="preserve"> les outils de suivi et d</w:t>
      </w:r>
      <w:r>
        <w:rPr>
          <w:lang w:val="fr-FR"/>
        </w:rPr>
        <w:t>’</w:t>
      </w:r>
      <w:r w:rsidRPr="00B0113B">
        <w:rPr>
          <w:lang w:val="fr-FR"/>
        </w:rPr>
        <w:t>établissement de rapports, ainsi que la mesure et le compte rendu des résultats obtenus à ce jour et l</w:t>
      </w:r>
      <w:r>
        <w:rPr>
          <w:lang w:val="fr-FR"/>
        </w:rPr>
        <w:t>’</w:t>
      </w:r>
      <w:r w:rsidRPr="00B0113B">
        <w:rPr>
          <w:lang w:val="fr-FR"/>
        </w:rPr>
        <w:t>évaluation de la probabilité de la durabilité des résultats obtenus</w:t>
      </w:r>
      <w:r w:rsidRPr="0023436F">
        <w:rPr>
          <w:lang w:val="fr-FR"/>
        </w:rPr>
        <w:t>.</w:t>
      </w:r>
    </w:p>
    <w:p w:rsidR="008759FF" w:rsidRPr="0023436F" w:rsidRDefault="008759FF" w:rsidP="008759FF">
      <w:pPr>
        <w:rPr>
          <w:lang w:val="fr-FR"/>
        </w:rPr>
      </w:pPr>
    </w:p>
    <w:p w:rsidR="008759FF" w:rsidRDefault="008759FF" w:rsidP="008759FF">
      <w:pPr>
        <w:rPr>
          <w:lang w:val="fr-FR"/>
        </w:rPr>
      </w:pPr>
      <w:r w:rsidRPr="0023436F">
        <w:rPr>
          <w:lang w:val="fr-FR"/>
        </w:rPr>
        <w:t>2.</w:t>
      </w:r>
      <w:r w:rsidRPr="0023436F">
        <w:rPr>
          <w:lang w:val="fr-FR"/>
        </w:rPr>
        <w:tab/>
      </w:r>
      <w:r w:rsidRPr="00A40A45">
        <w:rPr>
          <w:lang w:val="fr-FR"/>
        </w:rPr>
        <w:t>Fournir les données d</w:t>
      </w:r>
      <w:r>
        <w:rPr>
          <w:lang w:val="fr-FR"/>
        </w:rPr>
        <w:t>’</w:t>
      </w:r>
      <w:r w:rsidRPr="00A40A45">
        <w:rPr>
          <w:lang w:val="fr-FR"/>
        </w:rPr>
        <w:t>évaluation factuelles nécessai</w:t>
      </w:r>
      <w:r>
        <w:rPr>
          <w:lang w:val="fr-FR"/>
        </w:rPr>
        <w:t>res au processus décisionnel de l’OMPI en ce qui concerne le développement de cette activité</w:t>
      </w:r>
      <w:r w:rsidRPr="0023436F">
        <w:rPr>
          <w:lang w:val="fr-FR"/>
        </w:rPr>
        <w:t>.</w:t>
      </w:r>
    </w:p>
    <w:p w:rsidR="008759FF" w:rsidRPr="0023436F" w:rsidRDefault="008759FF" w:rsidP="008759FF">
      <w:pPr>
        <w:rPr>
          <w:lang w:val="fr-FR"/>
        </w:rPr>
      </w:pPr>
    </w:p>
    <w:p w:rsidR="008759FF" w:rsidRDefault="008759FF" w:rsidP="008759FF">
      <w:pPr>
        <w:rPr>
          <w:lang w:val="fr-FR"/>
        </w:rPr>
      </w:pPr>
      <w:r w:rsidRPr="00A40A45">
        <w:rPr>
          <w:lang w:val="fr-FR"/>
        </w:rPr>
        <w:t>En particulier, l</w:t>
      </w:r>
      <w:r>
        <w:rPr>
          <w:lang w:val="fr-FR"/>
        </w:rPr>
        <w:t>’</w:t>
      </w:r>
      <w:r w:rsidRPr="00A40A45">
        <w:rPr>
          <w:lang w:val="fr-FR"/>
        </w:rPr>
        <w:t>évaluation vise à déterminer dans quelle mesure le projet</w:t>
      </w:r>
    </w:p>
    <w:p w:rsidR="008759FF" w:rsidRPr="0023436F" w:rsidRDefault="008759FF" w:rsidP="008759FF">
      <w:pPr>
        <w:rPr>
          <w:lang w:val="fr-FR"/>
        </w:rPr>
      </w:pPr>
    </w:p>
    <w:p w:rsidR="008759FF" w:rsidRPr="0023436F" w:rsidRDefault="008759FF" w:rsidP="008759FF">
      <w:pPr>
        <w:ind w:left="567"/>
        <w:rPr>
          <w:lang w:val="fr-FR"/>
        </w:rPr>
      </w:pPr>
      <w:r w:rsidRPr="0023436F">
        <w:rPr>
          <w:lang w:val="fr-FR"/>
        </w:rPr>
        <w:t>a)</w:t>
      </w:r>
      <w:r w:rsidRPr="0023436F">
        <w:rPr>
          <w:lang w:val="fr-FR"/>
        </w:rPr>
        <w:tab/>
      </w:r>
      <w:r>
        <w:rPr>
          <w:lang w:val="fr-FR"/>
        </w:rPr>
        <w:t xml:space="preserve">a contribué à </w:t>
      </w:r>
      <w:r w:rsidRPr="00A40A45">
        <w:rPr>
          <w:lang w:val="fr-FR"/>
        </w:rPr>
        <w:t>améliorer l</w:t>
      </w:r>
      <w:r>
        <w:rPr>
          <w:lang w:val="fr-FR"/>
        </w:rPr>
        <w:t>’</w:t>
      </w:r>
      <w:r w:rsidRPr="00A40A45">
        <w:rPr>
          <w:lang w:val="fr-FR"/>
        </w:rPr>
        <w:t xml:space="preserve">utilisation du système de </w:t>
      </w:r>
      <w:r>
        <w:rPr>
          <w:lang w:val="fr-FR"/>
        </w:rPr>
        <w:t xml:space="preserve">la </w:t>
      </w:r>
      <w:r w:rsidRPr="00A40A45">
        <w:rPr>
          <w:lang w:val="fr-FR"/>
        </w:rPr>
        <w:t xml:space="preserve">propriété intellectuelle aux fins du financement, de la production et de la </w:t>
      </w:r>
      <w:r>
        <w:rPr>
          <w:lang w:val="fr-FR"/>
        </w:rPr>
        <w:t xml:space="preserve">distribution </w:t>
      </w:r>
      <w:r w:rsidRPr="00A40A45">
        <w:rPr>
          <w:lang w:val="fr-FR"/>
        </w:rPr>
        <w:t>des œuvres audiovisuelles</w:t>
      </w:r>
      <w:r w:rsidRPr="0023436F">
        <w:rPr>
          <w:lang w:val="fr-FR"/>
        </w:rPr>
        <w:t xml:space="preserve">;  </w:t>
      </w:r>
      <w:r>
        <w:rPr>
          <w:lang w:val="fr-FR"/>
        </w:rPr>
        <w:t>et</w:t>
      </w:r>
    </w:p>
    <w:p w:rsidR="008759FF" w:rsidRPr="0023436F" w:rsidRDefault="008759FF" w:rsidP="008759FF">
      <w:pPr>
        <w:ind w:left="567"/>
        <w:rPr>
          <w:lang w:val="fr-FR"/>
        </w:rPr>
      </w:pPr>
    </w:p>
    <w:p w:rsidR="008759FF" w:rsidRPr="0023436F" w:rsidRDefault="008759FF" w:rsidP="008759FF">
      <w:pPr>
        <w:ind w:left="567"/>
        <w:rPr>
          <w:lang w:val="fr-FR"/>
        </w:rPr>
      </w:pPr>
      <w:r w:rsidRPr="0023436F">
        <w:rPr>
          <w:lang w:val="fr-FR"/>
        </w:rPr>
        <w:t>b)</w:t>
      </w:r>
      <w:r w:rsidRPr="0023436F">
        <w:rPr>
          <w:lang w:val="fr-FR"/>
        </w:rPr>
        <w:tab/>
      </w:r>
      <w:r>
        <w:rPr>
          <w:lang w:val="fr-FR"/>
        </w:rPr>
        <w:t>a fait av</w:t>
      </w:r>
      <w:r w:rsidRPr="00A40A45">
        <w:rPr>
          <w:lang w:val="fr-FR"/>
        </w:rPr>
        <w:t>ancer la mise en place d</w:t>
      </w:r>
      <w:r>
        <w:rPr>
          <w:lang w:val="fr-FR"/>
        </w:rPr>
        <w:t>’</w:t>
      </w:r>
      <w:r w:rsidRPr="00A40A45">
        <w:rPr>
          <w:lang w:val="fr-FR"/>
        </w:rPr>
        <w:t>une infrastructure efficace pour les transactions de propriété intellectuelle et la concession de licences et renforc</w:t>
      </w:r>
      <w:r>
        <w:rPr>
          <w:lang w:val="fr-FR"/>
        </w:rPr>
        <w:t>é</w:t>
      </w:r>
      <w:r w:rsidRPr="00A40A45">
        <w:rPr>
          <w:lang w:val="fr-FR"/>
        </w:rPr>
        <w:t xml:space="preserve"> les compétences en la matière afin d</w:t>
      </w:r>
      <w:r>
        <w:rPr>
          <w:lang w:val="fr-FR"/>
        </w:rPr>
        <w:t>’</w:t>
      </w:r>
      <w:r w:rsidRPr="00A40A45">
        <w:rPr>
          <w:lang w:val="fr-FR"/>
        </w:rPr>
        <w:t>accroître les gains financiers des créateurs et de l</w:t>
      </w:r>
      <w:r>
        <w:rPr>
          <w:lang w:val="fr-FR"/>
        </w:rPr>
        <w:t>’</w:t>
      </w:r>
      <w:r w:rsidRPr="00A40A45">
        <w:rPr>
          <w:lang w:val="fr-FR"/>
        </w:rPr>
        <w:t>industrie de l</w:t>
      </w:r>
      <w:r>
        <w:rPr>
          <w:lang w:val="fr-FR"/>
        </w:rPr>
        <w:t>’</w:t>
      </w:r>
      <w:r w:rsidRPr="00A40A45">
        <w:rPr>
          <w:lang w:val="fr-FR"/>
        </w:rPr>
        <w:t>audiovisuel</w:t>
      </w:r>
      <w:r w:rsidRPr="0023436F">
        <w:rPr>
          <w:lang w:val="fr-FR"/>
        </w:rPr>
        <w:t>.</w:t>
      </w:r>
    </w:p>
    <w:p w:rsidR="008759FF" w:rsidRPr="0023436F" w:rsidRDefault="008759FF" w:rsidP="008759FF">
      <w:pPr>
        <w:rPr>
          <w:b/>
          <w:lang w:val="fr-FR"/>
        </w:rPr>
      </w:pPr>
    </w:p>
    <w:p w:rsidR="008759FF" w:rsidRPr="0023436F" w:rsidRDefault="008759FF" w:rsidP="008759FF">
      <w:pPr>
        <w:rPr>
          <w:b/>
          <w:lang w:val="fr-FR"/>
        </w:rPr>
      </w:pPr>
      <w:r w:rsidRPr="005E10A1">
        <w:rPr>
          <w:lang w:val="fr-FR"/>
        </w:rPr>
        <w:t>3.</w:t>
      </w:r>
      <w:r w:rsidRPr="0023436F">
        <w:rPr>
          <w:b/>
          <w:lang w:val="fr-FR"/>
        </w:rPr>
        <w:tab/>
      </w:r>
      <w:r>
        <w:rPr>
          <w:b/>
          <w:lang w:val="fr-FR"/>
        </w:rPr>
        <w:t>Stratégie d’évaluation</w:t>
      </w:r>
    </w:p>
    <w:p w:rsidR="008759FF" w:rsidRPr="0023436F" w:rsidRDefault="008759FF" w:rsidP="008759FF">
      <w:pPr>
        <w:pStyle w:val="Reporttext"/>
        <w:spacing w:before="0"/>
        <w:ind w:left="720" w:firstLine="0"/>
        <w:rPr>
          <w:rFonts w:ascii="Arial" w:hAnsi="Arial" w:cs="Arial"/>
          <w:lang w:val="fr-FR"/>
        </w:rPr>
      </w:pPr>
    </w:p>
    <w:p w:rsidR="008759FF" w:rsidRDefault="008759FF" w:rsidP="008759FF">
      <w:pPr>
        <w:pStyle w:val="ListParagraph"/>
        <w:numPr>
          <w:ilvl w:val="0"/>
          <w:numId w:val="29"/>
        </w:numPr>
        <w:spacing w:line="240" w:lineRule="auto"/>
        <w:ind w:left="567" w:firstLine="0"/>
        <w:rPr>
          <w:rFonts w:eastAsia="SimSun" w:cs="Arial"/>
          <w:lang w:val="fr-FR" w:eastAsia="zh-CN"/>
        </w:rPr>
      </w:pPr>
      <w:r>
        <w:rPr>
          <w:rFonts w:eastAsia="SimSun" w:cs="Arial"/>
          <w:lang w:val="fr-FR" w:eastAsia="zh-CN"/>
        </w:rPr>
        <w:t>L’évaluation sera réalisée selon une démarche participative et fera intervenir toutes les parties prenantes concernées dans les différentes étapes de l’évaluation, dans la mesure du possible</w:t>
      </w:r>
      <w:r w:rsidRPr="0023436F">
        <w:rPr>
          <w:rFonts w:eastAsia="SimSun" w:cs="Arial"/>
          <w:lang w:val="fr-FR" w:eastAsia="zh-CN"/>
        </w:rPr>
        <w:t>.</w:t>
      </w:r>
    </w:p>
    <w:p w:rsidR="008759FF" w:rsidRPr="0023436F" w:rsidRDefault="008759FF" w:rsidP="008759FF">
      <w:pPr>
        <w:pStyle w:val="ListParagraph"/>
        <w:spacing w:line="240" w:lineRule="auto"/>
        <w:ind w:left="567"/>
        <w:rPr>
          <w:rFonts w:eastAsia="SimSun" w:cs="Arial"/>
          <w:lang w:val="fr-FR" w:eastAsia="zh-CN"/>
        </w:rPr>
      </w:pPr>
    </w:p>
    <w:p w:rsidR="008759FF" w:rsidRDefault="008759FF" w:rsidP="008759FF">
      <w:pPr>
        <w:pStyle w:val="ListParagraph"/>
        <w:spacing w:line="240" w:lineRule="auto"/>
        <w:ind w:left="567"/>
        <w:rPr>
          <w:rFonts w:eastAsia="SimSun" w:cs="Arial"/>
          <w:lang w:val="fr-FR" w:eastAsia="zh-CN"/>
        </w:rPr>
      </w:pPr>
      <w:r w:rsidRPr="0023436F">
        <w:rPr>
          <w:rFonts w:eastAsia="SimSun" w:cs="Arial"/>
          <w:lang w:val="fr-FR" w:eastAsia="zh-CN"/>
        </w:rPr>
        <w:t>b)</w:t>
      </w:r>
      <w:r w:rsidRPr="0023436F">
        <w:rPr>
          <w:rFonts w:eastAsia="SimSun" w:cs="Arial"/>
          <w:lang w:val="fr-FR" w:eastAsia="zh-CN"/>
        </w:rPr>
        <w:tab/>
      </w:r>
      <w:r>
        <w:rPr>
          <w:rFonts w:eastAsia="SimSun" w:cs="Arial"/>
          <w:lang w:val="fr-FR" w:eastAsia="zh-CN"/>
        </w:rPr>
        <w:t>Les informations et les données seront recueillies à partir de sources multiples, selon différentes méthodes de recherche, de sorte que les résultats obtenus puissent être recoupés</w:t>
      </w:r>
      <w:r w:rsidRPr="0023436F">
        <w:rPr>
          <w:rFonts w:eastAsia="SimSun" w:cs="Arial"/>
          <w:lang w:val="fr-FR" w:eastAsia="zh-CN"/>
        </w:rPr>
        <w:t>.</w:t>
      </w:r>
    </w:p>
    <w:p w:rsidR="008759FF" w:rsidRPr="0023436F" w:rsidRDefault="008759FF" w:rsidP="008759FF">
      <w:pPr>
        <w:pStyle w:val="ListParagraph"/>
        <w:spacing w:line="240" w:lineRule="auto"/>
        <w:ind w:left="567"/>
        <w:rPr>
          <w:rFonts w:eastAsia="SimSun" w:cs="Arial"/>
          <w:lang w:val="fr-FR" w:eastAsia="zh-CN"/>
        </w:rPr>
      </w:pPr>
    </w:p>
    <w:p w:rsidR="008759FF" w:rsidRDefault="008759FF" w:rsidP="008759FF">
      <w:pPr>
        <w:pStyle w:val="ListParagraph"/>
        <w:spacing w:line="240" w:lineRule="auto"/>
        <w:ind w:left="567"/>
        <w:rPr>
          <w:rFonts w:eastAsia="SimSun" w:cs="Arial"/>
          <w:lang w:val="fr-FR" w:eastAsia="zh-CN"/>
        </w:rPr>
      </w:pPr>
      <w:r w:rsidRPr="0023436F">
        <w:rPr>
          <w:rFonts w:eastAsia="SimSun" w:cs="Arial"/>
          <w:lang w:val="fr-FR" w:eastAsia="zh-CN"/>
        </w:rPr>
        <w:t>c)</w:t>
      </w:r>
      <w:r w:rsidRPr="0023436F">
        <w:rPr>
          <w:rFonts w:eastAsia="SimSun" w:cs="Arial"/>
          <w:lang w:val="fr-FR" w:eastAsia="zh-CN"/>
        </w:rPr>
        <w:tab/>
      </w:r>
      <w:r>
        <w:rPr>
          <w:rFonts w:eastAsia="SimSun" w:cs="Arial"/>
          <w:lang w:val="fr-FR" w:eastAsia="zh-CN"/>
        </w:rPr>
        <w:t xml:space="preserve">L’évaluation comprendra dans une même mesure des questions relatives à la conception du projet </w:t>
      </w:r>
      <w:r w:rsidRPr="0023436F">
        <w:rPr>
          <w:rFonts w:eastAsia="SimSun" w:cs="Arial"/>
          <w:lang w:val="fr-FR" w:eastAsia="zh-CN"/>
        </w:rPr>
        <w:t>(“</w:t>
      </w:r>
      <w:r>
        <w:rPr>
          <w:rFonts w:eastAsia="SimSun" w:cs="Arial"/>
          <w:lang w:val="fr-FR" w:eastAsia="zh-CN"/>
        </w:rPr>
        <w:t>ce qui a fonctionné</w:t>
      </w:r>
      <w:r w:rsidRPr="0023436F">
        <w:rPr>
          <w:rFonts w:eastAsia="SimSun" w:cs="Arial"/>
          <w:lang w:val="fr-FR" w:eastAsia="zh-CN"/>
        </w:rPr>
        <w:t xml:space="preserve">”) </w:t>
      </w:r>
      <w:r>
        <w:rPr>
          <w:rFonts w:eastAsia="SimSun" w:cs="Arial"/>
          <w:lang w:val="fr-FR" w:eastAsia="zh-CN"/>
        </w:rPr>
        <w:t>et des questions relatives à l’utilité du projet</w:t>
      </w:r>
      <w:r w:rsidRPr="0023436F">
        <w:rPr>
          <w:rFonts w:eastAsia="SimSun" w:cs="Arial"/>
          <w:lang w:val="fr-FR" w:eastAsia="zh-CN"/>
        </w:rPr>
        <w:t xml:space="preserve"> (“</w:t>
      </w:r>
      <w:r>
        <w:rPr>
          <w:rFonts w:eastAsia="SimSun" w:cs="Arial"/>
          <w:lang w:val="fr-FR" w:eastAsia="zh-CN"/>
        </w:rPr>
        <w:t>ce qui a été réalisé</w:t>
      </w:r>
      <w:r w:rsidRPr="0023436F">
        <w:rPr>
          <w:rFonts w:eastAsia="SimSun" w:cs="Arial"/>
          <w:lang w:val="fr-FR" w:eastAsia="zh-CN"/>
        </w:rPr>
        <w:t xml:space="preserve">”).  </w:t>
      </w:r>
      <w:r>
        <w:rPr>
          <w:rFonts w:eastAsia="SimSun" w:cs="Arial"/>
          <w:lang w:val="fr-FR" w:eastAsia="zh-CN"/>
        </w:rPr>
        <w:t>Cette évaluation contribuera directement à la réalisation des objectifs susmentionnés</w:t>
      </w:r>
      <w:r w:rsidRPr="0023436F">
        <w:rPr>
          <w:rFonts w:eastAsia="SimSun" w:cs="Arial"/>
          <w:lang w:val="fr-FR" w:eastAsia="zh-CN"/>
        </w:rPr>
        <w:t>.</w:t>
      </w:r>
    </w:p>
    <w:p w:rsidR="008759FF" w:rsidRPr="0023436F" w:rsidRDefault="008759FF" w:rsidP="008759FF">
      <w:pPr>
        <w:pStyle w:val="ListParagraph"/>
        <w:spacing w:line="240" w:lineRule="auto"/>
        <w:ind w:left="567"/>
        <w:rPr>
          <w:lang w:val="fr-FR"/>
        </w:rPr>
      </w:pPr>
    </w:p>
    <w:p w:rsidR="008759FF" w:rsidRPr="0023436F" w:rsidRDefault="008759FF" w:rsidP="008759FF">
      <w:pPr>
        <w:pStyle w:val="Reporttext"/>
        <w:spacing w:before="0"/>
        <w:ind w:firstLine="0"/>
        <w:rPr>
          <w:rFonts w:ascii="Arial" w:hAnsi="Arial" w:cs="Arial"/>
          <w:lang w:val="fr-FR"/>
        </w:rPr>
      </w:pPr>
    </w:p>
    <w:p w:rsidR="008759FF" w:rsidRDefault="008759FF" w:rsidP="008759FF">
      <w:pPr>
        <w:pStyle w:val="Reporttext"/>
        <w:spacing w:before="0"/>
        <w:ind w:firstLine="0"/>
        <w:rPr>
          <w:rFonts w:ascii="Arial" w:hAnsi="Arial" w:cs="Arial"/>
          <w:lang w:val="fr-FR"/>
        </w:rPr>
      </w:pPr>
    </w:p>
    <w:p w:rsidR="00813B25" w:rsidRDefault="00813B25">
      <w:pPr>
        <w:rPr>
          <w:rFonts w:eastAsia="Times New Roman"/>
          <w:szCs w:val="22"/>
          <w:lang w:val="fr-FR" w:eastAsia="en-GB"/>
        </w:rPr>
      </w:pPr>
      <w:r>
        <w:rPr>
          <w:lang w:val="fr-FR"/>
        </w:rPr>
        <w:br w:type="page"/>
      </w:r>
    </w:p>
    <w:p w:rsidR="008759FF" w:rsidRDefault="008759FF" w:rsidP="008759FF">
      <w:pPr>
        <w:rPr>
          <w:b/>
          <w:lang w:val="fr-FR"/>
        </w:rPr>
      </w:pPr>
      <w:r w:rsidRPr="005E10A1">
        <w:rPr>
          <w:lang w:val="fr-FR"/>
        </w:rPr>
        <w:lastRenderedPageBreak/>
        <w:t>4.</w:t>
      </w:r>
      <w:r w:rsidRPr="0023436F">
        <w:rPr>
          <w:b/>
          <w:lang w:val="fr-FR"/>
        </w:rPr>
        <w:tab/>
      </w:r>
      <w:r>
        <w:rPr>
          <w:b/>
          <w:lang w:val="fr-FR"/>
        </w:rPr>
        <w:t>Cadre d’évaluation</w:t>
      </w:r>
    </w:p>
    <w:p w:rsidR="008759FF" w:rsidRPr="0023436F" w:rsidRDefault="008759FF" w:rsidP="00BC6A54">
      <w:pPr>
        <w:pStyle w:val="TOC2"/>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843"/>
        <w:gridCol w:w="1936"/>
        <w:gridCol w:w="2033"/>
      </w:tblGrid>
      <w:tr w:rsidR="008759FF" w:rsidRPr="0023436F" w:rsidTr="008759FF">
        <w:trPr>
          <w:trHeight w:val="242"/>
        </w:trPr>
        <w:tc>
          <w:tcPr>
            <w:tcW w:w="3261" w:type="dxa"/>
            <w:tcBorders>
              <w:bottom w:val="single" w:sz="4" w:space="0" w:color="auto"/>
            </w:tcBorders>
          </w:tcPr>
          <w:p w:rsidR="008759FF" w:rsidRPr="0023436F" w:rsidRDefault="008759FF" w:rsidP="008759FF">
            <w:pPr>
              <w:rPr>
                <w:b/>
                <w:sz w:val="20"/>
                <w:lang w:val="fr-FR"/>
              </w:rPr>
            </w:pPr>
            <w:r w:rsidRPr="0023436F">
              <w:rPr>
                <w:b/>
                <w:sz w:val="20"/>
                <w:lang w:val="fr-FR"/>
              </w:rPr>
              <w:t>Th</w:t>
            </w:r>
            <w:r>
              <w:rPr>
                <w:b/>
                <w:sz w:val="20"/>
                <w:lang w:val="fr-FR"/>
              </w:rPr>
              <w:t>ème et questions</w:t>
            </w:r>
          </w:p>
        </w:tc>
        <w:tc>
          <w:tcPr>
            <w:tcW w:w="1843" w:type="dxa"/>
            <w:tcBorders>
              <w:bottom w:val="single" w:sz="4" w:space="0" w:color="auto"/>
            </w:tcBorders>
          </w:tcPr>
          <w:p w:rsidR="008759FF" w:rsidRPr="0023436F" w:rsidRDefault="008759FF" w:rsidP="008759FF">
            <w:pPr>
              <w:rPr>
                <w:b/>
                <w:sz w:val="20"/>
                <w:lang w:val="fr-FR"/>
              </w:rPr>
            </w:pPr>
            <w:r>
              <w:rPr>
                <w:b/>
                <w:sz w:val="20"/>
                <w:lang w:val="fr-FR"/>
              </w:rPr>
              <w:t>Indicateurs proposés</w:t>
            </w:r>
          </w:p>
        </w:tc>
        <w:tc>
          <w:tcPr>
            <w:tcW w:w="1936" w:type="dxa"/>
            <w:tcBorders>
              <w:bottom w:val="single" w:sz="4" w:space="0" w:color="auto"/>
            </w:tcBorders>
          </w:tcPr>
          <w:p w:rsidR="008759FF" w:rsidRPr="0023436F" w:rsidRDefault="008759FF" w:rsidP="008759FF">
            <w:pPr>
              <w:rPr>
                <w:b/>
                <w:sz w:val="20"/>
                <w:lang w:val="fr-FR"/>
              </w:rPr>
            </w:pPr>
            <w:r>
              <w:rPr>
                <w:b/>
                <w:sz w:val="20"/>
                <w:lang w:val="fr-FR"/>
              </w:rPr>
              <w:t>Outils de collecte de données</w:t>
            </w:r>
          </w:p>
        </w:tc>
        <w:tc>
          <w:tcPr>
            <w:tcW w:w="2033" w:type="dxa"/>
            <w:tcBorders>
              <w:bottom w:val="single" w:sz="4" w:space="0" w:color="auto"/>
            </w:tcBorders>
          </w:tcPr>
          <w:p w:rsidR="008759FF" w:rsidRPr="0023436F" w:rsidRDefault="008759FF" w:rsidP="008759FF">
            <w:pPr>
              <w:rPr>
                <w:b/>
                <w:sz w:val="20"/>
                <w:lang w:val="fr-FR"/>
              </w:rPr>
            </w:pPr>
            <w:r>
              <w:rPr>
                <w:b/>
                <w:sz w:val="20"/>
                <w:lang w:val="fr-FR"/>
              </w:rPr>
              <w:t>Sources d’informations</w:t>
            </w:r>
          </w:p>
        </w:tc>
      </w:tr>
      <w:tr w:rsidR="008759FF" w:rsidRPr="0023436F" w:rsidTr="008759FF">
        <w:trPr>
          <w:trHeight w:val="242"/>
        </w:trPr>
        <w:tc>
          <w:tcPr>
            <w:tcW w:w="9073" w:type="dxa"/>
            <w:gridSpan w:val="4"/>
            <w:tcBorders>
              <w:bottom w:val="single" w:sz="4" w:space="0" w:color="auto"/>
            </w:tcBorders>
          </w:tcPr>
          <w:p w:rsidR="008759FF" w:rsidRDefault="008759FF" w:rsidP="008759FF">
            <w:pPr>
              <w:rPr>
                <w:b/>
                <w:lang w:val="fr-FR"/>
              </w:rPr>
            </w:pPr>
            <w:r>
              <w:rPr>
                <w:b/>
                <w:lang w:val="fr-FR"/>
              </w:rPr>
              <w:t>Conception et gestion du projet</w:t>
            </w:r>
          </w:p>
          <w:p w:rsidR="008759FF" w:rsidRPr="0023436F" w:rsidRDefault="008759FF" w:rsidP="008759FF">
            <w:pPr>
              <w:rPr>
                <w:b/>
                <w:lang w:val="fr-FR"/>
              </w:rPr>
            </w:pPr>
          </w:p>
        </w:tc>
      </w:tr>
      <w:tr w:rsidR="008759FF" w:rsidRPr="00983EE3" w:rsidTr="008759FF">
        <w:trPr>
          <w:trHeight w:val="242"/>
        </w:trPr>
        <w:tc>
          <w:tcPr>
            <w:tcW w:w="3261" w:type="dxa"/>
            <w:tcBorders>
              <w:bottom w:val="single" w:sz="4" w:space="0" w:color="auto"/>
            </w:tcBorders>
          </w:tcPr>
          <w:p w:rsidR="008759FF" w:rsidRPr="0023436F" w:rsidRDefault="008759FF" w:rsidP="008759FF">
            <w:pPr>
              <w:rPr>
                <w:sz w:val="20"/>
                <w:lang w:val="fr-FR"/>
              </w:rPr>
            </w:pPr>
            <w:r w:rsidRPr="0023436F">
              <w:rPr>
                <w:sz w:val="20"/>
                <w:lang w:val="fr-FR"/>
              </w:rPr>
              <w:t>1.</w:t>
            </w:r>
            <w:r>
              <w:rPr>
                <w:sz w:val="20"/>
                <w:lang w:val="fr-FR"/>
              </w:rPr>
              <w:t xml:space="preserve"> </w:t>
            </w:r>
            <w:r w:rsidRPr="008A5F41">
              <w:rPr>
                <w:sz w:val="20"/>
                <w:lang w:val="fr-FR"/>
              </w:rPr>
              <w:t>Pertinence du descriptif de projet initial à servir de guide à la mise en œuvre du projet et à l</w:t>
            </w:r>
            <w:r>
              <w:rPr>
                <w:sz w:val="20"/>
                <w:lang w:val="fr-FR"/>
              </w:rPr>
              <w:t>’</w:t>
            </w:r>
            <w:r w:rsidRPr="008A5F41">
              <w:rPr>
                <w:sz w:val="20"/>
                <w:lang w:val="fr-FR"/>
              </w:rPr>
              <w:t>évaluation des résultats obtenus</w:t>
            </w:r>
            <w:r w:rsidRPr="0023436F">
              <w:rPr>
                <w:sz w:val="20"/>
                <w:lang w:val="fr-FR"/>
              </w:rPr>
              <w:t>.</w:t>
            </w:r>
          </w:p>
        </w:tc>
        <w:tc>
          <w:tcPr>
            <w:tcW w:w="1843" w:type="dxa"/>
            <w:tcBorders>
              <w:bottom w:val="single" w:sz="4" w:space="0" w:color="auto"/>
            </w:tcBorders>
          </w:tcPr>
          <w:p w:rsidR="008759FF" w:rsidRPr="0023436F" w:rsidRDefault="008759FF" w:rsidP="008759FF">
            <w:pPr>
              <w:rPr>
                <w:sz w:val="20"/>
                <w:lang w:val="fr-FR"/>
              </w:rPr>
            </w:pPr>
            <w:r w:rsidRPr="0023436F">
              <w:rPr>
                <w:sz w:val="20"/>
                <w:lang w:val="fr-FR"/>
              </w:rPr>
              <w:t xml:space="preserve">Modifications </w:t>
            </w:r>
            <w:r>
              <w:rPr>
                <w:sz w:val="20"/>
                <w:lang w:val="fr-FR"/>
              </w:rPr>
              <w:t>requises durant la mise en œuvre du projet</w:t>
            </w:r>
          </w:p>
        </w:tc>
        <w:tc>
          <w:tcPr>
            <w:tcW w:w="1936" w:type="dxa"/>
            <w:tcBorders>
              <w:bottom w:val="single" w:sz="4" w:space="0" w:color="auto"/>
            </w:tcBorders>
          </w:tcPr>
          <w:p w:rsidR="008759FF" w:rsidRDefault="008759FF" w:rsidP="008759FF">
            <w:r w:rsidRPr="00F907E4">
              <w:rPr>
                <w:sz w:val="20"/>
                <w:lang w:val="fr-FR"/>
              </w:rPr>
              <w:t xml:space="preserve">Examen des documents </w:t>
            </w:r>
            <w:r w:rsidRPr="00F907E4">
              <w:rPr>
                <w:sz w:val="20"/>
                <w:lang w:val="fr-FR"/>
              </w:rPr>
              <w:br/>
              <w:t>Entretiens</w:t>
            </w:r>
          </w:p>
        </w:tc>
        <w:tc>
          <w:tcPr>
            <w:tcW w:w="2033" w:type="dxa"/>
            <w:tcBorders>
              <w:bottom w:val="single" w:sz="4" w:space="0" w:color="auto"/>
            </w:tcBorders>
          </w:tcPr>
          <w:p w:rsidR="008759FF" w:rsidRPr="00424A9D" w:rsidRDefault="008759FF" w:rsidP="008759FF">
            <w:pPr>
              <w:rPr>
                <w:lang w:val="fr-CH"/>
              </w:rPr>
            </w:pPr>
            <w:r w:rsidRPr="004C3427">
              <w:rPr>
                <w:sz w:val="20"/>
                <w:lang w:val="fr-FR"/>
              </w:rPr>
              <w:t>Fonctionnaires de l</w:t>
            </w:r>
            <w:r>
              <w:rPr>
                <w:sz w:val="20"/>
                <w:lang w:val="fr-FR"/>
              </w:rPr>
              <w:t>’</w:t>
            </w:r>
            <w:r w:rsidRPr="004C3427">
              <w:rPr>
                <w:sz w:val="20"/>
                <w:lang w:val="fr-FR"/>
              </w:rPr>
              <w:t>OMPI</w:t>
            </w:r>
            <w:r w:rsidRPr="004C3427">
              <w:rPr>
                <w:sz w:val="20"/>
                <w:lang w:val="fr-FR"/>
              </w:rPr>
              <w:br/>
              <w:t>Parties prenantes externes</w:t>
            </w:r>
          </w:p>
        </w:tc>
      </w:tr>
      <w:tr w:rsidR="008759FF" w:rsidRPr="00983EE3" w:rsidTr="008759FF">
        <w:trPr>
          <w:trHeight w:val="242"/>
        </w:trPr>
        <w:tc>
          <w:tcPr>
            <w:tcW w:w="3261" w:type="dxa"/>
            <w:tcBorders>
              <w:bottom w:val="single" w:sz="4" w:space="0" w:color="auto"/>
            </w:tcBorders>
          </w:tcPr>
          <w:p w:rsidR="008759FF" w:rsidRPr="0023436F" w:rsidRDefault="008759FF" w:rsidP="008759FF">
            <w:pPr>
              <w:rPr>
                <w:sz w:val="20"/>
                <w:lang w:val="fr-FR"/>
              </w:rPr>
            </w:pPr>
            <w:r w:rsidRPr="0023436F">
              <w:rPr>
                <w:sz w:val="20"/>
                <w:lang w:val="fr-FR"/>
              </w:rPr>
              <w:t>2.</w:t>
            </w:r>
            <w:r>
              <w:rPr>
                <w:sz w:val="20"/>
                <w:lang w:val="fr-FR"/>
              </w:rPr>
              <w:t xml:space="preserve"> A</w:t>
            </w:r>
            <w:r w:rsidRPr="008A5F41">
              <w:rPr>
                <w:sz w:val="20"/>
                <w:lang w:val="fr-FR"/>
              </w:rPr>
              <w:t>nalyse de l</w:t>
            </w:r>
            <w:r>
              <w:rPr>
                <w:sz w:val="20"/>
                <w:lang w:val="fr-FR"/>
              </w:rPr>
              <w:t>’</w:t>
            </w:r>
            <w:r w:rsidRPr="008A5F41">
              <w:rPr>
                <w:sz w:val="20"/>
                <w:lang w:val="fr-FR"/>
              </w:rPr>
              <w:t>adéquation et de l</w:t>
            </w:r>
            <w:r>
              <w:rPr>
                <w:sz w:val="20"/>
                <w:lang w:val="fr-FR"/>
              </w:rPr>
              <w:t>’</w:t>
            </w:r>
            <w:r w:rsidRPr="008A5F41">
              <w:rPr>
                <w:sz w:val="20"/>
                <w:lang w:val="fr-FR"/>
              </w:rPr>
              <w:t>utilité des outils de suivi, d</w:t>
            </w:r>
            <w:r>
              <w:rPr>
                <w:sz w:val="20"/>
                <w:lang w:val="fr-FR"/>
              </w:rPr>
              <w:t>’</w:t>
            </w:r>
            <w:r w:rsidRPr="008A5F41">
              <w:rPr>
                <w:sz w:val="20"/>
                <w:lang w:val="fr-FR"/>
              </w:rPr>
              <w:t>auto</w:t>
            </w:r>
            <w:r>
              <w:rPr>
                <w:sz w:val="20"/>
                <w:lang w:val="fr-FR"/>
              </w:rPr>
              <w:noBreakHyphen/>
            </w:r>
            <w:r w:rsidRPr="008A5F41">
              <w:rPr>
                <w:sz w:val="20"/>
                <w:lang w:val="fr-FR"/>
              </w:rPr>
              <w:t>évaluation et d</w:t>
            </w:r>
            <w:r>
              <w:rPr>
                <w:sz w:val="20"/>
                <w:lang w:val="fr-FR"/>
              </w:rPr>
              <w:t>’</w:t>
            </w:r>
            <w:r w:rsidRPr="008A5F41">
              <w:rPr>
                <w:sz w:val="20"/>
                <w:lang w:val="fr-FR"/>
              </w:rPr>
              <w:t>établissement de rapports afférents au projet s</w:t>
            </w:r>
            <w:r>
              <w:rPr>
                <w:sz w:val="20"/>
                <w:lang w:val="fr-FR"/>
              </w:rPr>
              <w:t>’</w:t>
            </w:r>
            <w:r w:rsidRPr="008A5F41">
              <w:rPr>
                <w:sz w:val="20"/>
                <w:lang w:val="fr-FR"/>
              </w:rPr>
              <w:t>agissant de fournir des informations qui présentent un intérêt pour la prise de décision de l</w:t>
            </w:r>
            <w:r>
              <w:rPr>
                <w:sz w:val="20"/>
                <w:lang w:val="fr-FR"/>
              </w:rPr>
              <w:t>’</w:t>
            </w:r>
            <w:r w:rsidRPr="008A5F41">
              <w:rPr>
                <w:sz w:val="20"/>
                <w:lang w:val="fr-FR"/>
              </w:rPr>
              <w:t>équipe chargée du projet et des principales parties prenantes</w:t>
            </w:r>
            <w:r w:rsidRPr="0023436F">
              <w:rPr>
                <w:sz w:val="20"/>
                <w:lang w:val="fr-FR"/>
              </w:rPr>
              <w:t>.</w:t>
            </w:r>
          </w:p>
        </w:tc>
        <w:tc>
          <w:tcPr>
            <w:tcW w:w="1843" w:type="dxa"/>
            <w:tcBorders>
              <w:bottom w:val="single" w:sz="4" w:space="0" w:color="auto"/>
            </w:tcBorders>
          </w:tcPr>
          <w:p w:rsidR="008759FF" w:rsidRPr="0023436F" w:rsidRDefault="008759FF" w:rsidP="008759FF">
            <w:pPr>
              <w:rPr>
                <w:sz w:val="20"/>
                <w:lang w:val="fr-FR"/>
              </w:rPr>
            </w:pPr>
            <w:r>
              <w:rPr>
                <w:sz w:val="20"/>
                <w:lang w:val="fr-FR"/>
              </w:rPr>
              <w:t>Utilité des outils de suivi et d’établissement de rapports</w:t>
            </w:r>
          </w:p>
        </w:tc>
        <w:tc>
          <w:tcPr>
            <w:tcW w:w="1936" w:type="dxa"/>
            <w:tcBorders>
              <w:bottom w:val="single" w:sz="4" w:space="0" w:color="auto"/>
            </w:tcBorders>
          </w:tcPr>
          <w:p w:rsidR="008759FF" w:rsidRDefault="008759FF" w:rsidP="008759FF">
            <w:r w:rsidRPr="00F907E4">
              <w:rPr>
                <w:sz w:val="20"/>
                <w:lang w:val="fr-FR"/>
              </w:rPr>
              <w:t xml:space="preserve">Examen des documents </w:t>
            </w:r>
            <w:r w:rsidRPr="00F907E4">
              <w:rPr>
                <w:sz w:val="20"/>
                <w:lang w:val="fr-FR"/>
              </w:rPr>
              <w:br/>
              <w:t>Entretiens</w:t>
            </w:r>
          </w:p>
        </w:tc>
        <w:tc>
          <w:tcPr>
            <w:tcW w:w="2033" w:type="dxa"/>
            <w:tcBorders>
              <w:bottom w:val="single" w:sz="4" w:space="0" w:color="auto"/>
            </w:tcBorders>
          </w:tcPr>
          <w:p w:rsidR="008759FF" w:rsidRPr="00424A9D" w:rsidRDefault="008759FF" w:rsidP="008759FF">
            <w:pPr>
              <w:rPr>
                <w:lang w:val="fr-CH"/>
              </w:rPr>
            </w:pPr>
            <w:r w:rsidRPr="004C3427">
              <w:rPr>
                <w:sz w:val="20"/>
                <w:lang w:val="fr-FR"/>
              </w:rPr>
              <w:t>Fonctionnaires de l</w:t>
            </w:r>
            <w:r>
              <w:rPr>
                <w:sz w:val="20"/>
                <w:lang w:val="fr-FR"/>
              </w:rPr>
              <w:t>’</w:t>
            </w:r>
            <w:r w:rsidRPr="004C3427">
              <w:rPr>
                <w:sz w:val="20"/>
                <w:lang w:val="fr-FR"/>
              </w:rPr>
              <w:t>OMPI</w:t>
            </w:r>
            <w:r w:rsidRPr="004C3427">
              <w:rPr>
                <w:sz w:val="20"/>
                <w:lang w:val="fr-FR"/>
              </w:rPr>
              <w:br/>
              <w:t>Parties prenantes externes</w:t>
            </w:r>
          </w:p>
        </w:tc>
      </w:tr>
      <w:tr w:rsidR="008759FF" w:rsidRPr="00983EE3" w:rsidTr="008759FF">
        <w:trPr>
          <w:trHeight w:val="242"/>
        </w:trPr>
        <w:tc>
          <w:tcPr>
            <w:tcW w:w="3261" w:type="dxa"/>
            <w:tcBorders>
              <w:bottom w:val="single" w:sz="4" w:space="0" w:color="auto"/>
            </w:tcBorders>
          </w:tcPr>
          <w:p w:rsidR="008759FF" w:rsidRPr="0023436F" w:rsidRDefault="008759FF" w:rsidP="008759FF">
            <w:pPr>
              <w:rPr>
                <w:sz w:val="20"/>
                <w:lang w:val="fr-FR"/>
              </w:rPr>
            </w:pPr>
            <w:r w:rsidRPr="0023436F">
              <w:rPr>
                <w:sz w:val="20"/>
                <w:lang w:val="fr-FR"/>
              </w:rPr>
              <w:t>3.</w:t>
            </w:r>
            <w:r>
              <w:rPr>
                <w:sz w:val="20"/>
                <w:lang w:val="fr-FR"/>
              </w:rPr>
              <w:t xml:space="preserve"> Mesure dans laquelle</w:t>
            </w:r>
            <w:r w:rsidRPr="008A5F41">
              <w:rPr>
                <w:sz w:val="20"/>
                <w:lang w:val="fr-FR"/>
              </w:rPr>
              <w:t xml:space="preserve"> d</w:t>
            </w:r>
            <w:r>
              <w:rPr>
                <w:sz w:val="20"/>
                <w:lang w:val="fr-FR"/>
              </w:rPr>
              <w:t>’</w:t>
            </w:r>
            <w:r w:rsidRPr="008A5F41">
              <w:rPr>
                <w:sz w:val="20"/>
                <w:lang w:val="fr-FR"/>
              </w:rPr>
              <w:t>autres entités au sein du Secrétariat ont contribué et permis une mise en œuvre effective et efficace du projet</w:t>
            </w:r>
            <w:r w:rsidRPr="0023436F">
              <w:rPr>
                <w:sz w:val="20"/>
                <w:lang w:val="fr-FR"/>
              </w:rPr>
              <w:t xml:space="preserve">. </w:t>
            </w:r>
            <w:r>
              <w:rPr>
                <w:sz w:val="20"/>
                <w:lang w:val="fr-FR"/>
              </w:rPr>
              <w:t xml:space="preserve"> </w:t>
            </w:r>
          </w:p>
        </w:tc>
        <w:tc>
          <w:tcPr>
            <w:tcW w:w="1843" w:type="dxa"/>
            <w:tcBorders>
              <w:bottom w:val="single" w:sz="4" w:space="0" w:color="auto"/>
            </w:tcBorders>
          </w:tcPr>
          <w:p w:rsidR="008759FF" w:rsidRPr="0023436F" w:rsidRDefault="008759FF" w:rsidP="008759FF">
            <w:pPr>
              <w:rPr>
                <w:sz w:val="20"/>
                <w:lang w:val="fr-FR"/>
              </w:rPr>
            </w:pPr>
            <w:r w:rsidRPr="0023436F">
              <w:rPr>
                <w:sz w:val="20"/>
                <w:lang w:val="fr-FR"/>
              </w:rPr>
              <w:t>N</w:t>
            </w:r>
            <w:r>
              <w:rPr>
                <w:sz w:val="20"/>
                <w:lang w:val="fr-FR"/>
              </w:rPr>
              <w:t xml:space="preserve">ombre de services de l’OMPI impliqués dans le projet et leur contribution </w:t>
            </w:r>
          </w:p>
        </w:tc>
        <w:tc>
          <w:tcPr>
            <w:tcW w:w="1936" w:type="dxa"/>
            <w:tcBorders>
              <w:bottom w:val="single" w:sz="4" w:space="0" w:color="auto"/>
            </w:tcBorders>
          </w:tcPr>
          <w:p w:rsidR="008759FF" w:rsidRDefault="008759FF" w:rsidP="008759FF">
            <w:r w:rsidRPr="00F907E4">
              <w:rPr>
                <w:sz w:val="20"/>
                <w:lang w:val="fr-FR"/>
              </w:rPr>
              <w:t xml:space="preserve">Examen des documents </w:t>
            </w:r>
            <w:r w:rsidRPr="00F907E4">
              <w:rPr>
                <w:sz w:val="20"/>
                <w:lang w:val="fr-FR"/>
              </w:rPr>
              <w:br/>
              <w:t>Entretiens</w:t>
            </w:r>
          </w:p>
        </w:tc>
        <w:tc>
          <w:tcPr>
            <w:tcW w:w="2033" w:type="dxa"/>
            <w:tcBorders>
              <w:bottom w:val="single" w:sz="4" w:space="0" w:color="auto"/>
            </w:tcBorders>
          </w:tcPr>
          <w:p w:rsidR="008759FF" w:rsidRPr="00424A9D" w:rsidRDefault="008759FF" w:rsidP="008759FF">
            <w:pPr>
              <w:rPr>
                <w:lang w:val="fr-CH"/>
              </w:rPr>
            </w:pPr>
            <w:r w:rsidRPr="004C3427">
              <w:rPr>
                <w:sz w:val="20"/>
                <w:lang w:val="fr-FR"/>
              </w:rPr>
              <w:t>Fonctionnaires de l</w:t>
            </w:r>
            <w:r>
              <w:rPr>
                <w:sz w:val="20"/>
                <w:lang w:val="fr-FR"/>
              </w:rPr>
              <w:t>’</w:t>
            </w:r>
            <w:r w:rsidRPr="004C3427">
              <w:rPr>
                <w:sz w:val="20"/>
                <w:lang w:val="fr-FR"/>
              </w:rPr>
              <w:t>OMPI</w:t>
            </w:r>
            <w:r w:rsidRPr="004C3427">
              <w:rPr>
                <w:sz w:val="20"/>
                <w:lang w:val="fr-FR"/>
              </w:rPr>
              <w:br/>
              <w:t>Parties prenantes externes</w:t>
            </w:r>
          </w:p>
        </w:tc>
      </w:tr>
      <w:tr w:rsidR="008759FF" w:rsidRPr="00983EE3" w:rsidTr="008759FF">
        <w:trPr>
          <w:trHeight w:val="242"/>
        </w:trPr>
        <w:tc>
          <w:tcPr>
            <w:tcW w:w="3261" w:type="dxa"/>
            <w:tcBorders>
              <w:bottom w:val="single" w:sz="4" w:space="0" w:color="auto"/>
            </w:tcBorders>
          </w:tcPr>
          <w:p w:rsidR="008759FF" w:rsidRPr="0023436F" w:rsidRDefault="008759FF" w:rsidP="008759FF">
            <w:pPr>
              <w:rPr>
                <w:sz w:val="20"/>
                <w:lang w:val="fr-FR"/>
              </w:rPr>
            </w:pPr>
            <w:r w:rsidRPr="0023436F">
              <w:rPr>
                <w:sz w:val="20"/>
                <w:lang w:val="fr-FR"/>
              </w:rPr>
              <w:t>4.</w:t>
            </w:r>
            <w:r>
              <w:rPr>
                <w:sz w:val="20"/>
                <w:lang w:val="fr-FR"/>
              </w:rPr>
              <w:t xml:space="preserve"> M</w:t>
            </w:r>
            <w:r w:rsidRPr="008A5F41">
              <w:rPr>
                <w:sz w:val="20"/>
                <w:lang w:val="fr-FR"/>
              </w:rPr>
              <w:t>esure</w:t>
            </w:r>
            <w:r>
              <w:rPr>
                <w:sz w:val="20"/>
                <w:lang w:val="fr-FR"/>
              </w:rPr>
              <w:t xml:space="preserve"> dans laquelle</w:t>
            </w:r>
            <w:r w:rsidRPr="008A5F41">
              <w:rPr>
                <w:sz w:val="20"/>
                <w:lang w:val="fr-FR"/>
              </w:rPr>
              <w:t xml:space="preserve"> les risques recensés dans le descriptif de projet initial se sont concrétisés ou ont été atténués</w:t>
            </w:r>
            <w:r w:rsidRPr="0023436F">
              <w:rPr>
                <w:sz w:val="20"/>
                <w:lang w:val="fr-FR"/>
              </w:rPr>
              <w:t xml:space="preserve">. </w:t>
            </w:r>
            <w:r>
              <w:rPr>
                <w:sz w:val="20"/>
                <w:lang w:val="fr-FR"/>
              </w:rPr>
              <w:t xml:space="preserve"> </w:t>
            </w:r>
          </w:p>
        </w:tc>
        <w:tc>
          <w:tcPr>
            <w:tcW w:w="1843" w:type="dxa"/>
            <w:tcBorders>
              <w:bottom w:val="single" w:sz="4" w:space="0" w:color="auto"/>
            </w:tcBorders>
          </w:tcPr>
          <w:p w:rsidR="008759FF" w:rsidRPr="0023436F" w:rsidRDefault="008759FF" w:rsidP="008759FF">
            <w:pPr>
              <w:rPr>
                <w:sz w:val="20"/>
                <w:lang w:val="fr-FR"/>
              </w:rPr>
            </w:pPr>
            <w:r>
              <w:rPr>
                <w:sz w:val="20"/>
                <w:lang w:val="fr-FR"/>
              </w:rPr>
              <w:t>Types de risques rencontrés durant la mise en œuvre du projet et façon dont ceux</w:t>
            </w:r>
            <w:r>
              <w:rPr>
                <w:sz w:val="20"/>
                <w:lang w:val="fr-FR"/>
              </w:rPr>
              <w:noBreakHyphen/>
              <w:t>ci ont été gérés</w:t>
            </w:r>
          </w:p>
        </w:tc>
        <w:tc>
          <w:tcPr>
            <w:tcW w:w="1936" w:type="dxa"/>
            <w:tcBorders>
              <w:bottom w:val="single" w:sz="4" w:space="0" w:color="auto"/>
            </w:tcBorders>
          </w:tcPr>
          <w:p w:rsidR="008759FF" w:rsidRPr="0023436F" w:rsidRDefault="008759FF" w:rsidP="008759FF">
            <w:pPr>
              <w:rPr>
                <w:sz w:val="20"/>
                <w:lang w:val="fr-FR"/>
              </w:rPr>
            </w:pPr>
            <w:r>
              <w:rPr>
                <w:sz w:val="20"/>
                <w:lang w:val="fr-FR"/>
              </w:rPr>
              <w:t>Examen des documents</w:t>
            </w:r>
            <w:r w:rsidRPr="0023436F">
              <w:rPr>
                <w:sz w:val="20"/>
                <w:lang w:val="fr-FR"/>
              </w:rPr>
              <w:t xml:space="preserve"> </w:t>
            </w:r>
            <w:r w:rsidRPr="0023436F">
              <w:rPr>
                <w:sz w:val="20"/>
                <w:lang w:val="fr-FR"/>
              </w:rPr>
              <w:br/>
            </w:r>
            <w:r>
              <w:rPr>
                <w:sz w:val="20"/>
                <w:lang w:val="fr-FR"/>
              </w:rPr>
              <w:t>Entretiens</w:t>
            </w:r>
          </w:p>
        </w:tc>
        <w:tc>
          <w:tcPr>
            <w:tcW w:w="2033" w:type="dxa"/>
            <w:tcBorders>
              <w:bottom w:val="single" w:sz="4" w:space="0" w:color="auto"/>
            </w:tcBorders>
          </w:tcPr>
          <w:p w:rsidR="008759FF" w:rsidRPr="00424A9D" w:rsidRDefault="008759FF" w:rsidP="008759FF">
            <w:pPr>
              <w:rPr>
                <w:lang w:val="fr-CH"/>
              </w:rPr>
            </w:pPr>
            <w:r w:rsidRPr="004C3427">
              <w:rPr>
                <w:sz w:val="20"/>
                <w:lang w:val="fr-FR"/>
              </w:rPr>
              <w:t>Fonctionnaires de l</w:t>
            </w:r>
            <w:r>
              <w:rPr>
                <w:sz w:val="20"/>
                <w:lang w:val="fr-FR"/>
              </w:rPr>
              <w:t>’</w:t>
            </w:r>
            <w:r w:rsidRPr="004C3427">
              <w:rPr>
                <w:sz w:val="20"/>
                <w:lang w:val="fr-FR"/>
              </w:rPr>
              <w:t>OMPI</w:t>
            </w:r>
            <w:r w:rsidRPr="004C3427">
              <w:rPr>
                <w:sz w:val="20"/>
                <w:lang w:val="fr-FR"/>
              </w:rPr>
              <w:br/>
              <w:t>Parties prenantes externes</w:t>
            </w:r>
          </w:p>
        </w:tc>
      </w:tr>
      <w:tr w:rsidR="008759FF" w:rsidRPr="00983EE3" w:rsidTr="008759FF">
        <w:trPr>
          <w:trHeight w:val="242"/>
        </w:trPr>
        <w:tc>
          <w:tcPr>
            <w:tcW w:w="3261" w:type="dxa"/>
            <w:tcBorders>
              <w:bottom w:val="single" w:sz="4" w:space="0" w:color="auto"/>
            </w:tcBorders>
          </w:tcPr>
          <w:p w:rsidR="008759FF" w:rsidRDefault="008759FF" w:rsidP="008759FF">
            <w:pPr>
              <w:rPr>
                <w:sz w:val="20"/>
                <w:lang w:val="fr-FR"/>
              </w:rPr>
            </w:pPr>
            <w:r w:rsidRPr="0023436F">
              <w:rPr>
                <w:sz w:val="20"/>
                <w:lang w:val="fr-FR"/>
              </w:rPr>
              <w:t>5.</w:t>
            </w:r>
            <w:r>
              <w:rPr>
                <w:sz w:val="20"/>
                <w:lang w:val="fr-FR"/>
              </w:rPr>
              <w:t xml:space="preserve"> C</w:t>
            </w:r>
            <w:r w:rsidRPr="008A5F41">
              <w:rPr>
                <w:sz w:val="20"/>
                <w:lang w:val="fr-FR"/>
              </w:rPr>
              <w:t>apacité du projet à réagir aux tendances, technologies et autres forces extérieures émergentes</w:t>
            </w:r>
            <w:r w:rsidRPr="0023436F">
              <w:rPr>
                <w:sz w:val="20"/>
                <w:lang w:val="fr-FR"/>
              </w:rPr>
              <w:t>.</w:t>
            </w:r>
          </w:p>
          <w:p w:rsidR="008759FF" w:rsidRPr="0023436F" w:rsidRDefault="008759FF" w:rsidP="008759FF">
            <w:pPr>
              <w:rPr>
                <w:sz w:val="20"/>
                <w:lang w:val="fr-FR"/>
              </w:rPr>
            </w:pPr>
          </w:p>
        </w:tc>
        <w:tc>
          <w:tcPr>
            <w:tcW w:w="1843" w:type="dxa"/>
            <w:tcBorders>
              <w:bottom w:val="single" w:sz="4" w:space="0" w:color="auto"/>
            </w:tcBorders>
          </w:tcPr>
          <w:p w:rsidR="008759FF" w:rsidRPr="0023436F" w:rsidRDefault="008759FF" w:rsidP="008759FF">
            <w:pPr>
              <w:rPr>
                <w:sz w:val="20"/>
                <w:lang w:val="fr-FR"/>
              </w:rPr>
            </w:pPr>
            <w:r>
              <w:rPr>
                <w:sz w:val="20"/>
                <w:lang w:val="fr-FR"/>
              </w:rPr>
              <w:t>Capacité réelle du projet à réagir</w:t>
            </w:r>
            <w:r w:rsidRPr="0023436F">
              <w:rPr>
                <w:sz w:val="20"/>
                <w:lang w:val="fr-FR"/>
              </w:rPr>
              <w:t xml:space="preserve"> </w:t>
            </w:r>
          </w:p>
        </w:tc>
        <w:tc>
          <w:tcPr>
            <w:tcW w:w="1936" w:type="dxa"/>
            <w:tcBorders>
              <w:bottom w:val="single" w:sz="4" w:space="0" w:color="auto"/>
            </w:tcBorders>
          </w:tcPr>
          <w:p w:rsidR="008759FF" w:rsidRPr="0023436F" w:rsidRDefault="008759FF" w:rsidP="008759FF">
            <w:pPr>
              <w:rPr>
                <w:sz w:val="20"/>
                <w:lang w:val="fr-FR"/>
              </w:rPr>
            </w:pPr>
            <w:r>
              <w:rPr>
                <w:sz w:val="20"/>
                <w:lang w:val="fr-FR"/>
              </w:rPr>
              <w:t>Examen des documents</w:t>
            </w:r>
            <w:r w:rsidRPr="0023436F">
              <w:rPr>
                <w:sz w:val="20"/>
                <w:lang w:val="fr-FR"/>
              </w:rPr>
              <w:t xml:space="preserve"> </w:t>
            </w:r>
            <w:r w:rsidRPr="0023436F">
              <w:rPr>
                <w:sz w:val="20"/>
                <w:lang w:val="fr-FR"/>
              </w:rPr>
              <w:br/>
            </w:r>
            <w:r>
              <w:rPr>
                <w:sz w:val="20"/>
                <w:lang w:val="fr-FR"/>
              </w:rPr>
              <w:t>Entretiens</w:t>
            </w:r>
          </w:p>
        </w:tc>
        <w:tc>
          <w:tcPr>
            <w:tcW w:w="2033" w:type="dxa"/>
            <w:tcBorders>
              <w:bottom w:val="single" w:sz="4" w:space="0" w:color="auto"/>
            </w:tcBorders>
          </w:tcPr>
          <w:p w:rsidR="008759FF" w:rsidRPr="00424A9D" w:rsidRDefault="008759FF" w:rsidP="008759FF">
            <w:pPr>
              <w:rPr>
                <w:lang w:val="fr-CH"/>
              </w:rPr>
            </w:pPr>
            <w:r w:rsidRPr="004C3427">
              <w:rPr>
                <w:sz w:val="20"/>
                <w:lang w:val="fr-FR"/>
              </w:rPr>
              <w:t>Fonctionnaires de l</w:t>
            </w:r>
            <w:r>
              <w:rPr>
                <w:sz w:val="20"/>
                <w:lang w:val="fr-FR"/>
              </w:rPr>
              <w:t>’</w:t>
            </w:r>
            <w:r w:rsidRPr="004C3427">
              <w:rPr>
                <w:sz w:val="20"/>
                <w:lang w:val="fr-FR"/>
              </w:rPr>
              <w:t>OMPI</w:t>
            </w:r>
            <w:r w:rsidRPr="004C3427">
              <w:rPr>
                <w:sz w:val="20"/>
                <w:lang w:val="fr-FR"/>
              </w:rPr>
              <w:br/>
              <w:t>Parties prenantes externes</w:t>
            </w:r>
          </w:p>
        </w:tc>
      </w:tr>
      <w:tr w:rsidR="008759FF" w:rsidRPr="0023436F" w:rsidTr="008759FF">
        <w:trPr>
          <w:trHeight w:val="242"/>
        </w:trPr>
        <w:tc>
          <w:tcPr>
            <w:tcW w:w="9073" w:type="dxa"/>
            <w:gridSpan w:val="4"/>
            <w:tcBorders>
              <w:bottom w:val="single" w:sz="4" w:space="0" w:color="auto"/>
            </w:tcBorders>
          </w:tcPr>
          <w:p w:rsidR="008759FF" w:rsidRPr="0023436F" w:rsidRDefault="008759FF" w:rsidP="008759FF">
            <w:pPr>
              <w:rPr>
                <w:b/>
                <w:lang w:val="fr-FR"/>
              </w:rPr>
            </w:pPr>
            <w:r>
              <w:rPr>
                <w:b/>
                <w:lang w:val="fr-FR"/>
              </w:rPr>
              <w:t>Utilité</w:t>
            </w:r>
            <w:r w:rsidRPr="0023436F">
              <w:rPr>
                <w:b/>
                <w:lang w:val="fr-FR"/>
              </w:rPr>
              <w:t xml:space="preserve"> </w:t>
            </w:r>
          </w:p>
        </w:tc>
      </w:tr>
      <w:tr w:rsidR="008759FF" w:rsidRPr="00983EE3" w:rsidTr="008759FF">
        <w:trPr>
          <w:trHeight w:val="242"/>
        </w:trPr>
        <w:tc>
          <w:tcPr>
            <w:tcW w:w="3261" w:type="dxa"/>
          </w:tcPr>
          <w:p w:rsidR="008759FF" w:rsidRPr="0023436F" w:rsidRDefault="008759FF" w:rsidP="008759FF">
            <w:pPr>
              <w:rPr>
                <w:sz w:val="20"/>
                <w:lang w:val="fr-FR"/>
              </w:rPr>
            </w:pPr>
            <w:r>
              <w:rPr>
                <w:sz w:val="20"/>
                <w:lang w:val="fr-FR"/>
              </w:rPr>
              <w:t>1. Efficacité et utilité du projet en ce qui concerne le fait de contribuer à améliorer l’utilisation du système de la propriété intellectuelle aux fins du financement, de la production et de la distribution des œuvres audiovisuelles dans les pays pilotes sélectionnés.</w:t>
            </w:r>
          </w:p>
        </w:tc>
        <w:tc>
          <w:tcPr>
            <w:tcW w:w="1843" w:type="dxa"/>
          </w:tcPr>
          <w:p w:rsidR="008759FF" w:rsidRPr="0023436F" w:rsidRDefault="008759FF" w:rsidP="008759FF">
            <w:pPr>
              <w:rPr>
                <w:sz w:val="20"/>
                <w:lang w:val="fr-FR"/>
              </w:rPr>
            </w:pPr>
            <w:r>
              <w:rPr>
                <w:sz w:val="20"/>
                <w:lang w:val="fr-FR"/>
              </w:rPr>
              <w:t>Efficacité et utilité réelles du projet</w:t>
            </w:r>
          </w:p>
        </w:tc>
        <w:tc>
          <w:tcPr>
            <w:tcW w:w="1936" w:type="dxa"/>
          </w:tcPr>
          <w:p w:rsidR="008759FF" w:rsidRPr="0023436F" w:rsidRDefault="008759FF" w:rsidP="008759FF">
            <w:pPr>
              <w:rPr>
                <w:sz w:val="20"/>
                <w:lang w:val="fr-FR"/>
              </w:rPr>
            </w:pPr>
            <w:r>
              <w:rPr>
                <w:sz w:val="20"/>
                <w:lang w:val="fr-FR"/>
              </w:rPr>
              <w:t>Examen des documents</w:t>
            </w:r>
            <w:r w:rsidRPr="0023436F">
              <w:rPr>
                <w:sz w:val="20"/>
                <w:lang w:val="fr-FR"/>
              </w:rPr>
              <w:t xml:space="preserve"> </w:t>
            </w:r>
            <w:r w:rsidRPr="0023436F">
              <w:rPr>
                <w:sz w:val="20"/>
                <w:lang w:val="fr-FR"/>
              </w:rPr>
              <w:br/>
            </w:r>
            <w:r>
              <w:rPr>
                <w:sz w:val="20"/>
                <w:lang w:val="fr-FR"/>
              </w:rPr>
              <w:t>Entretiens</w:t>
            </w:r>
          </w:p>
        </w:tc>
        <w:tc>
          <w:tcPr>
            <w:tcW w:w="2033" w:type="dxa"/>
          </w:tcPr>
          <w:p w:rsidR="008759FF" w:rsidRPr="0023436F" w:rsidRDefault="008759FF" w:rsidP="008759FF">
            <w:pPr>
              <w:rPr>
                <w:sz w:val="20"/>
                <w:lang w:val="fr-FR"/>
              </w:rPr>
            </w:pPr>
            <w:r>
              <w:rPr>
                <w:sz w:val="20"/>
                <w:lang w:val="fr-FR"/>
              </w:rPr>
              <w:t>Fonctionnaires de l’OMPI</w:t>
            </w:r>
            <w:r w:rsidRPr="0023436F">
              <w:rPr>
                <w:sz w:val="20"/>
                <w:lang w:val="fr-FR"/>
              </w:rPr>
              <w:br/>
            </w:r>
            <w:r>
              <w:rPr>
                <w:sz w:val="20"/>
                <w:lang w:val="fr-FR"/>
              </w:rPr>
              <w:t>Parties prenantes externes</w:t>
            </w:r>
          </w:p>
        </w:tc>
      </w:tr>
    </w:tbl>
    <w:p w:rsidR="008759FF" w:rsidRPr="0023436F" w:rsidRDefault="008759FF" w:rsidP="008759FF">
      <w:pPr>
        <w:rPr>
          <w:lang w:val="fr-FR" w:eastAsia="en-CA"/>
        </w:rPr>
      </w:pPr>
    </w:p>
    <w:p w:rsidR="008759FF" w:rsidRPr="0023436F" w:rsidRDefault="008759FF" w:rsidP="008759FF">
      <w:pPr>
        <w:rPr>
          <w:lang w:val="fr-FR" w:eastAsia="en-CA"/>
        </w:rPr>
      </w:pPr>
    </w:p>
    <w:p w:rsidR="008759FF" w:rsidRPr="0023436F" w:rsidRDefault="008759FF" w:rsidP="008759FF">
      <w:pPr>
        <w:rPr>
          <w:lang w:val="fr-FR" w:eastAsia="en-CA"/>
        </w:rPr>
      </w:pPr>
      <w:r w:rsidRPr="0023436F">
        <w:rPr>
          <w:i/>
          <w:iCs/>
          <w:lang w:val="fr-FR" w:eastAsia="en-CA"/>
        </w:rPr>
        <w:t>4.1.</w:t>
      </w:r>
      <w:r>
        <w:rPr>
          <w:i/>
          <w:iCs/>
          <w:lang w:val="fr-FR" w:eastAsia="en-CA"/>
        </w:rPr>
        <w:t xml:space="preserve"> Outils d’évaluation</w:t>
      </w:r>
    </w:p>
    <w:p w:rsidR="008759FF" w:rsidRPr="0023436F" w:rsidRDefault="008759FF" w:rsidP="008759FF">
      <w:pPr>
        <w:rPr>
          <w:lang w:val="fr-FR" w:eastAsia="en-CA"/>
        </w:rPr>
      </w:pPr>
    </w:p>
    <w:p w:rsidR="00951B61" w:rsidRDefault="008759FF" w:rsidP="008759FF">
      <w:pPr>
        <w:rPr>
          <w:lang w:val="fr-FR"/>
        </w:rPr>
      </w:pPr>
      <w:r>
        <w:rPr>
          <w:lang w:val="fr-FR"/>
        </w:rPr>
        <w:t>Les outils d’évaluation seront utilisés pour les différents thèmes et les différentes questions</w:t>
      </w:r>
      <w:r w:rsidRPr="0023436F">
        <w:rPr>
          <w:lang w:val="fr-FR"/>
        </w:rPr>
        <w:t xml:space="preserve">. </w:t>
      </w:r>
      <w:r>
        <w:rPr>
          <w:lang w:val="fr-FR"/>
        </w:rPr>
        <w:t xml:space="preserve"> On trouvera ci</w:t>
      </w:r>
      <w:r>
        <w:rPr>
          <w:lang w:val="fr-FR"/>
        </w:rPr>
        <w:noBreakHyphen/>
        <w:t>après des informations supplémentaires sur ces outils et sur la façon dont ils seront mis en place</w:t>
      </w:r>
      <w:r w:rsidRPr="0023436F">
        <w:rPr>
          <w:lang w:val="fr-FR"/>
        </w:rPr>
        <w:t>.</w:t>
      </w:r>
    </w:p>
    <w:p w:rsidR="00951B61" w:rsidRDefault="00951B61">
      <w:pPr>
        <w:rPr>
          <w:lang w:val="fr-FR"/>
        </w:rPr>
      </w:pPr>
      <w:r>
        <w:rPr>
          <w:lang w:val="fr-FR"/>
        </w:rPr>
        <w:br w:type="page"/>
      </w:r>
    </w:p>
    <w:p w:rsidR="008759FF" w:rsidRDefault="008759FF" w:rsidP="008759FF">
      <w:pPr>
        <w:rPr>
          <w:lang w:val="fr-FR"/>
        </w:rPr>
      </w:pPr>
    </w:p>
    <w:p w:rsidR="008759FF" w:rsidRPr="0023436F" w:rsidRDefault="008759FF" w:rsidP="008759FF">
      <w:pPr>
        <w:rPr>
          <w:lang w:val="fr-FR"/>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3632"/>
      </w:tblGrid>
      <w:tr w:rsidR="008759FF" w:rsidRPr="0023436F" w:rsidTr="008759FF">
        <w:trPr>
          <w:trHeight w:val="481"/>
          <w:tblHeader/>
        </w:trPr>
        <w:tc>
          <w:tcPr>
            <w:tcW w:w="1858" w:type="dxa"/>
            <w:shd w:val="clear" w:color="auto" w:fill="auto"/>
          </w:tcPr>
          <w:p w:rsidR="008759FF" w:rsidRPr="0023436F" w:rsidRDefault="008759FF" w:rsidP="008759FF">
            <w:pPr>
              <w:rPr>
                <w:b/>
                <w:sz w:val="20"/>
                <w:lang w:val="fr-FR"/>
              </w:rPr>
            </w:pPr>
            <w:r>
              <w:rPr>
                <w:b/>
                <w:sz w:val="20"/>
                <w:lang w:val="fr-FR"/>
              </w:rPr>
              <w:t>Outil</w:t>
            </w:r>
          </w:p>
        </w:tc>
        <w:tc>
          <w:tcPr>
            <w:tcW w:w="3158" w:type="dxa"/>
          </w:tcPr>
          <w:p w:rsidR="008759FF" w:rsidRPr="0023436F" w:rsidRDefault="008759FF" w:rsidP="008759FF">
            <w:pPr>
              <w:rPr>
                <w:b/>
                <w:sz w:val="20"/>
                <w:lang w:val="fr-FR"/>
              </w:rPr>
            </w:pPr>
            <w:r w:rsidRPr="0023436F">
              <w:rPr>
                <w:b/>
                <w:sz w:val="20"/>
                <w:lang w:val="fr-FR"/>
              </w:rPr>
              <w:t>Description</w:t>
            </w:r>
          </w:p>
        </w:tc>
        <w:tc>
          <w:tcPr>
            <w:tcW w:w="3632" w:type="dxa"/>
            <w:shd w:val="clear" w:color="auto" w:fill="auto"/>
          </w:tcPr>
          <w:p w:rsidR="008759FF" w:rsidRPr="0023436F" w:rsidRDefault="008759FF" w:rsidP="008759FF">
            <w:pPr>
              <w:rPr>
                <w:b/>
                <w:sz w:val="20"/>
                <w:lang w:val="fr-FR"/>
              </w:rPr>
            </w:pPr>
            <w:r>
              <w:rPr>
                <w:b/>
                <w:sz w:val="20"/>
                <w:lang w:val="fr-FR"/>
              </w:rPr>
              <w:t>Source d’informations</w:t>
            </w:r>
          </w:p>
        </w:tc>
      </w:tr>
      <w:tr w:rsidR="008759FF" w:rsidRPr="00983EE3" w:rsidTr="008759FF">
        <w:trPr>
          <w:trHeight w:val="299"/>
        </w:trPr>
        <w:tc>
          <w:tcPr>
            <w:tcW w:w="1858" w:type="dxa"/>
            <w:shd w:val="clear" w:color="auto" w:fill="auto"/>
          </w:tcPr>
          <w:p w:rsidR="008759FF" w:rsidRPr="0023436F" w:rsidRDefault="008759FF" w:rsidP="008759FF">
            <w:pPr>
              <w:rPr>
                <w:i/>
                <w:sz w:val="20"/>
                <w:lang w:val="fr-FR"/>
              </w:rPr>
            </w:pPr>
            <w:r>
              <w:rPr>
                <w:i/>
                <w:sz w:val="20"/>
                <w:lang w:val="fr-FR"/>
              </w:rPr>
              <w:t>Entretiens</w:t>
            </w:r>
            <w:r w:rsidRPr="0023436F">
              <w:rPr>
                <w:i/>
                <w:sz w:val="20"/>
                <w:lang w:val="fr-FR"/>
              </w:rPr>
              <w:t xml:space="preserve"> – </w:t>
            </w:r>
            <w:r>
              <w:rPr>
                <w:i/>
                <w:sz w:val="20"/>
                <w:lang w:val="fr-FR"/>
              </w:rPr>
              <w:t>internes</w:t>
            </w:r>
            <w:r w:rsidRPr="0023436F">
              <w:rPr>
                <w:i/>
                <w:sz w:val="20"/>
                <w:lang w:val="fr-FR"/>
              </w:rPr>
              <w:t xml:space="preserve"> </w:t>
            </w:r>
          </w:p>
        </w:tc>
        <w:tc>
          <w:tcPr>
            <w:tcW w:w="3158" w:type="dxa"/>
          </w:tcPr>
          <w:p w:rsidR="008759FF" w:rsidRPr="0023436F" w:rsidRDefault="008759FF" w:rsidP="008759FF">
            <w:pPr>
              <w:rPr>
                <w:sz w:val="20"/>
                <w:lang w:val="fr-FR"/>
              </w:rPr>
            </w:pPr>
            <w:r>
              <w:rPr>
                <w:sz w:val="20"/>
                <w:lang w:val="fr-FR"/>
              </w:rPr>
              <w:t>Quelque huit entretiens semi</w:t>
            </w:r>
            <w:r>
              <w:rPr>
                <w:sz w:val="20"/>
                <w:lang w:val="fr-FR"/>
              </w:rPr>
              <w:noBreakHyphen/>
              <w:t>structurés</w:t>
            </w:r>
          </w:p>
        </w:tc>
        <w:tc>
          <w:tcPr>
            <w:tcW w:w="3632" w:type="dxa"/>
            <w:shd w:val="clear" w:color="auto" w:fill="auto"/>
          </w:tcPr>
          <w:p w:rsidR="008759FF" w:rsidRPr="0023436F" w:rsidRDefault="008759FF" w:rsidP="008759FF">
            <w:pPr>
              <w:rPr>
                <w:i/>
                <w:sz w:val="20"/>
                <w:lang w:val="fr-FR"/>
              </w:rPr>
            </w:pPr>
            <w:r>
              <w:rPr>
                <w:i/>
                <w:sz w:val="20"/>
                <w:lang w:val="fr-FR"/>
              </w:rPr>
              <w:t>Par téléphone ou en personne :</w:t>
            </w:r>
          </w:p>
          <w:p w:rsidR="008759FF" w:rsidRPr="0023436F" w:rsidRDefault="008759FF" w:rsidP="008759FF">
            <w:pPr>
              <w:rPr>
                <w:sz w:val="20"/>
                <w:lang w:val="fr-FR"/>
              </w:rPr>
            </w:pPr>
          </w:p>
          <w:p w:rsidR="008759FF" w:rsidRPr="0023436F" w:rsidRDefault="008759FF" w:rsidP="008759FF">
            <w:pPr>
              <w:rPr>
                <w:sz w:val="20"/>
                <w:lang w:val="fr-FR"/>
              </w:rPr>
            </w:pPr>
            <w:r>
              <w:rPr>
                <w:sz w:val="20"/>
                <w:lang w:val="fr-FR"/>
              </w:rPr>
              <w:t>Fonctionnaires de l’OMPI</w:t>
            </w:r>
            <w:r w:rsidRPr="0023436F">
              <w:rPr>
                <w:sz w:val="20"/>
                <w:lang w:val="fr-FR"/>
              </w:rPr>
              <w:t>,</w:t>
            </w:r>
            <w:r>
              <w:rPr>
                <w:sz w:val="20"/>
                <w:lang w:val="fr-FR"/>
              </w:rPr>
              <w:t xml:space="preserve"> y compris :</w:t>
            </w:r>
            <w:r w:rsidRPr="0023436F">
              <w:rPr>
                <w:sz w:val="20"/>
                <w:lang w:val="fr-FR"/>
              </w:rPr>
              <w:t xml:space="preserve"> </w:t>
            </w:r>
            <w:r w:rsidRPr="0023436F">
              <w:rPr>
                <w:sz w:val="20"/>
                <w:lang w:val="fr-FR"/>
              </w:rPr>
              <w:br/>
            </w:r>
            <w:r>
              <w:rPr>
                <w:sz w:val="20"/>
                <w:lang w:val="fr-FR"/>
              </w:rPr>
              <w:noBreakHyphen/>
            </w:r>
            <w:r w:rsidRPr="0023436F">
              <w:rPr>
                <w:sz w:val="20"/>
                <w:lang w:val="fr-FR"/>
              </w:rPr>
              <w:t xml:space="preserve"> </w:t>
            </w:r>
            <w:r>
              <w:rPr>
                <w:sz w:val="20"/>
                <w:lang w:val="fr-FR"/>
              </w:rPr>
              <w:t>Secteur du développement</w:t>
            </w:r>
            <w:r w:rsidRPr="0023436F">
              <w:rPr>
                <w:sz w:val="20"/>
                <w:lang w:val="fr-FR"/>
              </w:rPr>
              <w:t xml:space="preserve"> </w:t>
            </w:r>
            <w:r w:rsidRPr="0023436F">
              <w:rPr>
                <w:sz w:val="20"/>
                <w:lang w:val="fr-FR"/>
              </w:rPr>
              <w:br/>
            </w:r>
            <w:r>
              <w:rPr>
                <w:sz w:val="20"/>
                <w:lang w:val="fr-FR"/>
              </w:rPr>
              <w:noBreakHyphen/>
            </w:r>
            <w:r w:rsidRPr="0023436F">
              <w:rPr>
                <w:sz w:val="20"/>
                <w:lang w:val="fr-FR"/>
              </w:rPr>
              <w:t xml:space="preserve"> </w:t>
            </w:r>
            <w:r>
              <w:rPr>
                <w:sz w:val="20"/>
                <w:lang w:val="fr-FR"/>
              </w:rPr>
              <w:t>Division du droit d’auteur</w:t>
            </w:r>
            <w:r w:rsidRPr="0023436F">
              <w:rPr>
                <w:sz w:val="20"/>
                <w:lang w:val="fr-FR"/>
              </w:rPr>
              <w:t xml:space="preserve"> </w:t>
            </w:r>
            <w:r w:rsidRPr="0023436F">
              <w:rPr>
                <w:sz w:val="20"/>
                <w:lang w:val="fr-FR"/>
              </w:rPr>
              <w:br/>
            </w:r>
            <w:r>
              <w:rPr>
                <w:sz w:val="20"/>
                <w:lang w:val="fr-FR"/>
              </w:rPr>
              <w:noBreakHyphen/>
            </w:r>
            <w:r w:rsidRPr="0023436F">
              <w:rPr>
                <w:sz w:val="20"/>
                <w:lang w:val="fr-FR"/>
              </w:rPr>
              <w:t xml:space="preserve"> </w:t>
            </w:r>
            <w:r>
              <w:rPr>
                <w:sz w:val="20"/>
                <w:lang w:val="fr-FR"/>
              </w:rPr>
              <w:t>Bureau régional pour l’Afrique</w:t>
            </w:r>
            <w:r w:rsidRPr="0023436F">
              <w:rPr>
                <w:sz w:val="20"/>
                <w:lang w:val="fr-FR"/>
              </w:rPr>
              <w:t xml:space="preserve"> </w:t>
            </w:r>
            <w:r w:rsidRPr="0023436F">
              <w:rPr>
                <w:sz w:val="20"/>
                <w:lang w:val="fr-FR"/>
              </w:rPr>
              <w:br/>
              <w:t xml:space="preserve"> </w:t>
            </w:r>
          </w:p>
        </w:tc>
      </w:tr>
      <w:tr w:rsidR="008759FF" w:rsidRPr="00983EE3" w:rsidTr="008759FF">
        <w:trPr>
          <w:trHeight w:val="299"/>
        </w:trPr>
        <w:tc>
          <w:tcPr>
            <w:tcW w:w="1858" w:type="dxa"/>
            <w:shd w:val="clear" w:color="auto" w:fill="auto"/>
          </w:tcPr>
          <w:p w:rsidR="008759FF" w:rsidRPr="0023436F" w:rsidRDefault="008759FF" w:rsidP="008759FF">
            <w:pPr>
              <w:rPr>
                <w:i/>
                <w:sz w:val="20"/>
                <w:lang w:val="fr-FR"/>
              </w:rPr>
            </w:pPr>
            <w:r>
              <w:rPr>
                <w:i/>
                <w:sz w:val="20"/>
                <w:lang w:val="fr-FR"/>
              </w:rPr>
              <w:t>Entretiens</w:t>
            </w:r>
            <w:r w:rsidRPr="0023436F">
              <w:rPr>
                <w:i/>
                <w:sz w:val="20"/>
                <w:lang w:val="fr-FR"/>
              </w:rPr>
              <w:t xml:space="preserve"> – extern</w:t>
            </w:r>
            <w:r>
              <w:rPr>
                <w:i/>
                <w:sz w:val="20"/>
                <w:lang w:val="fr-FR"/>
              </w:rPr>
              <w:t>es</w:t>
            </w:r>
            <w:r w:rsidRPr="0023436F">
              <w:rPr>
                <w:i/>
                <w:sz w:val="20"/>
                <w:lang w:val="fr-FR"/>
              </w:rPr>
              <w:t xml:space="preserve"> </w:t>
            </w:r>
          </w:p>
        </w:tc>
        <w:tc>
          <w:tcPr>
            <w:tcW w:w="3158" w:type="dxa"/>
          </w:tcPr>
          <w:p w:rsidR="008759FF" w:rsidRPr="0023436F" w:rsidRDefault="008759FF" w:rsidP="008759FF">
            <w:pPr>
              <w:rPr>
                <w:sz w:val="20"/>
                <w:lang w:val="fr-FR"/>
              </w:rPr>
            </w:pPr>
            <w:r>
              <w:rPr>
                <w:sz w:val="20"/>
                <w:lang w:val="fr-FR"/>
              </w:rPr>
              <w:t>Quelque 15 entretiens semi</w:t>
            </w:r>
            <w:r>
              <w:rPr>
                <w:sz w:val="20"/>
                <w:lang w:val="fr-FR"/>
              </w:rPr>
              <w:noBreakHyphen/>
              <w:t>structurés</w:t>
            </w:r>
          </w:p>
        </w:tc>
        <w:tc>
          <w:tcPr>
            <w:tcW w:w="3632" w:type="dxa"/>
            <w:shd w:val="clear" w:color="auto" w:fill="auto"/>
          </w:tcPr>
          <w:p w:rsidR="008759FF" w:rsidRPr="0023436F" w:rsidRDefault="008759FF" w:rsidP="008759FF">
            <w:pPr>
              <w:rPr>
                <w:i/>
                <w:sz w:val="20"/>
                <w:lang w:val="fr-FR"/>
              </w:rPr>
            </w:pPr>
            <w:r>
              <w:rPr>
                <w:i/>
                <w:sz w:val="20"/>
                <w:lang w:val="fr-FR"/>
              </w:rPr>
              <w:t>Par téléphone ou en personne :</w:t>
            </w:r>
          </w:p>
          <w:p w:rsidR="008759FF" w:rsidRDefault="008759FF" w:rsidP="008759FF">
            <w:pPr>
              <w:rPr>
                <w:sz w:val="20"/>
                <w:lang w:val="fr-FR"/>
              </w:rPr>
            </w:pPr>
            <w:r>
              <w:rPr>
                <w:sz w:val="20"/>
                <w:lang w:val="fr-FR"/>
              </w:rPr>
              <w:noBreakHyphen/>
            </w:r>
            <w:r w:rsidRPr="0023436F">
              <w:rPr>
                <w:sz w:val="20"/>
                <w:lang w:val="fr-FR"/>
              </w:rPr>
              <w:t xml:space="preserve"> </w:t>
            </w:r>
            <w:r>
              <w:rPr>
                <w:sz w:val="20"/>
                <w:lang w:val="fr-FR"/>
              </w:rPr>
              <w:t>Consultants externes</w:t>
            </w:r>
            <w:r w:rsidRPr="0023436F">
              <w:rPr>
                <w:sz w:val="20"/>
                <w:lang w:val="fr-FR"/>
              </w:rPr>
              <w:t xml:space="preserve"> (</w:t>
            </w:r>
            <w:r>
              <w:rPr>
                <w:sz w:val="20"/>
                <w:lang w:val="fr-FR"/>
              </w:rPr>
              <w:t>ayant participé au projet</w:t>
            </w:r>
            <w:r w:rsidRPr="0023436F">
              <w:rPr>
                <w:sz w:val="20"/>
                <w:lang w:val="fr-FR"/>
              </w:rPr>
              <w:t>)</w:t>
            </w:r>
          </w:p>
          <w:p w:rsidR="008759FF" w:rsidRDefault="008759FF" w:rsidP="008759FF">
            <w:pPr>
              <w:rPr>
                <w:sz w:val="20"/>
                <w:lang w:val="fr-FR"/>
              </w:rPr>
            </w:pPr>
            <w:r>
              <w:rPr>
                <w:sz w:val="20"/>
                <w:lang w:val="fr-FR"/>
              </w:rPr>
              <w:noBreakHyphen/>
            </w:r>
            <w:r w:rsidRPr="0023436F">
              <w:rPr>
                <w:sz w:val="20"/>
                <w:lang w:val="fr-FR"/>
              </w:rPr>
              <w:t xml:space="preserve"> </w:t>
            </w:r>
            <w:r>
              <w:rPr>
                <w:sz w:val="20"/>
                <w:lang w:val="fr-FR"/>
              </w:rPr>
              <w:t>Des pays pilotes, à savoir le Burkina </w:t>
            </w:r>
            <w:r w:rsidRPr="0023436F">
              <w:rPr>
                <w:sz w:val="20"/>
                <w:lang w:val="fr-FR"/>
              </w:rPr>
              <w:t>Faso,</w:t>
            </w:r>
            <w:r>
              <w:rPr>
                <w:sz w:val="20"/>
                <w:lang w:val="fr-FR"/>
              </w:rPr>
              <w:t xml:space="preserve"> le</w:t>
            </w:r>
            <w:r w:rsidRPr="0023436F">
              <w:rPr>
                <w:sz w:val="20"/>
                <w:lang w:val="fr-FR"/>
              </w:rPr>
              <w:t xml:space="preserve"> Kenya </w:t>
            </w:r>
            <w:r>
              <w:rPr>
                <w:sz w:val="20"/>
                <w:lang w:val="fr-FR"/>
              </w:rPr>
              <w:t>et le</w:t>
            </w:r>
            <w:r w:rsidRPr="0023436F">
              <w:rPr>
                <w:sz w:val="20"/>
                <w:lang w:val="fr-FR"/>
              </w:rPr>
              <w:t xml:space="preserve"> S</w:t>
            </w:r>
            <w:r>
              <w:rPr>
                <w:sz w:val="20"/>
                <w:lang w:val="fr-FR"/>
              </w:rPr>
              <w:t>éné</w:t>
            </w:r>
            <w:r w:rsidRPr="0023436F">
              <w:rPr>
                <w:sz w:val="20"/>
                <w:lang w:val="fr-FR"/>
              </w:rPr>
              <w:t>gal</w:t>
            </w:r>
            <w:r>
              <w:rPr>
                <w:sz w:val="20"/>
                <w:lang w:val="fr-FR"/>
              </w:rPr>
              <w:t> :</w:t>
            </w:r>
            <w:r w:rsidRPr="0023436F">
              <w:rPr>
                <w:sz w:val="20"/>
                <w:lang w:val="fr-FR"/>
              </w:rPr>
              <w:t xml:space="preserve"> </w:t>
            </w:r>
            <w:r w:rsidRPr="0023436F">
              <w:rPr>
                <w:sz w:val="20"/>
                <w:lang w:val="fr-FR"/>
              </w:rPr>
              <w:br/>
            </w:r>
            <w:r>
              <w:rPr>
                <w:sz w:val="20"/>
                <w:lang w:val="fr-FR"/>
              </w:rPr>
              <w:noBreakHyphen/>
            </w:r>
            <w:r>
              <w:rPr>
                <w:sz w:val="20"/>
                <w:lang w:val="fr-FR"/>
              </w:rPr>
              <w:noBreakHyphen/>
              <w:t>Coordonnateurs locaux</w:t>
            </w:r>
            <w:r w:rsidRPr="0023436F">
              <w:rPr>
                <w:sz w:val="20"/>
                <w:lang w:val="fr-FR"/>
              </w:rPr>
              <w:t xml:space="preserve"> </w:t>
            </w:r>
            <w:r w:rsidRPr="0023436F">
              <w:rPr>
                <w:sz w:val="20"/>
                <w:lang w:val="fr-FR"/>
              </w:rPr>
              <w:br/>
            </w:r>
            <w:r>
              <w:rPr>
                <w:sz w:val="20"/>
                <w:lang w:val="fr-FR"/>
              </w:rPr>
              <w:noBreakHyphen/>
            </w:r>
            <w:r>
              <w:rPr>
                <w:sz w:val="20"/>
                <w:lang w:val="fr-FR"/>
              </w:rPr>
              <w:noBreakHyphen/>
              <w:t>Bureaux du droit d’auteur</w:t>
            </w:r>
            <w:r w:rsidRPr="0023436F">
              <w:rPr>
                <w:sz w:val="20"/>
                <w:lang w:val="fr-FR"/>
              </w:rPr>
              <w:t xml:space="preserve"> (o</w:t>
            </w:r>
            <w:r>
              <w:rPr>
                <w:sz w:val="20"/>
                <w:lang w:val="fr-FR"/>
              </w:rPr>
              <w:t>u</w:t>
            </w:r>
            <w:r w:rsidRPr="0023436F">
              <w:rPr>
                <w:sz w:val="20"/>
                <w:lang w:val="fr-FR"/>
              </w:rPr>
              <w:t xml:space="preserve"> </w:t>
            </w:r>
            <w:r>
              <w:rPr>
                <w:sz w:val="20"/>
                <w:lang w:val="fr-FR"/>
              </w:rPr>
              <w:t>équivalent</w:t>
            </w:r>
            <w:r w:rsidRPr="0023436F">
              <w:rPr>
                <w:sz w:val="20"/>
                <w:lang w:val="fr-FR"/>
              </w:rPr>
              <w:t xml:space="preserve">) </w:t>
            </w:r>
            <w:r w:rsidRPr="0023436F">
              <w:rPr>
                <w:sz w:val="20"/>
                <w:lang w:val="fr-FR"/>
              </w:rPr>
              <w:br/>
            </w:r>
            <w:r>
              <w:rPr>
                <w:sz w:val="20"/>
                <w:lang w:val="fr-FR"/>
              </w:rPr>
              <w:noBreakHyphen/>
            </w:r>
            <w:r>
              <w:rPr>
                <w:sz w:val="20"/>
                <w:lang w:val="fr-FR"/>
              </w:rPr>
              <w:noBreakHyphen/>
              <w:t>Missions des États membres à Genève</w:t>
            </w:r>
          </w:p>
          <w:p w:rsidR="008759FF" w:rsidRPr="0023436F" w:rsidRDefault="008759FF" w:rsidP="008759FF">
            <w:pPr>
              <w:rPr>
                <w:i/>
                <w:sz w:val="20"/>
                <w:lang w:val="fr-FR"/>
              </w:rPr>
            </w:pPr>
          </w:p>
        </w:tc>
      </w:tr>
      <w:tr w:rsidR="008759FF" w:rsidRPr="00983EE3" w:rsidTr="008759FF">
        <w:trPr>
          <w:trHeight w:val="299"/>
        </w:trPr>
        <w:tc>
          <w:tcPr>
            <w:tcW w:w="1858" w:type="dxa"/>
            <w:shd w:val="clear" w:color="auto" w:fill="auto"/>
          </w:tcPr>
          <w:p w:rsidR="008759FF" w:rsidRPr="0023436F" w:rsidRDefault="008759FF" w:rsidP="008759FF">
            <w:pPr>
              <w:rPr>
                <w:i/>
                <w:sz w:val="20"/>
                <w:lang w:val="fr-FR"/>
              </w:rPr>
            </w:pPr>
            <w:r>
              <w:rPr>
                <w:i/>
                <w:sz w:val="20"/>
                <w:lang w:val="fr-FR"/>
              </w:rPr>
              <w:t>Examen des documents</w:t>
            </w:r>
          </w:p>
        </w:tc>
        <w:tc>
          <w:tcPr>
            <w:tcW w:w="3158" w:type="dxa"/>
          </w:tcPr>
          <w:p w:rsidR="008759FF" w:rsidRPr="0023436F" w:rsidRDefault="008759FF" w:rsidP="008759FF">
            <w:pPr>
              <w:rPr>
                <w:sz w:val="20"/>
                <w:lang w:val="fr-FR"/>
              </w:rPr>
            </w:pPr>
            <w:r>
              <w:rPr>
                <w:sz w:val="20"/>
                <w:lang w:val="fr-FR"/>
              </w:rPr>
              <w:t>Examen de la documentation principale</w:t>
            </w:r>
            <w:r w:rsidRPr="0023436F">
              <w:rPr>
                <w:sz w:val="20"/>
                <w:lang w:val="fr-FR"/>
              </w:rPr>
              <w:t xml:space="preserve"> </w:t>
            </w:r>
          </w:p>
        </w:tc>
        <w:tc>
          <w:tcPr>
            <w:tcW w:w="3632" w:type="dxa"/>
            <w:shd w:val="clear" w:color="auto" w:fill="auto"/>
          </w:tcPr>
          <w:p w:rsidR="008759FF" w:rsidRPr="0023436F" w:rsidRDefault="008759FF" w:rsidP="008759FF">
            <w:pPr>
              <w:rPr>
                <w:sz w:val="20"/>
                <w:lang w:val="fr-FR"/>
              </w:rPr>
            </w:pPr>
            <w:r>
              <w:rPr>
                <w:sz w:val="20"/>
                <w:lang w:val="fr-FR"/>
              </w:rPr>
              <w:t>Documentation de l’OMPI comprenant les rapports et les publications internes et externes, les rapports d’information sur les ateliers et les rapports de fin de mission des consultants</w:t>
            </w:r>
          </w:p>
        </w:tc>
      </w:tr>
    </w:tbl>
    <w:p w:rsidR="008759FF" w:rsidRPr="0023436F" w:rsidRDefault="008759FF" w:rsidP="008759FF">
      <w:pPr>
        <w:rPr>
          <w:lang w:val="fr-FR"/>
        </w:rPr>
      </w:pPr>
    </w:p>
    <w:p w:rsidR="008759FF" w:rsidRPr="0023436F" w:rsidRDefault="008759FF" w:rsidP="008759FF">
      <w:pPr>
        <w:jc w:val="both"/>
        <w:rPr>
          <w:b/>
          <w:lang w:val="fr-FR"/>
        </w:rPr>
      </w:pPr>
    </w:p>
    <w:p w:rsidR="008759FF" w:rsidRPr="0023436F" w:rsidRDefault="008759FF" w:rsidP="008759FF">
      <w:pPr>
        <w:rPr>
          <w:lang w:val="fr-FR"/>
        </w:rPr>
      </w:pPr>
      <w:r>
        <w:rPr>
          <w:b/>
          <w:lang w:val="fr-FR"/>
        </w:rPr>
        <w:t>Méthodes d’analyse des données :</w:t>
      </w:r>
      <w:r w:rsidRPr="0023436F">
        <w:rPr>
          <w:lang w:val="fr-FR"/>
        </w:rPr>
        <w:t xml:space="preserve"> </w:t>
      </w:r>
      <w:r>
        <w:rPr>
          <w:lang w:val="fr-FR"/>
        </w:rPr>
        <w:t>les données quantitatives et qualitatives recueillies seront analysées et compilées selon des méthodes comparatives et statistiques qui conviennent</w:t>
      </w:r>
      <w:r w:rsidRPr="0023436F">
        <w:rPr>
          <w:lang w:val="fr-FR"/>
        </w:rPr>
        <w:t xml:space="preserve">.  </w:t>
      </w:r>
      <w:r>
        <w:rPr>
          <w:lang w:val="fr-FR"/>
        </w:rPr>
        <w:t>Ces données seront ensuite corrélées et organisées de manière à répondre aux questions d’évaluation.  Ces résultats seront ensuite utilisés pour étayer les conclusions et les recommandations proposées.</w:t>
      </w:r>
    </w:p>
    <w:p w:rsidR="008759FF" w:rsidRPr="0023436F" w:rsidRDefault="008759FF" w:rsidP="008759FF">
      <w:pPr>
        <w:rPr>
          <w:lang w:val="fr-FR" w:eastAsia="en-CA"/>
        </w:rPr>
      </w:pPr>
    </w:p>
    <w:p w:rsidR="008759FF" w:rsidRPr="0023436F" w:rsidRDefault="008759FF" w:rsidP="008759FF">
      <w:pPr>
        <w:rPr>
          <w:lang w:val="fr-FR" w:eastAsia="en-CA"/>
        </w:rPr>
      </w:pPr>
    </w:p>
    <w:p w:rsidR="008759FF" w:rsidRPr="0023436F" w:rsidRDefault="008759FF" w:rsidP="008759FF">
      <w:pPr>
        <w:rPr>
          <w:b/>
          <w:lang w:val="fr-FR"/>
        </w:rPr>
      </w:pPr>
      <w:r w:rsidRPr="005E10A1">
        <w:rPr>
          <w:lang w:val="fr-FR"/>
        </w:rPr>
        <w:t>5.</w:t>
      </w:r>
      <w:r w:rsidRPr="0023436F">
        <w:rPr>
          <w:b/>
          <w:lang w:val="fr-FR"/>
        </w:rPr>
        <w:tab/>
      </w:r>
      <w:r>
        <w:rPr>
          <w:b/>
          <w:lang w:val="fr-FR"/>
        </w:rPr>
        <w:t>Programme de travail et calendrier d’exécution</w:t>
      </w:r>
    </w:p>
    <w:p w:rsidR="008759FF" w:rsidRPr="0023436F" w:rsidRDefault="008759FF" w:rsidP="008759FF">
      <w:pPr>
        <w:rPr>
          <w:lang w:val="fr-FR" w:eastAsia="en-CA"/>
        </w:rPr>
      </w:pPr>
    </w:p>
    <w:p w:rsidR="008759FF" w:rsidRPr="0023436F" w:rsidRDefault="008759FF" w:rsidP="00BC6A54">
      <w:pPr>
        <w:pStyle w:val="TOC2"/>
      </w:pPr>
      <w:r>
        <w:t>Les étapes et le calendrier d’exécution proposés sont indiqués ci</w:t>
      </w:r>
      <w:r>
        <w:noBreakHyphen/>
        <w:t>après :</w:t>
      </w:r>
    </w:p>
    <w:p w:rsidR="008759FF" w:rsidRPr="0023436F" w:rsidRDefault="008759FF" w:rsidP="008759FF">
      <w:pPr>
        <w:jc w:val="both"/>
        <w:rPr>
          <w:lang w:val="fr-FR"/>
        </w:rPr>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3528"/>
      </w:tblGrid>
      <w:tr w:rsidR="008759FF" w:rsidRPr="0023436F" w:rsidTr="008759FF">
        <w:trPr>
          <w:tblHeader/>
        </w:trPr>
        <w:tc>
          <w:tcPr>
            <w:tcW w:w="3100" w:type="pct"/>
            <w:shd w:val="clear" w:color="auto" w:fill="FFFFFF" w:themeFill="background1"/>
          </w:tcPr>
          <w:p w:rsidR="008759FF" w:rsidRPr="0023436F" w:rsidRDefault="008759FF" w:rsidP="008759FF">
            <w:pPr>
              <w:pStyle w:val="Reporttext"/>
              <w:jc w:val="center"/>
              <w:rPr>
                <w:rFonts w:ascii="Arial" w:hAnsi="Arial" w:cs="Arial"/>
                <w:b/>
                <w:lang w:val="fr-FR"/>
              </w:rPr>
            </w:pPr>
            <w:r>
              <w:rPr>
                <w:rFonts w:ascii="Arial" w:hAnsi="Arial" w:cs="Arial"/>
                <w:b/>
                <w:lang w:val="fr-FR"/>
              </w:rPr>
              <w:t>Étapes</w:t>
            </w:r>
            <w:r w:rsidRPr="0023436F">
              <w:rPr>
                <w:rFonts w:ascii="Arial" w:hAnsi="Arial" w:cs="Arial"/>
                <w:b/>
                <w:lang w:val="fr-FR"/>
              </w:rPr>
              <w:t>/</w:t>
            </w:r>
            <w:r>
              <w:rPr>
                <w:rFonts w:ascii="Arial" w:hAnsi="Arial" w:cs="Arial"/>
                <w:b/>
                <w:lang w:val="fr-FR"/>
              </w:rPr>
              <w:t>Résultats escomptés</w:t>
            </w:r>
          </w:p>
        </w:tc>
        <w:tc>
          <w:tcPr>
            <w:tcW w:w="1900" w:type="pct"/>
            <w:shd w:val="clear" w:color="auto" w:fill="FFFFFF" w:themeFill="background1"/>
          </w:tcPr>
          <w:p w:rsidR="008759FF" w:rsidRPr="0023436F" w:rsidRDefault="008759FF" w:rsidP="008759FF">
            <w:pPr>
              <w:pStyle w:val="Reporttext"/>
              <w:jc w:val="center"/>
              <w:rPr>
                <w:rFonts w:ascii="Arial" w:hAnsi="Arial" w:cs="Arial"/>
                <w:b/>
                <w:lang w:val="fr-FR"/>
              </w:rPr>
            </w:pPr>
            <w:r>
              <w:rPr>
                <w:rFonts w:ascii="Arial" w:hAnsi="Arial" w:cs="Arial"/>
                <w:b/>
                <w:lang w:val="fr-FR"/>
              </w:rPr>
              <w:t>Dates clés</w:t>
            </w:r>
            <w:r w:rsidRPr="0023436F">
              <w:rPr>
                <w:rFonts w:ascii="Arial" w:hAnsi="Arial" w:cs="Arial"/>
                <w:b/>
                <w:lang w:val="fr-FR"/>
              </w:rPr>
              <w:t xml:space="preserve"> </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Début des travaux</w:t>
            </w:r>
          </w:p>
        </w:tc>
        <w:tc>
          <w:tcPr>
            <w:tcW w:w="1900" w:type="pct"/>
          </w:tcPr>
          <w:p w:rsidR="008759FF" w:rsidRPr="0023436F" w:rsidRDefault="008759FF" w:rsidP="008759FF">
            <w:pPr>
              <w:pStyle w:val="Reporttext"/>
              <w:ind w:hanging="18"/>
              <w:jc w:val="both"/>
              <w:rPr>
                <w:rFonts w:ascii="Arial" w:hAnsi="Arial" w:cs="Arial"/>
                <w:lang w:val="fr-FR"/>
              </w:rPr>
            </w:pPr>
            <w:r w:rsidRPr="0023436F">
              <w:rPr>
                <w:rFonts w:ascii="Arial" w:hAnsi="Arial" w:cs="Arial"/>
                <w:lang w:val="fr-FR"/>
              </w:rPr>
              <w:t>15</w:t>
            </w:r>
            <w:r>
              <w:rPr>
                <w:rFonts w:ascii="Arial" w:hAnsi="Arial" w:cs="Arial"/>
                <w:lang w:val="fr-FR"/>
              </w:rPr>
              <w:t> novembre </w:t>
            </w:r>
            <w:r w:rsidRPr="0023436F">
              <w:rPr>
                <w:rFonts w:ascii="Arial" w:hAnsi="Arial" w:cs="Arial"/>
                <w:lang w:val="fr-FR"/>
              </w:rPr>
              <w:t>2015</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Présentation à l’OMPI du rapport initial</w:t>
            </w:r>
          </w:p>
        </w:tc>
        <w:tc>
          <w:tcPr>
            <w:tcW w:w="1900" w:type="pct"/>
          </w:tcPr>
          <w:p w:rsidR="008759FF" w:rsidRPr="0023436F" w:rsidRDefault="008759FF" w:rsidP="008759FF">
            <w:pPr>
              <w:pStyle w:val="Reporttext"/>
              <w:ind w:firstLine="0"/>
              <w:jc w:val="both"/>
              <w:rPr>
                <w:rFonts w:ascii="Arial" w:hAnsi="Arial" w:cs="Arial"/>
                <w:lang w:val="fr-FR"/>
              </w:rPr>
            </w:pPr>
            <w:r w:rsidRPr="0023436F">
              <w:rPr>
                <w:rFonts w:ascii="Arial" w:hAnsi="Arial" w:cs="Arial"/>
                <w:lang w:val="fr-FR"/>
              </w:rPr>
              <w:t>30</w:t>
            </w:r>
            <w:r>
              <w:rPr>
                <w:rFonts w:ascii="Arial" w:hAnsi="Arial" w:cs="Arial"/>
                <w:lang w:val="fr-FR"/>
              </w:rPr>
              <w:t> novembre </w:t>
            </w:r>
            <w:r w:rsidRPr="0023436F">
              <w:rPr>
                <w:rFonts w:ascii="Arial" w:hAnsi="Arial" w:cs="Arial"/>
                <w:lang w:val="fr-FR"/>
              </w:rPr>
              <w:t>2015</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Retour d’information de l’OMPI sur le rapport initial</w:t>
            </w:r>
          </w:p>
        </w:tc>
        <w:tc>
          <w:tcPr>
            <w:tcW w:w="1900" w:type="pct"/>
          </w:tcPr>
          <w:p w:rsidR="008759FF" w:rsidRPr="0023436F" w:rsidRDefault="008759FF" w:rsidP="008759FF">
            <w:pPr>
              <w:pStyle w:val="Reporttext"/>
              <w:ind w:hanging="18"/>
              <w:jc w:val="both"/>
              <w:rPr>
                <w:rFonts w:ascii="Arial" w:hAnsi="Arial" w:cs="Arial"/>
                <w:lang w:val="fr-FR"/>
              </w:rPr>
            </w:pPr>
            <w:r w:rsidRPr="0023436F">
              <w:rPr>
                <w:rFonts w:ascii="Arial" w:hAnsi="Arial" w:cs="Arial"/>
                <w:lang w:val="fr-FR"/>
              </w:rPr>
              <w:t xml:space="preserve"> </w:t>
            </w:r>
            <w:r>
              <w:rPr>
                <w:rFonts w:ascii="Arial" w:hAnsi="Arial" w:cs="Arial"/>
                <w:lang w:val="fr-FR"/>
              </w:rPr>
              <w:t xml:space="preserve"> </w:t>
            </w:r>
            <w:r w:rsidRPr="0023436F">
              <w:rPr>
                <w:rFonts w:ascii="Arial" w:hAnsi="Arial" w:cs="Arial"/>
                <w:lang w:val="fr-FR"/>
              </w:rPr>
              <w:t>5</w:t>
            </w:r>
            <w:r>
              <w:rPr>
                <w:rFonts w:ascii="Arial" w:hAnsi="Arial" w:cs="Arial"/>
                <w:lang w:val="fr-FR"/>
              </w:rPr>
              <w:t> décembre </w:t>
            </w:r>
            <w:r w:rsidRPr="0023436F">
              <w:rPr>
                <w:rFonts w:ascii="Arial" w:hAnsi="Arial" w:cs="Arial"/>
                <w:lang w:val="fr-FR"/>
              </w:rPr>
              <w:t>2015</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Présentation à l’OMPI de la version finale du rapport initial</w:t>
            </w:r>
          </w:p>
        </w:tc>
        <w:tc>
          <w:tcPr>
            <w:tcW w:w="1900" w:type="pct"/>
          </w:tcPr>
          <w:p w:rsidR="008759FF" w:rsidRPr="0023436F" w:rsidRDefault="008759FF" w:rsidP="008759FF">
            <w:pPr>
              <w:pStyle w:val="Reporttext"/>
              <w:ind w:hanging="18"/>
              <w:jc w:val="both"/>
              <w:rPr>
                <w:rFonts w:ascii="Arial" w:hAnsi="Arial" w:cs="Arial"/>
                <w:lang w:val="fr-FR"/>
              </w:rPr>
            </w:pPr>
            <w:r w:rsidRPr="0023436F">
              <w:rPr>
                <w:rFonts w:ascii="Arial" w:hAnsi="Arial" w:cs="Arial"/>
                <w:lang w:val="fr-FR"/>
              </w:rPr>
              <w:t xml:space="preserve"> </w:t>
            </w:r>
            <w:r>
              <w:rPr>
                <w:rFonts w:ascii="Arial" w:hAnsi="Arial" w:cs="Arial"/>
                <w:lang w:val="fr-FR"/>
              </w:rPr>
              <w:t xml:space="preserve"> </w:t>
            </w:r>
            <w:r w:rsidRPr="0023436F">
              <w:rPr>
                <w:rFonts w:ascii="Arial" w:hAnsi="Arial" w:cs="Arial"/>
                <w:lang w:val="fr-FR"/>
              </w:rPr>
              <w:t>7</w:t>
            </w:r>
            <w:r>
              <w:rPr>
                <w:rFonts w:ascii="Arial" w:hAnsi="Arial" w:cs="Arial"/>
                <w:lang w:val="fr-FR"/>
              </w:rPr>
              <w:t> décembre </w:t>
            </w:r>
            <w:r w:rsidRPr="0023436F">
              <w:rPr>
                <w:rFonts w:ascii="Arial" w:hAnsi="Arial" w:cs="Arial"/>
                <w:lang w:val="fr-FR"/>
              </w:rPr>
              <w:t>2015</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Présentation à l’OMPI d’un projet de rapport</w:t>
            </w:r>
          </w:p>
        </w:tc>
        <w:tc>
          <w:tcPr>
            <w:tcW w:w="1900" w:type="pct"/>
          </w:tcPr>
          <w:p w:rsidR="008759FF" w:rsidRPr="0023436F" w:rsidRDefault="008759FF" w:rsidP="008759FF">
            <w:pPr>
              <w:pStyle w:val="Reporttext"/>
              <w:ind w:hanging="18"/>
              <w:jc w:val="both"/>
              <w:rPr>
                <w:rFonts w:ascii="Arial" w:hAnsi="Arial" w:cs="Arial"/>
                <w:lang w:val="fr-FR"/>
              </w:rPr>
            </w:pPr>
            <w:r w:rsidRPr="0023436F">
              <w:rPr>
                <w:rFonts w:ascii="Arial" w:hAnsi="Arial" w:cs="Arial"/>
                <w:lang w:val="fr-FR"/>
              </w:rPr>
              <w:t>15</w:t>
            </w:r>
            <w:r>
              <w:rPr>
                <w:rFonts w:ascii="Arial" w:hAnsi="Arial" w:cs="Arial"/>
                <w:lang w:val="fr-FR"/>
              </w:rPr>
              <w:t> janvier </w:t>
            </w:r>
            <w:r w:rsidRPr="0023436F">
              <w:rPr>
                <w:rFonts w:ascii="Arial" w:hAnsi="Arial" w:cs="Arial"/>
                <w:lang w:val="fr-FR"/>
              </w:rPr>
              <w:t>2016</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Corrections factuelles apportées par l’OMPI au projet de rapport</w:t>
            </w:r>
          </w:p>
        </w:tc>
        <w:tc>
          <w:tcPr>
            <w:tcW w:w="1900" w:type="pct"/>
          </w:tcPr>
          <w:p w:rsidR="008759FF" w:rsidRPr="0023436F" w:rsidRDefault="008759FF" w:rsidP="008759FF">
            <w:pPr>
              <w:pStyle w:val="Reporttext"/>
              <w:ind w:firstLine="0"/>
              <w:jc w:val="both"/>
              <w:rPr>
                <w:rFonts w:ascii="Arial" w:hAnsi="Arial" w:cs="Arial"/>
                <w:lang w:val="fr-FR"/>
              </w:rPr>
            </w:pPr>
            <w:r w:rsidRPr="0023436F">
              <w:rPr>
                <w:rFonts w:ascii="Arial" w:hAnsi="Arial" w:cs="Arial"/>
                <w:lang w:val="fr-FR"/>
              </w:rPr>
              <w:t>20</w:t>
            </w:r>
            <w:r>
              <w:rPr>
                <w:rFonts w:ascii="Arial" w:hAnsi="Arial" w:cs="Arial"/>
                <w:lang w:val="fr-FR"/>
              </w:rPr>
              <w:t> janvier </w:t>
            </w:r>
            <w:r w:rsidRPr="0023436F">
              <w:rPr>
                <w:rFonts w:ascii="Arial" w:hAnsi="Arial" w:cs="Arial"/>
                <w:lang w:val="fr-FR"/>
              </w:rPr>
              <w:t>2016</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Présentation à l’OMPI du rapport final</w:t>
            </w:r>
          </w:p>
        </w:tc>
        <w:tc>
          <w:tcPr>
            <w:tcW w:w="1900" w:type="pct"/>
          </w:tcPr>
          <w:p w:rsidR="008759FF" w:rsidRPr="0023436F" w:rsidRDefault="008759FF" w:rsidP="008759FF">
            <w:pPr>
              <w:pStyle w:val="Reporttext"/>
              <w:ind w:hanging="18"/>
              <w:jc w:val="both"/>
              <w:rPr>
                <w:rFonts w:ascii="Arial" w:hAnsi="Arial" w:cs="Arial"/>
                <w:lang w:val="fr-FR"/>
              </w:rPr>
            </w:pPr>
            <w:r w:rsidRPr="0023436F">
              <w:rPr>
                <w:rFonts w:ascii="Arial" w:hAnsi="Arial" w:cs="Arial"/>
                <w:lang w:val="fr-FR"/>
              </w:rPr>
              <w:t>30</w:t>
            </w:r>
            <w:r>
              <w:rPr>
                <w:rFonts w:ascii="Arial" w:hAnsi="Arial" w:cs="Arial"/>
                <w:lang w:val="fr-FR"/>
              </w:rPr>
              <w:t> janvier </w:t>
            </w:r>
            <w:r w:rsidRPr="0023436F">
              <w:rPr>
                <w:rFonts w:ascii="Arial" w:hAnsi="Arial" w:cs="Arial"/>
                <w:lang w:val="fr-FR"/>
              </w:rPr>
              <w:t>2016</w:t>
            </w:r>
          </w:p>
        </w:tc>
      </w:tr>
      <w:tr w:rsidR="008759FF" w:rsidRPr="0023436F" w:rsidTr="008759FF">
        <w:tc>
          <w:tcPr>
            <w:tcW w:w="3100" w:type="pct"/>
          </w:tcPr>
          <w:p w:rsidR="008759FF" w:rsidRPr="0023436F" w:rsidRDefault="008759FF" w:rsidP="008759FF">
            <w:pPr>
              <w:pStyle w:val="Reporttext"/>
              <w:ind w:hanging="18"/>
              <w:jc w:val="both"/>
              <w:rPr>
                <w:rFonts w:ascii="Arial" w:hAnsi="Arial" w:cs="Arial"/>
                <w:lang w:val="fr-FR"/>
              </w:rPr>
            </w:pPr>
            <w:r>
              <w:rPr>
                <w:rFonts w:ascii="Arial" w:hAnsi="Arial" w:cs="Arial"/>
                <w:lang w:val="fr-FR"/>
              </w:rPr>
              <w:t>Présentation au CDIP du rapport d’évaluation</w:t>
            </w:r>
          </w:p>
        </w:tc>
        <w:tc>
          <w:tcPr>
            <w:tcW w:w="1900" w:type="pct"/>
          </w:tcPr>
          <w:p w:rsidR="008759FF" w:rsidRPr="0023436F" w:rsidRDefault="008759FF" w:rsidP="008759FF">
            <w:pPr>
              <w:pStyle w:val="Reporttext"/>
              <w:ind w:hanging="18"/>
              <w:jc w:val="both"/>
              <w:rPr>
                <w:rFonts w:ascii="Arial" w:hAnsi="Arial" w:cs="Arial"/>
                <w:lang w:val="fr-FR"/>
              </w:rPr>
            </w:pPr>
            <w:r w:rsidRPr="0023436F">
              <w:rPr>
                <w:rFonts w:ascii="Arial" w:hAnsi="Arial" w:cs="Arial"/>
                <w:lang w:val="fr-FR"/>
              </w:rPr>
              <w:t>11</w:t>
            </w:r>
            <w:r>
              <w:rPr>
                <w:rFonts w:ascii="Arial" w:hAnsi="Arial" w:cs="Arial"/>
                <w:lang w:val="fr-FR"/>
              </w:rPr>
              <w:t xml:space="preserve"> – </w:t>
            </w:r>
            <w:r w:rsidRPr="0023436F">
              <w:rPr>
                <w:rFonts w:ascii="Arial" w:hAnsi="Arial" w:cs="Arial"/>
                <w:lang w:val="fr-FR"/>
              </w:rPr>
              <w:t>15</w:t>
            </w:r>
            <w:r>
              <w:rPr>
                <w:rFonts w:ascii="Arial" w:hAnsi="Arial" w:cs="Arial"/>
                <w:lang w:val="fr-FR"/>
              </w:rPr>
              <w:t> avril </w:t>
            </w:r>
            <w:r w:rsidRPr="0023436F">
              <w:rPr>
                <w:rFonts w:ascii="Arial" w:hAnsi="Arial" w:cs="Arial"/>
                <w:lang w:val="fr-FR"/>
              </w:rPr>
              <w:t>2016</w:t>
            </w:r>
          </w:p>
        </w:tc>
      </w:tr>
    </w:tbl>
    <w:p w:rsidR="008759FF" w:rsidRPr="0023436F" w:rsidRDefault="008759FF" w:rsidP="008759FF">
      <w:pPr>
        <w:rPr>
          <w:b/>
          <w:lang w:val="fr-FR"/>
        </w:rPr>
      </w:pPr>
      <w:r w:rsidRPr="005E10A1">
        <w:rPr>
          <w:lang w:val="fr-FR"/>
        </w:rPr>
        <w:lastRenderedPageBreak/>
        <w:t>6.</w:t>
      </w:r>
      <w:r w:rsidRPr="0023436F">
        <w:rPr>
          <w:b/>
          <w:lang w:val="fr-FR"/>
        </w:rPr>
        <w:t xml:space="preserve"> </w:t>
      </w:r>
      <w:r w:rsidRPr="0023436F">
        <w:rPr>
          <w:b/>
          <w:lang w:val="fr-FR"/>
        </w:rPr>
        <w:tab/>
      </w:r>
      <w:r>
        <w:rPr>
          <w:b/>
          <w:lang w:val="fr-FR"/>
        </w:rPr>
        <w:t>Hypothèses et risques principaux</w:t>
      </w:r>
    </w:p>
    <w:p w:rsidR="008759FF" w:rsidRPr="0023436F" w:rsidRDefault="008759FF" w:rsidP="008759FF">
      <w:pPr>
        <w:pStyle w:val="Numbers"/>
        <w:numPr>
          <w:ilvl w:val="0"/>
          <w:numId w:val="0"/>
        </w:numPr>
        <w:spacing w:before="0"/>
        <w:jc w:val="both"/>
        <w:rPr>
          <w:rFonts w:ascii="Arial" w:hAnsi="Arial" w:cs="Arial"/>
          <w:lang w:val="fr-FR"/>
        </w:rPr>
      </w:pPr>
    </w:p>
    <w:p w:rsidR="008759FF" w:rsidRPr="0023436F" w:rsidRDefault="008759FF" w:rsidP="008759FF">
      <w:pPr>
        <w:pStyle w:val="Numbers"/>
        <w:numPr>
          <w:ilvl w:val="0"/>
          <w:numId w:val="0"/>
        </w:numPr>
        <w:rPr>
          <w:rFonts w:ascii="Arial" w:hAnsi="Arial" w:cs="Arial"/>
          <w:lang w:val="fr-FR"/>
        </w:rPr>
      </w:pPr>
      <w:r>
        <w:rPr>
          <w:rFonts w:ascii="Arial" w:hAnsi="Arial" w:cs="Arial"/>
          <w:lang w:val="fr-FR"/>
        </w:rPr>
        <w:t>L’équipe chargée du projet et la Division de la coordination du Plan d’action pour le développement devraient aider le consultant pour ce qui est de recenser tous les documents essentiels et à accéder à ces documents</w:t>
      </w:r>
      <w:r w:rsidRPr="0023436F">
        <w:rPr>
          <w:rFonts w:ascii="Arial" w:hAnsi="Arial" w:cs="Arial"/>
          <w:lang w:val="fr-FR"/>
        </w:rPr>
        <w:t xml:space="preserve">;  </w:t>
      </w:r>
      <w:r>
        <w:rPr>
          <w:rFonts w:ascii="Arial" w:hAnsi="Arial" w:cs="Arial"/>
          <w:lang w:val="fr-FR"/>
        </w:rPr>
        <w:t>informer les principales parties prenantes au sujet de l’évaluation</w:t>
      </w:r>
      <w:r w:rsidRPr="0023436F">
        <w:rPr>
          <w:rFonts w:ascii="Arial" w:hAnsi="Arial" w:cs="Arial"/>
          <w:lang w:val="fr-FR"/>
        </w:rPr>
        <w:t xml:space="preserve">, </w:t>
      </w:r>
      <w:r>
        <w:rPr>
          <w:rFonts w:ascii="Arial" w:hAnsi="Arial" w:cs="Arial"/>
          <w:lang w:val="fr-FR"/>
        </w:rPr>
        <w:t>présenter brièvement les thèmes examinés</w:t>
      </w:r>
      <w:r w:rsidRPr="0023436F">
        <w:rPr>
          <w:rFonts w:ascii="Arial" w:hAnsi="Arial" w:cs="Arial"/>
          <w:lang w:val="fr-FR"/>
        </w:rPr>
        <w:t xml:space="preserve">, </w:t>
      </w:r>
      <w:r>
        <w:rPr>
          <w:rFonts w:ascii="Arial" w:hAnsi="Arial" w:cs="Arial"/>
          <w:lang w:val="fr-FR"/>
        </w:rPr>
        <w:t>fournir les coordonnées des personnes à contacter et faciliter les entretiens selon que de besoin</w:t>
      </w:r>
      <w:r w:rsidRPr="0023436F">
        <w:rPr>
          <w:rFonts w:ascii="Arial" w:hAnsi="Arial" w:cs="Arial"/>
          <w:lang w:val="fr-FR"/>
        </w:rPr>
        <w:t xml:space="preserve">; </w:t>
      </w:r>
      <w:r>
        <w:rPr>
          <w:rFonts w:ascii="Arial" w:hAnsi="Arial" w:cs="Arial"/>
          <w:lang w:val="fr-FR"/>
        </w:rPr>
        <w:t xml:space="preserve"> et fournir en temps utile un retour d’information synthétique sur les résultats escomptés</w:t>
      </w:r>
      <w:r w:rsidRPr="0023436F">
        <w:rPr>
          <w:rFonts w:ascii="Arial" w:hAnsi="Arial" w:cs="Arial"/>
          <w:lang w:val="fr-FR"/>
        </w:rPr>
        <w:t xml:space="preserve">.  </w:t>
      </w:r>
      <w:r>
        <w:rPr>
          <w:rFonts w:ascii="Arial" w:hAnsi="Arial" w:cs="Arial"/>
          <w:lang w:val="fr-FR"/>
        </w:rPr>
        <w:t xml:space="preserve">Par ailleurs, les entretiens qui vont être réalisés devraient être réussis et il ne devrait pas y avoir de problème lié à la barrière de la langue </w:t>
      </w:r>
      <w:r w:rsidRPr="0023436F">
        <w:rPr>
          <w:rFonts w:ascii="Arial" w:hAnsi="Arial" w:cs="Arial"/>
          <w:lang w:val="fr-FR"/>
        </w:rPr>
        <w:t>(</w:t>
      </w:r>
      <w:r>
        <w:rPr>
          <w:rFonts w:ascii="Arial" w:hAnsi="Arial" w:cs="Arial"/>
          <w:lang w:val="fr-FR"/>
        </w:rPr>
        <w:t>le consultant par le français et l’anglais</w:t>
      </w:r>
      <w:r w:rsidRPr="0023436F">
        <w:rPr>
          <w:rFonts w:ascii="Arial" w:hAnsi="Arial" w:cs="Arial"/>
          <w:lang w:val="fr-FR"/>
        </w:rPr>
        <w:t xml:space="preserve">).  </w:t>
      </w:r>
      <w:r>
        <w:rPr>
          <w:rFonts w:ascii="Arial" w:hAnsi="Arial" w:cs="Arial"/>
          <w:lang w:val="fr-FR"/>
        </w:rPr>
        <w:t>De plus, les personnes consultées devraient être disponibles et désireuses de fournir les informations demandées</w:t>
      </w:r>
      <w:r w:rsidRPr="0023436F">
        <w:rPr>
          <w:rFonts w:ascii="Arial" w:hAnsi="Arial" w:cs="Arial"/>
          <w:lang w:val="fr-FR"/>
        </w:rPr>
        <w:t>.</w:t>
      </w:r>
    </w:p>
    <w:p w:rsidR="008759FF" w:rsidRPr="0023436F" w:rsidRDefault="008759FF" w:rsidP="008759FF">
      <w:pPr>
        <w:rPr>
          <w:lang w:val="fr-FR"/>
        </w:rPr>
      </w:pPr>
    </w:p>
    <w:p w:rsidR="008759FF" w:rsidRPr="0023436F" w:rsidRDefault="008759FF" w:rsidP="008759FF">
      <w:pPr>
        <w:rPr>
          <w:b/>
          <w:lang w:val="fr-FR"/>
        </w:rPr>
      </w:pPr>
      <w:bookmarkStart w:id="43" w:name="_GoBack"/>
      <w:bookmarkEnd w:id="43"/>
    </w:p>
    <w:p w:rsidR="008759FF" w:rsidRPr="0023436F" w:rsidRDefault="008759FF" w:rsidP="008759FF">
      <w:pPr>
        <w:rPr>
          <w:b/>
          <w:lang w:val="fr-FR"/>
        </w:rPr>
      </w:pPr>
      <w:r w:rsidRPr="0023436F">
        <w:rPr>
          <w:b/>
          <w:lang w:val="fr-FR"/>
        </w:rPr>
        <w:t>Annex</w:t>
      </w:r>
      <w:r>
        <w:rPr>
          <w:b/>
          <w:lang w:val="fr-FR"/>
        </w:rPr>
        <w:t>e </w:t>
      </w:r>
      <w:r w:rsidRPr="0023436F">
        <w:rPr>
          <w:b/>
          <w:lang w:val="fr-FR"/>
        </w:rPr>
        <w:t>1</w:t>
      </w:r>
      <w:r>
        <w:rPr>
          <w:b/>
          <w:lang w:val="fr-FR"/>
        </w:rPr>
        <w:t> :</w:t>
      </w:r>
      <w:r w:rsidRPr="0023436F">
        <w:rPr>
          <w:b/>
          <w:lang w:val="fr-FR"/>
        </w:rPr>
        <w:t xml:space="preserve"> </w:t>
      </w:r>
      <w:r>
        <w:rPr>
          <w:b/>
          <w:lang w:val="fr-FR"/>
        </w:rPr>
        <w:t>projet de liste de personnes à consulter</w:t>
      </w:r>
    </w:p>
    <w:p w:rsidR="008759FF" w:rsidRPr="0023436F" w:rsidRDefault="008759FF" w:rsidP="008759FF">
      <w:pPr>
        <w:pStyle w:val="Endofdocument"/>
        <w:spacing w:line="240" w:lineRule="auto"/>
        <w:rPr>
          <w:szCs w:val="22"/>
          <w:lang w:val="fr-FR"/>
        </w:rPr>
      </w:pPr>
    </w:p>
    <w:p w:rsidR="008759FF" w:rsidRDefault="008759FF" w:rsidP="008759FF">
      <w:pPr>
        <w:rPr>
          <w:lang w:val="fr-FR"/>
        </w:rPr>
      </w:pPr>
      <w:r>
        <w:rPr>
          <w:lang w:val="fr-FR"/>
        </w:rPr>
        <w:t>On trouvera ci</w:t>
      </w:r>
      <w:r>
        <w:rPr>
          <w:lang w:val="fr-FR"/>
        </w:rPr>
        <w:noBreakHyphen/>
        <w:t>après un projet de liste de personnes à consulter aux fins de la présente évaluation</w:t>
      </w:r>
      <w:r w:rsidRPr="0023436F">
        <w:rPr>
          <w:lang w:val="fr-FR"/>
        </w:rPr>
        <w:t xml:space="preserve">.  </w:t>
      </w:r>
      <w:r>
        <w:rPr>
          <w:lang w:val="fr-FR"/>
        </w:rPr>
        <w:t>Cette liste sera adaptée en collaboration avec l’OMPI</w:t>
      </w:r>
      <w:r w:rsidRPr="0023436F">
        <w:rPr>
          <w:lang w:val="fr-FR"/>
        </w:rPr>
        <w:t>.</w:t>
      </w:r>
    </w:p>
    <w:p w:rsidR="008759FF" w:rsidRPr="0023436F" w:rsidRDefault="008759FF" w:rsidP="008759FF">
      <w:pPr>
        <w:rPr>
          <w:lang w:val="fr-FR"/>
        </w:rPr>
      </w:pPr>
    </w:p>
    <w:p w:rsidR="008759FF" w:rsidRDefault="008759FF" w:rsidP="008759FF">
      <w:pPr>
        <w:pStyle w:val="Numbers"/>
        <w:numPr>
          <w:ilvl w:val="0"/>
          <w:numId w:val="0"/>
        </w:numPr>
        <w:jc w:val="both"/>
        <w:rPr>
          <w:rFonts w:ascii="Arial" w:hAnsi="Arial" w:cs="Arial"/>
          <w:b/>
          <w:i/>
          <w:lang w:val="fr-FR"/>
        </w:rPr>
      </w:pPr>
      <w:r>
        <w:rPr>
          <w:rFonts w:ascii="Arial" w:hAnsi="Arial" w:cs="Arial"/>
          <w:b/>
          <w:i/>
          <w:lang w:val="fr-FR"/>
        </w:rPr>
        <w:t>Interne :</w:t>
      </w:r>
    </w:p>
    <w:p w:rsidR="008759FF" w:rsidRPr="0023436F" w:rsidRDefault="008759FF" w:rsidP="008759FF">
      <w:pPr>
        <w:pStyle w:val="Numbers"/>
        <w:numPr>
          <w:ilvl w:val="0"/>
          <w:numId w:val="0"/>
        </w:numPr>
        <w:jc w:val="both"/>
        <w:rPr>
          <w:rFonts w:ascii="Arial" w:hAnsi="Arial" w:cs="Arial"/>
          <w:b/>
          <w:i/>
          <w:lang w:val="fr-FR"/>
        </w:rPr>
      </w:pP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Maya Bachner, </w:t>
      </w:r>
      <w:r>
        <w:rPr>
          <w:rFonts w:ascii="Arial" w:hAnsi="Arial" w:cs="Arial"/>
          <w:lang w:val="fr-FR"/>
        </w:rPr>
        <w:t>directrice</w:t>
      </w:r>
      <w:r w:rsidRPr="0023436F">
        <w:rPr>
          <w:rFonts w:ascii="Arial" w:hAnsi="Arial" w:cs="Arial"/>
          <w:lang w:val="fr-FR"/>
        </w:rPr>
        <w:t xml:space="preserve">, </w:t>
      </w:r>
      <w:r>
        <w:rPr>
          <w:rFonts w:ascii="Arial" w:hAnsi="Arial" w:cs="Arial"/>
          <w:lang w:val="fr-FR"/>
        </w:rPr>
        <w:t>Division de l’exécution des programmes et du budget</w:t>
      </w:r>
    </w:p>
    <w:p w:rsidR="008759F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 </w:t>
      </w:r>
      <w:r w:rsidRPr="0023436F">
        <w:rPr>
          <w:rFonts w:ascii="Arial" w:hAnsi="Arial" w:cs="Arial"/>
          <w:lang w:val="fr-FR"/>
        </w:rPr>
        <w:t xml:space="preserve">Irfan Baloch, </w:t>
      </w:r>
      <w:r>
        <w:rPr>
          <w:rFonts w:ascii="Arial" w:hAnsi="Arial" w:cs="Arial"/>
          <w:lang w:val="fr-FR"/>
        </w:rPr>
        <w:t>directeur, Division de la coordination du Plan d’action pour le développement</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Carole Croella, </w:t>
      </w:r>
      <w:r>
        <w:rPr>
          <w:rFonts w:ascii="Arial" w:hAnsi="Arial" w:cs="Arial"/>
          <w:lang w:val="fr-FR"/>
        </w:rPr>
        <w:t>conseillère principale, Division du droit d’auteur</w:t>
      </w:r>
      <w:r w:rsidRPr="0023436F">
        <w:rPr>
          <w:rFonts w:ascii="Arial" w:hAnsi="Arial" w:cs="Arial"/>
          <w:lang w:val="fr-FR"/>
        </w:rPr>
        <w:t xml:space="preserve"> (</w:t>
      </w:r>
      <w:r>
        <w:rPr>
          <w:rFonts w:ascii="Arial" w:hAnsi="Arial" w:cs="Arial"/>
          <w:lang w:val="fr-FR"/>
        </w:rPr>
        <w:t>et d’autres fonctionnaires concernés</w:t>
      </w:r>
      <w:r w:rsidRPr="0023436F">
        <w:rPr>
          <w:rFonts w:ascii="Arial" w:hAnsi="Arial" w:cs="Arial"/>
          <w:lang w:val="fr-FR"/>
        </w:rPr>
        <w:t>)</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 </w:t>
      </w:r>
      <w:r w:rsidRPr="0023436F">
        <w:rPr>
          <w:rFonts w:ascii="Arial" w:hAnsi="Arial" w:cs="Arial"/>
          <w:lang w:val="fr-FR"/>
        </w:rPr>
        <w:t>George</w:t>
      </w:r>
      <w:r>
        <w:rPr>
          <w:rFonts w:ascii="Arial" w:hAnsi="Arial" w:cs="Arial"/>
          <w:lang w:val="fr-FR"/>
        </w:rPr>
        <w:t>s</w:t>
      </w:r>
      <w:r w:rsidRPr="0023436F">
        <w:rPr>
          <w:rFonts w:ascii="Arial" w:hAnsi="Arial" w:cs="Arial"/>
          <w:lang w:val="fr-FR"/>
        </w:rPr>
        <w:t xml:space="preserve"> Ghandour, </w:t>
      </w:r>
      <w:r>
        <w:rPr>
          <w:rFonts w:ascii="Arial" w:hAnsi="Arial" w:cs="Arial"/>
          <w:lang w:val="fr-FR"/>
        </w:rPr>
        <w:t>administrateur principal de programme</w:t>
      </w:r>
      <w:r w:rsidRPr="0023436F">
        <w:rPr>
          <w:rFonts w:ascii="Arial" w:hAnsi="Arial" w:cs="Arial"/>
          <w:lang w:val="fr-FR"/>
        </w:rPr>
        <w:t xml:space="preserve">, </w:t>
      </w:r>
      <w:r>
        <w:rPr>
          <w:rFonts w:ascii="Arial" w:hAnsi="Arial" w:cs="Arial"/>
          <w:lang w:val="fr-FR"/>
        </w:rPr>
        <w:t>Division de la coordination du Plan d’action pour le développement</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Alexandra Grazioli, </w:t>
      </w:r>
      <w:r>
        <w:rPr>
          <w:rFonts w:ascii="Arial" w:hAnsi="Arial" w:cs="Arial"/>
          <w:lang w:val="fr-FR"/>
        </w:rPr>
        <w:t>directrice, Cabinet du directeur général</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me </w:t>
      </w:r>
      <w:r w:rsidRPr="0023436F">
        <w:rPr>
          <w:rFonts w:ascii="Arial" w:hAnsi="Arial" w:cs="Arial"/>
          <w:lang w:val="fr-FR"/>
        </w:rPr>
        <w:t xml:space="preserve">Gao Hung, </w:t>
      </w:r>
      <w:r>
        <w:rPr>
          <w:rFonts w:ascii="Arial" w:hAnsi="Arial" w:cs="Arial"/>
          <w:lang w:val="fr-FR"/>
        </w:rPr>
        <w:t>directrice</w:t>
      </w:r>
      <w:r w:rsidRPr="0023436F">
        <w:rPr>
          <w:rFonts w:ascii="Arial" w:hAnsi="Arial" w:cs="Arial"/>
          <w:lang w:val="fr-FR"/>
        </w:rPr>
        <w:t xml:space="preserve">, </w:t>
      </w:r>
      <w:r>
        <w:rPr>
          <w:rFonts w:ascii="Arial" w:hAnsi="Arial" w:cs="Arial"/>
          <w:lang w:val="fr-FR"/>
        </w:rPr>
        <w:t>Division du développement en matière de droit d’auteur</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M</w:t>
      </w:r>
      <w:r>
        <w:rPr>
          <w:rFonts w:ascii="Arial" w:hAnsi="Arial" w:cs="Arial"/>
          <w:lang w:val="fr-FR"/>
        </w:rPr>
        <w:t>me Michelle Woods, directrice</w:t>
      </w:r>
      <w:r w:rsidRPr="0023436F">
        <w:rPr>
          <w:rFonts w:ascii="Arial" w:hAnsi="Arial" w:cs="Arial"/>
          <w:lang w:val="fr-FR"/>
        </w:rPr>
        <w:t xml:space="preserve">, </w:t>
      </w:r>
      <w:r>
        <w:rPr>
          <w:rFonts w:ascii="Arial" w:hAnsi="Arial" w:cs="Arial"/>
          <w:lang w:val="fr-FR"/>
        </w:rPr>
        <w:t>Division du droit d’auteur</w:t>
      </w:r>
    </w:p>
    <w:p w:rsidR="008759FF" w:rsidRPr="0023436F" w:rsidRDefault="008759FF" w:rsidP="008759FF">
      <w:pPr>
        <w:pStyle w:val="Numbers"/>
        <w:numPr>
          <w:ilvl w:val="0"/>
          <w:numId w:val="0"/>
        </w:numPr>
        <w:jc w:val="both"/>
        <w:rPr>
          <w:rFonts w:ascii="Arial" w:hAnsi="Arial" w:cs="Arial"/>
          <w:lang w:val="fr-FR"/>
        </w:rPr>
      </w:pPr>
    </w:p>
    <w:p w:rsidR="008759FF" w:rsidRDefault="008759FF" w:rsidP="008759FF">
      <w:pPr>
        <w:pStyle w:val="Numbers"/>
        <w:numPr>
          <w:ilvl w:val="0"/>
          <w:numId w:val="0"/>
        </w:numPr>
        <w:jc w:val="both"/>
        <w:rPr>
          <w:rFonts w:ascii="Arial" w:hAnsi="Arial" w:cs="Arial"/>
          <w:b/>
          <w:i/>
          <w:lang w:val="fr-FR"/>
        </w:rPr>
      </w:pPr>
      <w:r>
        <w:rPr>
          <w:rFonts w:ascii="Arial" w:hAnsi="Arial" w:cs="Arial"/>
          <w:b/>
          <w:i/>
          <w:lang w:val="fr-FR"/>
        </w:rPr>
        <w:t>Externe :</w:t>
      </w:r>
    </w:p>
    <w:p w:rsidR="008759FF" w:rsidRPr="0023436F" w:rsidRDefault="008759FF" w:rsidP="008759FF">
      <w:pPr>
        <w:pStyle w:val="Numbers"/>
        <w:numPr>
          <w:ilvl w:val="0"/>
          <w:numId w:val="0"/>
        </w:numPr>
        <w:jc w:val="both"/>
        <w:rPr>
          <w:rFonts w:ascii="Arial" w:hAnsi="Arial" w:cs="Arial"/>
          <w:b/>
          <w:i/>
          <w:lang w:val="fr-FR"/>
        </w:rPr>
      </w:pPr>
    </w:p>
    <w:p w:rsidR="008759FF" w:rsidRPr="0023436F" w:rsidRDefault="008759FF" w:rsidP="008759FF">
      <w:pPr>
        <w:pStyle w:val="Numbers"/>
        <w:numPr>
          <w:ilvl w:val="0"/>
          <w:numId w:val="0"/>
        </w:numPr>
        <w:jc w:val="both"/>
        <w:rPr>
          <w:rFonts w:ascii="Arial" w:hAnsi="Arial" w:cs="Arial"/>
          <w:lang w:val="fr-FR"/>
        </w:rPr>
      </w:pPr>
      <w:r>
        <w:rPr>
          <w:rFonts w:ascii="Arial" w:hAnsi="Arial" w:cs="Arial"/>
          <w:lang w:val="fr-FR"/>
        </w:rPr>
        <w:t>Coordonnateurs locaux :</w:t>
      </w:r>
    </w:p>
    <w:p w:rsidR="008759FF" w:rsidRDefault="008759FF" w:rsidP="008759FF">
      <w:pPr>
        <w:pStyle w:val="Numbers"/>
        <w:numPr>
          <w:ilvl w:val="0"/>
          <w:numId w:val="0"/>
        </w:numPr>
        <w:jc w:val="both"/>
        <w:rPr>
          <w:rFonts w:ascii="Arial" w:hAnsi="Arial" w:cs="Arial"/>
          <w:lang w:val="fr-FR"/>
        </w:rPr>
      </w:pPr>
      <w:r w:rsidRPr="0023436F">
        <w:rPr>
          <w:rFonts w:ascii="Arial" w:hAnsi="Arial" w:cs="Arial"/>
          <w:lang w:val="fr-FR"/>
        </w:rPr>
        <w:t>Burkina Faso</w:t>
      </w:r>
      <w:r>
        <w:rPr>
          <w:rFonts w:ascii="Arial" w:hAnsi="Arial" w:cs="Arial"/>
          <w:lang w:val="fr-FR"/>
        </w:rPr>
        <w:t> :</w:t>
      </w:r>
      <w:r w:rsidRPr="0023436F">
        <w:rPr>
          <w:rFonts w:ascii="Arial" w:hAnsi="Arial" w:cs="Arial"/>
          <w:lang w:val="fr-FR"/>
        </w:rPr>
        <w:t xml:space="preserve"> M</w:t>
      </w:r>
      <w:r>
        <w:rPr>
          <w:rFonts w:ascii="Arial" w:hAnsi="Arial" w:cs="Arial"/>
          <w:lang w:val="fr-FR"/>
        </w:rPr>
        <w:t>me </w:t>
      </w:r>
      <w:r w:rsidRPr="0023436F">
        <w:rPr>
          <w:rFonts w:ascii="Arial" w:hAnsi="Arial" w:cs="Arial"/>
          <w:lang w:val="fr-FR"/>
        </w:rPr>
        <w:t>Mireille Kabore</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Kenya</w:t>
      </w:r>
      <w:r>
        <w:rPr>
          <w:rFonts w:ascii="Arial" w:hAnsi="Arial" w:cs="Arial"/>
          <w:lang w:val="fr-FR"/>
        </w:rPr>
        <w:t> :</w:t>
      </w:r>
      <w:r w:rsidRPr="0023436F">
        <w:rPr>
          <w:rFonts w:ascii="Arial" w:hAnsi="Arial" w:cs="Arial"/>
          <w:lang w:val="fr-FR"/>
        </w:rPr>
        <w:t xml:space="preserve"> M</w:t>
      </w:r>
      <w:r>
        <w:rPr>
          <w:rFonts w:ascii="Arial" w:hAnsi="Arial" w:cs="Arial"/>
          <w:lang w:val="fr-FR"/>
        </w:rPr>
        <w:t>me </w:t>
      </w:r>
      <w:proofErr w:type="spellStart"/>
      <w:r w:rsidRPr="0023436F">
        <w:rPr>
          <w:rFonts w:ascii="Arial" w:hAnsi="Arial" w:cs="Arial"/>
          <w:lang w:val="fr-FR"/>
        </w:rPr>
        <w:t>Marisela</w:t>
      </w:r>
      <w:proofErr w:type="spellEnd"/>
      <w:r w:rsidRPr="0023436F">
        <w:rPr>
          <w:rFonts w:ascii="Arial" w:hAnsi="Arial" w:cs="Arial"/>
          <w:lang w:val="fr-FR"/>
        </w:rPr>
        <w:t xml:space="preserve"> </w:t>
      </w:r>
      <w:proofErr w:type="spellStart"/>
      <w:r w:rsidRPr="0023436F">
        <w:rPr>
          <w:rFonts w:ascii="Arial" w:hAnsi="Arial" w:cs="Arial"/>
          <w:lang w:val="fr-FR"/>
        </w:rPr>
        <w:t>Ouma</w:t>
      </w:r>
      <w:proofErr w:type="spellEnd"/>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S</w:t>
      </w:r>
      <w:r>
        <w:rPr>
          <w:rFonts w:ascii="Arial" w:hAnsi="Arial" w:cs="Arial"/>
          <w:lang w:val="fr-FR"/>
        </w:rPr>
        <w:t>éné</w:t>
      </w:r>
      <w:r w:rsidRPr="0023436F">
        <w:rPr>
          <w:rFonts w:ascii="Arial" w:hAnsi="Arial" w:cs="Arial"/>
          <w:lang w:val="fr-FR"/>
        </w:rPr>
        <w:t>gal</w:t>
      </w:r>
      <w:r>
        <w:rPr>
          <w:rFonts w:ascii="Arial" w:hAnsi="Arial" w:cs="Arial"/>
          <w:lang w:val="fr-FR"/>
        </w:rPr>
        <w:t> :</w:t>
      </w:r>
      <w:r w:rsidRPr="0023436F">
        <w:rPr>
          <w:rFonts w:ascii="Arial" w:hAnsi="Arial" w:cs="Arial"/>
          <w:lang w:val="fr-FR"/>
        </w:rPr>
        <w:t xml:space="preserve"> M.</w:t>
      </w:r>
      <w:r>
        <w:rPr>
          <w:rFonts w:ascii="Arial" w:hAnsi="Arial" w:cs="Arial"/>
          <w:lang w:val="fr-FR"/>
        </w:rPr>
        <w:t> </w:t>
      </w:r>
      <w:r w:rsidRPr="0023436F">
        <w:rPr>
          <w:rFonts w:ascii="Arial" w:hAnsi="Arial" w:cs="Arial"/>
          <w:lang w:val="fr-FR"/>
        </w:rPr>
        <w:t>Aziz Dieng</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R</w:t>
      </w:r>
      <w:r>
        <w:rPr>
          <w:rFonts w:ascii="Arial" w:hAnsi="Arial" w:cs="Arial"/>
          <w:lang w:val="fr-FR"/>
        </w:rPr>
        <w:t xml:space="preserve">eprésentants des bureaux de droit d’auteur </w:t>
      </w:r>
      <w:r w:rsidRPr="0023436F">
        <w:rPr>
          <w:rFonts w:ascii="Arial" w:hAnsi="Arial" w:cs="Arial"/>
          <w:lang w:val="fr-FR"/>
        </w:rPr>
        <w:t>(</w:t>
      </w:r>
      <w:r>
        <w:rPr>
          <w:rFonts w:ascii="Arial" w:hAnsi="Arial" w:cs="Arial"/>
          <w:lang w:val="fr-FR"/>
        </w:rPr>
        <w:t>ou équivalent</w:t>
      </w:r>
      <w:r w:rsidRPr="0023436F">
        <w:rPr>
          <w:rFonts w:ascii="Arial" w:hAnsi="Arial" w:cs="Arial"/>
          <w:lang w:val="fr-FR"/>
        </w:rPr>
        <w:t>)</w:t>
      </w:r>
      <w:r>
        <w:rPr>
          <w:rFonts w:ascii="Arial" w:hAnsi="Arial" w:cs="Arial"/>
          <w:lang w:val="fr-FR"/>
        </w:rPr>
        <w:t> :</w:t>
      </w:r>
    </w:p>
    <w:p w:rsidR="008759FF" w:rsidRPr="0023436F" w:rsidRDefault="008759FF" w:rsidP="008759FF">
      <w:pPr>
        <w:pStyle w:val="Numbers"/>
        <w:numPr>
          <w:ilvl w:val="0"/>
          <w:numId w:val="0"/>
        </w:numPr>
        <w:jc w:val="both"/>
        <w:rPr>
          <w:rFonts w:ascii="Arial" w:hAnsi="Arial" w:cs="Arial"/>
          <w:lang w:val="fr-FR"/>
        </w:rPr>
      </w:pPr>
      <w:r w:rsidRPr="0023436F">
        <w:rPr>
          <w:rFonts w:ascii="Arial" w:hAnsi="Arial" w:cs="Arial"/>
          <w:lang w:val="fr-FR"/>
        </w:rPr>
        <w:t>Burkina Faso</w:t>
      </w:r>
      <w:r>
        <w:rPr>
          <w:rFonts w:ascii="Arial" w:hAnsi="Arial" w:cs="Arial"/>
          <w:lang w:val="fr-FR"/>
        </w:rPr>
        <w:t> :</w:t>
      </w:r>
      <w:r w:rsidRPr="0023436F">
        <w:rPr>
          <w:rFonts w:ascii="Arial" w:hAnsi="Arial" w:cs="Arial"/>
          <w:lang w:val="fr-FR"/>
        </w:rPr>
        <w:t xml:space="preserve"> </w:t>
      </w:r>
      <w:r>
        <w:rPr>
          <w:rFonts w:ascii="Arial" w:hAnsi="Arial" w:cs="Arial"/>
          <w:lang w:val="fr-FR"/>
        </w:rPr>
        <w:t>M. </w:t>
      </w:r>
      <w:proofErr w:type="spellStart"/>
      <w:r w:rsidRPr="0023436F">
        <w:rPr>
          <w:rFonts w:ascii="Arial" w:hAnsi="Arial" w:cs="Arial"/>
          <w:lang w:val="fr-FR"/>
        </w:rPr>
        <w:t>Balamine</w:t>
      </w:r>
      <w:proofErr w:type="spellEnd"/>
      <w:r w:rsidRPr="0023436F">
        <w:rPr>
          <w:rFonts w:ascii="Arial" w:hAnsi="Arial" w:cs="Arial"/>
          <w:lang w:val="fr-FR"/>
        </w:rPr>
        <w:t xml:space="preserve"> Ouattara, </w:t>
      </w:r>
      <w:r>
        <w:rPr>
          <w:rFonts w:ascii="Arial" w:hAnsi="Arial" w:cs="Arial"/>
          <w:lang w:val="fr-FR"/>
        </w:rPr>
        <w:t>responsable de projet et ancien coordonnateur</w:t>
      </w:r>
      <w:r w:rsidRPr="0023436F">
        <w:rPr>
          <w:rFonts w:ascii="Arial" w:hAnsi="Arial" w:cs="Arial"/>
          <w:lang w:val="fr-FR"/>
        </w:rPr>
        <w:t xml:space="preserve"> (2014)</w:t>
      </w:r>
    </w:p>
    <w:p w:rsidR="008759FF" w:rsidRPr="0023436F" w:rsidRDefault="008759FF" w:rsidP="008759FF">
      <w:pPr>
        <w:pStyle w:val="Numbers"/>
        <w:numPr>
          <w:ilvl w:val="0"/>
          <w:numId w:val="0"/>
        </w:numPr>
        <w:rPr>
          <w:rFonts w:ascii="Arial" w:hAnsi="Arial" w:cs="Arial"/>
          <w:lang w:val="fr-FR"/>
        </w:rPr>
      </w:pPr>
      <w:r w:rsidRPr="0023436F">
        <w:rPr>
          <w:rFonts w:ascii="Arial" w:hAnsi="Arial" w:cs="Arial"/>
          <w:lang w:val="fr-FR"/>
        </w:rPr>
        <w:t>Kenya</w:t>
      </w:r>
      <w:r>
        <w:rPr>
          <w:rFonts w:ascii="Arial" w:hAnsi="Arial" w:cs="Arial"/>
          <w:lang w:val="fr-FR"/>
        </w:rPr>
        <w:t> :</w:t>
      </w:r>
      <w:r w:rsidRPr="0023436F">
        <w:rPr>
          <w:rFonts w:ascii="Arial" w:hAnsi="Arial" w:cs="Arial"/>
          <w:lang w:val="fr-FR"/>
        </w:rPr>
        <w:t xml:space="preserve"> M.</w:t>
      </w:r>
      <w:r>
        <w:rPr>
          <w:rFonts w:ascii="Arial" w:hAnsi="Arial" w:cs="Arial"/>
          <w:lang w:val="fr-FR"/>
        </w:rPr>
        <w:t xml:space="preserve"> Edward </w:t>
      </w:r>
      <w:proofErr w:type="spellStart"/>
      <w:r>
        <w:rPr>
          <w:rFonts w:ascii="Arial" w:hAnsi="Arial" w:cs="Arial"/>
          <w:lang w:val="fr-FR"/>
        </w:rPr>
        <w:t>Sigei</w:t>
      </w:r>
      <w:proofErr w:type="spellEnd"/>
      <w:r>
        <w:rPr>
          <w:rFonts w:ascii="Arial" w:hAnsi="Arial" w:cs="Arial"/>
          <w:lang w:val="fr-FR"/>
        </w:rPr>
        <w:t>, directeur juridique et directeur par intérim</w:t>
      </w:r>
      <w:r w:rsidRPr="0023436F">
        <w:rPr>
          <w:rFonts w:ascii="Arial" w:hAnsi="Arial" w:cs="Arial"/>
          <w:lang w:val="fr-FR"/>
        </w:rPr>
        <w:t>, M.</w:t>
      </w:r>
      <w:r>
        <w:rPr>
          <w:rFonts w:ascii="Arial" w:hAnsi="Arial" w:cs="Arial"/>
          <w:lang w:val="fr-FR"/>
        </w:rPr>
        <w:t> </w:t>
      </w:r>
      <w:r w:rsidRPr="0023436F">
        <w:rPr>
          <w:rFonts w:ascii="Arial" w:hAnsi="Arial" w:cs="Arial"/>
          <w:lang w:val="fr-FR"/>
        </w:rPr>
        <w:t xml:space="preserve">Timothy </w:t>
      </w:r>
      <w:proofErr w:type="spellStart"/>
      <w:r w:rsidRPr="0023436F">
        <w:rPr>
          <w:rFonts w:ascii="Arial" w:hAnsi="Arial" w:cs="Arial"/>
          <w:lang w:val="fr-FR"/>
        </w:rPr>
        <w:t>Owase</w:t>
      </w:r>
      <w:proofErr w:type="spellEnd"/>
      <w:r w:rsidRPr="0023436F">
        <w:rPr>
          <w:rFonts w:ascii="Arial" w:hAnsi="Arial" w:cs="Arial"/>
          <w:lang w:val="fr-FR"/>
        </w:rPr>
        <w:t xml:space="preserve">, </w:t>
      </w:r>
      <w:r>
        <w:rPr>
          <w:rFonts w:ascii="Arial" w:hAnsi="Arial" w:cs="Arial"/>
          <w:lang w:val="fr-FR"/>
        </w:rPr>
        <w:t>directeur du développement</w:t>
      </w:r>
      <w:r w:rsidRPr="0023436F">
        <w:rPr>
          <w:rFonts w:ascii="Arial" w:hAnsi="Arial" w:cs="Arial"/>
          <w:lang w:val="fr-FR"/>
        </w:rPr>
        <w:t xml:space="preserve">, </w:t>
      </w:r>
      <w:r>
        <w:rPr>
          <w:rFonts w:ascii="Arial" w:hAnsi="Arial" w:cs="Arial"/>
          <w:lang w:val="fr-FR"/>
        </w:rPr>
        <w:t>Commission cinématographique du Kenya</w:t>
      </w:r>
    </w:p>
    <w:p w:rsidR="008759FF" w:rsidRPr="0023436F" w:rsidRDefault="008759FF" w:rsidP="008759FF">
      <w:pPr>
        <w:pStyle w:val="Numbers"/>
        <w:numPr>
          <w:ilvl w:val="0"/>
          <w:numId w:val="0"/>
        </w:numPr>
        <w:rPr>
          <w:rFonts w:ascii="Arial" w:hAnsi="Arial" w:cs="Arial"/>
          <w:lang w:val="fr-FR"/>
        </w:rPr>
      </w:pPr>
      <w:r w:rsidRPr="0023436F">
        <w:rPr>
          <w:rFonts w:ascii="Arial" w:hAnsi="Arial" w:cs="Arial"/>
          <w:lang w:val="fr-FR"/>
        </w:rPr>
        <w:t>S</w:t>
      </w:r>
      <w:r>
        <w:rPr>
          <w:rFonts w:ascii="Arial" w:hAnsi="Arial" w:cs="Arial"/>
          <w:lang w:val="fr-FR"/>
        </w:rPr>
        <w:t>éné</w:t>
      </w:r>
      <w:r w:rsidRPr="0023436F">
        <w:rPr>
          <w:rFonts w:ascii="Arial" w:hAnsi="Arial" w:cs="Arial"/>
          <w:lang w:val="fr-FR"/>
        </w:rPr>
        <w:t>gal</w:t>
      </w:r>
      <w:r>
        <w:rPr>
          <w:rFonts w:ascii="Arial" w:hAnsi="Arial" w:cs="Arial"/>
          <w:lang w:val="fr-FR"/>
        </w:rPr>
        <w:t> :</w:t>
      </w:r>
      <w:r w:rsidRPr="0023436F">
        <w:rPr>
          <w:rFonts w:ascii="Arial" w:hAnsi="Arial" w:cs="Arial"/>
          <w:lang w:val="fr-FR"/>
        </w:rPr>
        <w:t xml:space="preserve"> M</w:t>
      </w:r>
      <w:r>
        <w:rPr>
          <w:rFonts w:ascii="Arial" w:hAnsi="Arial" w:cs="Arial"/>
          <w:lang w:val="fr-FR"/>
        </w:rPr>
        <w:t>me </w:t>
      </w:r>
      <w:proofErr w:type="spellStart"/>
      <w:r w:rsidRPr="0023436F">
        <w:rPr>
          <w:rFonts w:ascii="Arial" w:hAnsi="Arial" w:cs="Arial"/>
          <w:lang w:val="fr-FR"/>
        </w:rPr>
        <w:t>Mareme</w:t>
      </w:r>
      <w:proofErr w:type="spellEnd"/>
      <w:r w:rsidRPr="0023436F">
        <w:rPr>
          <w:rFonts w:ascii="Arial" w:hAnsi="Arial" w:cs="Arial"/>
          <w:lang w:val="fr-FR"/>
        </w:rPr>
        <w:t xml:space="preserve"> Diop, Conseillère technique affaires internationales, Ministère de la culture, </w:t>
      </w:r>
      <w:r>
        <w:rPr>
          <w:rFonts w:ascii="Arial" w:hAnsi="Arial" w:cs="Arial"/>
          <w:lang w:val="fr-FR"/>
        </w:rPr>
        <w:t xml:space="preserve">M. l’Ambassadeur </w:t>
      </w:r>
      <w:proofErr w:type="spellStart"/>
      <w:r w:rsidRPr="0023436F">
        <w:rPr>
          <w:rFonts w:ascii="Arial" w:hAnsi="Arial" w:cs="Arial"/>
          <w:lang w:val="fr-FR"/>
        </w:rPr>
        <w:t>Fode</w:t>
      </w:r>
      <w:proofErr w:type="spellEnd"/>
      <w:r w:rsidRPr="0023436F">
        <w:rPr>
          <w:rFonts w:ascii="Arial" w:hAnsi="Arial" w:cs="Arial"/>
          <w:lang w:val="fr-FR"/>
        </w:rPr>
        <w:t xml:space="preserve"> </w:t>
      </w:r>
      <w:proofErr w:type="spellStart"/>
      <w:r w:rsidRPr="0023436F">
        <w:rPr>
          <w:rFonts w:ascii="Arial" w:hAnsi="Arial" w:cs="Arial"/>
          <w:lang w:val="fr-FR"/>
        </w:rPr>
        <w:t>Seck</w:t>
      </w:r>
      <w:proofErr w:type="spellEnd"/>
      <w:r w:rsidRPr="0023436F">
        <w:rPr>
          <w:rFonts w:ascii="Arial" w:hAnsi="Arial" w:cs="Arial"/>
          <w:lang w:val="fr-FR"/>
        </w:rPr>
        <w:t>.</w:t>
      </w:r>
    </w:p>
    <w:p w:rsidR="008759FF" w:rsidRPr="0023436F" w:rsidRDefault="008759FF" w:rsidP="008759FF">
      <w:pPr>
        <w:pStyle w:val="Numbers"/>
        <w:numPr>
          <w:ilvl w:val="0"/>
          <w:numId w:val="0"/>
        </w:numPr>
        <w:rPr>
          <w:rFonts w:ascii="Arial" w:hAnsi="Arial" w:cs="Arial"/>
          <w:lang w:val="fr-FR"/>
        </w:rPr>
      </w:pPr>
      <w:r>
        <w:rPr>
          <w:rFonts w:ascii="Arial" w:hAnsi="Arial" w:cs="Arial"/>
          <w:lang w:val="fr-FR"/>
        </w:rPr>
        <w:t>Représentants des États membres : Allemagne,</w:t>
      </w:r>
      <w:r w:rsidRPr="0023436F">
        <w:rPr>
          <w:rFonts w:ascii="Arial" w:hAnsi="Arial" w:cs="Arial"/>
          <w:lang w:val="fr-FR"/>
        </w:rPr>
        <w:t xml:space="preserve"> Br</w:t>
      </w:r>
      <w:r>
        <w:rPr>
          <w:rFonts w:ascii="Arial" w:hAnsi="Arial" w:cs="Arial"/>
          <w:lang w:val="fr-FR"/>
        </w:rPr>
        <w:t>és</w:t>
      </w:r>
      <w:r w:rsidRPr="0023436F">
        <w:rPr>
          <w:rFonts w:ascii="Arial" w:hAnsi="Arial" w:cs="Arial"/>
          <w:lang w:val="fr-FR"/>
        </w:rPr>
        <w:t>il, Burkina Faso, Indon</w:t>
      </w:r>
      <w:r>
        <w:rPr>
          <w:rFonts w:ascii="Arial" w:hAnsi="Arial" w:cs="Arial"/>
          <w:lang w:val="fr-FR"/>
        </w:rPr>
        <w:t>é</w:t>
      </w:r>
      <w:r w:rsidRPr="0023436F">
        <w:rPr>
          <w:rFonts w:ascii="Arial" w:hAnsi="Arial" w:cs="Arial"/>
          <w:lang w:val="fr-FR"/>
        </w:rPr>
        <w:t>si</w:t>
      </w:r>
      <w:r>
        <w:rPr>
          <w:rFonts w:ascii="Arial" w:hAnsi="Arial" w:cs="Arial"/>
          <w:lang w:val="fr-FR"/>
        </w:rPr>
        <w:t>e, Ke</w:t>
      </w:r>
      <w:r w:rsidRPr="0023436F">
        <w:rPr>
          <w:rFonts w:ascii="Arial" w:hAnsi="Arial" w:cs="Arial"/>
          <w:lang w:val="fr-FR"/>
        </w:rPr>
        <w:t>nya, Oman, Ro</w:t>
      </w:r>
      <w:r>
        <w:rPr>
          <w:rFonts w:ascii="Arial" w:hAnsi="Arial" w:cs="Arial"/>
          <w:lang w:val="fr-FR"/>
        </w:rPr>
        <w:t>u</w:t>
      </w:r>
      <w:r w:rsidRPr="0023436F">
        <w:rPr>
          <w:rFonts w:ascii="Arial" w:hAnsi="Arial" w:cs="Arial"/>
          <w:lang w:val="fr-FR"/>
        </w:rPr>
        <w:t>mani</w:t>
      </w:r>
      <w:r>
        <w:rPr>
          <w:rFonts w:ascii="Arial" w:hAnsi="Arial" w:cs="Arial"/>
          <w:lang w:val="fr-FR"/>
        </w:rPr>
        <w:t>e, Royaume</w:t>
      </w:r>
      <w:r>
        <w:rPr>
          <w:rFonts w:ascii="Arial" w:hAnsi="Arial" w:cs="Arial"/>
          <w:lang w:val="fr-FR"/>
        </w:rPr>
        <w:noBreakHyphen/>
        <w:t>Uni, Sénégal</w:t>
      </w:r>
    </w:p>
    <w:p w:rsidR="008759FF" w:rsidRPr="0023436F" w:rsidRDefault="008759FF" w:rsidP="008759FF">
      <w:pPr>
        <w:pStyle w:val="Numbers"/>
        <w:numPr>
          <w:ilvl w:val="0"/>
          <w:numId w:val="0"/>
        </w:numPr>
        <w:rPr>
          <w:rFonts w:ascii="Arial" w:hAnsi="Arial" w:cs="Arial"/>
          <w:b/>
          <w:i/>
          <w:lang w:val="fr-FR"/>
        </w:rPr>
      </w:pPr>
      <w:r>
        <w:rPr>
          <w:rFonts w:ascii="Arial" w:hAnsi="Arial" w:cs="Arial"/>
          <w:lang w:val="fr-FR"/>
        </w:rPr>
        <w:lastRenderedPageBreak/>
        <w:t>Consultants externes ayant participé au projet :</w:t>
      </w:r>
      <w:r w:rsidRPr="0023436F">
        <w:rPr>
          <w:rFonts w:ascii="Arial" w:hAnsi="Arial" w:cs="Arial"/>
          <w:lang w:val="fr-FR"/>
        </w:rPr>
        <w:t xml:space="preserve"> Bertrand </w:t>
      </w:r>
      <w:proofErr w:type="spellStart"/>
      <w:r w:rsidRPr="0023436F">
        <w:rPr>
          <w:rFonts w:ascii="Arial" w:hAnsi="Arial" w:cs="Arial"/>
          <w:lang w:val="fr-FR"/>
        </w:rPr>
        <w:t>Moullier</w:t>
      </w:r>
      <w:proofErr w:type="spellEnd"/>
      <w:r w:rsidRPr="0023436F">
        <w:rPr>
          <w:rFonts w:ascii="Arial" w:hAnsi="Arial" w:cs="Arial"/>
          <w:lang w:val="fr-FR"/>
        </w:rPr>
        <w:t xml:space="preserve"> (</w:t>
      </w:r>
      <w:r>
        <w:rPr>
          <w:rFonts w:ascii="Arial" w:hAnsi="Arial" w:cs="Arial"/>
          <w:lang w:val="fr-FR"/>
        </w:rPr>
        <w:t>Royaume</w:t>
      </w:r>
      <w:r>
        <w:rPr>
          <w:rFonts w:ascii="Arial" w:hAnsi="Arial" w:cs="Arial"/>
          <w:lang w:val="fr-FR"/>
        </w:rPr>
        <w:noBreakHyphen/>
        <w:t>Uni</w:t>
      </w:r>
      <w:r w:rsidRPr="0023436F">
        <w:rPr>
          <w:rFonts w:ascii="Arial" w:hAnsi="Arial" w:cs="Arial"/>
          <w:lang w:val="fr-FR"/>
        </w:rPr>
        <w:t>), Benoit Muller (</w:t>
      </w:r>
      <w:r>
        <w:rPr>
          <w:rFonts w:ascii="Arial" w:hAnsi="Arial" w:cs="Arial"/>
          <w:lang w:val="fr-FR"/>
        </w:rPr>
        <w:t>Suisse</w:t>
      </w:r>
      <w:r w:rsidRPr="0023436F">
        <w:rPr>
          <w:rFonts w:ascii="Arial" w:hAnsi="Arial" w:cs="Arial"/>
          <w:lang w:val="fr-FR"/>
        </w:rPr>
        <w:t xml:space="preserve">), </w:t>
      </w:r>
      <w:proofErr w:type="spellStart"/>
      <w:r w:rsidRPr="0023436F">
        <w:rPr>
          <w:rFonts w:ascii="Arial" w:hAnsi="Arial" w:cs="Arial"/>
          <w:lang w:val="fr-FR"/>
        </w:rPr>
        <w:t>Tarja</w:t>
      </w:r>
      <w:proofErr w:type="spellEnd"/>
      <w:r w:rsidRPr="0023436F">
        <w:rPr>
          <w:rFonts w:ascii="Arial" w:hAnsi="Arial" w:cs="Arial"/>
          <w:lang w:val="fr-FR"/>
        </w:rPr>
        <w:t xml:space="preserve"> </w:t>
      </w:r>
      <w:proofErr w:type="spellStart"/>
      <w:r w:rsidRPr="0023436F">
        <w:rPr>
          <w:rFonts w:ascii="Arial" w:hAnsi="Arial" w:cs="Arial"/>
          <w:lang w:val="fr-FR"/>
        </w:rPr>
        <w:t>Koskinen</w:t>
      </w:r>
      <w:proofErr w:type="spellEnd"/>
      <w:r w:rsidRPr="0023436F">
        <w:rPr>
          <w:rFonts w:ascii="Arial" w:hAnsi="Arial" w:cs="Arial"/>
          <w:lang w:val="fr-FR"/>
        </w:rPr>
        <w:t xml:space="preserve"> </w:t>
      </w:r>
      <w:proofErr w:type="spellStart"/>
      <w:r w:rsidRPr="0023436F">
        <w:rPr>
          <w:rFonts w:ascii="Arial" w:hAnsi="Arial" w:cs="Arial"/>
          <w:lang w:val="fr-FR"/>
        </w:rPr>
        <w:t>Olson</w:t>
      </w:r>
      <w:proofErr w:type="spellEnd"/>
      <w:r w:rsidRPr="0023436F">
        <w:rPr>
          <w:rFonts w:ascii="Arial" w:hAnsi="Arial" w:cs="Arial"/>
          <w:lang w:val="fr-FR"/>
        </w:rPr>
        <w:t xml:space="preserve"> (Finland</w:t>
      </w:r>
      <w:r>
        <w:rPr>
          <w:rFonts w:ascii="Arial" w:hAnsi="Arial" w:cs="Arial"/>
          <w:lang w:val="fr-FR"/>
        </w:rPr>
        <w:t>e</w:t>
      </w:r>
      <w:r w:rsidRPr="0023436F">
        <w:rPr>
          <w:rFonts w:ascii="Arial" w:hAnsi="Arial" w:cs="Arial"/>
          <w:lang w:val="fr-FR"/>
        </w:rPr>
        <w:t xml:space="preserve">), Alain </w:t>
      </w:r>
      <w:proofErr w:type="spellStart"/>
      <w:r w:rsidRPr="0023436F">
        <w:rPr>
          <w:rFonts w:ascii="Arial" w:hAnsi="Arial" w:cs="Arial"/>
          <w:lang w:val="fr-FR"/>
        </w:rPr>
        <w:t>Modo</w:t>
      </w:r>
      <w:r>
        <w:rPr>
          <w:rFonts w:ascii="Arial" w:hAnsi="Arial" w:cs="Arial"/>
          <w:lang w:val="fr-FR"/>
        </w:rPr>
        <w:t>t</w:t>
      </w:r>
      <w:proofErr w:type="spellEnd"/>
      <w:r>
        <w:rPr>
          <w:rFonts w:ascii="Arial" w:hAnsi="Arial" w:cs="Arial"/>
          <w:lang w:val="fr-FR"/>
        </w:rPr>
        <w:t xml:space="preserve"> (France), Sandra </w:t>
      </w:r>
      <w:proofErr w:type="spellStart"/>
      <w:r>
        <w:rPr>
          <w:rFonts w:ascii="Arial" w:hAnsi="Arial" w:cs="Arial"/>
          <w:lang w:val="fr-FR"/>
        </w:rPr>
        <w:t>Oyewole</w:t>
      </w:r>
      <w:proofErr w:type="spellEnd"/>
      <w:r>
        <w:rPr>
          <w:rFonts w:ascii="Arial" w:hAnsi="Arial" w:cs="Arial"/>
          <w:lang w:val="fr-FR"/>
        </w:rPr>
        <w:t xml:space="preserve"> (Nigé</w:t>
      </w:r>
      <w:r w:rsidRPr="0023436F">
        <w:rPr>
          <w:rFonts w:ascii="Arial" w:hAnsi="Arial" w:cs="Arial"/>
          <w:lang w:val="fr-FR"/>
        </w:rPr>
        <w:t xml:space="preserve">ria), Jean Hubert </w:t>
      </w:r>
      <w:proofErr w:type="spellStart"/>
      <w:r w:rsidRPr="0023436F">
        <w:rPr>
          <w:rFonts w:ascii="Arial" w:hAnsi="Arial" w:cs="Arial"/>
          <w:lang w:val="fr-FR"/>
        </w:rPr>
        <w:t>Nankam</w:t>
      </w:r>
      <w:proofErr w:type="spellEnd"/>
      <w:r w:rsidRPr="0023436F">
        <w:rPr>
          <w:rFonts w:ascii="Arial" w:hAnsi="Arial" w:cs="Arial"/>
          <w:lang w:val="fr-FR"/>
        </w:rPr>
        <w:t xml:space="preserve"> (</w:t>
      </w:r>
      <w:r>
        <w:rPr>
          <w:rFonts w:ascii="Arial" w:hAnsi="Arial" w:cs="Arial"/>
          <w:lang w:val="fr-FR"/>
        </w:rPr>
        <w:t>Côte d’Ivoire</w:t>
      </w:r>
      <w:r w:rsidRPr="0023436F">
        <w:rPr>
          <w:rFonts w:ascii="Arial" w:hAnsi="Arial" w:cs="Arial"/>
          <w:lang w:val="fr-FR"/>
        </w:rPr>
        <w:t xml:space="preserve">), Corneille </w:t>
      </w:r>
      <w:proofErr w:type="spellStart"/>
      <w:r w:rsidRPr="0023436F">
        <w:rPr>
          <w:rFonts w:ascii="Arial" w:hAnsi="Arial" w:cs="Arial"/>
          <w:lang w:val="fr-FR"/>
        </w:rPr>
        <w:t>Badji</w:t>
      </w:r>
      <w:proofErr w:type="spellEnd"/>
      <w:r w:rsidRPr="0023436F">
        <w:rPr>
          <w:rFonts w:ascii="Arial" w:hAnsi="Arial" w:cs="Arial"/>
          <w:lang w:val="fr-FR"/>
        </w:rPr>
        <w:t xml:space="preserve"> (S</w:t>
      </w:r>
      <w:r>
        <w:rPr>
          <w:rFonts w:ascii="Arial" w:hAnsi="Arial" w:cs="Arial"/>
          <w:lang w:val="fr-FR"/>
        </w:rPr>
        <w:t>éné</w:t>
      </w:r>
      <w:r w:rsidRPr="0023436F">
        <w:rPr>
          <w:rFonts w:ascii="Arial" w:hAnsi="Arial" w:cs="Arial"/>
          <w:lang w:val="fr-FR"/>
        </w:rPr>
        <w:t xml:space="preserve">gal), Carmen Garcia (Canada) </w:t>
      </w:r>
      <w:r>
        <w:rPr>
          <w:rFonts w:ascii="Arial" w:hAnsi="Arial" w:cs="Arial"/>
          <w:lang w:val="fr-FR"/>
        </w:rPr>
        <w:t>et</w:t>
      </w:r>
      <w:r w:rsidRPr="0023436F">
        <w:rPr>
          <w:rFonts w:ascii="Arial" w:hAnsi="Arial" w:cs="Arial"/>
          <w:lang w:val="fr-FR"/>
        </w:rPr>
        <w:t xml:space="preserve"> Abdellatif </w:t>
      </w:r>
      <w:proofErr w:type="spellStart"/>
      <w:r w:rsidRPr="0023436F">
        <w:rPr>
          <w:rFonts w:ascii="Arial" w:hAnsi="Arial" w:cs="Arial"/>
          <w:lang w:val="fr-FR"/>
        </w:rPr>
        <w:t>Laassadi</w:t>
      </w:r>
      <w:proofErr w:type="spellEnd"/>
      <w:r w:rsidRPr="0023436F">
        <w:rPr>
          <w:rFonts w:ascii="Arial" w:hAnsi="Arial" w:cs="Arial"/>
          <w:lang w:val="fr-FR"/>
        </w:rPr>
        <w:t xml:space="preserve"> (M</w:t>
      </w:r>
      <w:r>
        <w:rPr>
          <w:rFonts w:ascii="Arial" w:hAnsi="Arial" w:cs="Arial"/>
          <w:lang w:val="fr-FR"/>
        </w:rPr>
        <w:t>a</w:t>
      </w:r>
      <w:r w:rsidRPr="0023436F">
        <w:rPr>
          <w:rFonts w:ascii="Arial" w:hAnsi="Arial" w:cs="Arial"/>
          <w:lang w:val="fr-FR"/>
        </w:rPr>
        <w:t>roc).</w:t>
      </w:r>
    </w:p>
    <w:p w:rsidR="008759FF" w:rsidRPr="0023436F" w:rsidRDefault="008759FF" w:rsidP="008759FF">
      <w:pPr>
        <w:rPr>
          <w:lang w:val="fr-FR"/>
        </w:rPr>
      </w:pPr>
    </w:p>
    <w:p w:rsidR="008759FF" w:rsidRPr="0023436F" w:rsidRDefault="008759FF" w:rsidP="008759FF">
      <w:pPr>
        <w:rPr>
          <w:lang w:val="fr-FR"/>
        </w:rPr>
      </w:pPr>
    </w:p>
    <w:p w:rsidR="008759FF" w:rsidRPr="0023436F" w:rsidRDefault="008759FF" w:rsidP="008759FF">
      <w:pPr>
        <w:rPr>
          <w:lang w:val="fr-FR"/>
        </w:rPr>
      </w:pPr>
    </w:p>
    <w:p w:rsidR="008759FF" w:rsidRPr="0023436F" w:rsidRDefault="008759FF" w:rsidP="008759FF">
      <w:pPr>
        <w:pStyle w:val="Endofdocument"/>
        <w:spacing w:line="240" w:lineRule="auto"/>
        <w:rPr>
          <w:lang w:val="fr-FR"/>
        </w:rPr>
      </w:pPr>
      <w:r w:rsidRPr="0023436F">
        <w:rPr>
          <w:lang w:val="fr-FR" w:bidi="en-US"/>
        </w:rPr>
        <w:t>[F</w:t>
      </w:r>
      <w:r>
        <w:rPr>
          <w:lang w:val="fr-FR" w:bidi="en-US"/>
        </w:rPr>
        <w:t>in de l’appendice III et du document</w:t>
      </w:r>
      <w:r w:rsidRPr="0023436F">
        <w:rPr>
          <w:lang w:val="fr-FR" w:bidi="en-US"/>
        </w:rPr>
        <w:t>]</w:t>
      </w:r>
    </w:p>
    <w:p w:rsidR="008759FF" w:rsidRPr="0023436F" w:rsidRDefault="008759FF" w:rsidP="008759FF">
      <w:pPr>
        <w:rPr>
          <w:lang w:val="fr-FR"/>
        </w:rPr>
      </w:pPr>
    </w:p>
    <w:p w:rsidR="00CF6C5D" w:rsidRPr="00EE65CE" w:rsidRDefault="00CF6C5D" w:rsidP="00542460">
      <w:pPr>
        <w:pStyle w:val="Endofdocument"/>
        <w:spacing w:line="240" w:lineRule="auto"/>
        <w:ind w:left="5080"/>
        <w:rPr>
          <w:lang w:val="fr-FR"/>
        </w:rPr>
      </w:pPr>
    </w:p>
    <w:sectPr w:rsidR="00CF6C5D" w:rsidRPr="00EE65CE" w:rsidSect="0044353E">
      <w:headerReference w:type="default" r:id="rId17"/>
      <w:headerReference w:type="first" r:id="rId18"/>
      <w:footerReference w:type="first" r:id="rId19"/>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73" w:rsidRDefault="00754673">
      <w:r>
        <w:separator/>
      </w:r>
    </w:p>
  </w:endnote>
  <w:endnote w:type="continuationSeparator" w:id="0">
    <w:p w:rsidR="00754673" w:rsidRDefault="00754673" w:rsidP="003B38C1">
      <w:r>
        <w:separator/>
      </w:r>
    </w:p>
    <w:p w:rsidR="00754673" w:rsidRPr="003B38C1" w:rsidRDefault="00754673" w:rsidP="003B38C1">
      <w:pPr>
        <w:spacing w:after="60"/>
        <w:rPr>
          <w:sz w:val="17"/>
        </w:rPr>
      </w:pPr>
      <w:r>
        <w:rPr>
          <w:sz w:val="17"/>
        </w:rPr>
        <w:t>[Endnote continued from previous page]</w:t>
      </w:r>
    </w:p>
  </w:endnote>
  <w:endnote w:type="continuationNotice" w:id="1">
    <w:p w:rsidR="00754673" w:rsidRPr="003B38C1" w:rsidRDefault="007546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Pr="0044353E" w:rsidRDefault="00754673" w:rsidP="0044353E">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Default="007546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Default="00754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73" w:rsidRDefault="00754673">
      <w:r>
        <w:separator/>
      </w:r>
    </w:p>
  </w:footnote>
  <w:footnote w:type="continuationSeparator" w:id="0">
    <w:p w:rsidR="00754673" w:rsidRDefault="00754673" w:rsidP="008B60B2">
      <w:r>
        <w:separator/>
      </w:r>
    </w:p>
    <w:p w:rsidR="00754673" w:rsidRPr="00ED77FB" w:rsidRDefault="00754673" w:rsidP="008B60B2">
      <w:pPr>
        <w:spacing w:after="60"/>
        <w:rPr>
          <w:sz w:val="17"/>
          <w:szCs w:val="17"/>
        </w:rPr>
      </w:pPr>
      <w:r w:rsidRPr="00ED77FB">
        <w:rPr>
          <w:sz w:val="17"/>
          <w:szCs w:val="17"/>
        </w:rPr>
        <w:t>[Footnote continued from previous page]</w:t>
      </w:r>
    </w:p>
  </w:footnote>
  <w:footnote w:type="continuationNotice" w:id="1">
    <w:p w:rsidR="00754673" w:rsidRPr="00ED77FB" w:rsidRDefault="007546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Default="00754673" w:rsidP="00477D6B">
    <w:pPr>
      <w:jc w:val="right"/>
    </w:pPr>
    <w:bookmarkStart w:id="5" w:name="Code2"/>
    <w:bookmarkEnd w:id="5"/>
    <w:r>
      <w:t>CDIP/13/3</w:t>
    </w:r>
  </w:p>
  <w:p w:rsidR="00754673" w:rsidRDefault="00754673" w:rsidP="00477D6B">
    <w:pPr>
      <w:jc w:val="right"/>
    </w:pPr>
    <w:r>
      <w:t xml:space="preserve"> </w:t>
    </w: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983EE3">
      <w:rPr>
        <w:rStyle w:val="PageNumber"/>
        <w:noProof/>
      </w:rPr>
      <w:t>1</w:t>
    </w:r>
    <w:r>
      <w:rPr>
        <w:rStyle w:val="PageNumber"/>
      </w:rPr>
      <w:fldChar w:fldCharType="end"/>
    </w:r>
  </w:p>
  <w:p w:rsidR="00754673" w:rsidRDefault="00754673" w:rsidP="00477D6B">
    <w:pPr>
      <w:jc w:val="right"/>
    </w:pPr>
    <w:bookmarkStart w:id="6" w:name="_Toc320474862"/>
    <w:bookmarkStart w:id="7" w:name="_Toc320700943"/>
    <w:bookmarkStart w:id="8" w:name="_Toc321120939"/>
    <w:bookmarkEnd w:id="6"/>
    <w:bookmarkEnd w:id="7"/>
    <w:bookmarkEnd w:id="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Pr="00150FAF" w:rsidRDefault="00754673" w:rsidP="00477D6B">
    <w:pPr>
      <w:jc w:val="right"/>
      <w:rPr>
        <w:lang w:val="fr-FR"/>
      </w:rPr>
    </w:pPr>
    <w:r w:rsidRPr="00150FAF">
      <w:rPr>
        <w:lang w:val="fr-FR"/>
      </w:rPr>
      <w:t>CDIP/1</w:t>
    </w:r>
    <w:r>
      <w:rPr>
        <w:lang w:val="fr-FR"/>
      </w:rPr>
      <w:t>7</w:t>
    </w:r>
    <w:r w:rsidRPr="00150FAF">
      <w:rPr>
        <w:lang w:val="fr-FR"/>
      </w:rPr>
      <w:t>/</w:t>
    </w:r>
    <w:r>
      <w:rPr>
        <w:lang w:val="fr-FR"/>
      </w:rPr>
      <w:t>3</w:t>
    </w:r>
  </w:p>
  <w:p w:rsidR="00754673" w:rsidRPr="00150FAF" w:rsidRDefault="00754673" w:rsidP="00477D6B">
    <w:pPr>
      <w:jc w:val="right"/>
      <w:rPr>
        <w:lang w:val="fr-FR"/>
      </w:rPr>
    </w:pPr>
    <w:r>
      <w:rPr>
        <w:lang w:val="fr-FR"/>
      </w:rPr>
      <w:t>Annexe</w:t>
    </w:r>
    <w:r w:rsidRPr="00150FAF">
      <w:rPr>
        <w:lang w:val="fr-FR"/>
      </w:rPr>
      <w:t xml:space="preserve">, page </w:t>
    </w:r>
    <w:r>
      <w:rPr>
        <w:rStyle w:val="PageNumber"/>
      </w:rPr>
      <w:fldChar w:fldCharType="begin"/>
    </w:r>
    <w:r w:rsidRPr="00150FAF">
      <w:rPr>
        <w:rStyle w:val="PageNumber"/>
        <w:lang w:val="fr-FR"/>
      </w:rPr>
      <w:instrText xml:space="preserve"> PAGE </w:instrText>
    </w:r>
    <w:r>
      <w:rPr>
        <w:rStyle w:val="PageNumber"/>
      </w:rPr>
      <w:fldChar w:fldCharType="separate"/>
    </w:r>
    <w:r w:rsidR="00983EE3">
      <w:rPr>
        <w:rStyle w:val="PageNumber"/>
        <w:noProof/>
        <w:lang w:val="fr-FR"/>
      </w:rPr>
      <w:t>15</w:t>
    </w:r>
    <w:r>
      <w:rPr>
        <w:rStyle w:val="PageNumber"/>
      </w:rPr>
      <w:fldChar w:fldCharType="end"/>
    </w:r>
  </w:p>
  <w:p w:rsidR="00754673" w:rsidRPr="00150FAF" w:rsidRDefault="0075467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Default="00754673" w:rsidP="00FB6E4B">
    <w:pPr>
      <w:pStyle w:val="Header"/>
      <w:jc w:val="right"/>
    </w:pPr>
    <w:r>
      <w:t>CDIP/17/3</w:t>
    </w:r>
  </w:p>
  <w:p w:rsidR="00754673" w:rsidRDefault="00754673" w:rsidP="00FB6E4B">
    <w:pPr>
      <w:pStyle w:val="Header"/>
      <w:jc w:val="right"/>
    </w:pPr>
    <w:r>
      <w:t>ANNEXE</w:t>
    </w:r>
  </w:p>
  <w:p w:rsidR="00754673" w:rsidRDefault="00754673" w:rsidP="00FB6E4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Pr="00C30B4C" w:rsidRDefault="00754673" w:rsidP="00477D6B">
    <w:pPr>
      <w:jc w:val="right"/>
      <w:rPr>
        <w:lang w:val="fr-FR"/>
      </w:rPr>
    </w:pPr>
    <w:r w:rsidRPr="00C30B4C">
      <w:rPr>
        <w:lang w:val="fr-FR"/>
      </w:rPr>
      <w:t>CDIP/17/3</w:t>
    </w:r>
  </w:p>
  <w:p w:rsidR="00754673" w:rsidRPr="00C30B4C" w:rsidRDefault="00754673" w:rsidP="00477D6B">
    <w:pPr>
      <w:jc w:val="right"/>
      <w:rPr>
        <w:lang w:val="fr-FR"/>
      </w:rPr>
    </w:pPr>
    <w:r w:rsidRPr="00C30B4C">
      <w:rPr>
        <w:lang w:val="fr-FR"/>
      </w:rPr>
      <w:t>APPENDICE II</w:t>
    </w:r>
  </w:p>
  <w:p w:rsidR="00754673" w:rsidRPr="00C30B4C" w:rsidRDefault="00754673"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Pr="00C30B4C" w:rsidRDefault="00754673" w:rsidP="00FB6E4B">
    <w:pPr>
      <w:pStyle w:val="Header"/>
      <w:jc w:val="right"/>
      <w:rPr>
        <w:lang w:val="fr-FR"/>
      </w:rPr>
    </w:pPr>
    <w:r w:rsidRPr="00C30B4C">
      <w:rPr>
        <w:lang w:val="fr-FR"/>
      </w:rPr>
      <w:t>CDIP/17/3</w:t>
    </w:r>
  </w:p>
  <w:p w:rsidR="00754673" w:rsidRPr="00C30B4C" w:rsidRDefault="00754673" w:rsidP="00FB6E4B">
    <w:pPr>
      <w:pStyle w:val="Header"/>
      <w:jc w:val="right"/>
      <w:rPr>
        <w:lang w:val="fr-FR"/>
      </w:rPr>
    </w:pPr>
    <w:r w:rsidRPr="00C30B4C">
      <w:rPr>
        <w:lang w:val="fr-FR"/>
      </w:rPr>
      <w:t>APPENDICE I</w:t>
    </w:r>
  </w:p>
  <w:p w:rsidR="00754673" w:rsidRPr="00C30B4C" w:rsidRDefault="00754673" w:rsidP="00FB6E4B">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Pr="00150FAF" w:rsidRDefault="00754673" w:rsidP="00477D6B">
    <w:pPr>
      <w:jc w:val="right"/>
      <w:rPr>
        <w:lang w:val="fr-FR"/>
      </w:rPr>
    </w:pPr>
    <w:r w:rsidRPr="00150FAF">
      <w:rPr>
        <w:lang w:val="fr-FR"/>
      </w:rPr>
      <w:t>CDIP/1</w:t>
    </w:r>
    <w:r>
      <w:rPr>
        <w:lang w:val="fr-FR"/>
      </w:rPr>
      <w:t>7</w:t>
    </w:r>
    <w:r w:rsidRPr="00150FAF">
      <w:rPr>
        <w:lang w:val="fr-FR"/>
      </w:rPr>
      <w:t>/</w:t>
    </w:r>
    <w:r>
      <w:rPr>
        <w:lang w:val="fr-FR"/>
      </w:rPr>
      <w:t>3</w:t>
    </w:r>
  </w:p>
  <w:p w:rsidR="00754673" w:rsidRPr="00150FAF" w:rsidRDefault="00754673" w:rsidP="00477D6B">
    <w:pPr>
      <w:jc w:val="right"/>
      <w:rPr>
        <w:lang w:val="fr-FR"/>
      </w:rPr>
    </w:pPr>
    <w:r w:rsidRPr="00150FAF">
      <w:rPr>
        <w:lang w:val="fr-FR"/>
      </w:rPr>
      <w:t>Appendi</w:t>
    </w:r>
    <w:r>
      <w:rPr>
        <w:lang w:val="fr-FR"/>
      </w:rPr>
      <w:t>ce</w:t>
    </w:r>
    <w:r w:rsidRPr="00150FAF">
      <w:rPr>
        <w:lang w:val="fr-FR"/>
      </w:rPr>
      <w:t xml:space="preserve"> III, page </w:t>
    </w:r>
    <w:r>
      <w:rPr>
        <w:rStyle w:val="PageNumber"/>
      </w:rPr>
      <w:fldChar w:fldCharType="begin"/>
    </w:r>
    <w:r w:rsidRPr="00150FAF">
      <w:rPr>
        <w:rStyle w:val="PageNumber"/>
        <w:lang w:val="fr-FR"/>
      </w:rPr>
      <w:instrText xml:space="preserve"> PAGE </w:instrText>
    </w:r>
    <w:r>
      <w:rPr>
        <w:rStyle w:val="PageNumber"/>
      </w:rPr>
      <w:fldChar w:fldCharType="separate"/>
    </w:r>
    <w:r w:rsidR="00983EE3">
      <w:rPr>
        <w:rStyle w:val="PageNumber"/>
        <w:noProof/>
        <w:lang w:val="fr-FR"/>
      </w:rPr>
      <w:t>2</w:t>
    </w:r>
    <w:r>
      <w:rPr>
        <w:rStyle w:val="PageNumber"/>
      </w:rPr>
      <w:fldChar w:fldCharType="end"/>
    </w:r>
  </w:p>
  <w:p w:rsidR="00754673" w:rsidRPr="00150FAF" w:rsidRDefault="00754673"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73" w:rsidRPr="00C30B4C" w:rsidRDefault="00754673" w:rsidP="00FB6E4B">
    <w:pPr>
      <w:pStyle w:val="Header"/>
      <w:jc w:val="right"/>
      <w:rPr>
        <w:lang w:val="fr-FR"/>
      </w:rPr>
    </w:pPr>
    <w:r w:rsidRPr="00C30B4C">
      <w:rPr>
        <w:lang w:val="fr-FR"/>
      </w:rPr>
      <w:t>CDIP/17/3</w:t>
    </w:r>
  </w:p>
  <w:p w:rsidR="00754673" w:rsidRPr="00C30B4C" w:rsidRDefault="00754673" w:rsidP="00FB6E4B">
    <w:pPr>
      <w:pStyle w:val="Header"/>
      <w:jc w:val="right"/>
      <w:rPr>
        <w:lang w:val="fr-FR"/>
      </w:rPr>
    </w:pPr>
    <w:r w:rsidRPr="00C30B4C">
      <w:rPr>
        <w:lang w:val="fr-FR"/>
      </w:rPr>
      <w:t>APPENDICE III</w:t>
    </w:r>
  </w:p>
  <w:p w:rsidR="00754673" w:rsidRPr="00C30B4C" w:rsidRDefault="00754673" w:rsidP="00FB6E4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nsid w:val="018C0EFB"/>
    <w:multiLevelType w:val="hybridMultilevel"/>
    <w:tmpl w:val="D1A6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13A13"/>
    <w:multiLevelType w:val="multilevel"/>
    <w:tmpl w:val="59127244"/>
    <w:lvl w:ilvl="0">
      <w:start w:val="1"/>
      <w:numFmt w:val="decimal"/>
      <w:lvlRestart w:val="0"/>
      <w:lvlText w:val="%1."/>
      <w:lvlJc w:val="left"/>
      <w:pPr>
        <w:tabs>
          <w:tab w:val="num" w:pos="567"/>
        </w:tabs>
      </w:pPr>
      <w:rPr>
        <w:rFonts w:cs="Times New Roman" w:hint="default"/>
        <w:b w:val="0"/>
        <w:bCs/>
        <w:i w:val="0"/>
        <w:i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06CD29E3"/>
    <w:multiLevelType w:val="multilevel"/>
    <w:tmpl w:val="DFEC1E06"/>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0F945FA4"/>
    <w:multiLevelType w:val="multilevel"/>
    <w:tmpl w:val="EAB4B69A"/>
    <w:lvl w:ilvl="0">
      <w:start w:val="1"/>
      <w:numFmt w:val="none"/>
      <w:lvlText w:val="(a)"/>
      <w:lvlJc w:val="left"/>
      <w:pPr>
        <w:ind w:left="360" w:hanging="360"/>
      </w:pPr>
      <w:rPr>
        <w:rFonts w:hint="default"/>
      </w:rPr>
    </w:lvl>
    <w:lvl w:ilvl="1">
      <w:start w:val="1"/>
      <w:numFmt w:val="lowerLetter"/>
      <w:lvlText w:val="(%2)"/>
      <w:lvlJc w:val="left"/>
      <w:pPr>
        <w:ind w:left="0" w:firstLine="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22C60D3"/>
    <w:multiLevelType w:val="multilevel"/>
    <w:tmpl w:val="E79E4B8C"/>
    <w:lvl w:ilvl="0">
      <w:start w:val="1"/>
      <w:numFmt w:val="lowerLetter"/>
      <w:lvlText w:val="%1)"/>
      <w:lvlJc w:val="left"/>
      <w:pPr>
        <w:tabs>
          <w:tab w:val="num" w:pos="567"/>
        </w:tabs>
        <w:ind w:left="0" w:firstLine="0"/>
      </w:pPr>
      <w:rPr>
        <w:rFonts w:ascii="Arial" w:eastAsia="SimSun" w:hAnsi="Arial" w:cs="Arial"/>
        <w:b w:val="0"/>
        <w:bCs/>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84CF6"/>
    <w:multiLevelType w:val="multilevel"/>
    <w:tmpl w:val="7B3C27EC"/>
    <w:lvl w:ilvl="0">
      <w:start w:val="1"/>
      <w:numFmt w:val="decimal"/>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D531D50"/>
    <w:multiLevelType w:val="hybridMultilevel"/>
    <w:tmpl w:val="6F323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93775C"/>
    <w:multiLevelType w:val="hybridMultilevel"/>
    <w:tmpl w:val="CFCA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F87402"/>
    <w:multiLevelType w:val="multilevel"/>
    <w:tmpl w:val="16CAC5E8"/>
    <w:lvl w:ilvl="0">
      <w:start w:val="1"/>
      <w:numFmt w:val="decimal"/>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92E16CF"/>
    <w:multiLevelType w:val="multilevel"/>
    <w:tmpl w:val="E8BAC75C"/>
    <w:lvl w:ilvl="0">
      <w:start w:val="1"/>
      <w:numFmt w:val="lowerLetter"/>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01758A"/>
    <w:multiLevelType w:val="multilevel"/>
    <w:tmpl w:val="16CAC5E8"/>
    <w:lvl w:ilvl="0">
      <w:start w:val="1"/>
      <w:numFmt w:val="decimal"/>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nsid w:val="4B2D3DB8"/>
    <w:multiLevelType w:val="multilevel"/>
    <w:tmpl w:val="E8BAC75C"/>
    <w:lvl w:ilvl="0">
      <w:start w:val="1"/>
      <w:numFmt w:val="lowerLetter"/>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3">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58586373"/>
    <w:multiLevelType w:val="multilevel"/>
    <w:tmpl w:val="C958C694"/>
    <w:lvl w:ilvl="0">
      <w:start w:val="1"/>
      <w:numFmt w:val="decimal"/>
      <w:lvlText w:val="%1)"/>
      <w:lvlJc w:val="left"/>
      <w:pPr>
        <w:ind w:left="360" w:hanging="36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D32084D"/>
    <w:multiLevelType w:val="multilevel"/>
    <w:tmpl w:val="954CF1AE"/>
    <w:lvl w:ilvl="0">
      <w:start w:val="1"/>
      <w:numFmt w:val="lowerLetter"/>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6">
    <w:nsid w:val="5D456312"/>
    <w:multiLevelType w:val="multilevel"/>
    <w:tmpl w:val="D7B8360C"/>
    <w:lvl w:ilvl="0">
      <w:start w:val="24"/>
      <w:numFmt w:val="decimal"/>
      <w:lvlRestart w:val="0"/>
      <w:lvlText w:val="%1."/>
      <w:lvlJc w:val="left"/>
      <w:pPr>
        <w:tabs>
          <w:tab w:val="num" w:pos="567"/>
        </w:tabs>
        <w:ind w:left="0" w:firstLine="0"/>
      </w:pPr>
      <w:rPr>
        <w:rFonts w:cs="Times New Roman" w:hint="default"/>
        <w:b w:val="0"/>
        <w:bCs/>
        <w:i w:val="0"/>
        <w:iCs/>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62732823"/>
    <w:multiLevelType w:val="multilevel"/>
    <w:tmpl w:val="6F3233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21"/>
  </w:num>
  <w:num w:numId="2">
    <w:abstractNumId w:val="6"/>
  </w:num>
  <w:num w:numId="3">
    <w:abstractNumId w:val="12"/>
  </w:num>
  <w:num w:numId="4">
    <w:abstractNumId w:val="3"/>
  </w:num>
  <w:num w:numId="5">
    <w:abstractNumId w:val="2"/>
  </w:num>
  <w:num w:numId="6">
    <w:abstractNumId w:val="1"/>
  </w:num>
  <w:num w:numId="7">
    <w:abstractNumId w:val="0"/>
  </w:num>
  <w:num w:numId="8">
    <w:abstractNumId w:val="5"/>
  </w:num>
  <w:num w:numId="9">
    <w:abstractNumId w:val="22"/>
  </w:num>
  <w:num w:numId="10">
    <w:abstractNumId w:val="23"/>
  </w:num>
  <w:num w:numId="11">
    <w:abstractNumId w:val="16"/>
  </w:num>
  <w:num w:numId="12">
    <w:abstractNumId w:val="19"/>
  </w:num>
  <w:num w:numId="13">
    <w:abstractNumId w:val="29"/>
  </w:num>
  <w:num w:numId="14">
    <w:abstractNumId w:val="28"/>
  </w:num>
  <w:num w:numId="15">
    <w:abstractNumId w:val="18"/>
  </w:num>
  <w:num w:numId="16">
    <w:abstractNumId w:val="9"/>
  </w:num>
  <w:num w:numId="17">
    <w:abstractNumId w:val="11"/>
  </w:num>
  <w:num w:numId="18">
    <w:abstractNumId w:val="8"/>
  </w:num>
  <w:num w:numId="19">
    <w:abstractNumId w:val="10"/>
  </w:num>
  <w:num w:numId="20">
    <w:abstractNumId w:val="20"/>
  </w:num>
  <w:num w:numId="21">
    <w:abstractNumId w:val="13"/>
  </w:num>
  <w:num w:numId="22">
    <w:abstractNumId w:val="15"/>
  </w:num>
  <w:num w:numId="23">
    <w:abstractNumId w:val="17"/>
  </w:num>
  <w:num w:numId="24">
    <w:abstractNumId w:val="14"/>
  </w:num>
  <w:num w:numId="25">
    <w:abstractNumId w:val="2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7"/>
  </w:num>
  <w:num w:numId="29">
    <w:abstractNumId w:val="7"/>
  </w:num>
  <w:num w:numId="30">
    <w:abstractNumId w:val="24"/>
  </w:num>
  <w:num w:numId="31">
    <w:abstractNumId w:val="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0C32"/>
    <w:rsid w:val="00002F00"/>
    <w:rsid w:val="00011BFB"/>
    <w:rsid w:val="00013293"/>
    <w:rsid w:val="00013627"/>
    <w:rsid w:val="00013B29"/>
    <w:rsid w:val="0001562C"/>
    <w:rsid w:val="000202D0"/>
    <w:rsid w:val="00021F82"/>
    <w:rsid w:val="00023307"/>
    <w:rsid w:val="00026673"/>
    <w:rsid w:val="00026FA2"/>
    <w:rsid w:val="00027189"/>
    <w:rsid w:val="000308C7"/>
    <w:rsid w:val="00037D1D"/>
    <w:rsid w:val="00041820"/>
    <w:rsid w:val="00043CAA"/>
    <w:rsid w:val="00045945"/>
    <w:rsid w:val="00046893"/>
    <w:rsid w:val="00047D96"/>
    <w:rsid w:val="000504BD"/>
    <w:rsid w:val="00051999"/>
    <w:rsid w:val="0005217D"/>
    <w:rsid w:val="00052EAD"/>
    <w:rsid w:val="00056450"/>
    <w:rsid w:val="0005782F"/>
    <w:rsid w:val="00063D97"/>
    <w:rsid w:val="00065849"/>
    <w:rsid w:val="000660F3"/>
    <w:rsid w:val="00071705"/>
    <w:rsid w:val="000720A2"/>
    <w:rsid w:val="000722D7"/>
    <w:rsid w:val="00075432"/>
    <w:rsid w:val="0007652D"/>
    <w:rsid w:val="00077463"/>
    <w:rsid w:val="00080A2F"/>
    <w:rsid w:val="00083BB1"/>
    <w:rsid w:val="00086695"/>
    <w:rsid w:val="00092F69"/>
    <w:rsid w:val="000939DC"/>
    <w:rsid w:val="000968ED"/>
    <w:rsid w:val="00097361"/>
    <w:rsid w:val="000A00A9"/>
    <w:rsid w:val="000A13FC"/>
    <w:rsid w:val="000A1C40"/>
    <w:rsid w:val="000A3E2F"/>
    <w:rsid w:val="000A59AF"/>
    <w:rsid w:val="000B045C"/>
    <w:rsid w:val="000B1320"/>
    <w:rsid w:val="000B39E9"/>
    <w:rsid w:val="000B3F68"/>
    <w:rsid w:val="000B44DE"/>
    <w:rsid w:val="000B47C2"/>
    <w:rsid w:val="000B5444"/>
    <w:rsid w:val="000C31EF"/>
    <w:rsid w:val="000C5649"/>
    <w:rsid w:val="000C5936"/>
    <w:rsid w:val="000C5963"/>
    <w:rsid w:val="000D040F"/>
    <w:rsid w:val="000D230D"/>
    <w:rsid w:val="000D28CC"/>
    <w:rsid w:val="000D2AC1"/>
    <w:rsid w:val="000D3E1F"/>
    <w:rsid w:val="000D402F"/>
    <w:rsid w:val="000D5A70"/>
    <w:rsid w:val="000E1F6F"/>
    <w:rsid w:val="000E3450"/>
    <w:rsid w:val="000E58E8"/>
    <w:rsid w:val="000E6884"/>
    <w:rsid w:val="000F159B"/>
    <w:rsid w:val="000F1A90"/>
    <w:rsid w:val="000F4BD3"/>
    <w:rsid w:val="000F594C"/>
    <w:rsid w:val="000F5E56"/>
    <w:rsid w:val="000F68CA"/>
    <w:rsid w:val="00102FFA"/>
    <w:rsid w:val="00105172"/>
    <w:rsid w:val="001059FC"/>
    <w:rsid w:val="00112653"/>
    <w:rsid w:val="00113824"/>
    <w:rsid w:val="00113BB7"/>
    <w:rsid w:val="001145F7"/>
    <w:rsid w:val="00115024"/>
    <w:rsid w:val="00121189"/>
    <w:rsid w:val="00125612"/>
    <w:rsid w:val="001269EB"/>
    <w:rsid w:val="00126A62"/>
    <w:rsid w:val="00130B13"/>
    <w:rsid w:val="00130B53"/>
    <w:rsid w:val="00133E32"/>
    <w:rsid w:val="001362EE"/>
    <w:rsid w:val="0013630A"/>
    <w:rsid w:val="00137FA4"/>
    <w:rsid w:val="0014232E"/>
    <w:rsid w:val="001423A5"/>
    <w:rsid w:val="00142EFF"/>
    <w:rsid w:val="0014770B"/>
    <w:rsid w:val="00147E7B"/>
    <w:rsid w:val="00150FAF"/>
    <w:rsid w:val="001515F1"/>
    <w:rsid w:val="00151E8B"/>
    <w:rsid w:val="00157530"/>
    <w:rsid w:val="001621D7"/>
    <w:rsid w:val="00162F63"/>
    <w:rsid w:val="00164C23"/>
    <w:rsid w:val="00167731"/>
    <w:rsid w:val="0017331F"/>
    <w:rsid w:val="00177E17"/>
    <w:rsid w:val="00181D9D"/>
    <w:rsid w:val="001821CA"/>
    <w:rsid w:val="001832A6"/>
    <w:rsid w:val="001840F5"/>
    <w:rsid w:val="00185815"/>
    <w:rsid w:val="00186013"/>
    <w:rsid w:val="00190BBD"/>
    <w:rsid w:val="0019113C"/>
    <w:rsid w:val="00193388"/>
    <w:rsid w:val="001937E8"/>
    <w:rsid w:val="00195D57"/>
    <w:rsid w:val="00196C30"/>
    <w:rsid w:val="00197452"/>
    <w:rsid w:val="001975E5"/>
    <w:rsid w:val="001A1F86"/>
    <w:rsid w:val="001A316C"/>
    <w:rsid w:val="001A6C20"/>
    <w:rsid w:val="001B2475"/>
    <w:rsid w:val="001B3C6B"/>
    <w:rsid w:val="001C5415"/>
    <w:rsid w:val="001C6672"/>
    <w:rsid w:val="001C7E86"/>
    <w:rsid w:val="001D1656"/>
    <w:rsid w:val="001D1CB9"/>
    <w:rsid w:val="001D4EB7"/>
    <w:rsid w:val="001D50BA"/>
    <w:rsid w:val="001D63C4"/>
    <w:rsid w:val="001D6CD2"/>
    <w:rsid w:val="001E01EB"/>
    <w:rsid w:val="001E1672"/>
    <w:rsid w:val="001E2480"/>
    <w:rsid w:val="001E45A2"/>
    <w:rsid w:val="001E6A73"/>
    <w:rsid w:val="001F1DFC"/>
    <w:rsid w:val="001F2C9C"/>
    <w:rsid w:val="001F4C95"/>
    <w:rsid w:val="001F53E0"/>
    <w:rsid w:val="001F65EB"/>
    <w:rsid w:val="00207D45"/>
    <w:rsid w:val="00211DA8"/>
    <w:rsid w:val="00211EB2"/>
    <w:rsid w:val="00212775"/>
    <w:rsid w:val="00213162"/>
    <w:rsid w:val="00213FAB"/>
    <w:rsid w:val="00217EB0"/>
    <w:rsid w:val="0022067D"/>
    <w:rsid w:val="00222610"/>
    <w:rsid w:val="00222E6E"/>
    <w:rsid w:val="00223181"/>
    <w:rsid w:val="00225E0F"/>
    <w:rsid w:val="00226BC1"/>
    <w:rsid w:val="00230439"/>
    <w:rsid w:val="0023240A"/>
    <w:rsid w:val="00237C31"/>
    <w:rsid w:val="00237E65"/>
    <w:rsid w:val="002442A5"/>
    <w:rsid w:val="002460AB"/>
    <w:rsid w:val="00254224"/>
    <w:rsid w:val="00256A19"/>
    <w:rsid w:val="0026327E"/>
    <w:rsid w:val="0026330C"/>
    <w:rsid w:val="002634C4"/>
    <w:rsid w:val="00263B47"/>
    <w:rsid w:val="002641B0"/>
    <w:rsid w:val="002649ED"/>
    <w:rsid w:val="0026522C"/>
    <w:rsid w:val="00265236"/>
    <w:rsid w:val="00265F27"/>
    <w:rsid w:val="00266F2E"/>
    <w:rsid w:val="002705AC"/>
    <w:rsid w:val="00270EAC"/>
    <w:rsid w:val="00272E3B"/>
    <w:rsid w:val="00273239"/>
    <w:rsid w:val="00274D74"/>
    <w:rsid w:val="00275174"/>
    <w:rsid w:val="00275C25"/>
    <w:rsid w:val="00276AF4"/>
    <w:rsid w:val="00281A68"/>
    <w:rsid w:val="00281D8C"/>
    <w:rsid w:val="00282D1E"/>
    <w:rsid w:val="0028339D"/>
    <w:rsid w:val="002861D3"/>
    <w:rsid w:val="00286DDA"/>
    <w:rsid w:val="00287196"/>
    <w:rsid w:val="00287383"/>
    <w:rsid w:val="002876BC"/>
    <w:rsid w:val="00287CBE"/>
    <w:rsid w:val="002901D1"/>
    <w:rsid w:val="002928D3"/>
    <w:rsid w:val="0029443A"/>
    <w:rsid w:val="00295A4A"/>
    <w:rsid w:val="002971A6"/>
    <w:rsid w:val="002A0B05"/>
    <w:rsid w:val="002A3934"/>
    <w:rsid w:val="002A3A3E"/>
    <w:rsid w:val="002A3BFC"/>
    <w:rsid w:val="002A3DBC"/>
    <w:rsid w:val="002A424F"/>
    <w:rsid w:val="002A601E"/>
    <w:rsid w:val="002B47CF"/>
    <w:rsid w:val="002B4B6A"/>
    <w:rsid w:val="002B5D17"/>
    <w:rsid w:val="002B660C"/>
    <w:rsid w:val="002C0080"/>
    <w:rsid w:val="002C119C"/>
    <w:rsid w:val="002C15EC"/>
    <w:rsid w:val="002C468E"/>
    <w:rsid w:val="002C4966"/>
    <w:rsid w:val="002D26BB"/>
    <w:rsid w:val="002D7C76"/>
    <w:rsid w:val="002E1285"/>
    <w:rsid w:val="002E1717"/>
    <w:rsid w:val="002E19DD"/>
    <w:rsid w:val="002E7F5D"/>
    <w:rsid w:val="002F1793"/>
    <w:rsid w:val="002F1FE6"/>
    <w:rsid w:val="002F4E68"/>
    <w:rsid w:val="00310D67"/>
    <w:rsid w:val="003115CA"/>
    <w:rsid w:val="00312F7F"/>
    <w:rsid w:val="0031611D"/>
    <w:rsid w:val="00316A68"/>
    <w:rsid w:val="00321B50"/>
    <w:rsid w:val="00330761"/>
    <w:rsid w:val="0033138E"/>
    <w:rsid w:val="0034070E"/>
    <w:rsid w:val="00343A47"/>
    <w:rsid w:val="003445A8"/>
    <w:rsid w:val="003517B5"/>
    <w:rsid w:val="003528BE"/>
    <w:rsid w:val="00355307"/>
    <w:rsid w:val="00355655"/>
    <w:rsid w:val="00355C3A"/>
    <w:rsid w:val="00355D01"/>
    <w:rsid w:val="0035722E"/>
    <w:rsid w:val="00361450"/>
    <w:rsid w:val="003673CF"/>
    <w:rsid w:val="00372390"/>
    <w:rsid w:val="00373FF6"/>
    <w:rsid w:val="003741DD"/>
    <w:rsid w:val="00375CDD"/>
    <w:rsid w:val="00382F51"/>
    <w:rsid w:val="003845C1"/>
    <w:rsid w:val="00385620"/>
    <w:rsid w:val="00386456"/>
    <w:rsid w:val="003905AA"/>
    <w:rsid w:val="003906F4"/>
    <w:rsid w:val="0039191B"/>
    <w:rsid w:val="003923D5"/>
    <w:rsid w:val="00394845"/>
    <w:rsid w:val="00395F52"/>
    <w:rsid w:val="0039638C"/>
    <w:rsid w:val="003A1F6D"/>
    <w:rsid w:val="003A2273"/>
    <w:rsid w:val="003A2963"/>
    <w:rsid w:val="003A6F89"/>
    <w:rsid w:val="003B26A5"/>
    <w:rsid w:val="003B34D8"/>
    <w:rsid w:val="003B38C1"/>
    <w:rsid w:val="003B55D8"/>
    <w:rsid w:val="003B5EDA"/>
    <w:rsid w:val="003C0070"/>
    <w:rsid w:val="003D2F6E"/>
    <w:rsid w:val="003D3293"/>
    <w:rsid w:val="003D4403"/>
    <w:rsid w:val="003D55AB"/>
    <w:rsid w:val="003D565D"/>
    <w:rsid w:val="003D58D4"/>
    <w:rsid w:val="003D6A6E"/>
    <w:rsid w:val="003E1DF3"/>
    <w:rsid w:val="003E75E7"/>
    <w:rsid w:val="003E7603"/>
    <w:rsid w:val="003F0B02"/>
    <w:rsid w:val="003F79D9"/>
    <w:rsid w:val="004017F7"/>
    <w:rsid w:val="00402EB4"/>
    <w:rsid w:val="00404317"/>
    <w:rsid w:val="0040699A"/>
    <w:rsid w:val="004079FC"/>
    <w:rsid w:val="00412C88"/>
    <w:rsid w:val="00413EB1"/>
    <w:rsid w:val="0041493E"/>
    <w:rsid w:val="00414AEA"/>
    <w:rsid w:val="00414EC7"/>
    <w:rsid w:val="00414F08"/>
    <w:rsid w:val="004155BB"/>
    <w:rsid w:val="00422938"/>
    <w:rsid w:val="00423E3E"/>
    <w:rsid w:val="00424A9D"/>
    <w:rsid w:val="00427AF4"/>
    <w:rsid w:val="00427D71"/>
    <w:rsid w:val="004308E8"/>
    <w:rsid w:val="0043156C"/>
    <w:rsid w:val="004329B7"/>
    <w:rsid w:val="00434176"/>
    <w:rsid w:val="0044031A"/>
    <w:rsid w:val="00440EE0"/>
    <w:rsid w:val="00442768"/>
    <w:rsid w:val="0044353E"/>
    <w:rsid w:val="00444FF4"/>
    <w:rsid w:val="00446158"/>
    <w:rsid w:val="004563C9"/>
    <w:rsid w:val="004572D1"/>
    <w:rsid w:val="00460326"/>
    <w:rsid w:val="004647DA"/>
    <w:rsid w:val="00464D88"/>
    <w:rsid w:val="00465820"/>
    <w:rsid w:val="0047341F"/>
    <w:rsid w:val="00474062"/>
    <w:rsid w:val="00475589"/>
    <w:rsid w:val="00476727"/>
    <w:rsid w:val="00477616"/>
    <w:rsid w:val="00477D6B"/>
    <w:rsid w:val="004805CD"/>
    <w:rsid w:val="00481524"/>
    <w:rsid w:val="00481874"/>
    <w:rsid w:val="00481F19"/>
    <w:rsid w:val="00484592"/>
    <w:rsid w:val="0048617F"/>
    <w:rsid w:val="004877F1"/>
    <w:rsid w:val="004907DF"/>
    <w:rsid w:val="00494478"/>
    <w:rsid w:val="00494EEA"/>
    <w:rsid w:val="00495BDE"/>
    <w:rsid w:val="004966A3"/>
    <w:rsid w:val="0049698D"/>
    <w:rsid w:val="004A2CA2"/>
    <w:rsid w:val="004A5839"/>
    <w:rsid w:val="004A5B73"/>
    <w:rsid w:val="004B1AE6"/>
    <w:rsid w:val="004B20A0"/>
    <w:rsid w:val="004B2B39"/>
    <w:rsid w:val="004B2B62"/>
    <w:rsid w:val="004B6183"/>
    <w:rsid w:val="004B6AB9"/>
    <w:rsid w:val="004B6F2D"/>
    <w:rsid w:val="004B7766"/>
    <w:rsid w:val="004C0FA7"/>
    <w:rsid w:val="004C3EDB"/>
    <w:rsid w:val="004C525B"/>
    <w:rsid w:val="004D2062"/>
    <w:rsid w:val="004D268F"/>
    <w:rsid w:val="004D3244"/>
    <w:rsid w:val="004E06F4"/>
    <w:rsid w:val="004E07D4"/>
    <w:rsid w:val="004E093E"/>
    <w:rsid w:val="004E1F8A"/>
    <w:rsid w:val="004E41F7"/>
    <w:rsid w:val="004E5AA5"/>
    <w:rsid w:val="004F2F21"/>
    <w:rsid w:val="004F4EBA"/>
    <w:rsid w:val="004F5C6E"/>
    <w:rsid w:val="004F669C"/>
    <w:rsid w:val="005019FF"/>
    <w:rsid w:val="00502E3A"/>
    <w:rsid w:val="0051119D"/>
    <w:rsid w:val="005128A9"/>
    <w:rsid w:val="005160EF"/>
    <w:rsid w:val="00521C4F"/>
    <w:rsid w:val="00522827"/>
    <w:rsid w:val="00522E89"/>
    <w:rsid w:val="0053057A"/>
    <w:rsid w:val="00533C75"/>
    <w:rsid w:val="00536F04"/>
    <w:rsid w:val="0054016A"/>
    <w:rsid w:val="00540384"/>
    <w:rsid w:val="0054059A"/>
    <w:rsid w:val="00540BD5"/>
    <w:rsid w:val="00542460"/>
    <w:rsid w:val="005436B4"/>
    <w:rsid w:val="00544DB2"/>
    <w:rsid w:val="00546788"/>
    <w:rsid w:val="00547CD8"/>
    <w:rsid w:val="00555829"/>
    <w:rsid w:val="00560884"/>
    <w:rsid w:val="00560A29"/>
    <w:rsid w:val="00560BAA"/>
    <w:rsid w:val="00564374"/>
    <w:rsid w:val="005708A5"/>
    <w:rsid w:val="00570F89"/>
    <w:rsid w:val="00571C26"/>
    <w:rsid w:val="00576B83"/>
    <w:rsid w:val="005803E1"/>
    <w:rsid w:val="00584F4C"/>
    <w:rsid w:val="00586018"/>
    <w:rsid w:val="005861A0"/>
    <w:rsid w:val="0059194A"/>
    <w:rsid w:val="00594C78"/>
    <w:rsid w:val="0059513A"/>
    <w:rsid w:val="00596E12"/>
    <w:rsid w:val="005A5D8A"/>
    <w:rsid w:val="005A6843"/>
    <w:rsid w:val="005B1F62"/>
    <w:rsid w:val="005B2087"/>
    <w:rsid w:val="005B48E8"/>
    <w:rsid w:val="005B63B5"/>
    <w:rsid w:val="005C0E87"/>
    <w:rsid w:val="005C1597"/>
    <w:rsid w:val="005C1810"/>
    <w:rsid w:val="005C1A65"/>
    <w:rsid w:val="005C25E7"/>
    <w:rsid w:val="005C2702"/>
    <w:rsid w:val="005C45C8"/>
    <w:rsid w:val="005C58F1"/>
    <w:rsid w:val="005C6649"/>
    <w:rsid w:val="005C667B"/>
    <w:rsid w:val="005C778E"/>
    <w:rsid w:val="005D46B7"/>
    <w:rsid w:val="005D4CB3"/>
    <w:rsid w:val="005E0747"/>
    <w:rsid w:val="005E6D9D"/>
    <w:rsid w:val="005E6FD8"/>
    <w:rsid w:val="005F1C2B"/>
    <w:rsid w:val="005F23C8"/>
    <w:rsid w:val="005F59A3"/>
    <w:rsid w:val="005F5FAC"/>
    <w:rsid w:val="005F7A0D"/>
    <w:rsid w:val="00600DFC"/>
    <w:rsid w:val="0060566A"/>
    <w:rsid w:val="00605827"/>
    <w:rsid w:val="00605DF9"/>
    <w:rsid w:val="00606083"/>
    <w:rsid w:val="00606C05"/>
    <w:rsid w:val="00606C80"/>
    <w:rsid w:val="00612945"/>
    <w:rsid w:val="006144BA"/>
    <w:rsid w:val="00615CAD"/>
    <w:rsid w:val="006178ED"/>
    <w:rsid w:val="00622747"/>
    <w:rsid w:val="006276D6"/>
    <w:rsid w:val="0063084C"/>
    <w:rsid w:val="006334E4"/>
    <w:rsid w:val="006338DD"/>
    <w:rsid w:val="00633EDD"/>
    <w:rsid w:val="006429C5"/>
    <w:rsid w:val="00646050"/>
    <w:rsid w:val="00647A5F"/>
    <w:rsid w:val="00647CD8"/>
    <w:rsid w:val="00651949"/>
    <w:rsid w:val="006548F3"/>
    <w:rsid w:val="006611A2"/>
    <w:rsid w:val="006635E6"/>
    <w:rsid w:val="00664367"/>
    <w:rsid w:val="00664E15"/>
    <w:rsid w:val="006704CC"/>
    <w:rsid w:val="00670E86"/>
    <w:rsid w:val="006713CA"/>
    <w:rsid w:val="0067548E"/>
    <w:rsid w:val="0067593C"/>
    <w:rsid w:val="00676518"/>
    <w:rsid w:val="00676C5C"/>
    <w:rsid w:val="006817EF"/>
    <w:rsid w:val="00682ECC"/>
    <w:rsid w:val="00690259"/>
    <w:rsid w:val="00692329"/>
    <w:rsid w:val="00692D02"/>
    <w:rsid w:val="00693D40"/>
    <w:rsid w:val="00694596"/>
    <w:rsid w:val="0069491D"/>
    <w:rsid w:val="00697416"/>
    <w:rsid w:val="006A1264"/>
    <w:rsid w:val="006A6007"/>
    <w:rsid w:val="006B4D6D"/>
    <w:rsid w:val="006B5941"/>
    <w:rsid w:val="006B6D28"/>
    <w:rsid w:val="006B7CC2"/>
    <w:rsid w:val="006C1201"/>
    <w:rsid w:val="006C29C7"/>
    <w:rsid w:val="006D18C5"/>
    <w:rsid w:val="006D1965"/>
    <w:rsid w:val="006D2CB2"/>
    <w:rsid w:val="006D2D21"/>
    <w:rsid w:val="006D5E9E"/>
    <w:rsid w:val="006E6A54"/>
    <w:rsid w:val="006F136D"/>
    <w:rsid w:val="006F4B5C"/>
    <w:rsid w:val="006F5A30"/>
    <w:rsid w:val="006F64A2"/>
    <w:rsid w:val="006F732B"/>
    <w:rsid w:val="007018A9"/>
    <w:rsid w:val="00703D4E"/>
    <w:rsid w:val="00706502"/>
    <w:rsid w:val="00712C30"/>
    <w:rsid w:val="007147EC"/>
    <w:rsid w:val="007149DD"/>
    <w:rsid w:val="00715AB1"/>
    <w:rsid w:val="00715B23"/>
    <w:rsid w:val="00715E75"/>
    <w:rsid w:val="00716F41"/>
    <w:rsid w:val="00720EAE"/>
    <w:rsid w:val="0072184B"/>
    <w:rsid w:val="00724C60"/>
    <w:rsid w:val="00724DDE"/>
    <w:rsid w:val="00725D0A"/>
    <w:rsid w:val="00730B83"/>
    <w:rsid w:val="0073191D"/>
    <w:rsid w:val="007332A8"/>
    <w:rsid w:val="00733963"/>
    <w:rsid w:val="007347A8"/>
    <w:rsid w:val="00734836"/>
    <w:rsid w:val="007369DE"/>
    <w:rsid w:val="00736C6F"/>
    <w:rsid w:val="007415B3"/>
    <w:rsid w:val="007448C4"/>
    <w:rsid w:val="00744ECA"/>
    <w:rsid w:val="00746945"/>
    <w:rsid w:val="00753A08"/>
    <w:rsid w:val="00753FF6"/>
    <w:rsid w:val="00754673"/>
    <w:rsid w:val="00755388"/>
    <w:rsid w:val="0075539F"/>
    <w:rsid w:val="007564B2"/>
    <w:rsid w:val="00760501"/>
    <w:rsid w:val="0076107A"/>
    <w:rsid w:val="00762647"/>
    <w:rsid w:val="007636EA"/>
    <w:rsid w:val="00765813"/>
    <w:rsid w:val="007658BC"/>
    <w:rsid w:val="00765BC8"/>
    <w:rsid w:val="0076714F"/>
    <w:rsid w:val="007722B3"/>
    <w:rsid w:val="00773211"/>
    <w:rsid w:val="00777946"/>
    <w:rsid w:val="00780522"/>
    <w:rsid w:val="00780960"/>
    <w:rsid w:val="00782E2E"/>
    <w:rsid w:val="0078563E"/>
    <w:rsid w:val="00787611"/>
    <w:rsid w:val="007879DD"/>
    <w:rsid w:val="00793B12"/>
    <w:rsid w:val="00793F02"/>
    <w:rsid w:val="007956B7"/>
    <w:rsid w:val="007A0863"/>
    <w:rsid w:val="007A17BE"/>
    <w:rsid w:val="007A35B0"/>
    <w:rsid w:val="007A5C67"/>
    <w:rsid w:val="007A6AAA"/>
    <w:rsid w:val="007A7EB2"/>
    <w:rsid w:val="007B036F"/>
    <w:rsid w:val="007B11A5"/>
    <w:rsid w:val="007B1A99"/>
    <w:rsid w:val="007B51ED"/>
    <w:rsid w:val="007B6C85"/>
    <w:rsid w:val="007D0640"/>
    <w:rsid w:val="007D1613"/>
    <w:rsid w:val="007D1D57"/>
    <w:rsid w:val="007D3E54"/>
    <w:rsid w:val="007D694D"/>
    <w:rsid w:val="007E06EF"/>
    <w:rsid w:val="007E30FB"/>
    <w:rsid w:val="007E4D70"/>
    <w:rsid w:val="007E7448"/>
    <w:rsid w:val="007E7617"/>
    <w:rsid w:val="007F26CA"/>
    <w:rsid w:val="007F4547"/>
    <w:rsid w:val="007F498D"/>
    <w:rsid w:val="007F5382"/>
    <w:rsid w:val="007F5A67"/>
    <w:rsid w:val="007F793A"/>
    <w:rsid w:val="008016DB"/>
    <w:rsid w:val="008031D1"/>
    <w:rsid w:val="00805C1D"/>
    <w:rsid w:val="008111A4"/>
    <w:rsid w:val="00813196"/>
    <w:rsid w:val="00813B25"/>
    <w:rsid w:val="008146A3"/>
    <w:rsid w:val="0081511E"/>
    <w:rsid w:val="00815139"/>
    <w:rsid w:val="00815393"/>
    <w:rsid w:val="00816DA4"/>
    <w:rsid w:val="00817DFE"/>
    <w:rsid w:val="00821724"/>
    <w:rsid w:val="00822608"/>
    <w:rsid w:val="00822D5C"/>
    <w:rsid w:val="00827374"/>
    <w:rsid w:val="00832EA6"/>
    <w:rsid w:val="00835224"/>
    <w:rsid w:val="00835CBF"/>
    <w:rsid w:val="00836A9E"/>
    <w:rsid w:val="00840A6F"/>
    <w:rsid w:val="008441FF"/>
    <w:rsid w:val="00844907"/>
    <w:rsid w:val="008505E7"/>
    <w:rsid w:val="00850894"/>
    <w:rsid w:val="00850C83"/>
    <w:rsid w:val="008510C9"/>
    <w:rsid w:val="00853D2B"/>
    <w:rsid w:val="008545D1"/>
    <w:rsid w:val="00856A07"/>
    <w:rsid w:val="008618C7"/>
    <w:rsid w:val="00864962"/>
    <w:rsid w:val="00864FAB"/>
    <w:rsid w:val="00865336"/>
    <w:rsid w:val="00872DD3"/>
    <w:rsid w:val="00872E0B"/>
    <w:rsid w:val="008733A6"/>
    <w:rsid w:val="008733A9"/>
    <w:rsid w:val="008737B1"/>
    <w:rsid w:val="00873E88"/>
    <w:rsid w:val="008754BA"/>
    <w:rsid w:val="008759FF"/>
    <w:rsid w:val="00880D78"/>
    <w:rsid w:val="00881F0C"/>
    <w:rsid w:val="008826DC"/>
    <w:rsid w:val="00891068"/>
    <w:rsid w:val="00894842"/>
    <w:rsid w:val="008970B8"/>
    <w:rsid w:val="008A027C"/>
    <w:rsid w:val="008A18A7"/>
    <w:rsid w:val="008A5337"/>
    <w:rsid w:val="008A55D9"/>
    <w:rsid w:val="008A64F3"/>
    <w:rsid w:val="008B1D22"/>
    <w:rsid w:val="008B2CC1"/>
    <w:rsid w:val="008B4AAA"/>
    <w:rsid w:val="008B60B2"/>
    <w:rsid w:val="008B747F"/>
    <w:rsid w:val="008C21E1"/>
    <w:rsid w:val="008D0CE7"/>
    <w:rsid w:val="008D2361"/>
    <w:rsid w:val="008D2C69"/>
    <w:rsid w:val="008D3622"/>
    <w:rsid w:val="008D3B25"/>
    <w:rsid w:val="008D6253"/>
    <w:rsid w:val="008D63C3"/>
    <w:rsid w:val="008D6913"/>
    <w:rsid w:val="008E0376"/>
    <w:rsid w:val="008E3A39"/>
    <w:rsid w:val="008E43E6"/>
    <w:rsid w:val="008E54F2"/>
    <w:rsid w:val="008E5537"/>
    <w:rsid w:val="008E76BC"/>
    <w:rsid w:val="008F0E6B"/>
    <w:rsid w:val="008F3BE3"/>
    <w:rsid w:val="008F5869"/>
    <w:rsid w:val="008F5BC8"/>
    <w:rsid w:val="00900E52"/>
    <w:rsid w:val="00903F7D"/>
    <w:rsid w:val="00905BA6"/>
    <w:rsid w:val="0090696F"/>
    <w:rsid w:val="00906E55"/>
    <w:rsid w:val="0090731E"/>
    <w:rsid w:val="00907950"/>
    <w:rsid w:val="00907D82"/>
    <w:rsid w:val="00912B23"/>
    <w:rsid w:val="00914628"/>
    <w:rsid w:val="00915F20"/>
    <w:rsid w:val="00916214"/>
    <w:rsid w:val="00916EE2"/>
    <w:rsid w:val="00917E64"/>
    <w:rsid w:val="00921025"/>
    <w:rsid w:val="0092218B"/>
    <w:rsid w:val="00922889"/>
    <w:rsid w:val="00924554"/>
    <w:rsid w:val="00926DC6"/>
    <w:rsid w:val="00927422"/>
    <w:rsid w:val="00931449"/>
    <w:rsid w:val="00933046"/>
    <w:rsid w:val="00934642"/>
    <w:rsid w:val="00935EF4"/>
    <w:rsid w:val="00937DD9"/>
    <w:rsid w:val="00944736"/>
    <w:rsid w:val="00946294"/>
    <w:rsid w:val="00946B23"/>
    <w:rsid w:val="00947A0F"/>
    <w:rsid w:val="00947CBE"/>
    <w:rsid w:val="00951B61"/>
    <w:rsid w:val="00951DAE"/>
    <w:rsid w:val="00952E4B"/>
    <w:rsid w:val="00953C1B"/>
    <w:rsid w:val="0095420E"/>
    <w:rsid w:val="00954C58"/>
    <w:rsid w:val="009552DC"/>
    <w:rsid w:val="00955573"/>
    <w:rsid w:val="00964CD7"/>
    <w:rsid w:val="00965481"/>
    <w:rsid w:val="00966A22"/>
    <w:rsid w:val="0096722F"/>
    <w:rsid w:val="00967A85"/>
    <w:rsid w:val="00973863"/>
    <w:rsid w:val="009755F4"/>
    <w:rsid w:val="00976CB1"/>
    <w:rsid w:val="009771CB"/>
    <w:rsid w:val="00980843"/>
    <w:rsid w:val="00983EE3"/>
    <w:rsid w:val="009850E8"/>
    <w:rsid w:val="00986FCA"/>
    <w:rsid w:val="00990F6C"/>
    <w:rsid w:val="00991AA8"/>
    <w:rsid w:val="00992678"/>
    <w:rsid w:val="009941C4"/>
    <w:rsid w:val="00995171"/>
    <w:rsid w:val="009A104E"/>
    <w:rsid w:val="009A4AEA"/>
    <w:rsid w:val="009A4C82"/>
    <w:rsid w:val="009A5231"/>
    <w:rsid w:val="009A5715"/>
    <w:rsid w:val="009B0D3A"/>
    <w:rsid w:val="009B5A21"/>
    <w:rsid w:val="009B5AE2"/>
    <w:rsid w:val="009C16A2"/>
    <w:rsid w:val="009C2468"/>
    <w:rsid w:val="009C32ED"/>
    <w:rsid w:val="009C4BD1"/>
    <w:rsid w:val="009C5D9A"/>
    <w:rsid w:val="009C61EA"/>
    <w:rsid w:val="009C708E"/>
    <w:rsid w:val="009C71AB"/>
    <w:rsid w:val="009D011E"/>
    <w:rsid w:val="009D2F37"/>
    <w:rsid w:val="009D6827"/>
    <w:rsid w:val="009D6C1E"/>
    <w:rsid w:val="009E047B"/>
    <w:rsid w:val="009E162C"/>
    <w:rsid w:val="009E2791"/>
    <w:rsid w:val="009E3F6F"/>
    <w:rsid w:val="009E4468"/>
    <w:rsid w:val="009E4C0E"/>
    <w:rsid w:val="009E6081"/>
    <w:rsid w:val="009F38D3"/>
    <w:rsid w:val="009F499F"/>
    <w:rsid w:val="009F5D98"/>
    <w:rsid w:val="00A07826"/>
    <w:rsid w:val="00A11896"/>
    <w:rsid w:val="00A11952"/>
    <w:rsid w:val="00A1529C"/>
    <w:rsid w:val="00A21024"/>
    <w:rsid w:val="00A22008"/>
    <w:rsid w:val="00A23CBD"/>
    <w:rsid w:val="00A23E3D"/>
    <w:rsid w:val="00A27906"/>
    <w:rsid w:val="00A30C30"/>
    <w:rsid w:val="00A312EF"/>
    <w:rsid w:val="00A31317"/>
    <w:rsid w:val="00A31822"/>
    <w:rsid w:val="00A3237B"/>
    <w:rsid w:val="00A32B8D"/>
    <w:rsid w:val="00A42DAF"/>
    <w:rsid w:val="00A43AF5"/>
    <w:rsid w:val="00A4528E"/>
    <w:rsid w:val="00A45BD8"/>
    <w:rsid w:val="00A46F3E"/>
    <w:rsid w:val="00A479BE"/>
    <w:rsid w:val="00A50770"/>
    <w:rsid w:val="00A523B7"/>
    <w:rsid w:val="00A52959"/>
    <w:rsid w:val="00A53801"/>
    <w:rsid w:val="00A55746"/>
    <w:rsid w:val="00A557C2"/>
    <w:rsid w:val="00A61AFE"/>
    <w:rsid w:val="00A63425"/>
    <w:rsid w:val="00A64A50"/>
    <w:rsid w:val="00A64BCB"/>
    <w:rsid w:val="00A66EBB"/>
    <w:rsid w:val="00A67ED7"/>
    <w:rsid w:val="00A718B2"/>
    <w:rsid w:val="00A72437"/>
    <w:rsid w:val="00A72E79"/>
    <w:rsid w:val="00A840D5"/>
    <w:rsid w:val="00A86735"/>
    <w:rsid w:val="00A869B7"/>
    <w:rsid w:val="00A93280"/>
    <w:rsid w:val="00A938D3"/>
    <w:rsid w:val="00A94543"/>
    <w:rsid w:val="00A94DD0"/>
    <w:rsid w:val="00A95F9D"/>
    <w:rsid w:val="00A9735C"/>
    <w:rsid w:val="00AA1752"/>
    <w:rsid w:val="00AA3272"/>
    <w:rsid w:val="00AB0812"/>
    <w:rsid w:val="00AB41B4"/>
    <w:rsid w:val="00AB4F67"/>
    <w:rsid w:val="00AB6397"/>
    <w:rsid w:val="00AB6548"/>
    <w:rsid w:val="00AC0A33"/>
    <w:rsid w:val="00AC1818"/>
    <w:rsid w:val="00AC205C"/>
    <w:rsid w:val="00AC3DBB"/>
    <w:rsid w:val="00AD21FA"/>
    <w:rsid w:val="00AD231C"/>
    <w:rsid w:val="00AD2606"/>
    <w:rsid w:val="00AD32E0"/>
    <w:rsid w:val="00AD43CA"/>
    <w:rsid w:val="00AD531E"/>
    <w:rsid w:val="00AD718E"/>
    <w:rsid w:val="00AE10A0"/>
    <w:rsid w:val="00AE126F"/>
    <w:rsid w:val="00AE2C0A"/>
    <w:rsid w:val="00AE2E5B"/>
    <w:rsid w:val="00AE3BDC"/>
    <w:rsid w:val="00AE3E17"/>
    <w:rsid w:val="00AE4A36"/>
    <w:rsid w:val="00AE4C3D"/>
    <w:rsid w:val="00AE54AA"/>
    <w:rsid w:val="00AE7A0A"/>
    <w:rsid w:val="00AF02D5"/>
    <w:rsid w:val="00AF0A6B"/>
    <w:rsid w:val="00AF2296"/>
    <w:rsid w:val="00AF713D"/>
    <w:rsid w:val="00AF7254"/>
    <w:rsid w:val="00B007C0"/>
    <w:rsid w:val="00B05A69"/>
    <w:rsid w:val="00B05C6B"/>
    <w:rsid w:val="00B07767"/>
    <w:rsid w:val="00B11793"/>
    <w:rsid w:val="00B11B96"/>
    <w:rsid w:val="00B13A52"/>
    <w:rsid w:val="00B1423A"/>
    <w:rsid w:val="00B160F5"/>
    <w:rsid w:val="00B21269"/>
    <w:rsid w:val="00B31DD7"/>
    <w:rsid w:val="00B37D4E"/>
    <w:rsid w:val="00B40A8C"/>
    <w:rsid w:val="00B41781"/>
    <w:rsid w:val="00B4228A"/>
    <w:rsid w:val="00B44F96"/>
    <w:rsid w:val="00B44FBC"/>
    <w:rsid w:val="00B479CF"/>
    <w:rsid w:val="00B52EFA"/>
    <w:rsid w:val="00B53C4D"/>
    <w:rsid w:val="00B53F10"/>
    <w:rsid w:val="00B5673F"/>
    <w:rsid w:val="00B62812"/>
    <w:rsid w:val="00B63FC9"/>
    <w:rsid w:val="00B652BC"/>
    <w:rsid w:val="00B66749"/>
    <w:rsid w:val="00B6761F"/>
    <w:rsid w:val="00B677A3"/>
    <w:rsid w:val="00B70BD3"/>
    <w:rsid w:val="00B711DF"/>
    <w:rsid w:val="00B71A63"/>
    <w:rsid w:val="00B72291"/>
    <w:rsid w:val="00B7295E"/>
    <w:rsid w:val="00B7323C"/>
    <w:rsid w:val="00B75A61"/>
    <w:rsid w:val="00B76E5A"/>
    <w:rsid w:val="00B828D9"/>
    <w:rsid w:val="00B83433"/>
    <w:rsid w:val="00B837F7"/>
    <w:rsid w:val="00B85D31"/>
    <w:rsid w:val="00B866E4"/>
    <w:rsid w:val="00B86F0D"/>
    <w:rsid w:val="00B87FC8"/>
    <w:rsid w:val="00B92DDD"/>
    <w:rsid w:val="00B950A5"/>
    <w:rsid w:val="00B956DA"/>
    <w:rsid w:val="00B969C3"/>
    <w:rsid w:val="00B9734B"/>
    <w:rsid w:val="00B97FCB"/>
    <w:rsid w:val="00B97FD1"/>
    <w:rsid w:val="00BA2BB2"/>
    <w:rsid w:val="00BA7394"/>
    <w:rsid w:val="00BB02D7"/>
    <w:rsid w:val="00BB1059"/>
    <w:rsid w:val="00BB3FFE"/>
    <w:rsid w:val="00BB7651"/>
    <w:rsid w:val="00BC0FDF"/>
    <w:rsid w:val="00BC3A65"/>
    <w:rsid w:val="00BC436D"/>
    <w:rsid w:val="00BC5309"/>
    <w:rsid w:val="00BC5914"/>
    <w:rsid w:val="00BC6A54"/>
    <w:rsid w:val="00BC7751"/>
    <w:rsid w:val="00BD390F"/>
    <w:rsid w:val="00BD3920"/>
    <w:rsid w:val="00BD5734"/>
    <w:rsid w:val="00BD62A7"/>
    <w:rsid w:val="00BE141D"/>
    <w:rsid w:val="00BE1B49"/>
    <w:rsid w:val="00BE26F3"/>
    <w:rsid w:val="00BE3D72"/>
    <w:rsid w:val="00BE54C8"/>
    <w:rsid w:val="00BE5761"/>
    <w:rsid w:val="00BE5BD6"/>
    <w:rsid w:val="00BF41C1"/>
    <w:rsid w:val="00BF4E96"/>
    <w:rsid w:val="00BF6146"/>
    <w:rsid w:val="00C00DF5"/>
    <w:rsid w:val="00C01E7C"/>
    <w:rsid w:val="00C03EB3"/>
    <w:rsid w:val="00C04DC4"/>
    <w:rsid w:val="00C05697"/>
    <w:rsid w:val="00C06B9B"/>
    <w:rsid w:val="00C11BFE"/>
    <w:rsid w:val="00C16C1F"/>
    <w:rsid w:val="00C17BD7"/>
    <w:rsid w:val="00C211F6"/>
    <w:rsid w:val="00C221B6"/>
    <w:rsid w:val="00C224B6"/>
    <w:rsid w:val="00C233FA"/>
    <w:rsid w:val="00C23CD7"/>
    <w:rsid w:val="00C24402"/>
    <w:rsid w:val="00C247FC"/>
    <w:rsid w:val="00C25356"/>
    <w:rsid w:val="00C25B7A"/>
    <w:rsid w:val="00C27BFD"/>
    <w:rsid w:val="00C27E08"/>
    <w:rsid w:val="00C30CD0"/>
    <w:rsid w:val="00C3608E"/>
    <w:rsid w:val="00C36DEC"/>
    <w:rsid w:val="00C41931"/>
    <w:rsid w:val="00C41ECC"/>
    <w:rsid w:val="00C42F04"/>
    <w:rsid w:val="00C44649"/>
    <w:rsid w:val="00C44C34"/>
    <w:rsid w:val="00C463C1"/>
    <w:rsid w:val="00C46BFB"/>
    <w:rsid w:val="00C50C17"/>
    <w:rsid w:val="00C5174F"/>
    <w:rsid w:val="00C5608F"/>
    <w:rsid w:val="00C5792E"/>
    <w:rsid w:val="00C60625"/>
    <w:rsid w:val="00C61800"/>
    <w:rsid w:val="00C62392"/>
    <w:rsid w:val="00C6604B"/>
    <w:rsid w:val="00C660DD"/>
    <w:rsid w:val="00C6628D"/>
    <w:rsid w:val="00C6745B"/>
    <w:rsid w:val="00C7517B"/>
    <w:rsid w:val="00C75CB7"/>
    <w:rsid w:val="00C761D2"/>
    <w:rsid w:val="00C777FF"/>
    <w:rsid w:val="00C81CD7"/>
    <w:rsid w:val="00C838B1"/>
    <w:rsid w:val="00C85D15"/>
    <w:rsid w:val="00C902D9"/>
    <w:rsid w:val="00C923AB"/>
    <w:rsid w:val="00C94E4E"/>
    <w:rsid w:val="00CA15DF"/>
    <w:rsid w:val="00CA30EF"/>
    <w:rsid w:val="00CB1F95"/>
    <w:rsid w:val="00CB2CAE"/>
    <w:rsid w:val="00CB51F2"/>
    <w:rsid w:val="00CB6F3B"/>
    <w:rsid w:val="00CC0CE4"/>
    <w:rsid w:val="00CC2CBD"/>
    <w:rsid w:val="00CC39FA"/>
    <w:rsid w:val="00CC5245"/>
    <w:rsid w:val="00CC64F1"/>
    <w:rsid w:val="00CC7A18"/>
    <w:rsid w:val="00CD0D3C"/>
    <w:rsid w:val="00CD66CA"/>
    <w:rsid w:val="00CD70C0"/>
    <w:rsid w:val="00CE7A59"/>
    <w:rsid w:val="00CF0766"/>
    <w:rsid w:val="00CF1A22"/>
    <w:rsid w:val="00CF3571"/>
    <w:rsid w:val="00CF5833"/>
    <w:rsid w:val="00CF6795"/>
    <w:rsid w:val="00CF6C5D"/>
    <w:rsid w:val="00CF6C8D"/>
    <w:rsid w:val="00CF75E5"/>
    <w:rsid w:val="00D01255"/>
    <w:rsid w:val="00D03844"/>
    <w:rsid w:val="00D04254"/>
    <w:rsid w:val="00D0477B"/>
    <w:rsid w:val="00D05A4E"/>
    <w:rsid w:val="00D07BF3"/>
    <w:rsid w:val="00D10112"/>
    <w:rsid w:val="00D12F3B"/>
    <w:rsid w:val="00D15F7C"/>
    <w:rsid w:val="00D3321B"/>
    <w:rsid w:val="00D37A4C"/>
    <w:rsid w:val="00D40F58"/>
    <w:rsid w:val="00D42300"/>
    <w:rsid w:val="00D44AAA"/>
    <w:rsid w:val="00D44D1E"/>
    <w:rsid w:val="00D45252"/>
    <w:rsid w:val="00D4695F"/>
    <w:rsid w:val="00D46EC2"/>
    <w:rsid w:val="00D50941"/>
    <w:rsid w:val="00D51DC4"/>
    <w:rsid w:val="00D52C4D"/>
    <w:rsid w:val="00D53A03"/>
    <w:rsid w:val="00D574CB"/>
    <w:rsid w:val="00D60A17"/>
    <w:rsid w:val="00D63E2D"/>
    <w:rsid w:val="00D700E8"/>
    <w:rsid w:val="00D702CB"/>
    <w:rsid w:val="00D704F3"/>
    <w:rsid w:val="00D71B4D"/>
    <w:rsid w:val="00D722F1"/>
    <w:rsid w:val="00D726E2"/>
    <w:rsid w:val="00D73014"/>
    <w:rsid w:val="00D773B6"/>
    <w:rsid w:val="00D81C75"/>
    <w:rsid w:val="00D85334"/>
    <w:rsid w:val="00D853F4"/>
    <w:rsid w:val="00D8548B"/>
    <w:rsid w:val="00D8770A"/>
    <w:rsid w:val="00D91C46"/>
    <w:rsid w:val="00D93D55"/>
    <w:rsid w:val="00D963DB"/>
    <w:rsid w:val="00DA10B4"/>
    <w:rsid w:val="00DA26C2"/>
    <w:rsid w:val="00DA2B93"/>
    <w:rsid w:val="00DA40B8"/>
    <w:rsid w:val="00DA63E6"/>
    <w:rsid w:val="00DA6AD5"/>
    <w:rsid w:val="00DA718E"/>
    <w:rsid w:val="00DB30EE"/>
    <w:rsid w:val="00DB31C9"/>
    <w:rsid w:val="00DB3E7B"/>
    <w:rsid w:val="00DB45C4"/>
    <w:rsid w:val="00DB6564"/>
    <w:rsid w:val="00DB703F"/>
    <w:rsid w:val="00DB7903"/>
    <w:rsid w:val="00DC0EDC"/>
    <w:rsid w:val="00DC3CA7"/>
    <w:rsid w:val="00DC5F67"/>
    <w:rsid w:val="00DC72EA"/>
    <w:rsid w:val="00DC7BCD"/>
    <w:rsid w:val="00DD3050"/>
    <w:rsid w:val="00DD3EA6"/>
    <w:rsid w:val="00DD498C"/>
    <w:rsid w:val="00DD5A5A"/>
    <w:rsid w:val="00DD6960"/>
    <w:rsid w:val="00DE286B"/>
    <w:rsid w:val="00DE3B8C"/>
    <w:rsid w:val="00DE43A6"/>
    <w:rsid w:val="00DE4A75"/>
    <w:rsid w:val="00DE63F0"/>
    <w:rsid w:val="00DE7465"/>
    <w:rsid w:val="00DE7999"/>
    <w:rsid w:val="00DF0B51"/>
    <w:rsid w:val="00DF24DD"/>
    <w:rsid w:val="00DF3C5A"/>
    <w:rsid w:val="00DF652E"/>
    <w:rsid w:val="00DF6DE9"/>
    <w:rsid w:val="00DF715E"/>
    <w:rsid w:val="00E0187A"/>
    <w:rsid w:val="00E04F0B"/>
    <w:rsid w:val="00E0777B"/>
    <w:rsid w:val="00E161CE"/>
    <w:rsid w:val="00E16EB1"/>
    <w:rsid w:val="00E207BD"/>
    <w:rsid w:val="00E24BA3"/>
    <w:rsid w:val="00E25817"/>
    <w:rsid w:val="00E26E89"/>
    <w:rsid w:val="00E3231A"/>
    <w:rsid w:val="00E335FE"/>
    <w:rsid w:val="00E36D73"/>
    <w:rsid w:val="00E3747A"/>
    <w:rsid w:val="00E3766D"/>
    <w:rsid w:val="00E40595"/>
    <w:rsid w:val="00E41935"/>
    <w:rsid w:val="00E43A96"/>
    <w:rsid w:val="00E44440"/>
    <w:rsid w:val="00E459A2"/>
    <w:rsid w:val="00E46032"/>
    <w:rsid w:val="00E512D5"/>
    <w:rsid w:val="00E60E20"/>
    <w:rsid w:val="00E6170C"/>
    <w:rsid w:val="00E620DE"/>
    <w:rsid w:val="00E62833"/>
    <w:rsid w:val="00E66FB1"/>
    <w:rsid w:val="00E67320"/>
    <w:rsid w:val="00E6768F"/>
    <w:rsid w:val="00E70811"/>
    <w:rsid w:val="00E71624"/>
    <w:rsid w:val="00E74148"/>
    <w:rsid w:val="00E76047"/>
    <w:rsid w:val="00E76A02"/>
    <w:rsid w:val="00E76FA0"/>
    <w:rsid w:val="00E85269"/>
    <w:rsid w:val="00E85319"/>
    <w:rsid w:val="00E8658E"/>
    <w:rsid w:val="00E87737"/>
    <w:rsid w:val="00E91AC6"/>
    <w:rsid w:val="00E932A7"/>
    <w:rsid w:val="00E971C2"/>
    <w:rsid w:val="00E976BB"/>
    <w:rsid w:val="00EA2D85"/>
    <w:rsid w:val="00EA6039"/>
    <w:rsid w:val="00EA6752"/>
    <w:rsid w:val="00EB0676"/>
    <w:rsid w:val="00EB2730"/>
    <w:rsid w:val="00EB3081"/>
    <w:rsid w:val="00EB58E5"/>
    <w:rsid w:val="00EC35F7"/>
    <w:rsid w:val="00EC4E49"/>
    <w:rsid w:val="00EC6644"/>
    <w:rsid w:val="00ED193D"/>
    <w:rsid w:val="00ED77FB"/>
    <w:rsid w:val="00ED7917"/>
    <w:rsid w:val="00EE1F78"/>
    <w:rsid w:val="00EE45FA"/>
    <w:rsid w:val="00EE476F"/>
    <w:rsid w:val="00EE4B47"/>
    <w:rsid w:val="00EE50F9"/>
    <w:rsid w:val="00EE65CE"/>
    <w:rsid w:val="00EE6C47"/>
    <w:rsid w:val="00EE7B9A"/>
    <w:rsid w:val="00EF14EB"/>
    <w:rsid w:val="00EF2BE9"/>
    <w:rsid w:val="00EF493D"/>
    <w:rsid w:val="00F11224"/>
    <w:rsid w:val="00F1186F"/>
    <w:rsid w:val="00F1331D"/>
    <w:rsid w:val="00F1368C"/>
    <w:rsid w:val="00F15C94"/>
    <w:rsid w:val="00F1712E"/>
    <w:rsid w:val="00F21231"/>
    <w:rsid w:val="00F22670"/>
    <w:rsid w:val="00F239D9"/>
    <w:rsid w:val="00F269B2"/>
    <w:rsid w:val="00F27D91"/>
    <w:rsid w:val="00F301F2"/>
    <w:rsid w:val="00F31266"/>
    <w:rsid w:val="00F31A7C"/>
    <w:rsid w:val="00F365D6"/>
    <w:rsid w:val="00F368C5"/>
    <w:rsid w:val="00F369F8"/>
    <w:rsid w:val="00F37614"/>
    <w:rsid w:val="00F44440"/>
    <w:rsid w:val="00F44784"/>
    <w:rsid w:val="00F45C30"/>
    <w:rsid w:val="00F4659E"/>
    <w:rsid w:val="00F50018"/>
    <w:rsid w:val="00F5177E"/>
    <w:rsid w:val="00F52F67"/>
    <w:rsid w:val="00F569BE"/>
    <w:rsid w:val="00F61990"/>
    <w:rsid w:val="00F63983"/>
    <w:rsid w:val="00F66152"/>
    <w:rsid w:val="00F663E3"/>
    <w:rsid w:val="00F7236E"/>
    <w:rsid w:val="00F830BC"/>
    <w:rsid w:val="00F8318A"/>
    <w:rsid w:val="00F9079D"/>
    <w:rsid w:val="00F92046"/>
    <w:rsid w:val="00F94E3B"/>
    <w:rsid w:val="00F95442"/>
    <w:rsid w:val="00F9558D"/>
    <w:rsid w:val="00F96656"/>
    <w:rsid w:val="00FA01FC"/>
    <w:rsid w:val="00FA47F1"/>
    <w:rsid w:val="00FA607D"/>
    <w:rsid w:val="00FB2D97"/>
    <w:rsid w:val="00FB42DA"/>
    <w:rsid w:val="00FB6E4B"/>
    <w:rsid w:val="00FC2FE6"/>
    <w:rsid w:val="00FC629B"/>
    <w:rsid w:val="00FD3DB2"/>
    <w:rsid w:val="00FD4A6A"/>
    <w:rsid w:val="00FD4F3B"/>
    <w:rsid w:val="00FD6783"/>
    <w:rsid w:val="00FE0CB4"/>
    <w:rsid w:val="00FE0D6D"/>
    <w:rsid w:val="00FE2C03"/>
    <w:rsid w:val="00FE46CA"/>
    <w:rsid w:val="00FE64B9"/>
    <w:rsid w:val="00FE6D7E"/>
    <w:rsid w:val="00FF1BC2"/>
    <w:rsid w:val="00FF1D83"/>
    <w:rsid w:val="00FF20DF"/>
    <w:rsid w:val="00FF2CA1"/>
    <w:rsid w:val="00FF58B3"/>
    <w:rsid w:val="00FF6A08"/>
    <w:rsid w:val="00FF72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BC6A54"/>
    <w:pPr>
      <w:outlineLvl w:val="1"/>
    </w:pPr>
    <w:rPr>
      <w:rFonts w:cs="Times New Roman"/>
      <w:caps/>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6A54"/>
    <w:rPr>
      <w:rFonts w:ascii="Arial" w:eastAsia="SimSun" w:hAnsi="Arial"/>
      <w:caps/>
      <w:sz w:val="22"/>
      <w:lang w:val="x-none"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val="en-US"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BE26F3"/>
    <w:pPr>
      <w:tabs>
        <w:tab w:val="left" w:pos="660"/>
        <w:tab w:val="right" w:pos="9346"/>
      </w:tabs>
      <w:spacing w:after="100" w:line="260" w:lineRule="atLeast"/>
      <w:ind w:left="200"/>
    </w:pPr>
    <w:rPr>
      <w:rFonts w:eastAsia="Times New Roman" w:cs="Times New Roman"/>
      <w:bCs/>
      <w:noProof/>
      <w:lang w:val="fr-FR"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val="en-US" w:eastAsia="zh-CN"/>
    </w:rPr>
  </w:style>
  <w:style w:type="character" w:customStyle="1" w:styleId="apple-converted-space">
    <w:name w:val="apple-converted-space"/>
    <w:basedOn w:val="DefaultParagraphFont"/>
    <w:rsid w:val="00964CD7"/>
  </w:style>
  <w:style w:type="character" w:customStyle="1" w:styleId="Heading1Char">
    <w:name w:val="Heading 1 Char"/>
    <w:basedOn w:val="DefaultParagraphFont"/>
    <w:link w:val="Heading1"/>
    <w:uiPriority w:val="9"/>
    <w:rsid w:val="00EE65CE"/>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rsid w:val="00EE65CE"/>
    <w:rPr>
      <w:rFonts w:ascii="Arial" w:eastAsia="SimSun" w:hAnsi="Arial" w:cs="Arial"/>
      <w:sz w:val="22"/>
      <w:lang w:val="en-US" w:eastAsia="zh-CN"/>
    </w:rPr>
  </w:style>
  <w:style w:type="character" w:customStyle="1" w:styleId="hps">
    <w:name w:val="hps"/>
    <w:basedOn w:val="DefaultParagraphFont"/>
    <w:rsid w:val="00BC6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BC6A54"/>
    <w:pPr>
      <w:outlineLvl w:val="1"/>
    </w:pPr>
    <w:rPr>
      <w:rFonts w:cs="Times New Roman"/>
      <w:caps/>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C6A54"/>
    <w:rPr>
      <w:rFonts w:ascii="Arial" w:eastAsia="SimSun" w:hAnsi="Arial"/>
      <w:caps/>
      <w:sz w:val="22"/>
      <w:lang w:val="x-none"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val="en-US"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BE26F3"/>
    <w:pPr>
      <w:tabs>
        <w:tab w:val="left" w:pos="660"/>
        <w:tab w:val="right" w:pos="9346"/>
      </w:tabs>
      <w:spacing w:after="100" w:line="260" w:lineRule="atLeast"/>
      <w:ind w:left="200"/>
    </w:pPr>
    <w:rPr>
      <w:rFonts w:eastAsia="Times New Roman" w:cs="Times New Roman"/>
      <w:bCs/>
      <w:noProof/>
      <w:lang w:val="fr-FR"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val="en-US" w:eastAsia="zh-CN"/>
    </w:rPr>
  </w:style>
  <w:style w:type="character" w:customStyle="1" w:styleId="apple-converted-space">
    <w:name w:val="apple-converted-space"/>
    <w:basedOn w:val="DefaultParagraphFont"/>
    <w:rsid w:val="00964CD7"/>
  </w:style>
  <w:style w:type="character" w:customStyle="1" w:styleId="Heading1Char">
    <w:name w:val="Heading 1 Char"/>
    <w:basedOn w:val="DefaultParagraphFont"/>
    <w:link w:val="Heading1"/>
    <w:uiPriority w:val="9"/>
    <w:rsid w:val="00EE65CE"/>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rsid w:val="00EE65CE"/>
    <w:rPr>
      <w:rFonts w:ascii="Arial" w:eastAsia="SimSun" w:hAnsi="Arial" w:cs="Arial"/>
      <w:sz w:val="22"/>
      <w:lang w:val="en-US" w:eastAsia="zh-CN"/>
    </w:rPr>
  </w:style>
  <w:style w:type="character" w:customStyle="1" w:styleId="hps">
    <w:name w:val="hps"/>
    <w:basedOn w:val="DefaultParagraphFont"/>
    <w:rsid w:val="00BC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F4D8-E13C-4032-9D8E-45A8F961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Evaluation - Specialized Databases’ Access and Support – Phase II</vt:lpstr>
    </vt:vector>
  </TitlesOfParts>
  <Company>WIPO</Company>
  <LinksUpToDate>false</LinksUpToDate>
  <CharactersWithSpaces>62615</CharactersWithSpaces>
  <SharedDoc>false</SharedDoc>
  <HLinks>
    <vt:vector size="78" baseType="variant">
      <vt:variant>
        <vt:i4>1245234</vt:i4>
      </vt:variant>
      <vt:variant>
        <vt:i4>78</vt:i4>
      </vt:variant>
      <vt:variant>
        <vt:i4>0</vt:i4>
      </vt:variant>
      <vt:variant>
        <vt:i4>5</vt:i4>
      </vt:variant>
      <vt:variant>
        <vt:lpwstr/>
      </vt:variant>
      <vt:variant>
        <vt:lpwstr>_Toc396377091</vt:lpwstr>
      </vt:variant>
      <vt:variant>
        <vt:i4>1245234</vt:i4>
      </vt:variant>
      <vt:variant>
        <vt:i4>72</vt:i4>
      </vt:variant>
      <vt:variant>
        <vt:i4>0</vt:i4>
      </vt:variant>
      <vt:variant>
        <vt:i4>5</vt:i4>
      </vt:variant>
      <vt:variant>
        <vt:lpwstr/>
      </vt:variant>
      <vt:variant>
        <vt:lpwstr>_Toc396377090</vt:lpwstr>
      </vt:variant>
      <vt:variant>
        <vt:i4>1179698</vt:i4>
      </vt:variant>
      <vt:variant>
        <vt:i4>66</vt:i4>
      </vt:variant>
      <vt:variant>
        <vt:i4>0</vt:i4>
      </vt:variant>
      <vt:variant>
        <vt:i4>5</vt:i4>
      </vt:variant>
      <vt:variant>
        <vt:lpwstr/>
      </vt:variant>
      <vt:variant>
        <vt:lpwstr>_Toc396377089</vt:lpwstr>
      </vt:variant>
      <vt:variant>
        <vt:i4>1179698</vt:i4>
      </vt:variant>
      <vt:variant>
        <vt:i4>60</vt:i4>
      </vt:variant>
      <vt:variant>
        <vt:i4>0</vt:i4>
      </vt:variant>
      <vt:variant>
        <vt:i4>5</vt:i4>
      </vt:variant>
      <vt:variant>
        <vt:lpwstr/>
      </vt:variant>
      <vt:variant>
        <vt:lpwstr>_Toc396377088</vt:lpwstr>
      </vt:variant>
      <vt:variant>
        <vt:i4>1179698</vt:i4>
      </vt:variant>
      <vt:variant>
        <vt:i4>54</vt:i4>
      </vt:variant>
      <vt:variant>
        <vt:i4>0</vt:i4>
      </vt:variant>
      <vt:variant>
        <vt:i4>5</vt:i4>
      </vt:variant>
      <vt:variant>
        <vt:lpwstr/>
      </vt:variant>
      <vt:variant>
        <vt:lpwstr>_Toc396377087</vt:lpwstr>
      </vt:variant>
      <vt:variant>
        <vt:i4>1179698</vt:i4>
      </vt:variant>
      <vt:variant>
        <vt:i4>48</vt:i4>
      </vt:variant>
      <vt:variant>
        <vt:i4>0</vt:i4>
      </vt:variant>
      <vt:variant>
        <vt:i4>5</vt:i4>
      </vt:variant>
      <vt:variant>
        <vt:lpwstr/>
      </vt:variant>
      <vt:variant>
        <vt:lpwstr>_Toc396377086</vt:lpwstr>
      </vt:variant>
      <vt:variant>
        <vt:i4>1179698</vt:i4>
      </vt:variant>
      <vt:variant>
        <vt:i4>42</vt:i4>
      </vt:variant>
      <vt:variant>
        <vt:i4>0</vt:i4>
      </vt:variant>
      <vt:variant>
        <vt:i4>5</vt:i4>
      </vt:variant>
      <vt:variant>
        <vt:lpwstr/>
      </vt:variant>
      <vt:variant>
        <vt:lpwstr>_Toc396377085</vt:lpwstr>
      </vt:variant>
      <vt:variant>
        <vt:i4>1179698</vt:i4>
      </vt:variant>
      <vt:variant>
        <vt:i4>36</vt:i4>
      </vt:variant>
      <vt:variant>
        <vt:i4>0</vt:i4>
      </vt:variant>
      <vt:variant>
        <vt:i4>5</vt:i4>
      </vt:variant>
      <vt:variant>
        <vt:lpwstr/>
      </vt:variant>
      <vt:variant>
        <vt:lpwstr>_Toc396377084</vt:lpwstr>
      </vt:variant>
      <vt:variant>
        <vt:i4>1179698</vt:i4>
      </vt:variant>
      <vt:variant>
        <vt:i4>30</vt:i4>
      </vt:variant>
      <vt:variant>
        <vt:i4>0</vt:i4>
      </vt:variant>
      <vt:variant>
        <vt:i4>5</vt:i4>
      </vt:variant>
      <vt:variant>
        <vt:lpwstr/>
      </vt:variant>
      <vt:variant>
        <vt:lpwstr>_Toc396377083</vt:lpwstr>
      </vt:variant>
      <vt:variant>
        <vt:i4>1179698</vt:i4>
      </vt:variant>
      <vt:variant>
        <vt:i4>24</vt:i4>
      </vt:variant>
      <vt:variant>
        <vt:i4>0</vt:i4>
      </vt:variant>
      <vt:variant>
        <vt:i4>5</vt:i4>
      </vt:variant>
      <vt:variant>
        <vt:lpwstr/>
      </vt:variant>
      <vt:variant>
        <vt:lpwstr>_Toc396377082</vt:lpwstr>
      </vt:variant>
      <vt:variant>
        <vt:i4>1179698</vt:i4>
      </vt:variant>
      <vt:variant>
        <vt:i4>18</vt:i4>
      </vt:variant>
      <vt:variant>
        <vt:i4>0</vt:i4>
      </vt:variant>
      <vt:variant>
        <vt:i4>5</vt:i4>
      </vt:variant>
      <vt:variant>
        <vt:lpwstr/>
      </vt:variant>
      <vt:variant>
        <vt:lpwstr>_Toc396377081</vt:lpwstr>
      </vt:variant>
      <vt:variant>
        <vt:i4>1179698</vt:i4>
      </vt:variant>
      <vt:variant>
        <vt:i4>12</vt:i4>
      </vt:variant>
      <vt:variant>
        <vt:i4>0</vt:i4>
      </vt:variant>
      <vt:variant>
        <vt:i4>5</vt:i4>
      </vt:variant>
      <vt:variant>
        <vt:lpwstr/>
      </vt:variant>
      <vt:variant>
        <vt:lpwstr>_Toc396377080</vt:lpwstr>
      </vt:variant>
      <vt:variant>
        <vt:i4>1900594</vt:i4>
      </vt:variant>
      <vt:variant>
        <vt:i4>6</vt:i4>
      </vt:variant>
      <vt:variant>
        <vt:i4>0</vt:i4>
      </vt:variant>
      <vt:variant>
        <vt:i4>5</vt:i4>
      </vt:variant>
      <vt:variant>
        <vt:lpwstr/>
      </vt:variant>
      <vt:variant>
        <vt:lpwstr>_Toc396377079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Specialized Databases’ Access and Support – Phase II</dc:title>
  <dc:creator>oneil</dc:creator>
  <cp:keywords>ST/MP/mhf/ko</cp:keywords>
  <cp:lastModifiedBy>BRACI Biljana</cp:lastModifiedBy>
  <cp:revision>6</cp:revision>
  <cp:lastPrinted>2016-01-29T14:24:00Z</cp:lastPrinted>
  <dcterms:created xsi:type="dcterms:W3CDTF">2016-01-29T10:49:00Z</dcterms:created>
  <dcterms:modified xsi:type="dcterms:W3CDTF">2016-01-29T14:25:00Z</dcterms:modified>
</cp:coreProperties>
</file>