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230FA" w:rsidRPr="00CB3013" w:rsidTr="00CB301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230FA" w:rsidRPr="00CB3013" w:rsidRDefault="004230FA" w:rsidP="00C1608C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30FA" w:rsidRPr="00CB3013" w:rsidRDefault="004230FA" w:rsidP="00C1608C">
            <w:pPr>
              <w:rPr>
                <w:lang w:val="fr-FR"/>
              </w:rPr>
            </w:pPr>
            <w:r w:rsidRPr="00CB3013">
              <w:rPr>
                <w:noProof/>
                <w:lang w:eastAsia="en-US"/>
              </w:rPr>
              <w:drawing>
                <wp:inline distT="0" distB="0" distL="0" distR="0" wp14:anchorId="00945837" wp14:editId="5608EA8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230FA" w:rsidRPr="00CB3013" w:rsidRDefault="004230FA" w:rsidP="00C1608C">
            <w:pPr>
              <w:jc w:val="right"/>
              <w:rPr>
                <w:lang w:val="fr-FR"/>
              </w:rPr>
            </w:pPr>
            <w:r w:rsidRPr="00CB301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230FA" w:rsidRPr="00CB3013" w:rsidTr="00C1608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230FA" w:rsidRPr="00CB3013" w:rsidRDefault="004230FA" w:rsidP="00B2140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B3013">
              <w:rPr>
                <w:rFonts w:ascii="Arial Black" w:hAnsi="Arial Black"/>
                <w:caps/>
                <w:sz w:val="15"/>
                <w:lang w:val="fr-FR"/>
              </w:rPr>
              <w:t>CDIP/1</w:t>
            </w:r>
            <w:r w:rsidR="00B21405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CB3013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0" w:name="Code"/>
            <w:bookmarkEnd w:id="0"/>
            <w:r w:rsidRPr="00CB3013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 w:rsidR="00B21405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CB301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4230FA" w:rsidRPr="00CB3013" w:rsidTr="00C1608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230FA" w:rsidRPr="00CB3013" w:rsidRDefault="004230FA" w:rsidP="00C1608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B301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301D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B301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CB301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4230FA" w:rsidRPr="00CB3013" w:rsidTr="00C1608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230FA" w:rsidRPr="00CB3013" w:rsidRDefault="004230FA" w:rsidP="00B2140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B301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301D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B301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EC631A">
              <w:rPr>
                <w:rFonts w:ascii="Arial Black" w:hAnsi="Arial Black"/>
                <w:caps/>
                <w:sz w:val="15"/>
                <w:lang w:val="fr-FR"/>
              </w:rPr>
              <w:t>9 septembre</w:t>
            </w:r>
            <w:r w:rsidR="000B220E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CB3013" w:rsidRPr="00CB3013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CB3013">
              <w:rPr>
                <w:rFonts w:ascii="Arial Black" w:hAnsi="Arial Black"/>
                <w:caps/>
                <w:sz w:val="15"/>
                <w:lang w:val="fr-FR"/>
              </w:rPr>
              <w:t>14</w:t>
            </w:r>
          </w:p>
        </w:tc>
      </w:tr>
    </w:tbl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b/>
          <w:sz w:val="28"/>
          <w:szCs w:val="28"/>
          <w:lang w:val="fr-FR"/>
        </w:rPr>
      </w:pPr>
      <w:r w:rsidRPr="00CB3013">
        <w:rPr>
          <w:b/>
          <w:sz w:val="28"/>
          <w:szCs w:val="28"/>
          <w:lang w:val="fr-FR"/>
        </w:rPr>
        <w:t>Comité du développement et de la propriété intellectuelle (CDIP)</w:t>
      </w: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B21405" w:rsidP="004230FA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Quatorzième</w:t>
      </w:r>
      <w:r w:rsidR="00B301D1">
        <w:rPr>
          <w:b/>
          <w:sz w:val="24"/>
          <w:szCs w:val="24"/>
          <w:lang w:val="fr-FR"/>
        </w:rPr>
        <w:t> </w:t>
      </w:r>
      <w:r w:rsidR="004230FA" w:rsidRPr="00CB3013">
        <w:rPr>
          <w:b/>
          <w:sz w:val="24"/>
          <w:szCs w:val="24"/>
          <w:lang w:val="fr-FR"/>
        </w:rPr>
        <w:t>session</w:t>
      </w:r>
    </w:p>
    <w:p w:rsidR="004230FA" w:rsidRPr="00CB3013" w:rsidRDefault="004230FA" w:rsidP="004230FA">
      <w:pPr>
        <w:rPr>
          <w:b/>
          <w:sz w:val="24"/>
          <w:szCs w:val="24"/>
          <w:lang w:val="fr-FR"/>
        </w:rPr>
      </w:pPr>
      <w:r w:rsidRPr="00CB3013">
        <w:rPr>
          <w:b/>
          <w:sz w:val="24"/>
          <w:szCs w:val="24"/>
          <w:lang w:val="fr-FR"/>
        </w:rPr>
        <w:t>Genève, 1</w:t>
      </w:r>
      <w:r w:rsidR="00B21405">
        <w:rPr>
          <w:b/>
          <w:sz w:val="24"/>
          <w:szCs w:val="24"/>
          <w:lang w:val="fr-FR"/>
        </w:rPr>
        <w:t>0</w:t>
      </w:r>
      <w:r w:rsidRPr="00CB3013">
        <w:rPr>
          <w:b/>
          <w:sz w:val="24"/>
          <w:szCs w:val="24"/>
          <w:lang w:val="fr-FR"/>
        </w:rPr>
        <w:t xml:space="preserve"> </w:t>
      </w:r>
      <w:r w:rsidR="00A20C37">
        <w:rPr>
          <w:b/>
          <w:sz w:val="24"/>
          <w:szCs w:val="24"/>
          <w:lang w:val="fr-FR"/>
        </w:rPr>
        <w:t>–</w:t>
      </w:r>
      <w:r w:rsidRPr="00CB3013">
        <w:rPr>
          <w:b/>
          <w:sz w:val="24"/>
          <w:szCs w:val="24"/>
          <w:lang w:val="fr-FR"/>
        </w:rPr>
        <w:t xml:space="preserve"> </w:t>
      </w:r>
      <w:r w:rsidR="00B21405">
        <w:rPr>
          <w:b/>
          <w:sz w:val="24"/>
          <w:szCs w:val="24"/>
          <w:lang w:val="fr-FR"/>
        </w:rPr>
        <w:t>14</w:t>
      </w:r>
      <w:r w:rsidR="00CB3013">
        <w:rPr>
          <w:b/>
          <w:sz w:val="24"/>
          <w:szCs w:val="24"/>
          <w:lang w:val="fr-FR"/>
        </w:rPr>
        <w:t> </w:t>
      </w:r>
      <w:r w:rsidR="00B21405">
        <w:rPr>
          <w:b/>
          <w:sz w:val="24"/>
          <w:szCs w:val="24"/>
          <w:lang w:val="fr-FR"/>
        </w:rPr>
        <w:t>novembre</w:t>
      </w:r>
      <w:r w:rsidR="00CB3013">
        <w:rPr>
          <w:b/>
          <w:sz w:val="24"/>
          <w:szCs w:val="24"/>
          <w:lang w:val="fr-FR"/>
        </w:rPr>
        <w:t> </w:t>
      </w:r>
      <w:r w:rsidR="00CB3013" w:rsidRPr="00CB3013">
        <w:rPr>
          <w:b/>
          <w:sz w:val="24"/>
          <w:szCs w:val="24"/>
          <w:lang w:val="fr-FR"/>
        </w:rPr>
        <w:t>20</w:t>
      </w:r>
      <w:r w:rsidRPr="00CB3013">
        <w:rPr>
          <w:b/>
          <w:sz w:val="24"/>
          <w:szCs w:val="24"/>
          <w:lang w:val="fr-FR"/>
        </w:rPr>
        <w:t>14</w:t>
      </w: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lang w:val="fr-FR"/>
        </w:rPr>
      </w:pPr>
    </w:p>
    <w:p w:rsidR="004230FA" w:rsidRPr="00CB3013" w:rsidRDefault="004230FA" w:rsidP="004230FA">
      <w:pPr>
        <w:rPr>
          <w:lang w:val="fr-FR"/>
        </w:rPr>
      </w:pPr>
    </w:p>
    <w:p w:rsidR="007915E7" w:rsidRPr="00CB3013" w:rsidRDefault="001C5BA6" w:rsidP="001C5BA6">
      <w:pPr>
        <w:rPr>
          <w:lang w:val="fr-FR"/>
        </w:rPr>
      </w:pPr>
      <w:r w:rsidRPr="00CB3013">
        <w:rPr>
          <w:color w:val="000000"/>
          <w:sz w:val="24"/>
          <w:lang w:val="fr-FR"/>
        </w:rPr>
        <w:t>RÉSUMÉ DE L</w:t>
      </w:r>
      <w:r w:rsidR="00EC631A">
        <w:rPr>
          <w:color w:val="000000"/>
          <w:sz w:val="24"/>
          <w:lang w:val="fr-FR"/>
        </w:rPr>
        <w:t>’</w:t>
      </w:r>
      <w:r w:rsidRPr="00CB3013">
        <w:rPr>
          <w:color w:val="000000"/>
          <w:sz w:val="24"/>
          <w:lang w:val="fr-FR"/>
        </w:rPr>
        <w:t>ÉTUDE SUR L</w:t>
      </w:r>
      <w:r w:rsidR="00EC631A">
        <w:rPr>
          <w:color w:val="000000"/>
          <w:sz w:val="24"/>
          <w:lang w:val="fr-FR"/>
        </w:rPr>
        <w:t>’</w:t>
      </w:r>
      <w:r w:rsidRPr="00CB3013">
        <w:rPr>
          <w:color w:val="000000"/>
          <w:sz w:val="24"/>
          <w:lang w:val="fr-FR"/>
        </w:rPr>
        <w:t>UTILISATION DE LA PROPRIÉTÉ INTELLECTUELLE ET LES RÉSULTATS À L</w:t>
      </w:r>
      <w:r w:rsidR="00EC631A">
        <w:rPr>
          <w:color w:val="000000"/>
          <w:sz w:val="24"/>
          <w:lang w:val="fr-FR"/>
        </w:rPr>
        <w:t>’</w:t>
      </w:r>
      <w:r w:rsidRPr="00CB3013">
        <w:rPr>
          <w:color w:val="000000"/>
          <w:sz w:val="24"/>
          <w:lang w:val="fr-FR"/>
        </w:rPr>
        <w:t>EXPORTATION DES ENTREPRISES BRÉSILIENNES</w:t>
      </w:r>
    </w:p>
    <w:p w:rsidR="007915E7" w:rsidRPr="00CB3013" w:rsidRDefault="007915E7" w:rsidP="00393AF3">
      <w:pPr>
        <w:rPr>
          <w:lang w:val="fr-FR"/>
        </w:rPr>
      </w:pPr>
      <w:bookmarkStart w:id="3" w:name="Prepared"/>
      <w:bookmarkEnd w:id="3"/>
    </w:p>
    <w:p w:rsidR="007915E7" w:rsidRPr="00CB3013" w:rsidRDefault="007915E7" w:rsidP="00393AF3">
      <w:pPr>
        <w:rPr>
          <w:lang w:val="fr-FR"/>
        </w:rPr>
      </w:pPr>
    </w:p>
    <w:p w:rsidR="00CB3013" w:rsidRDefault="001C5BA6" w:rsidP="001C5BA6">
      <w:pPr>
        <w:rPr>
          <w:i/>
          <w:color w:val="000000"/>
          <w:lang w:val="fr-FR"/>
        </w:rPr>
      </w:pPr>
      <w:bookmarkStart w:id="4" w:name="_GoBack"/>
      <w:proofErr w:type="gramStart"/>
      <w:r w:rsidRPr="00CB3013">
        <w:rPr>
          <w:i/>
          <w:color w:val="000000"/>
          <w:lang w:val="fr-FR"/>
        </w:rPr>
        <w:t>établi</w:t>
      </w:r>
      <w:proofErr w:type="gramEnd"/>
      <w:r w:rsidRPr="00CB3013">
        <w:rPr>
          <w:i/>
          <w:color w:val="000000"/>
          <w:lang w:val="fr-FR"/>
        </w:rPr>
        <w:t xml:space="preserve"> par le </w:t>
      </w:r>
      <w:r w:rsidRPr="00CB3013">
        <w:rPr>
          <w:i/>
          <w:lang w:val="fr-FR"/>
        </w:rPr>
        <w:t>Secrétariat</w:t>
      </w:r>
      <w:r w:rsidRPr="00CB3013">
        <w:rPr>
          <w:i/>
          <w:color w:val="000000"/>
          <w:lang w:val="fr-FR"/>
        </w:rPr>
        <w:t xml:space="preserve"> en collaboration avec Mme</w:t>
      </w:r>
      <w:r w:rsidR="00B301D1">
        <w:rPr>
          <w:i/>
          <w:color w:val="000000"/>
          <w:lang w:val="fr-FR"/>
        </w:rPr>
        <w:t> </w:t>
      </w:r>
      <w:proofErr w:type="spellStart"/>
      <w:r w:rsidRPr="00CB3013">
        <w:rPr>
          <w:i/>
          <w:color w:val="000000"/>
          <w:lang w:val="fr-FR"/>
        </w:rPr>
        <w:t>Graziela</w:t>
      </w:r>
      <w:proofErr w:type="spellEnd"/>
      <w:r w:rsidR="00A20C37">
        <w:rPr>
          <w:i/>
          <w:color w:val="000000"/>
          <w:lang w:val="fr-FR"/>
        </w:rPr>
        <w:t> </w:t>
      </w:r>
      <w:r w:rsidRPr="00CB3013">
        <w:rPr>
          <w:i/>
          <w:color w:val="000000"/>
          <w:lang w:val="fr-FR"/>
        </w:rPr>
        <w:t>Ferrero</w:t>
      </w:r>
      <w:r w:rsidR="00A20C37">
        <w:rPr>
          <w:i/>
          <w:color w:val="000000"/>
          <w:lang w:val="fr-FR"/>
        </w:rPr>
        <w:t> </w:t>
      </w:r>
      <w:proofErr w:type="spellStart"/>
      <w:r w:rsidRPr="00CB3013">
        <w:rPr>
          <w:i/>
          <w:color w:val="000000"/>
          <w:lang w:val="fr-FR"/>
        </w:rPr>
        <w:t>Zucoloto</w:t>
      </w:r>
      <w:proofErr w:type="spellEnd"/>
      <w:r w:rsidRPr="00CB3013">
        <w:rPr>
          <w:i/>
          <w:color w:val="000000"/>
          <w:lang w:val="fr-FR"/>
        </w:rPr>
        <w:t>, cherche</w:t>
      </w:r>
      <w:r w:rsidR="00B21405">
        <w:rPr>
          <w:i/>
          <w:color w:val="000000"/>
          <w:lang w:val="fr-FR"/>
        </w:rPr>
        <w:t xml:space="preserve">use, </w:t>
      </w:r>
      <w:proofErr w:type="spellStart"/>
      <w:r w:rsidR="00B21405">
        <w:rPr>
          <w:i/>
          <w:color w:val="000000"/>
          <w:lang w:val="fr-FR"/>
        </w:rPr>
        <w:t>Instituto</w:t>
      </w:r>
      <w:proofErr w:type="spellEnd"/>
      <w:r w:rsidR="00B21405">
        <w:rPr>
          <w:i/>
          <w:color w:val="000000"/>
          <w:lang w:val="fr-FR"/>
        </w:rPr>
        <w:t xml:space="preserve"> de </w:t>
      </w:r>
      <w:proofErr w:type="spellStart"/>
      <w:r w:rsidR="00B21405">
        <w:rPr>
          <w:i/>
          <w:color w:val="000000"/>
          <w:lang w:val="fr-FR"/>
        </w:rPr>
        <w:t>Pesquisa</w:t>
      </w:r>
      <w:proofErr w:type="spellEnd"/>
      <w:r w:rsidR="00B21405">
        <w:rPr>
          <w:i/>
          <w:color w:val="000000"/>
          <w:lang w:val="fr-FR"/>
        </w:rPr>
        <w:t xml:space="preserve"> </w:t>
      </w:r>
      <w:proofErr w:type="spellStart"/>
      <w:r w:rsidR="00B21405">
        <w:rPr>
          <w:i/>
          <w:color w:val="000000"/>
          <w:lang w:val="fr-FR"/>
        </w:rPr>
        <w:t>Econo</w:t>
      </w:r>
      <w:r w:rsidRPr="00CB3013">
        <w:rPr>
          <w:i/>
          <w:color w:val="000000"/>
          <w:lang w:val="fr-FR"/>
        </w:rPr>
        <w:t>mica</w:t>
      </w:r>
      <w:proofErr w:type="spellEnd"/>
      <w:r w:rsidRPr="00CB3013">
        <w:rPr>
          <w:i/>
          <w:color w:val="000000"/>
          <w:lang w:val="fr-FR"/>
        </w:rPr>
        <w:t xml:space="preserve"> </w:t>
      </w:r>
      <w:proofErr w:type="spellStart"/>
      <w:r w:rsidRPr="00CB3013">
        <w:rPr>
          <w:i/>
          <w:color w:val="000000"/>
          <w:lang w:val="fr-FR"/>
        </w:rPr>
        <w:t>Aplicada</w:t>
      </w:r>
      <w:proofErr w:type="spellEnd"/>
      <w:r w:rsidRPr="00CB3013">
        <w:rPr>
          <w:i/>
          <w:color w:val="000000"/>
          <w:lang w:val="fr-FR"/>
        </w:rPr>
        <w:t xml:space="preserve"> (IPEA) (Brésil) et M.</w:t>
      </w:r>
      <w:r w:rsidR="00B301D1">
        <w:rPr>
          <w:i/>
          <w:color w:val="000000"/>
          <w:lang w:val="fr-FR"/>
        </w:rPr>
        <w:t> </w:t>
      </w:r>
      <w:r w:rsidRPr="00CB3013">
        <w:rPr>
          <w:i/>
          <w:color w:val="000000"/>
          <w:lang w:val="fr-FR"/>
        </w:rPr>
        <w:t>Sergio</w:t>
      </w:r>
      <w:r w:rsidR="00A20C37">
        <w:rPr>
          <w:i/>
          <w:color w:val="000000"/>
          <w:lang w:val="fr-FR"/>
        </w:rPr>
        <w:t> </w:t>
      </w:r>
      <w:proofErr w:type="spellStart"/>
      <w:r w:rsidR="00B21405">
        <w:rPr>
          <w:i/>
          <w:color w:val="000000"/>
          <w:lang w:val="fr-FR"/>
        </w:rPr>
        <w:t>Leão</w:t>
      </w:r>
      <w:proofErr w:type="spellEnd"/>
      <w:r w:rsidR="00B21405">
        <w:rPr>
          <w:i/>
          <w:color w:val="000000"/>
          <w:lang w:val="fr-FR"/>
        </w:rPr>
        <w:t xml:space="preserve">, chercheur, </w:t>
      </w:r>
      <w:proofErr w:type="spellStart"/>
      <w:r w:rsidR="00B21405">
        <w:rPr>
          <w:i/>
          <w:color w:val="000000"/>
          <w:lang w:val="fr-FR"/>
        </w:rPr>
        <w:t>Pontifi</w:t>
      </w:r>
      <w:r w:rsidR="000B220E">
        <w:rPr>
          <w:i/>
          <w:color w:val="000000"/>
          <w:lang w:val="fr-FR"/>
        </w:rPr>
        <w:t>c</w:t>
      </w:r>
      <w:r w:rsidRPr="00CB3013">
        <w:rPr>
          <w:i/>
          <w:color w:val="000000"/>
          <w:lang w:val="fr-FR"/>
        </w:rPr>
        <w:t>a</w:t>
      </w:r>
      <w:proofErr w:type="spellEnd"/>
      <w:r w:rsidRPr="00CB3013">
        <w:rPr>
          <w:i/>
          <w:color w:val="000000"/>
          <w:lang w:val="fr-FR"/>
        </w:rPr>
        <w:t xml:space="preserve"> </w:t>
      </w:r>
      <w:proofErr w:type="spellStart"/>
      <w:r w:rsidRPr="00CB3013">
        <w:rPr>
          <w:i/>
          <w:color w:val="000000"/>
          <w:lang w:val="fr-FR"/>
        </w:rPr>
        <w:t>Universidade</w:t>
      </w:r>
      <w:proofErr w:type="spellEnd"/>
      <w:r w:rsidRPr="00CB3013">
        <w:rPr>
          <w:i/>
          <w:color w:val="000000"/>
          <w:lang w:val="fr-FR"/>
        </w:rPr>
        <w:t xml:space="preserve"> </w:t>
      </w:r>
      <w:proofErr w:type="spellStart"/>
      <w:r w:rsidRPr="00CB3013">
        <w:rPr>
          <w:i/>
          <w:color w:val="000000"/>
          <w:lang w:val="fr-FR"/>
        </w:rPr>
        <w:t>Cat</w:t>
      </w:r>
      <w:r w:rsidR="00B21405">
        <w:rPr>
          <w:i/>
          <w:color w:val="000000"/>
          <w:lang w:val="fr-FR"/>
        </w:rPr>
        <w:t>o</w:t>
      </w:r>
      <w:r w:rsidRPr="00CB3013">
        <w:rPr>
          <w:i/>
          <w:color w:val="000000"/>
          <w:lang w:val="fr-FR"/>
        </w:rPr>
        <w:t>lica</w:t>
      </w:r>
      <w:proofErr w:type="spellEnd"/>
      <w:r w:rsidRPr="00CB3013">
        <w:rPr>
          <w:i/>
          <w:color w:val="000000"/>
          <w:lang w:val="fr-FR"/>
        </w:rPr>
        <w:t>, Rio de Janeiro (Brésil)</w:t>
      </w:r>
    </w:p>
    <w:bookmarkEnd w:id="4"/>
    <w:p w:rsidR="007915E7" w:rsidRPr="00CB3013" w:rsidRDefault="007915E7" w:rsidP="00393AF3">
      <w:pPr>
        <w:rPr>
          <w:lang w:val="fr-FR"/>
        </w:rPr>
      </w:pPr>
    </w:p>
    <w:p w:rsidR="007915E7" w:rsidRPr="00CB3013" w:rsidRDefault="007915E7" w:rsidP="00393AF3">
      <w:pPr>
        <w:rPr>
          <w:lang w:val="fr-FR"/>
        </w:rPr>
      </w:pPr>
    </w:p>
    <w:p w:rsidR="007915E7" w:rsidRPr="00CB3013" w:rsidRDefault="007915E7" w:rsidP="00393AF3">
      <w:pPr>
        <w:rPr>
          <w:lang w:val="fr-FR"/>
        </w:rPr>
      </w:pPr>
    </w:p>
    <w:p w:rsidR="007915E7" w:rsidRPr="00CB3013" w:rsidRDefault="007915E7" w:rsidP="00393AF3">
      <w:pPr>
        <w:rPr>
          <w:lang w:val="fr-FR"/>
        </w:rPr>
      </w:pPr>
    </w:p>
    <w:p w:rsidR="007915E7" w:rsidRPr="00CB3013" w:rsidRDefault="007915E7" w:rsidP="00393AF3">
      <w:pPr>
        <w:rPr>
          <w:lang w:val="fr-FR"/>
        </w:rPr>
      </w:pPr>
    </w:p>
    <w:p w:rsidR="007915E7" w:rsidRPr="00CB3013" w:rsidRDefault="00776770" w:rsidP="005D720D">
      <w:pPr>
        <w:pStyle w:val="ONUMFS"/>
        <w:rPr>
          <w:lang w:val="fr-FR"/>
        </w:rPr>
      </w:pPr>
      <w:r w:rsidRPr="00CB3013">
        <w:rPr>
          <w:lang w:val="fr-FR"/>
        </w:rPr>
        <w:t>L</w:t>
      </w:r>
      <w:r w:rsidR="00EC631A">
        <w:rPr>
          <w:lang w:val="fr-FR"/>
        </w:rPr>
        <w:t>’</w:t>
      </w:r>
      <w:r w:rsidRPr="00CB3013">
        <w:rPr>
          <w:lang w:val="fr-FR"/>
        </w:rPr>
        <w:t>annexe du présent document contient un résumé de l</w:t>
      </w:r>
      <w:r w:rsidR="00EC631A">
        <w:rPr>
          <w:lang w:val="fr-FR"/>
        </w:rPr>
        <w:t>’</w:t>
      </w:r>
      <w:r w:rsidRPr="00CB3013">
        <w:rPr>
          <w:lang w:val="fr-FR"/>
        </w:rPr>
        <w:t>étude sur l</w:t>
      </w:r>
      <w:r w:rsidR="00EC631A">
        <w:rPr>
          <w:lang w:val="fr-FR"/>
        </w:rPr>
        <w:t>’</w:t>
      </w:r>
      <w:r w:rsidRPr="00CB3013">
        <w:rPr>
          <w:lang w:val="fr-FR"/>
        </w:rPr>
        <w:t>utilisation de la propriété intellectuelle et les résultats à l</w:t>
      </w:r>
      <w:r w:rsidR="00EC631A">
        <w:rPr>
          <w:lang w:val="fr-FR"/>
        </w:rPr>
        <w:t>’</w:t>
      </w:r>
      <w:r w:rsidRPr="00CB3013">
        <w:rPr>
          <w:lang w:val="fr-FR"/>
        </w:rPr>
        <w:t xml:space="preserve">exportation </w:t>
      </w:r>
      <w:r w:rsidR="00B21405">
        <w:rPr>
          <w:lang w:val="fr-FR"/>
        </w:rPr>
        <w:t>au Brésil</w:t>
      </w:r>
      <w:r w:rsidRPr="00CB3013">
        <w:rPr>
          <w:lang w:val="fr-FR"/>
        </w:rPr>
        <w:t xml:space="preserve"> réalisée dans le cadre du projet relatif à la propriété intellectuelle et au développement socioéconomique (CDIP/5/7 </w:t>
      </w:r>
      <w:proofErr w:type="spellStart"/>
      <w:r w:rsidRPr="00CB3013">
        <w:rPr>
          <w:lang w:val="fr-FR"/>
        </w:rPr>
        <w:t>Rev</w:t>
      </w:r>
      <w:proofErr w:type="spellEnd"/>
      <w:r w:rsidRPr="00CB3013">
        <w:rPr>
          <w:lang w:val="fr-FR"/>
        </w:rPr>
        <w:t>.)</w:t>
      </w:r>
      <w:r w:rsidR="00B21405">
        <w:rPr>
          <w:lang w:val="fr-FR"/>
        </w:rPr>
        <w:t xml:space="preserve"> approuvé par le Comité du développement et de la propriété intellectuelle (CDIP) à sa cinquième</w:t>
      </w:r>
      <w:r w:rsidR="004F4069">
        <w:rPr>
          <w:lang w:val="fr-FR"/>
        </w:rPr>
        <w:t> </w:t>
      </w:r>
      <w:r w:rsidR="00B21405">
        <w:rPr>
          <w:lang w:val="fr-FR"/>
        </w:rPr>
        <w:t xml:space="preserve">session, tenue en </w:t>
      </w:r>
      <w:r w:rsidR="00EC631A">
        <w:rPr>
          <w:lang w:val="fr-FR"/>
        </w:rPr>
        <w:t>avril 20</w:t>
      </w:r>
      <w:r w:rsidR="00B21405">
        <w:rPr>
          <w:lang w:val="fr-FR"/>
        </w:rPr>
        <w:t>10</w:t>
      </w:r>
      <w:r w:rsidRPr="00CB3013">
        <w:rPr>
          <w:lang w:val="fr-FR"/>
        </w:rPr>
        <w:t>.</w:t>
      </w:r>
    </w:p>
    <w:p w:rsidR="007915E7" w:rsidRPr="005D720D" w:rsidRDefault="00776770" w:rsidP="005D720D">
      <w:pPr>
        <w:pStyle w:val="ONUMFS"/>
        <w:spacing w:after="0"/>
        <w:ind w:left="5533"/>
        <w:rPr>
          <w:i/>
          <w:lang w:val="fr-FR"/>
        </w:rPr>
      </w:pPr>
      <w:r w:rsidRPr="005D720D">
        <w:rPr>
          <w:i/>
          <w:lang w:val="fr-FR"/>
        </w:rPr>
        <w:t xml:space="preserve">Le CDIP est </w:t>
      </w:r>
      <w:r w:rsidRPr="007A20B3">
        <w:rPr>
          <w:i/>
          <w:lang w:val="fr-CH"/>
        </w:rPr>
        <w:t>invité</w:t>
      </w:r>
      <w:r w:rsidRPr="005D720D">
        <w:rPr>
          <w:i/>
          <w:lang w:val="fr-FR"/>
        </w:rPr>
        <w:t xml:space="preserve"> à prendre note des informations contenues dans l</w:t>
      </w:r>
      <w:r w:rsidR="00EC631A" w:rsidRPr="005D720D">
        <w:rPr>
          <w:i/>
          <w:lang w:val="fr-FR"/>
        </w:rPr>
        <w:t>’</w:t>
      </w:r>
      <w:r w:rsidRPr="005D720D">
        <w:rPr>
          <w:i/>
          <w:lang w:val="fr-FR"/>
        </w:rPr>
        <w:t>annexe du présent document.</w:t>
      </w:r>
    </w:p>
    <w:p w:rsidR="007915E7" w:rsidRDefault="007915E7" w:rsidP="005D720D">
      <w:pPr>
        <w:rPr>
          <w:lang w:val="fr-FR"/>
        </w:rPr>
      </w:pPr>
    </w:p>
    <w:p w:rsidR="005D720D" w:rsidRDefault="005D720D" w:rsidP="005D720D">
      <w:pPr>
        <w:rPr>
          <w:lang w:val="fr-FR"/>
        </w:rPr>
      </w:pPr>
    </w:p>
    <w:p w:rsidR="00A20C37" w:rsidRDefault="00A20C37" w:rsidP="005D720D">
      <w:pPr>
        <w:rPr>
          <w:lang w:val="fr-FR"/>
        </w:rPr>
      </w:pPr>
    </w:p>
    <w:p w:rsidR="00A20C37" w:rsidRPr="007A20B3" w:rsidRDefault="00A20C37" w:rsidP="005D720D">
      <w:pPr>
        <w:pStyle w:val="Endofdocument-Annex"/>
        <w:rPr>
          <w:lang w:val="fr-CH"/>
        </w:rPr>
      </w:pPr>
      <w:r w:rsidRPr="007A20B3">
        <w:rPr>
          <w:lang w:val="fr-CH"/>
        </w:rPr>
        <w:t>[L</w:t>
      </w:r>
      <w:r w:rsidR="00EC631A" w:rsidRPr="007A20B3">
        <w:rPr>
          <w:lang w:val="fr-CH"/>
        </w:rPr>
        <w:t>’</w:t>
      </w:r>
      <w:r w:rsidRPr="007A20B3">
        <w:rPr>
          <w:lang w:val="fr-CH"/>
        </w:rPr>
        <w:t>annexe suit]</w:t>
      </w:r>
    </w:p>
    <w:p w:rsidR="00A20C37" w:rsidRPr="00CB3013" w:rsidRDefault="00A20C37" w:rsidP="00393AF3">
      <w:pPr>
        <w:rPr>
          <w:lang w:val="fr-FR"/>
        </w:rPr>
      </w:pPr>
    </w:p>
    <w:p w:rsidR="007915E7" w:rsidRPr="00CB3013" w:rsidRDefault="007915E7" w:rsidP="00A20C37">
      <w:pPr>
        <w:rPr>
          <w:lang w:val="fr-FR"/>
        </w:rPr>
      </w:pPr>
    </w:p>
    <w:p w:rsidR="002619AF" w:rsidRPr="00CB3013" w:rsidRDefault="002619AF">
      <w:pPr>
        <w:spacing w:after="200" w:line="276" w:lineRule="auto"/>
        <w:rPr>
          <w:lang w:val="fr-FR"/>
        </w:rPr>
        <w:sectPr w:rsidR="002619AF" w:rsidRPr="00CB3013" w:rsidSect="00EC631A">
          <w:headerReference w:type="default" r:id="rId13"/>
          <w:endnotePr>
            <w:numFmt w:val="decimal"/>
          </w:endnotePr>
          <w:pgSz w:w="11906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7915E7" w:rsidRPr="00CB3013" w:rsidRDefault="00A20C37" w:rsidP="00A20C37">
      <w:pPr>
        <w:pStyle w:val="Heading1"/>
        <w:rPr>
          <w:lang w:val="fr-FR" w:eastAsia="en-US"/>
        </w:rPr>
      </w:pPr>
      <w:r w:rsidRPr="00CB3013">
        <w:rPr>
          <w:lang w:val="fr-FR" w:eastAsia="en-US"/>
        </w:rPr>
        <w:lastRenderedPageBreak/>
        <w:t>Résumé</w:t>
      </w:r>
    </w:p>
    <w:p w:rsidR="007915E7" w:rsidRPr="00CB3013" w:rsidRDefault="007915E7" w:rsidP="006B5AE7">
      <w:pPr>
        <w:rPr>
          <w:rFonts w:eastAsia="Times New Roman"/>
          <w:szCs w:val="24"/>
          <w:lang w:val="fr-FR" w:eastAsia="en-US"/>
        </w:rPr>
      </w:pPr>
    </w:p>
    <w:p w:rsidR="00296123" w:rsidRDefault="00776770" w:rsidP="00296123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L</w:t>
      </w:r>
      <w:r w:rsidR="00B21405">
        <w:rPr>
          <w:lang w:val="fr-FR" w:eastAsia="en-US"/>
        </w:rPr>
        <w:t xml:space="preserve">e présent rapport </w:t>
      </w:r>
      <w:r w:rsidRPr="00CB3013">
        <w:rPr>
          <w:lang w:val="fr-FR" w:eastAsia="en-US"/>
        </w:rPr>
        <w:t>vise à évaluer les stratégies des entreprises manufacturières brésiliennes en matière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 xml:space="preserve">utilisation de la propriété intellectuelle et </w:t>
      </w:r>
      <w:r w:rsidR="00183537" w:rsidRPr="00CB3013">
        <w:rPr>
          <w:lang w:val="fr-FR" w:eastAsia="en-US"/>
        </w:rPr>
        <w:t>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 xml:space="preserve">incidence </w:t>
      </w:r>
      <w:r w:rsidR="00183537" w:rsidRPr="00CB3013">
        <w:rPr>
          <w:lang w:val="fr-FR" w:eastAsia="en-US"/>
        </w:rPr>
        <w:t xml:space="preserve">de cette utilisation </w:t>
      </w:r>
      <w:r w:rsidRPr="00CB3013">
        <w:rPr>
          <w:lang w:val="fr-FR" w:eastAsia="en-US"/>
        </w:rPr>
        <w:t>sur leurs résultats à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exportation.</w:t>
      </w:r>
    </w:p>
    <w:p w:rsidR="00296123" w:rsidRDefault="00776770" w:rsidP="00296123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La corrélation entre exportations et innovation est déjà établie dans la littérature existante.</w:t>
      </w:r>
      <w:r w:rsidR="006B5AE7" w:rsidRPr="00A20C37">
        <w:rPr>
          <w:lang w:val="fr-FR"/>
        </w:rPr>
        <w:t xml:space="preserve">  </w:t>
      </w:r>
      <w:r w:rsidR="00183537" w:rsidRPr="00CB3013">
        <w:rPr>
          <w:lang w:val="fr-FR" w:eastAsia="en-US"/>
        </w:rPr>
        <w:t>L</w:t>
      </w:r>
      <w:r w:rsidRPr="00CB3013">
        <w:rPr>
          <w:lang w:val="fr-FR" w:eastAsia="en-US"/>
        </w:rPr>
        <w:t xml:space="preserve">a part des exportations tend à être plus importante </w:t>
      </w:r>
      <w:r w:rsidR="00183537" w:rsidRPr="00CB3013">
        <w:rPr>
          <w:lang w:val="fr-FR" w:eastAsia="en-US"/>
        </w:rPr>
        <w:t xml:space="preserve">dans les entreprises innovantes </w:t>
      </w:r>
      <w:r w:rsidRPr="00CB3013">
        <w:rPr>
          <w:lang w:val="fr-FR" w:eastAsia="en-US"/>
        </w:rPr>
        <w:t>que dans les autres.</w:t>
      </w:r>
      <w:r w:rsidR="006B5AE7" w:rsidRPr="00A20C37">
        <w:rPr>
          <w:lang w:val="fr-FR"/>
        </w:rPr>
        <w:t xml:space="preserve">  </w:t>
      </w:r>
      <w:r w:rsidRPr="00CB3013">
        <w:rPr>
          <w:lang w:val="fr-FR" w:eastAsia="en-US"/>
        </w:rPr>
        <w:t xml:space="preserve">En outre, les entreprises exportatrices et innovantes sont </w:t>
      </w:r>
      <w:r w:rsidR="00183537" w:rsidRPr="00CB3013">
        <w:rPr>
          <w:lang w:val="fr-FR" w:eastAsia="en-US"/>
        </w:rPr>
        <w:t>en général</w:t>
      </w:r>
      <w:r w:rsidRPr="00CB3013">
        <w:rPr>
          <w:lang w:val="fr-FR" w:eastAsia="en-US"/>
        </w:rPr>
        <w:t xml:space="preserve"> plus grandes</w:t>
      </w:r>
      <w:r w:rsidR="00183537" w:rsidRPr="00CB3013">
        <w:rPr>
          <w:lang w:val="fr-FR" w:eastAsia="en-US"/>
        </w:rPr>
        <w:t xml:space="preserve"> et</w:t>
      </w:r>
      <w:r w:rsidRPr="00CB3013">
        <w:rPr>
          <w:lang w:val="fr-FR" w:eastAsia="en-US"/>
        </w:rPr>
        <w:t xml:space="preserve"> plus productives et </w:t>
      </w:r>
      <w:r w:rsidR="00183537" w:rsidRPr="00CB3013">
        <w:rPr>
          <w:lang w:val="fr-FR" w:eastAsia="en-US"/>
        </w:rPr>
        <w:t>ont une</w:t>
      </w:r>
      <w:r w:rsidRPr="00CB3013">
        <w:rPr>
          <w:lang w:val="fr-FR" w:eastAsia="en-US"/>
        </w:rPr>
        <w:t xml:space="preserve"> plus forte intensité de </w:t>
      </w:r>
      <w:r w:rsidR="009024A9" w:rsidRPr="00CB3013">
        <w:rPr>
          <w:lang w:val="fr-FR" w:eastAsia="en-US"/>
        </w:rPr>
        <w:t>main</w:t>
      </w:r>
      <w:r w:rsidR="004F5600">
        <w:rPr>
          <w:lang w:val="fr-FR" w:eastAsia="en-US"/>
        </w:rPr>
        <w:noBreakHyphen/>
      </w:r>
      <w:r w:rsidR="009024A9" w:rsidRPr="00CB3013">
        <w:rPr>
          <w:lang w:val="fr-FR" w:eastAsia="en-US"/>
        </w:rPr>
        <w:t>d</w:t>
      </w:r>
      <w:r w:rsidR="00EC631A">
        <w:rPr>
          <w:lang w:val="fr-FR" w:eastAsia="en-US"/>
        </w:rPr>
        <w:t>’</w:t>
      </w:r>
      <w:r w:rsidR="009024A9" w:rsidRPr="00CB3013">
        <w:rPr>
          <w:lang w:val="fr-FR" w:eastAsia="en-US"/>
        </w:rPr>
        <w:t>œuvre</w:t>
      </w:r>
      <w:r w:rsidRPr="00CB3013">
        <w:rPr>
          <w:lang w:val="fr-FR" w:eastAsia="en-US"/>
        </w:rPr>
        <w:t xml:space="preserve"> qualifiée.</w:t>
      </w:r>
      <w:r w:rsidR="006B5AE7" w:rsidRPr="00A20C37">
        <w:rPr>
          <w:lang w:val="fr-FR"/>
        </w:rPr>
        <w:t xml:space="preserve">  </w:t>
      </w:r>
      <w:r w:rsidR="00AD0650" w:rsidRPr="00CB3013">
        <w:rPr>
          <w:lang w:val="fr-FR" w:eastAsia="en-US"/>
        </w:rPr>
        <w:t xml:space="preserve">Les études existantes ont déjà </w:t>
      </w:r>
      <w:r w:rsidR="00183537" w:rsidRPr="00CB3013">
        <w:rPr>
          <w:lang w:val="fr-FR" w:eastAsia="en-US"/>
        </w:rPr>
        <w:t>mis en évidence</w:t>
      </w:r>
      <w:r w:rsidR="00AD0650" w:rsidRPr="00CB3013">
        <w:rPr>
          <w:lang w:val="fr-FR" w:eastAsia="en-US"/>
        </w:rPr>
        <w:t xml:space="preserve"> une corrélation entre les activités d</w:t>
      </w:r>
      <w:r w:rsidR="00EC631A">
        <w:rPr>
          <w:lang w:val="fr-FR" w:eastAsia="en-US"/>
        </w:rPr>
        <w:t>’</w:t>
      </w:r>
      <w:r w:rsidR="00AD0650" w:rsidRPr="00CB3013">
        <w:rPr>
          <w:lang w:val="fr-FR" w:eastAsia="en-US"/>
        </w:rPr>
        <w:t>innovation et les exportations des entreprises brésiliennes.</w:t>
      </w:r>
    </w:p>
    <w:p w:rsidR="00296123" w:rsidRDefault="00B21405" w:rsidP="00296123">
      <w:pPr>
        <w:pStyle w:val="ONUMFS"/>
        <w:numPr>
          <w:ilvl w:val="0"/>
          <w:numId w:val="0"/>
        </w:numPr>
        <w:rPr>
          <w:lang w:val="fr-FR" w:eastAsia="en-US"/>
        </w:rPr>
      </w:pPr>
      <w:r>
        <w:rPr>
          <w:lang w:val="fr-FR" w:eastAsia="en-US"/>
        </w:rPr>
        <w:t>Le</w:t>
      </w:r>
      <w:r w:rsidR="00AD0650" w:rsidRPr="00CB3013">
        <w:rPr>
          <w:lang w:val="fr-FR" w:eastAsia="en-US"/>
        </w:rPr>
        <w:t xml:space="preserve"> présent</w:t>
      </w:r>
      <w:r>
        <w:rPr>
          <w:lang w:val="fr-FR" w:eastAsia="en-US"/>
        </w:rPr>
        <w:t xml:space="preserve"> rapport </w:t>
      </w:r>
      <w:r w:rsidR="00AD0650" w:rsidRPr="00CB3013">
        <w:rPr>
          <w:lang w:val="fr-FR" w:eastAsia="en-US"/>
        </w:rPr>
        <w:t>enrichit la littérature en analysant la mesure dans laquelle les meilleurs résultats à l</w:t>
      </w:r>
      <w:r w:rsidR="00EC631A">
        <w:rPr>
          <w:lang w:val="fr-FR" w:eastAsia="en-US"/>
        </w:rPr>
        <w:t>’</w:t>
      </w:r>
      <w:r w:rsidR="00AD0650" w:rsidRPr="00CB3013">
        <w:rPr>
          <w:lang w:val="fr-FR" w:eastAsia="en-US"/>
        </w:rPr>
        <w:t xml:space="preserve">exportation des entreprises innovantes peuvent être reliés aux différentes stratégies </w:t>
      </w:r>
      <w:r w:rsidR="00183537" w:rsidRPr="00CB3013">
        <w:rPr>
          <w:lang w:val="fr-FR" w:eastAsia="en-US"/>
        </w:rPr>
        <w:t>d</w:t>
      </w:r>
      <w:r w:rsidR="00EC631A">
        <w:rPr>
          <w:lang w:val="fr-FR" w:eastAsia="en-US"/>
        </w:rPr>
        <w:t>’</w:t>
      </w:r>
      <w:r w:rsidR="00183537" w:rsidRPr="00CB3013">
        <w:rPr>
          <w:lang w:val="fr-FR" w:eastAsia="en-US"/>
        </w:rPr>
        <w:t xml:space="preserve">appropriation fondées sur la </w:t>
      </w:r>
      <w:r w:rsidR="00AD0650" w:rsidRPr="00CB3013">
        <w:rPr>
          <w:lang w:val="fr-FR" w:eastAsia="en-US"/>
        </w:rPr>
        <w:t>propriété intellectuelle.</w:t>
      </w:r>
      <w:r w:rsidR="006B5AE7" w:rsidRPr="00A20C37">
        <w:rPr>
          <w:lang w:val="fr-FR"/>
        </w:rPr>
        <w:t xml:space="preserve">  </w:t>
      </w:r>
      <w:r w:rsidR="00AD0650" w:rsidRPr="00CB3013">
        <w:rPr>
          <w:lang w:val="fr-FR" w:eastAsia="en-US"/>
        </w:rPr>
        <w:t>Pour répondre à cette question, nous analysons le comportement à l</w:t>
      </w:r>
      <w:r w:rsidR="00EC631A">
        <w:rPr>
          <w:lang w:val="fr-FR" w:eastAsia="en-US"/>
        </w:rPr>
        <w:t>’</w:t>
      </w:r>
      <w:r w:rsidR="00AD0650" w:rsidRPr="00CB3013">
        <w:rPr>
          <w:lang w:val="fr-FR" w:eastAsia="en-US"/>
        </w:rPr>
        <w:t xml:space="preserve">exportation des entreprises industrielles innovantes en vue de déterminer la pertinence de chaque instrument </w:t>
      </w:r>
      <w:r w:rsidR="00E201BD" w:rsidRPr="00CB3013">
        <w:rPr>
          <w:lang w:val="fr-FR" w:eastAsia="en-US"/>
        </w:rPr>
        <w:t>d</w:t>
      </w:r>
      <w:r w:rsidR="00EC631A">
        <w:rPr>
          <w:lang w:val="fr-FR" w:eastAsia="en-US"/>
        </w:rPr>
        <w:t>’</w:t>
      </w:r>
      <w:r w:rsidR="00E201BD" w:rsidRPr="00CB3013">
        <w:rPr>
          <w:lang w:val="fr-FR" w:eastAsia="en-US"/>
        </w:rPr>
        <w:t>appropriation de la</w:t>
      </w:r>
      <w:r w:rsidR="00AD0650" w:rsidRPr="00CB3013">
        <w:rPr>
          <w:lang w:val="fr-FR" w:eastAsia="en-US"/>
        </w:rPr>
        <w:t xml:space="preserve"> propriété intellectuelle.</w:t>
      </w:r>
      <w:r w:rsidR="006B5AE7" w:rsidRPr="00A20C37">
        <w:rPr>
          <w:lang w:val="fr-FR"/>
        </w:rPr>
        <w:t xml:space="preserve">  </w:t>
      </w:r>
      <w:r w:rsidR="00AD0650" w:rsidRPr="00CB3013">
        <w:rPr>
          <w:lang w:val="fr-FR" w:eastAsia="en-US"/>
        </w:rPr>
        <w:t>Les principa</w:t>
      </w:r>
      <w:r w:rsidR="00E201BD" w:rsidRPr="00CB3013">
        <w:rPr>
          <w:lang w:val="fr-FR" w:eastAsia="en-US"/>
        </w:rPr>
        <w:t>ux</w:t>
      </w:r>
      <w:r w:rsidR="00AD0650" w:rsidRPr="00CB3013">
        <w:rPr>
          <w:lang w:val="fr-FR" w:eastAsia="en-US"/>
        </w:rPr>
        <w:t xml:space="preserve"> </w:t>
      </w:r>
      <w:r w:rsidR="00E201BD" w:rsidRPr="00CB3013">
        <w:rPr>
          <w:lang w:val="fr-FR" w:eastAsia="en-US"/>
        </w:rPr>
        <w:t>outils d</w:t>
      </w:r>
      <w:r w:rsidR="00EC631A">
        <w:rPr>
          <w:lang w:val="fr-FR" w:eastAsia="en-US"/>
        </w:rPr>
        <w:t>’</w:t>
      </w:r>
      <w:r w:rsidR="00E201BD" w:rsidRPr="00CB3013">
        <w:rPr>
          <w:lang w:val="fr-FR" w:eastAsia="en-US"/>
        </w:rPr>
        <w:t>appropriation étudié</w:t>
      </w:r>
      <w:r w:rsidR="00AD0650" w:rsidRPr="00CB3013">
        <w:rPr>
          <w:lang w:val="fr-FR" w:eastAsia="en-US"/>
        </w:rPr>
        <w:t>s ici sont les brevets d</w:t>
      </w:r>
      <w:r w:rsidR="00EC631A">
        <w:rPr>
          <w:lang w:val="fr-FR" w:eastAsia="en-US"/>
        </w:rPr>
        <w:t>’</w:t>
      </w:r>
      <w:r w:rsidR="00AD0650" w:rsidRPr="00CB3013">
        <w:rPr>
          <w:lang w:val="fr-FR" w:eastAsia="en-US"/>
        </w:rPr>
        <w:t>invention, les modèles d</w:t>
      </w:r>
      <w:r w:rsidR="00EC631A">
        <w:rPr>
          <w:lang w:val="fr-FR" w:eastAsia="en-US"/>
        </w:rPr>
        <w:t>’</w:t>
      </w:r>
      <w:r w:rsidR="00AD0650" w:rsidRPr="00CB3013">
        <w:rPr>
          <w:lang w:val="fr-FR" w:eastAsia="en-US"/>
        </w:rPr>
        <w:t>utilité, les dessins et modèles industriels et les marques.</w:t>
      </w:r>
    </w:p>
    <w:p w:rsidR="00B21405" w:rsidRDefault="00AD0650" w:rsidP="00296123">
      <w:pPr>
        <w:pStyle w:val="ONUMFS"/>
        <w:numPr>
          <w:ilvl w:val="0"/>
          <w:numId w:val="0"/>
        </w:numPr>
        <w:rPr>
          <w:lang w:val="fr-FR"/>
        </w:rPr>
      </w:pPr>
      <w:r w:rsidRPr="00CB3013">
        <w:rPr>
          <w:lang w:val="fr-FR" w:eastAsia="en-US"/>
        </w:rPr>
        <w:t>Les données utilisées à cet effet proviennent de trois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sources statistiques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 xml:space="preserve">: 1) la </w:t>
      </w:r>
      <w:proofErr w:type="spellStart"/>
      <w:r w:rsidRPr="00CB3013">
        <w:rPr>
          <w:lang w:val="fr-FR" w:eastAsia="en-US"/>
        </w:rPr>
        <w:t>Pesquisa</w:t>
      </w:r>
      <w:proofErr w:type="spellEnd"/>
      <w:r w:rsidRPr="00CB3013">
        <w:rPr>
          <w:lang w:val="fr-FR" w:eastAsia="en-US"/>
        </w:rPr>
        <w:t xml:space="preserve"> de </w:t>
      </w:r>
      <w:proofErr w:type="spellStart"/>
      <w:r w:rsidRPr="00CB3013">
        <w:rPr>
          <w:lang w:val="fr-FR" w:eastAsia="en-US"/>
        </w:rPr>
        <w:t>Inovação</w:t>
      </w:r>
      <w:proofErr w:type="spellEnd"/>
      <w:r w:rsidRPr="00CB3013">
        <w:rPr>
          <w:lang w:val="fr-FR" w:eastAsia="en-US"/>
        </w:rPr>
        <w:t xml:space="preserve"> </w:t>
      </w:r>
      <w:proofErr w:type="spellStart"/>
      <w:r w:rsidRPr="00CB3013">
        <w:rPr>
          <w:lang w:val="fr-FR" w:eastAsia="en-US"/>
        </w:rPr>
        <w:t>Tecnologica</w:t>
      </w:r>
      <w:proofErr w:type="spellEnd"/>
      <w:r w:rsidRPr="00CB3013">
        <w:rPr>
          <w:lang w:val="fr-FR" w:eastAsia="en-US"/>
        </w:rPr>
        <w:t xml:space="preserve"> (PINTEC) de l</w:t>
      </w:r>
      <w:r w:rsidR="00EC631A">
        <w:rPr>
          <w:lang w:val="fr-FR" w:eastAsia="en-US"/>
        </w:rPr>
        <w:t>’</w:t>
      </w:r>
      <w:proofErr w:type="spellStart"/>
      <w:r w:rsidRPr="00CB3013">
        <w:rPr>
          <w:lang w:val="fr-FR" w:eastAsia="en-US"/>
        </w:rPr>
        <w:t>Instituto</w:t>
      </w:r>
      <w:proofErr w:type="spellEnd"/>
      <w:r w:rsidRPr="00CB3013">
        <w:rPr>
          <w:lang w:val="fr-FR" w:eastAsia="en-US"/>
        </w:rPr>
        <w:t xml:space="preserve"> </w:t>
      </w:r>
      <w:proofErr w:type="spellStart"/>
      <w:r w:rsidRPr="00CB3013">
        <w:rPr>
          <w:lang w:val="fr-FR" w:eastAsia="en-US"/>
        </w:rPr>
        <w:t>Brasileiro</w:t>
      </w:r>
      <w:proofErr w:type="spellEnd"/>
      <w:r w:rsidRPr="00CB3013">
        <w:rPr>
          <w:lang w:val="fr-FR" w:eastAsia="en-US"/>
        </w:rPr>
        <w:t xml:space="preserve"> de </w:t>
      </w:r>
      <w:proofErr w:type="spellStart"/>
      <w:r w:rsidRPr="00CB3013">
        <w:rPr>
          <w:lang w:val="fr-FR" w:eastAsia="en-US"/>
        </w:rPr>
        <w:t>Geografia</w:t>
      </w:r>
      <w:proofErr w:type="spellEnd"/>
      <w:r w:rsidRPr="00CB3013">
        <w:rPr>
          <w:lang w:val="fr-FR" w:eastAsia="en-US"/>
        </w:rPr>
        <w:t xml:space="preserve"> e </w:t>
      </w:r>
      <w:proofErr w:type="spellStart"/>
      <w:r w:rsidRPr="00CB3013">
        <w:rPr>
          <w:lang w:val="fr-FR" w:eastAsia="en-US"/>
        </w:rPr>
        <w:t>Estatistica</w:t>
      </w:r>
      <w:proofErr w:type="spellEnd"/>
      <w:r w:rsidRPr="00CB3013">
        <w:rPr>
          <w:lang w:val="fr-FR" w:eastAsia="en-US"/>
        </w:rPr>
        <w:t xml:space="preserve"> (IBGE);  2)</w:t>
      </w:r>
      <w:r w:rsidR="00A20C37">
        <w:rPr>
          <w:lang w:val="fr-FR" w:eastAsia="en-US"/>
        </w:rPr>
        <w:t> </w:t>
      </w:r>
      <w:r w:rsidRPr="00CB3013">
        <w:rPr>
          <w:lang w:val="fr-FR" w:eastAsia="en-US"/>
        </w:rPr>
        <w:t xml:space="preserve">le </w:t>
      </w:r>
      <w:proofErr w:type="spellStart"/>
      <w:r w:rsidRPr="00CB3013">
        <w:rPr>
          <w:lang w:val="fr-FR" w:eastAsia="en-US"/>
        </w:rPr>
        <w:t>Secretaria</w:t>
      </w:r>
      <w:proofErr w:type="spellEnd"/>
      <w:r w:rsidRPr="00CB3013">
        <w:rPr>
          <w:lang w:val="fr-FR" w:eastAsia="en-US"/>
        </w:rPr>
        <w:t xml:space="preserve"> de </w:t>
      </w:r>
      <w:proofErr w:type="spellStart"/>
      <w:r w:rsidRPr="00CB3013">
        <w:rPr>
          <w:lang w:val="fr-FR" w:eastAsia="en-US"/>
        </w:rPr>
        <w:t>Comercio</w:t>
      </w:r>
      <w:proofErr w:type="spellEnd"/>
      <w:r w:rsidRPr="00CB3013">
        <w:rPr>
          <w:lang w:val="fr-FR" w:eastAsia="en-US"/>
        </w:rPr>
        <w:t xml:space="preserve"> </w:t>
      </w:r>
      <w:proofErr w:type="spellStart"/>
      <w:r w:rsidRPr="00CB3013">
        <w:rPr>
          <w:lang w:val="fr-FR" w:eastAsia="en-US"/>
        </w:rPr>
        <w:t>Exte</w:t>
      </w:r>
      <w:r w:rsidR="00B21405">
        <w:rPr>
          <w:lang w:val="fr-FR" w:eastAsia="en-US"/>
        </w:rPr>
        <w:t>rior</w:t>
      </w:r>
      <w:proofErr w:type="spellEnd"/>
      <w:r w:rsidR="00B21405">
        <w:rPr>
          <w:lang w:val="fr-FR" w:eastAsia="en-US"/>
        </w:rPr>
        <w:t xml:space="preserve"> (SECEX) relevant du </w:t>
      </w:r>
      <w:proofErr w:type="spellStart"/>
      <w:r w:rsidR="00B21405">
        <w:rPr>
          <w:lang w:val="fr-FR" w:eastAsia="en-US"/>
        </w:rPr>
        <w:t>Ministério</w:t>
      </w:r>
      <w:proofErr w:type="spellEnd"/>
      <w:r w:rsidR="00B21405">
        <w:rPr>
          <w:lang w:val="fr-FR" w:eastAsia="en-US"/>
        </w:rPr>
        <w:t xml:space="preserve"> do </w:t>
      </w:r>
      <w:proofErr w:type="spellStart"/>
      <w:r w:rsidR="00B21405">
        <w:rPr>
          <w:lang w:val="fr-FR" w:eastAsia="en-US"/>
        </w:rPr>
        <w:t>Desenvolvimento</w:t>
      </w:r>
      <w:proofErr w:type="spellEnd"/>
      <w:r w:rsidR="00B21405">
        <w:rPr>
          <w:lang w:val="fr-FR" w:eastAsia="en-US"/>
        </w:rPr>
        <w:t xml:space="preserve">, </w:t>
      </w:r>
      <w:proofErr w:type="spellStart"/>
      <w:r w:rsidR="00B21405">
        <w:rPr>
          <w:lang w:val="fr-FR" w:eastAsia="en-US"/>
        </w:rPr>
        <w:t>Indú</w:t>
      </w:r>
      <w:r w:rsidRPr="00CB3013">
        <w:rPr>
          <w:lang w:val="fr-FR" w:eastAsia="en-US"/>
        </w:rPr>
        <w:t>stria</w:t>
      </w:r>
      <w:proofErr w:type="spellEnd"/>
      <w:r w:rsidRPr="00CB3013">
        <w:rPr>
          <w:lang w:val="fr-FR" w:eastAsia="en-US"/>
        </w:rPr>
        <w:t xml:space="preserve"> e </w:t>
      </w:r>
      <w:proofErr w:type="spellStart"/>
      <w:r w:rsidRPr="00CB3013">
        <w:rPr>
          <w:lang w:val="fr-FR" w:eastAsia="en-US"/>
        </w:rPr>
        <w:t>Comercio</w:t>
      </w:r>
      <w:proofErr w:type="spellEnd"/>
      <w:r w:rsidRPr="00CB3013">
        <w:rPr>
          <w:lang w:val="fr-FR" w:eastAsia="en-US"/>
        </w:rPr>
        <w:t xml:space="preserve"> (MDIC);  et 3)</w:t>
      </w:r>
      <w:r w:rsidR="00A20C37">
        <w:rPr>
          <w:lang w:val="fr-FR" w:eastAsia="en-US"/>
        </w:rPr>
        <w:t> </w:t>
      </w:r>
      <w:r w:rsidRPr="00CB3013">
        <w:rPr>
          <w:lang w:val="fr-FR" w:eastAsia="en-US"/>
        </w:rPr>
        <w:t xml:space="preserve">la base de données RAIS du </w:t>
      </w:r>
      <w:proofErr w:type="spellStart"/>
      <w:r w:rsidRPr="00CB3013">
        <w:rPr>
          <w:lang w:val="fr-FR" w:eastAsia="en-US"/>
        </w:rPr>
        <w:t>Minist</w:t>
      </w:r>
      <w:r w:rsidR="00B21405">
        <w:rPr>
          <w:lang w:val="fr-FR" w:eastAsia="en-US"/>
        </w:rPr>
        <w:t>é</w:t>
      </w:r>
      <w:r w:rsidRPr="00CB3013">
        <w:rPr>
          <w:lang w:val="fr-FR" w:eastAsia="en-US"/>
        </w:rPr>
        <w:t>rio</w:t>
      </w:r>
      <w:proofErr w:type="spellEnd"/>
      <w:r w:rsidRPr="00CB3013">
        <w:rPr>
          <w:lang w:val="fr-FR" w:eastAsia="en-US"/>
        </w:rPr>
        <w:t xml:space="preserve"> d</w:t>
      </w:r>
      <w:r w:rsidR="00B21405">
        <w:rPr>
          <w:lang w:val="fr-FR" w:eastAsia="en-US"/>
        </w:rPr>
        <w:t>o</w:t>
      </w:r>
      <w:r w:rsidRPr="00CB3013">
        <w:rPr>
          <w:lang w:val="fr-FR" w:eastAsia="en-US"/>
        </w:rPr>
        <w:t xml:space="preserve"> </w:t>
      </w:r>
      <w:proofErr w:type="spellStart"/>
      <w:r w:rsidRPr="00CB3013">
        <w:rPr>
          <w:lang w:val="fr-FR" w:eastAsia="en-US"/>
        </w:rPr>
        <w:t>Trabalho</w:t>
      </w:r>
      <w:proofErr w:type="spellEnd"/>
      <w:r w:rsidRPr="00CB3013">
        <w:rPr>
          <w:lang w:val="fr-FR" w:eastAsia="en-US"/>
        </w:rPr>
        <w:t xml:space="preserve"> e </w:t>
      </w:r>
      <w:proofErr w:type="spellStart"/>
      <w:r w:rsidRPr="00CB3013">
        <w:rPr>
          <w:lang w:val="fr-FR" w:eastAsia="en-US"/>
        </w:rPr>
        <w:t>Emprego</w:t>
      </w:r>
      <w:proofErr w:type="spellEnd"/>
      <w:r w:rsidRPr="00CB3013">
        <w:rPr>
          <w:lang w:val="fr-FR" w:eastAsia="en-US"/>
        </w:rPr>
        <w:t xml:space="preserve"> (MTE).</w:t>
      </w:r>
      <w:r w:rsidR="006B5AE7" w:rsidRPr="00A20C37">
        <w:rPr>
          <w:lang w:val="fr-FR"/>
        </w:rPr>
        <w:t xml:space="preserve">  </w:t>
      </w:r>
      <w:r w:rsidR="00900585">
        <w:rPr>
          <w:lang w:val="fr-FR"/>
        </w:rPr>
        <w:t>La principale raison pour laquelle nous utilisons l</w:t>
      </w:r>
      <w:r w:rsidR="00EC631A">
        <w:rPr>
          <w:lang w:val="fr-FR"/>
        </w:rPr>
        <w:t>’</w:t>
      </w:r>
      <w:r w:rsidR="00900585">
        <w:rPr>
          <w:lang w:val="fr-FR"/>
        </w:rPr>
        <w:t>enquête PINTEC est qu</w:t>
      </w:r>
      <w:r w:rsidR="00EC631A">
        <w:rPr>
          <w:lang w:val="fr-FR"/>
        </w:rPr>
        <w:t>’</w:t>
      </w:r>
      <w:r w:rsidR="00900585">
        <w:rPr>
          <w:lang w:val="fr-FR"/>
        </w:rPr>
        <w:t xml:space="preserve">elle représente la seule source statistique complète disponible </w:t>
      </w:r>
      <w:r w:rsidR="000B220E">
        <w:rPr>
          <w:lang w:val="fr-FR"/>
        </w:rPr>
        <w:t xml:space="preserve">qui </w:t>
      </w:r>
      <w:r w:rsidR="00900585">
        <w:rPr>
          <w:lang w:val="fr-FR"/>
        </w:rPr>
        <w:t>cont</w:t>
      </w:r>
      <w:r w:rsidR="000B220E">
        <w:rPr>
          <w:lang w:val="fr-FR"/>
        </w:rPr>
        <w:t>ienne</w:t>
      </w:r>
      <w:r w:rsidR="00900585">
        <w:rPr>
          <w:lang w:val="fr-FR"/>
        </w:rPr>
        <w:t xml:space="preserve"> des informations sur l</w:t>
      </w:r>
      <w:r w:rsidR="00EC631A">
        <w:rPr>
          <w:lang w:val="fr-FR"/>
        </w:rPr>
        <w:t>’</w:t>
      </w:r>
      <w:r w:rsidR="00900585">
        <w:rPr>
          <w:lang w:val="fr-FR"/>
        </w:rPr>
        <w:t>utilisation de la propriété intellectuelle par les entreprises brésiliennes</w:t>
      </w:r>
      <w:r w:rsidR="00900585">
        <w:rPr>
          <w:rStyle w:val="FootnoteReference"/>
          <w:lang w:val="fr-FR"/>
        </w:rPr>
        <w:footnoteReference w:id="2"/>
      </w:r>
      <w:r w:rsidR="00900585">
        <w:rPr>
          <w:lang w:val="fr-FR"/>
        </w:rPr>
        <w:t>.</w:t>
      </w:r>
    </w:p>
    <w:p w:rsidR="00CB3013" w:rsidRDefault="00E028D6" w:rsidP="00296123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L</w:t>
      </w:r>
      <w:r w:rsidR="00EC631A">
        <w:rPr>
          <w:lang w:val="fr-FR" w:eastAsia="en-US"/>
        </w:rPr>
        <w:t>’</w:t>
      </w:r>
      <w:r w:rsidR="00E201BD" w:rsidRPr="00CB3013">
        <w:rPr>
          <w:lang w:val="fr-FR" w:eastAsia="en-US"/>
        </w:rPr>
        <w:t>enquête</w:t>
      </w:r>
      <w:r w:rsidR="003B72A9" w:rsidRPr="00CB3013">
        <w:rPr>
          <w:lang w:val="fr-FR" w:eastAsia="en-US"/>
        </w:rPr>
        <w:t xml:space="preserve"> PINTEC </w:t>
      </w:r>
      <w:r w:rsidRPr="00CB3013">
        <w:rPr>
          <w:lang w:val="fr-FR" w:eastAsia="en-US"/>
        </w:rPr>
        <w:t xml:space="preserve">en particulier contient </w:t>
      </w:r>
      <w:r w:rsidR="003B72A9" w:rsidRPr="00CB3013">
        <w:rPr>
          <w:lang w:val="fr-FR" w:eastAsia="en-US"/>
        </w:rPr>
        <w:t xml:space="preserve">des informations de base sur les </w:t>
      </w:r>
      <w:r w:rsidR="001D4706" w:rsidRPr="00CB3013">
        <w:rPr>
          <w:lang w:val="fr-FR" w:eastAsia="en-US"/>
        </w:rPr>
        <w:t>méthodes d</w:t>
      </w:r>
      <w:r w:rsidR="00EC631A">
        <w:rPr>
          <w:lang w:val="fr-FR" w:eastAsia="en-US"/>
        </w:rPr>
        <w:t>’</w:t>
      </w:r>
      <w:r w:rsidR="001D4706" w:rsidRPr="00CB3013">
        <w:rPr>
          <w:lang w:val="fr-FR" w:eastAsia="en-US"/>
        </w:rPr>
        <w:t xml:space="preserve">appropriation </w:t>
      </w:r>
      <w:r w:rsidR="003B72A9" w:rsidRPr="00CB3013">
        <w:rPr>
          <w:lang w:val="fr-FR" w:eastAsia="en-US"/>
        </w:rPr>
        <w:t>utilisé</w:t>
      </w:r>
      <w:r w:rsidR="001D4706" w:rsidRPr="00CB3013">
        <w:rPr>
          <w:lang w:val="fr-FR" w:eastAsia="en-US"/>
        </w:rPr>
        <w:t>e</w:t>
      </w:r>
      <w:r w:rsidR="003B72A9" w:rsidRPr="00CB3013">
        <w:rPr>
          <w:lang w:val="fr-FR" w:eastAsia="en-US"/>
        </w:rPr>
        <w:t>s pour protéger les résultats de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 xml:space="preserve">innovation en </w:t>
      </w:r>
      <w:r w:rsidR="00DD2351" w:rsidRPr="00CB3013">
        <w:rPr>
          <w:lang w:val="fr-FR" w:eastAsia="en-US"/>
        </w:rPr>
        <w:t xml:space="preserve">reprenant </w:t>
      </w:r>
      <w:r w:rsidR="003B72A9" w:rsidRPr="00CB3013">
        <w:rPr>
          <w:lang w:val="fr-FR" w:eastAsia="en-US"/>
        </w:rPr>
        <w:t xml:space="preserve">la méthodologie </w:t>
      </w:r>
      <w:r w:rsidR="00DD2351" w:rsidRPr="00CB3013">
        <w:rPr>
          <w:lang w:val="fr-FR" w:eastAsia="en-US"/>
        </w:rPr>
        <w:t xml:space="preserve">des </w:t>
      </w:r>
      <w:r w:rsidR="003B72A9" w:rsidRPr="00CB3013">
        <w:rPr>
          <w:lang w:val="fr-FR" w:eastAsia="en-US"/>
        </w:rPr>
        <w:t>autres enquêtes sur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innovation.</w:t>
      </w:r>
      <w:r w:rsidR="006B5AE7" w:rsidRPr="00A20C37">
        <w:rPr>
          <w:lang w:val="fr-FR"/>
        </w:rPr>
        <w:t xml:space="preserve">  </w:t>
      </w:r>
      <w:r w:rsidR="003B72A9" w:rsidRPr="00CB3013">
        <w:rPr>
          <w:lang w:val="fr-FR" w:eastAsia="en-US"/>
        </w:rPr>
        <w:t>Cette méthodologie souffre d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une limitation cruciale concernant la mesure de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 xml:space="preserve">utilisation de la propriété intellectuelle, </w:t>
      </w:r>
      <w:r w:rsidR="00EC631A">
        <w:rPr>
          <w:lang w:val="fr-FR" w:eastAsia="en-US"/>
        </w:rPr>
        <w:t>à savoir</w:t>
      </w:r>
      <w:r w:rsidR="003B72A9" w:rsidRPr="00CB3013">
        <w:rPr>
          <w:lang w:val="fr-FR" w:eastAsia="en-US"/>
        </w:rPr>
        <w:t xml:space="preserve"> que seules les entreprises </w:t>
      </w:r>
      <w:r w:rsidR="00BA684F">
        <w:rPr>
          <w:lang w:val="fr-FR" w:eastAsia="en-US"/>
        </w:rPr>
        <w:t>innovantes</w:t>
      </w:r>
      <w:r w:rsidR="003B72A9" w:rsidRPr="00CB3013">
        <w:rPr>
          <w:lang w:val="fr-FR" w:eastAsia="en-US"/>
        </w:rPr>
        <w:t xml:space="preserve"> pendant la période couverte par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enquête doivent répondre aux questions relatives à la propriété intellectuelle.</w:t>
      </w:r>
      <w:r w:rsidR="006B5AE7" w:rsidRPr="00A20C37">
        <w:rPr>
          <w:lang w:val="fr-FR"/>
        </w:rPr>
        <w:t xml:space="preserve">  </w:t>
      </w:r>
      <w:r w:rsidR="003B72A9" w:rsidRPr="00CB3013">
        <w:rPr>
          <w:lang w:val="fr-FR" w:eastAsia="en-US"/>
        </w:rPr>
        <w:t>Cela exclut donc les entreprises qui ont innové avant la période couverte par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enquête ainsi que les utilisateurs de propriété intellectuelle qui ne produisent pas d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innovations technologiques.</w:t>
      </w:r>
      <w:r w:rsidR="006B5AE7" w:rsidRPr="00A20C37">
        <w:rPr>
          <w:lang w:val="fr-FR"/>
        </w:rPr>
        <w:t xml:space="preserve">  </w:t>
      </w:r>
      <w:r w:rsidR="003B72A9" w:rsidRPr="00CB3013">
        <w:rPr>
          <w:lang w:val="fr-FR" w:eastAsia="en-US"/>
        </w:rPr>
        <w:t xml:space="preserve">Par exemple, une entreprise qui protège avec succès </w:t>
      </w:r>
      <w:r w:rsidR="00DD2351" w:rsidRPr="00CB3013">
        <w:rPr>
          <w:lang w:val="fr-FR" w:eastAsia="en-US"/>
        </w:rPr>
        <w:t>les</w:t>
      </w:r>
      <w:r w:rsidR="003B72A9" w:rsidRPr="00CB3013">
        <w:rPr>
          <w:lang w:val="fr-FR" w:eastAsia="en-US"/>
        </w:rPr>
        <w:t xml:space="preserve"> investissements </w:t>
      </w:r>
      <w:r w:rsidR="00DD2351" w:rsidRPr="00CB3013">
        <w:rPr>
          <w:lang w:val="fr-FR" w:eastAsia="en-US"/>
        </w:rPr>
        <w:t>qu</w:t>
      </w:r>
      <w:r w:rsidR="00EC631A">
        <w:rPr>
          <w:lang w:val="fr-FR" w:eastAsia="en-US"/>
        </w:rPr>
        <w:t>’</w:t>
      </w:r>
      <w:r w:rsidR="00DD2351" w:rsidRPr="00CB3013">
        <w:rPr>
          <w:lang w:val="fr-FR" w:eastAsia="en-US"/>
        </w:rPr>
        <w:t xml:space="preserve">elle consent pour améliorer </w:t>
      </w:r>
      <w:r w:rsidR="003B72A9" w:rsidRPr="00CB3013">
        <w:rPr>
          <w:lang w:val="fr-FR" w:eastAsia="en-US"/>
        </w:rPr>
        <w:t xml:space="preserve">son image et sa réputation grâce à des marques peut fort bien apparaître dans </w:t>
      </w:r>
      <w:r w:rsidR="00DD2351" w:rsidRPr="00CB3013">
        <w:rPr>
          <w:lang w:val="fr-FR" w:eastAsia="en-US"/>
        </w:rPr>
        <w:t>l</w:t>
      </w:r>
      <w:r w:rsidR="00EC631A">
        <w:rPr>
          <w:lang w:val="fr-FR" w:eastAsia="en-US"/>
        </w:rPr>
        <w:t>’</w:t>
      </w:r>
      <w:r w:rsidR="00DD2351" w:rsidRPr="00CB3013">
        <w:rPr>
          <w:lang w:val="fr-FR" w:eastAsia="en-US"/>
        </w:rPr>
        <w:t>enquête</w:t>
      </w:r>
      <w:r w:rsidR="003B72A9" w:rsidRPr="00CB3013">
        <w:rPr>
          <w:lang w:val="fr-FR" w:eastAsia="en-US"/>
        </w:rPr>
        <w:t xml:space="preserve"> PINTEC comme n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utilisant pas de marques.</w:t>
      </w:r>
      <w:r w:rsidR="006B5AE7" w:rsidRPr="00A20C37">
        <w:rPr>
          <w:lang w:val="fr-FR"/>
        </w:rPr>
        <w:t xml:space="preserve">  </w:t>
      </w:r>
      <w:r w:rsidR="003B72A9" w:rsidRPr="00CB3013">
        <w:rPr>
          <w:lang w:val="fr-FR" w:eastAsia="en-US"/>
        </w:rPr>
        <w:t>Une autre limitation des enquêtes sur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innovation concerne le processus d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échantillonnage, qui favorise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inclusion des grandes entreprises</w:t>
      </w:r>
      <w:r w:rsidR="00BA684F">
        <w:rPr>
          <w:lang w:val="fr-FR" w:eastAsia="en-US"/>
        </w:rPr>
        <w:t xml:space="preserve"> </w:t>
      </w:r>
      <w:r w:rsidR="00C00022">
        <w:rPr>
          <w:lang w:val="fr-FR" w:eastAsia="en-US"/>
        </w:rPr>
        <w:t>qui</w:t>
      </w:r>
      <w:r w:rsidR="00BA684F">
        <w:rPr>
          <w:lang w:val="fr-FR" w:eastAsia="en-US"/>
        </w:rPr>
        <w:t xml:space="preserve"> représentent 66% du total des dépenses d</w:t>
      </w:r>
      <w:r w:rsidR="00EC631A">
        <w:rPr>
          <w:lang w:val="fr-FR" w:eastAsia="en-US"/>
        </w:rPr>
        <w:t>’</w:t>
      </w:r>
      <w:r w:rsidR="00BA684F">
        <w:rPr>
          <w:lang w:val="fr-FR" w:eastAsia="en-US"/>
        </w:rPr>
        <w:t>innovation et 88% des dépenses de recherche</w:t>
      </w:r>
      <w:r w:rsidR="004F5600">
        <w:rPr>
          <w:color w:val="000000"/>
          <w:szCs w:val="22"/>
          <w:lang w:val="fr-FR" w:eastAsia="en-US"/>
        </w:rPr>
        <w:noBreakHyphen/>
      </w:r>
      <w:r w:rsidR="00BA684F">
        <w:rPr>
          <w:color w:val="000000"/>
          <w:szCs w:val="22"/>
          <w:lang w:val="fr-FR" w:eastAsia="en-US"/>
        </w:rPr>
        <w:t>développement au Brésil</w:t>
      </w:r>
      <w:r w:rsidR="003B72A9" w:rsidRPr="00CB3013">
        <w:rPr>
          <w:lang w:val="fr-FR" w:eastAsia="en-US"/>
        </w:rPr>
        <w:t>.</w:t>
      </w:r>
      <w:r w:rsidR="006B5AE7" w:rsidRPr="00A20C37">
        <w:rPr>
          <w:lang w:val="fr-FR"/>
        </w:rPr>
        <w:t xml:space="preserve">  </w:t>
      </w:r>
      <w:r w:rsidR="003B72A9" w:rsidRPr="00CB3013">
        <w:rPr>
          <w:lang w:val="fr-FR" w:eastAsia="en-US"/>
        </w:rPr>
        <w:t>C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 xml:space="preserve">est pourquoi </w:t>
      </w:r>
      <w:r w:rsidR="00C00022">
        <w:rPr>
          <w:lang w:val="fr-FR" w:eastAsia="en-US"/>
        </w:rPr>
        <w:t xml:space="preserve">nous limitons </w:t>
      </w:r>
      <w:r w:rsidR="003B72A9" w:rsidRPr="00CB3013">
        <w:rPr>
          <w:lang w:val="fr-FR" w:eastAsia="en-US"/>
        </w:rPr>
        <w:t>une part importante de l</w:t>
      </w:r>
      <w:r w:rsidR="00EC631A">
        <w:rPr>
          <w:lang w:val="fr-FR" w:eastAsia="en-US"/>
        </w:rPr>
        <w:t>’</w:t>
      </w:r>
      <w:r w:rsidR="003B72A9" w:rsidRPr="00CB3013">
        <w:rPr>
          <w:lang w:val="fr-FR" w:eastAsia="en-US"/>
        </w:rPr>
        <w:t>analyse aux entreprises brésiliennes innovantes de 500 salariés ou plus.</w:t>
      </w:r>
    </w:p>
    <w:p w:rsidR="00C00022" w:rsidRDefault="00C00022" w:rsidP="00296123">
      <w:pPr>
        <w:pStyle w:val="ONUMFS"/>
        <w:numPr>
          <w:ilvl w:val="0"/>
          <w:numId w:val="0"/>
        </w:numPr>
        <w:rPr>
          <w:lang w:val="fr-FR" w:eastAsia="en-US"/>
        </w:rPr>
      </w:pPr>
    </w:p>
    <w:p w:rsidR="00EC631A" w:rsidRDefault="00EC631A">
      <w:pPr>
        <w:spacing w:after="200" w:line="276" w:lineRule="auto"/>
        <w:rPr>
          <w:b/>
          <w:bCs/>
          <w:i/>
          <w:caps/>
          <w:szCs w:val="28"/>
          <w:lang w:val="fr-FR"/>
        </w:rPr>
      </w:pPr>
      <w:r>
        <w:rPr>
          <w:b/>
          <w:caps/>
          <w:lang w:val="fr-FR"/>
        </w:rPr>
        <w:br w:type="page"/>
      </w:r>
    </w:p>
    <w:p w:rsidR="00BA2FD2" w:rsidRDefault="00BA2FD2" w:rsidP="00BA2FD2">
      <w:pPr>
        <w:pStyle w:val="Heading4"/>
        <w:jc w:val="center"/>
        <w:rPr>
          <w:lang w:val="fr-FR" w:eastAsia="en-US"/>
        </w:rPr>
      </w:pPr>
      <w:r w:rsidRPr="007B1178">
        <w:rPr>
          <w:b/>
          <w:caps/>
          <w:lang w:val="fr-FR"/>
        </w:rPr>
        <w:lastRenderedPageBreak/>
        <w:t>t</w:t>
      </w:r>
      <w:r w:rsidRPr="00296123">
        <w:rPr>
          <w:b/>
          <w:lang w:val="fr-FR"/>
        </w:rPr>
        <w:t>ableau</w:t>
      </w:r>
      <w:r>
        <w:rPr>
          <w:b/>
          <w:lang w:val="fr-FR"/>
        </w:rPr>
        <w:t> </w:t>
      </w:r>
      <w:r w:rsidRPr="00296123">
        <w:rPr>
          <w:b/>
          <w:lang w:val="fr-FR"/>
        </w:rPr>
        <w:t>E.</w:t>
      </w:r>
      <w:r w:rsidRPr="00296123">
        <w:rPr>
          <w:b/>
          <w:lang w:val="fr-FR"/>
        </w:rPr>
        <w:fldChar w:fldCharType="begin"/>
      </w:r>
      <w:r w:rsidRPr="00296123">
        <w:rPr>
          <w:b/>
          <w:lang w:val="fr-FR"/>
        </w:rPr>
        <w:instrText xml:space="preserve"> SEQ Table_E_- \* ARABIC </w:instrText>
      </w:r>
      <w:r w:rsidRPr="00296123">
        <w:rPr>
          <w:b/>
          <w:lang w:val="fr-FR"/>
        </w:rPr>
        <w:fldChar w:fldCharType="separate"/>
      </w:r>
      <w:r w:rsidR="007A20B3">
        <w:rPr>
          <w:b/>
          <w:noProof/>
          <w:lang w:val="fr-FR"/>
        </w:rPr>
        <w:t>1</w:t>
      </w:r>
      <w:r w:rsidRPr="00296123">
        <w:rPr>
          <w:b/>
          <w:lang w:val="fr-FR"/>
        </w:rPr>
        <w:fldChar w:fldCharType="end"/>
      </w:r>
      <w:r w:rsidRPr="00296123">
        <w:rPr>
          <w:b/>
          <w:lang w:val="fr-FR"/>
        </w:rPr>
        <w:t xml:space="preserve"> – Exportations et méthodes d</w:t>
      </w:r>
      <w:r w:rsidR="00EC631A">
        <w:rPr>
          <w:b/>
          <w:lang w:val="fr-FR"/>
        </w:rPr>
        <w:t>’</w:t>
      </w:r>
      <w:r w:rsidRPr="00296123">
        <w:rPr>
          <w:b/>
          <w:lang w:val="fr-FR"/>
        </w:rPr>
        <w:t>appropriation</w:t>
      </w: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3060"/>
        <w:gridCol w:w="2860"/>
        <w:gridCol w:w="2760"/>
      </w:tblGrid>
      <w:tr w:rsidR="00EC631A" w:rsidRPr="000B220E" w:rsidTr="00EC63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31A" w:rsidRPr="007A20B3" w:rsidRDefault="00EC631A" w:rsidP="00EC631A">
            <w:pPr>
              <w:rPr>
                <w:rFonts w:eastAsia="Times New Roman"/>
                <w:color w:val="000000"/>
                <w:szCs w:val="22"/>
                <w:lang w:val="fr-CH" w:eastAsia="en-US"/>
              </w:rPr>
            </w:pPr>
            <w:r w:rsidRPr="007A20B3">
              <w:rPr>
                <w:rFonts w:eastAsia="Times New Roman"/>
                <w:color w:val="000000"/>
                <w:szCs w:val="22"/>
                <w:lang w:val="fr-CH" w:eastAsia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Entreprises</w:t>
            </w:r>
            <w:proofErr w:type="spellEnd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non </w:t>
            </w: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exportatrices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Entreprises</w:t>
            </w:r>
            <w:proofErr w:type="spellEnd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exportatrices</w:t>
            </w:r>
            <w:proofErr w:type="spellEnd"/>
          </w:p>
        </w:tc>
      </w:tr>
      <w:tr w:rsidR="00EC631A" w:rsidRPr="000B220E" w:rsidTr="00EC631A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Brevet </w:t>
            </w: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d’invention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2,9%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17,7%</w:t>
            </w:r>
          </w:p>
        </w:tc>
      </w:tr>
      <w:tr w:rsidR="00EC631A" w:rsidRPr="000B220E" w:rsidTr="00EC631A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Modèle</w:t>
            </w:r>
            <w:proofErr w:type="spellEnd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d’utilité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2,1%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8,3%</w:t>
            </w:r>
          </w:p>
        </w:tc>
      </w:tr>
      <w:tr w:rsidR="00EC631A" w:rsidRPr="000B220E" w:rsidTr="00EC631A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Dessins</w:t>
            </w:r>
            <w:proofErr w:type="spellEnd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et </w:t>
            </w: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modèles</w:t>
            </w:r>
            <w:proofErr w:type="spellEnd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industriels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3,6%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8,1%</w:t>
            </w:r>
          </w:p>
        </w:tc>
      </w:tr>
      <w:tr w:rsidR="00EC631A" w:rsidRPr="000B220E" w:rsidTr="00EC631A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Marques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21,2%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40,5%</w:t>
            </w:r>
          </w:p>
        </w:tc>
      </w:tr>
      <w:tr w:rsidR="00EC631A" w:rsidRPr="000B220E" w:rsidTr="00EC631A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Complexité</w:t>
            </w:r>
            <w:proofErr w:type="spellEnd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de conception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0,8%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6,4%</w:t>
            </w:r>
          </w:p>
        </w:tc>
      </w:tr>
      <w:tr w:rsidR="00EC631A" w:rsidRPr="000B220E" w:rsidTr="00EC631A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Secret </w:t>
            </w: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d’affaires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6,5%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21,4%</w:t>
            </w:r>
          </w:p>
        </w:tc>
      </w:tr>
      <w:tr w:rsidR="00EC631A" w:rsidRPr="000B220E" w:rsidTr="00EC631A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</w:pPr>
            <w:proofErr w:type="spellStart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>Délai</w:t>
            </w:r>
            <w:proofErr w:type="spellEnd"/>
            <w:r w:rsidRPr="000B220E">
              <w:rPr>
                <w:rFonts w:eastAsia="Times New Roman"/>
                <w:b/>
                <w:bCs/>
                <w:color w:val="000000"/>
                <w:szCs w:val="22"/>
                <w:lang w:eastAsia="en-US"/>
              </w:rPr>
              <w:t xml:space="preserve"> de production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0,9%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631A" w:rsidRPr="000B220E" w:rsidRDefault="00EC631A" w:rsidP="00EC631A">
            <w:pPr>
              <w:jc w:val="center"/>
              <w:rPr>
                <w:rFonts w:eastAsia="Times New Roman"/>
                <w:color w:val="000000"/>
                <w:szCs w:val="22"/>
                <w:lang w:eastAsia="en-US"/>
              </w:rPr>
            </w:pPr>
            <w:r w:rsidRPr="000B220E">
              <w:rPr>
                <w:rFonts w:eastAsia="Times New Roman"/>
                <w:color w:val="000000"/>
                <w:szCs w:val="22"/>
                <w:lang w:eastAsia="en-US"/>
              </w:rPr>
              <w:t>9,4%</w:t>
            </w:r>
          </w:p>
        </w:tc>
      </w:tr>
    </w:tbl>
    <w:p w:rsidR="007915E7" w:rsidRPr="00A05732" w:rsidRDefault="00E42E3B" w:rsidP="00E42E3B">
      <w:pPr>
        <w:jc w:val="center"/>
        <w:rPr>
          <w:rFonts w:eastAsia="Times New Roman"/>
          <w:i/>
          <w:iCs/>
          <w:color w:val="000000"/>
          <w:sz w:val="16"/>
          <w:szCs w:val="16"/>
          <w:lang w:val="fr-CH" w:eastAsia="en-US"/>
        </w:rPr>
      </w:pPr>
      <w:r w:rsidRPr="00A05732">
        <w:rPr>
          <w:rFonts w:eastAsia="Times New Roman"/>
          <w:i/>
          <w:iCs/>
          <w:color w:val="000000"/>
          <w:sz w:val="16"/>
          <w:szCs w:val="16"/>
          <w:lang w:val="fr-CH" w:eastAsia="en-US"/>
        </w:rPr>
        <w:t>Source : IBGE/PINTEC 2008 et MDIC/SECEX 2008.</w:t>
      </w:r>
    </w:p>
    <w:p w:rsidR="00E42E3B" w:rsidRPr="00E42E3B" w:rsidRDefault="00E42E3B" w:rsidP="00296123">
      <w:pPr>
        <w:rPr>
          <w:sz w:val="18"/>
          <w:szCs w:val="18"/>
          <w:lang w:val="fr-FR" w:eastAsia="en-US"/>
        </w:rPr>
      </w:pPr>
    </w:p>
    <w:p w:rsidR="00296123" w:rsidRDefault="00DD2351" w:rsidP="00296123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La part des exportations tend à être plus importante dans les entreprises innovantes que dans les autres.</w:t>
      </w:r>
      <w:r w:rsidR="006B5AE7" w:rsidRPr="00A20C37">
        <w:rPr>
          <w:lang w:val="fr-FR"/>
        </w:rPr>
        <w:t xml:space="preserve">  </w:t>
      </w:r>
      <w:r w:rsidR="00070403" w:rsidRPr="00CB3013">
        <w:rPr>
          <w:lang w:val="fr-FR" w:eastAsia="en-US"/>
        </w:rPr>
        <w:t xml:space="preserve">Les </w:t>
      </w:r>
      <w:r w:rsidR="009024A9" w:rsidRPr="00CB3013">
        <w:rPr>
          <w:lang w:val="fr-FR" w:eastAsia="en-US"/>
        </w:rPr>
        <w:t>entreprises</w:t>
      </w:r>
      <w:r w:rsidR="00070403" w:rsidRPr="00CB3013">
        <w:rPr>
          <w:lang w:val="fr-FR" w:eastAsia="en-US"/>
        </w:rPr>
        <w:t xml:space="preserve"> brésiliennes qui innovent ont plus de </w:t>
      </w:r>
      <w:r w:rsidRPr="00CB3013">
        <w:rPr>
          <w:lang w:val="fr-FR" w:eastAsia="en-US"/>
        </w:rPr>
        <w:t>probabilités</w:t>
      </w:r>
      <w:r w:rsidR="00070403" w:rsidRPr="00CB3013">
        <w:rPr>
          <w:lang w:val="fr-FR" w:eastAsia="en-US"/>
        </w:rPr>
        <w:t xml:space="preserve"> d</w:t>
      </w:r>
      <w:r w:rsidR="00EC631A">
        <w:rPr>
          <w:lang w:val="fr-FR" w:eastAsia="en-US"/>
        </w:rPr>
        <w:t>’</w:t>
      </w:r>
      <w:r w:rsidR="00070403" w:rsidRPr="00CB3013">
        <w:rPr>
          <w:lang w:val="fr-FR" w:eastAsia="en-US"/>
        </w:rPr>
        <w:t>exporter et exportent davantage</w:t>
      </w:r>
      <w:r w:rsidR="00B301D1">
        <w:rPr>
          <w:lang w:val="fr-FR" w:eastAsia="en-US"/>
        </w:rPr>
        <w:t> </w:t>
      </w:r>
      <w:r w:rsidR="00070403" w:rsidRPr="00CB3013">
        <w:rPr>
          <w:lang w:val="fr-FR" w:eastAsia="en-US"/>
        </w:rPr>
        <w:t xml:space="preserve">: 14,6% des </w:t>
      </w:r>
      <w:r w:rsidR="009024A9" w:rsidRPr="00CB3013">
        <w:rPr>
          <w:lang w:val="fr-FR" w:eastAsia="en-US"/>
        </w:rPr>
        <w:t>entreprises</w:t>
      </w:r>
      <w:r w:rsidR="00070403" w:rsidRPr="00CB3013">
        <w:rPr>
          <w:lang w:val="fr-FR" w:eastAsia="en-US"/>
        </w:rPr>
        <w:t xml:space="preserve"> innovantes sont exportatrices, contre 8,2% </w:t>
      </w:r>
      <w:r w:rsidR="00E50E17" w:rsidRPr="00CB3013">
        <w:rPr>
          <w:lang w:val="fr-FR" w:eastAsia="en-US"/>
        </w:rPr>
        <w:t>parmi celles</w:t>
      </w:r>
      <w:r w:rsidR="00070403" w:rsidRPr="00CB3013">
        <w:rPr>
          <w:lang w:val="fr-FR" w:eastAsia="en-US"/>
        </w:rPr>
        <w:t xml:space="preserve"> qui n</w:t>
      </w:r>
      <w:r w:rsidR="00EC631A">
        <w:rPr>
          <w:lang w:val="fr-FR" w:eastAsia="en-US"/>
        </w:rPr>
        <w:t>’</w:t>
      </w:r>
      <w:r w:rsidR="00070403" w:rsidRPr="00CB3013">
        <w:rPr>
          <w:lang w:val="fr-FR" w:eastAsia="en-US"/>
        </w:rPr>
        <w:t>innovent pas.</w:t>
      </w:r>
      <w:r w:rsidR="006B5AE7" w:rsidRPr="00A20C37">
        <w:rPr>
          <w:lang w:val="fr-FR"/>
        </w:rPr>
        <w:t xml:space="preserve">  </w:t>
      </w:r>
      <w:r w:rsidR="00070403" w:rsidRPr="00CB3013">
        <w:rPr>
          <w:lang w:val="fr-FR" w:eastAsia="en-US"/>
        </w:rPr>
        <w:t>En moyenne, les ventes à l</w:t>
      </w:r>
      <w:r w:rsidR="00EC631A">
        <w:rPr>
          <w:lang w:val="fr-FR" w:eastAsia="en-US"/>
        </w:rPr>
        <w:t>’</w:t>
      </w:r>
      <w:r w:rsidR="00070403" w:rsidRPr="00CB3013">
        <w:rPr>
          <w:lang w:val="fr-FR" w:eastAsia="en-US"/>
        </w:rPr>
        <w:t>exportation des entreprises innovantes (plus de 3,3 millions de dollars</w:t>
      </w:r>
      <w:r w:rsidR="00B301D1">
        <w:rPr>
          <w:lang w:val="fr-FR" w:eastAsia="en-US"/>
        </w:rPr>
        <w:t> </w:t>
      </w:r>
      <w:r w:rsidR="00070403" w:rsidRPr="00CB3013">
        <w:rPr>
          <w:lang w:val="fr-FR" w:eastAsia="en-US"/>
        </w:rPr>
        <w:t>É.</w:t>
      </w:r>
      <w:r w:rsidR="004F5600">
        <w:rPr>
          <w:lang w:val="fr-FR" w:eastAsia="en-US"/>
        </w:rPr>
        <w:noBreakHyphen/>
      </w:r>
      <w:r w:rsidR="00070403" w:rsidRPr="00CB3013">
        <w:rPr>
          <w:lang w:val="fr-FR" w:eastAsia="en-US"/>
        </w:rPr>
        <w:t>U.) sont 10</w:t>
      </w:r>
      <w:r w:rsidR="00A20C37">
        <w:rPr>
          <w:lang w:val="fr-FR" w:eastAsia="en-US"/>
        </w:rPr>
        <w:t> </w:t>
      </w:r>
      <w:r w:rsidR="00070403" w:rsidRPr="00CB3013">
        <w:rPr>
          <w:lang w:val="fr-FR" w:eastAsia="en-US"/>
        </w:rPr>
        <w:t xml:space="preserve">fois plus élevées que celles des </w:t>
      </w:r>
      <w:r w:rsidR="000E4FD7" w:rsidRPr="00CB3013">
        <w:rPr>
          <w:lang w:val="fr-FR" w:eastAsia="en-US"/>
        </w:rPr>
        <w:t>entreprises</w:t>
      </w:r>
      <w:r w:rsidR="00070403" w:rsidRPr="00CB3013">
        <w:rPr>
          <w:lang w:val="fr-FR" w:eastAsia="en-US"/>
        </w:rPr>
        <w:t xml:space="preserve"> non innovantes (0,35</w:t>
      </w:r>
      <w:r w:rsidR="00B301D1">
        <w:rPr>
          <w:lang w:val="fr-FR" w:eastAsia="en-US"/>
        </w:rPr>
        <w:t> </w:t>
      </w:r>
      <w:r w:rsidR="00070403" w:rsidRPr="00CB3013">
        <w:rPr>
          <w:lang w:val="fr-FR" w:eastAsia="en-US"/>
        </w:rPr>
        <w:t>million de dollars</w:t>
      </w:r>
      <w:r w:rsidR="00B301D1">
        <w:rPr>
          <w:lang w:val="fr-FR" w:eastAsia="en-US"/>
        </w:rPr>
        <w:t> </w:t>
      </w:r>
      <w:r w:rsidR="00070403" w:rsidRPr="00CB3013">
        <w:rPr>
          <w:lang w:val="fr-FR" w:eastAsia="en-US"/>
        </w:rPr>
        <w:t>É.</w:t>
      </w:r>
      <w:r w:rsidR="004F5600">
        <w:rPr>
          <w:lang w:val="fr-FR" w:eastAsia="en-US"/>
        </w:rPr>
        <w:noBreakHyphen/>
      </w:r>
      <w:r w:rsidR="00070403" w:rsidRPr="00CB3013">
        <w:rPr>
          <w:lang w:val="fr-FR" w:eastAsia="en-US"/>
        </w:rPr>
        <w:t>U.).</w:t>
      </w:r>
      <w:r w:rsidR="006B5AE7" w:rsidRPr="00A20C37">
        <w:rPr>
          <w:lang w:val="fr-FR"/>
        </w:rPr>
        <w:t xml:space="preserve">  </w:t>
      </w:r>
      <w:r w:rsidR="00070403" w:rsidRPr="00CB3013">
        <w:rPr>
          <w:lang w:val="fr-FR" w:eastAsia="en-US"/>
        </w:rPr>
        <w:t>S</w:t>
      </w:r>
      <w:r w:rsidR="00EC631A">
        <w:rPr>
          <w:lang w:val="fr-FR" w:eastAsia="en-US"/>
        </w:rPr>
        <w:t>’</w:t>
      </w:r>
      <w:r w:rsidR="00070403" w:rsidRPr="00CB3013">
        <w:rPr>
          <w:lang w:val="fr-FR" w:eastAsia="en-US"/>
        </w:rPr>
        <w:t xml:space="preserve">ajoute à cela que les entreprises qui sont à la fois exportatrices et innovantes sont </w:t>
      </w:r>
      <w:r w:rsidR="00DD573B" w:rsidRPr="00CB3013">
        <w:rPr>
          <w:lang w:val="fr-FR" w:eastAsia="en-US"/>
        </w:rPr>
        <w:t>en</w:t>
      </w:r>
      <w:r w:rsidR="00070403" w:rsidRPr="00CB3013">
        <w:rPr>
          <w:lang w:val="fr-FR" w:eastAsia="en-US"/>
        </w:rPr>
        <w:t xml:space="preserve"> général plus grandes</w:t>
      </w:r>
      <w:r w:rsidR="000E37FD" w:rsidRPr="00CB3013">
        <w:rPr>
          <w:lang w:val="fr-FR" w:eastAsia="en-US"/>
        </w:rPr>
        <w:t xml:space="preserve"> et</w:t>
      </w:r>
      <w:r w:rsidR="00070403" w:rsidRPr="00CB3013">
        <w:rPr>
          <w:lang w:val="fr-FR" w:eastAsia="en-US"/>
        </w:rPr>
        <w:t xml:space="preserve"> plus productives et </w:t>
      </w:r>
      <w:r w:rsidR="000E37FD" w:rsidRPr="00CB3013">
        <w:rPr>
          <w:lang w:val="fr-FR" w:eastAsia="en-US"/>
        </w:rPr>
        <w:t xml:space="preserve">ont une </w:t>
      </w:r>
      <w:r w:rsidR="00070403" w:rsidRPr="00CB3013">
        <w:rPr>
          <w:lang w:val="fr-FR" w:eastAsia="en-US"/>
        </w:rPr>
        <w:t xml:space="preserve">plus forte intensité de </w:t>
      </w:r>
      <w:r w:rsidR="000E4FD7" w:rsidRPr="00CB3013">
        <w:rPr>
          <w:lang w:val="fr-FR" w:eastAsia="en-US"/>
        </w:rPr>
        <w:t>main</w:t>
      </w:r>
      <w:r w:rsidR="004F5600">
        <w:rPr>
          <w:lang w:val="fr-FR" w:eastAsia="en-US"/>
        </w:rPr>
        <w:noBreakHyphen/>
      </w:r>
      <w:r w:rsidR="000E4FD7" w:rsidRPr="00CB3013">
        <w:rPr>
          <w:lang w:val="fr-FR" w:eastAsia="en-US"/>
        </w:rPr>
        <w:t>d</w:t>
      </w:r>
      <w:r w:rsidR="00EC631A">
        <w:rPr>
          <w:lang w:val="fr-FR" w:eastAsia="en-US"/>
        </w:rPr>
        <w:t>’</w:t>
      </w:r>
      <w:r w:rsidR="000E4FD7" w:rsidRPr="00CB3013">
        <w:rPr>
          <w:lang w:val="fr-FR" w:eastAsia="en-US"/>
        </w:rPr>
        <w:t>œuvre</w:t>
      </w:r>
      <w:r w:rsidR="00070403" w:rsidRPr="00CB3013">
        <w:rPr>
          <w:lang w:val="fr-FR" w:eastAsia="en-US"/>
        </w:rPr>
        <w:t xml:space="preserve"> qualifiée.</w:t>
      </w:r>
    </w:p>
    <w:p w:rsidR="007915E7" w:rsidRDefault="00DC697A" w:rsidP="00296123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 xml:space="preserve">On ne sera pas étonné </w:t>
      </w:r>
      <w:r w:rsidR="00DD573B" w:rsidRPr="00CB3013">
        <w:rPr>
          <w:lang w:val="fr-FR" w:eastAsia="en-US"/>
        </w:rPr>
        <w:t xml:space="preserve">de constater </w:t>
      </w:r>
      <w:r w:rsidRPr="00CB3013">
        <w:rPr>
          <w:lang w:val="fr-FR" w:eastAsia="en-US"/>
        </w:rPr>
        <w:t xml:space="preserve">que les entreprises innovantes sont plus nombreuses </w:t>
      </w:r>
      <w:r w:rsidR="00DD573B" w:rsidRPr="00CB3013">
        <w:rPr>
          <w:lang w:val="fr-FR" w:eastAsia="en-US"/>
        </w:rPr>
        <w:t xml:space="preserve">que les autres </w:t>
      </w:r>
      <w:r w:rsidRPr="00CB3013">
        <w:rPr>
          <w:lang w:val="fr-FR" w:eastAsia="en-US"/>
        </w:rPr>
        <w:t>à utiliser les différentes méthodes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appropriation</w:t>
      </w:r>
      <w:r w:rsidR="00DD573B" w:rsidRPr="00CB3013">
        <w:rPr>
          <w:lang w:val="fr-FR" w:eastAsia="en-US"/>
        </w:rPr>
        <w:t>, qu</w:t>
      </w:r>
      <w:r w:rsidR="00EC631A">
        <w:rPr>
          <w:lang w:val="fr-FR" w:eastAsia="en-US"/>
        </w:rPr>
        <w:t>’</w:t>
      </w:r>
      <w:r w:rsidR="00DD573B" w:rsidRPr="00CB3013">
        <w:rPr>
          <w:lang w:val="fr-FR" w:eastAsia="en-US"/>
        </w:rPr>
        <w:t>elles soient fondées ou non sur la propriété intellectuelle,</w:t>
      </w:r>
      <w:r w:rsidRPr="00CB3013">
        <w:rPr>
          <w:lang w:val="fr-FR" w:eastAsia="en-US"/>
        </w:rPr>
        <w:t xml:space="preserve"> pour protéger efficacement leurs innovations</w:t>
      </w:r>
      <w:r w:rsidR="00B3235C">
        <w:rPr>
          <w:lang w:val="fr-FR" w:eastAsia="en-US"/>
        </w:rPr>
        <w:t>.</w:t>
      </w:r>
      <w:r w:rsidR="006B5AE7" w:rsidRPr="00A20C37">
        <w:rPr>
          <w:lang w:val="fr-FR"/>
        </w:rPr>
        <w:t xml:space="preserve">  </w:t>
      </w:r>
      <w:r w:rsidRPr="00CB3013">
        <w:rPr>
          <w:lang w:val="fr-FR" w:eastAsia="en-US"/>
        </w:rPr>
        <w:t>Proportionnellement,</w:t>
      </w:r>
      <w:r w:rsidR="000B220E">
        <w:rPr>
          <w:lang w:val="fr-FR" w:eastAsia="en-US"/>
        </w:rPr>
        <w:t xml:space="preserve"> nous observons</w:t>
      </w:r>
      <w:r w:rsidRPr="00CB3013">
        <w:rPr>
          <w:lang w:val="fr-FR" w:eastAsia="en-US"/>
        </w:rPr>
        <w:t xml:space="preserve"> les écarts les plus importants </w:t>
      </w:r>
      <w:r w:rsidR="00BE56DA" w:rsidRPr="00CB3013">
        <w:rPr>
          <w:lang w:val="fr-FR" w:eastAsia="en-US"/>
        </w:rPr>
        <w:t xml:space="preserve">en ce qui concerne le délai de production, </w:t>
      </w:r>
      <w:r w:rsidRPr="00CB3013">
        <w:rPr>
          <w:lang w:val="fr-FR" w:eastAsia="en-US"/>
        </w:rPr>
        <w:t xml:space="preserve">la complexité de conception et </w:t>
      </w:r>
      <w:r w:rsidR="00BE56DA" w:rsidRPr="00CB3013">
        <w:rPr>
          <w:lang w:val="fr-FR" w:eastAsia="en-US"/>
        </w:rPr>
        <w:t>l</w:t>
      </w:r>
      <w:r w:rsidRPr="00CB3013">
        <w:rPr>
          <w:lang w:val="fr-FR" w:eastAsia="en-US"/>
        </w:rPr>
        <w:t>es brevets.</w:t>
      </w:r>
    </w:p>
    <w:p w:rsidR="007915E7" w:rsidRPr="00CB3013" w:rsidRDefault="007915E7" w:rsidP="006B5AE7">
      <w:pPr>
        <w:rPr>
          <w:lang w:val="fr-FR"/>
        </w:rPr>
      </w:pPr>
    </w:p>
    <w:p w:rsidR="00EC631A" w:rsidRDefault="00EC631A">
      <w:pPr>
        <w:spacing w:after="200" w:line="276" w:lineRule="auto"/>
        <w:rPr>
          <w:b/>
          <w:bCs/>
          <w:caps/>
          <w:szCs w:val="22"/>
          <w:lang w:val="fr-FR"/>
        </w:rPr>
      </w:pPr>
      <w:bookmarkStart w:id="6" w:name="_Ref384904010"/>
      <w:r>
        <w:rPr>
          <w:caps/>
          <w:szCs w:val="22"/>
          <w:lang w:val="fr-FR"/>
        </w:rPr>
        <w:br w:type="page"/>
      </w:r>
    </w:p>
    <w:p w:rsidR="007915E7" w:rsidRDefault="007B1178" w:rsidP="00EC631A">
      <w:pPr>
        <w:pStyle w:val="Caption"/>
        <w:jc w:val="center"/>
        <w:rPr>
          <w:i/>
          <w:color w:val="000000"/>
          <w:sz w:val="22"/>
          <w:szCs w:val="22"/>
          <w:lang w:val="fr-FR"/>
        </w:rPr>
      </w:pPr>
      <w:r w:rsidRPr="00B3235C">
        <w:rPr>
          <w:i/>
          <w:caps/>
          <w:sz w:val="22"/>
          <w:szCs w:val="22"/>
          <w:lang w:val="fr-FR"/>
        </w:rPr>
        <w:lastRenderedPageBreak/>
        <w:t>t</w:t>
      </w:r>
      <w:r w:rsidR="007915E7" w:rsidRPr="00B3235C">
        <w:rPr>
          <w:i/>
          <w:sz w:val="22"/>
          <w:szCs w:val="22"/>
          <w:lang w:val="fr-FR"/>
        </w:rPr>
        <w:t>ableau</w:t>
      </w:r>
      <w:r w:rsidRPr="00B3235C">
        <w:rPr>
          <w:i/>
          <w:sz w:val="22"/>
          <w:szCs w:val="22"/>
          <w:lang w:val="fr-FR"/>
        </w:rPr>
        <w:t> </w:t>
      </w:r>
      <w:r w:rsidR="007915E7" w:rsidRPr="00B3235C">
        <w:rPr>
          <w:i/>
          <w:sz w:val="22"/>
          <w:szCs w:val="22"/>
          <w:lang w:val="fr-FR"/>
        </w:rPr>
        <w:t>E</w:t>
      </w:r>
      <w:r w:rsidR="00BA2FD2" w:rsidRPr="00B3235C">
        <w:rPr>
          <w:i/>
          <w:sz w:val="22"/>
          <w:szCs w:val="22"/>
          <w:lang w:val="fr-FR"/>
        </w:rPr>
        <w:t>.</w:t>
      </w:r>
      <w:r w:rsidR="006B5AE7" w:rsidRPr="00B3235C">
        <w:rPr>
          <w:i/>
          <w:sz w:val="22"/>
          <w:szCs w:val="22"/>
          <w:lang w:val="fr-FR"/>
        </w:rPr>
        <w:fldChar w:fldCharType="begin"/>
      </w:r>
      <w:r w:rsidR="006B5AE7" w:rsidRPr="00B3235C">
        <w:rPr>
          <w:i/>
          <w:sz w:val="22"/>
          <w:szCs w:val="22"/>
          <w:lang w:val="fr-FR"/>
        </w:rPr>
        <w:instrText xml:space="preserve"> SEQ Table_E_- \* ARABIC </w:instrText>
      </w:r>
      <w:r w:rsidR="006B5AE7" w:rsidRPr="00B3235C">
        <w:rPr>
          <w:i/>
          <w:sz w:val="22"/>
          <w:szCs w:val="22"/>
          <w:lang w:val="fr-FR"/>
        </w:rPr>
        <w:fldChar w:fldCharType="separate"/>
      </w:r>
      <w:r w:rsidR="007A20B3">
        <w:rPr>
          <w:i/>
          <w:noProof/>
          <w:sz w:val="22"/>
          <w:szCs w:val="22"/>
          <w:lang w:val="fr-FR"/>
        </w:rPr>
        <w:t>2</w:t>
      </w:r>
      <w:r w:rsidR="006B5AE7" w:rsidRPr="00B3235C">
        <w:rPr>
          <w:i/>
          <w:sz w:val="22"/>
          <w:szCs w:val="22"/>
          <w:lang w:val="fr-FR"/>
        </w:rPr>
        <w:fldChar w:fldCharType="end"/>
      </w:r>
      <w:bookmarkEnd w:id="6"/>
      <w:r w:rsidR="006B5AE7" w:rsidRPr="00B3235C">
        <w:rPr>
          <w:i/>
          <w:sz w:val="22"/>
          <w:szCs w:val="22"/>
          <w:lang w:val="fr-FR"/>
        </w:rPr>
        <w:t xml:space="preserve"> </w:t>
      </w:r>
      <w:r w:rsidR="00EC2D25" w:rsidRPr="00B3235C">
        <w:rPr>
          <w:i/>
          <w:sz w:val="22"/>
          <w:szCs w:val="22"/>
          <w:lang w:val="fr-FR"/>
        </w:rPr>
        <w:t xml:space="preserve">– </w:t>
      </w:r>
      <w:r w:rsidR="007915E7" w:rsidRPr="00B3235C">
        <w:rPr>
          <w:i/>
          <w:color w:val="000000"/>
          <w:sz w:val="22"/>
          <w:szCs w:val="22"/>
          <w:lang w:val="fr-FR"/>
        </w:rPr>
        <w:t>Méthodes d</w:t>
      </w:r>
      <w:r w:rsidR="00EC631A" w:rsidRPr="00B3235C">
        <w:rPr>
          <w:i/>
          <w:color w:val="000000"/>
          <w:sz w:val="22"/>
          <w:szCs w:val="22"/>
          <w:lang w:val="fr-FR"/>
        </w:rPr>
        <w:t>’</w:t>
      </w:r>
      <w:r w:rsidR="007915E7" w:rsidRPr="00B3235C">
        <w:rPr>
          <w:i/>
          <w:color w:val="000000"/>
          <w:sz w:val="22"/>
          <w:szCs w:val="22"/>
          <w:lang w:val="fr-FR"/>
        </w:rPr>
        <w:t xml:space="preserve">appropriation fondées sur la </w:t>
      </w:r>
      <w:r w:rsidR="007915E7" w:rsidRPr="00B3235C">
        <w:rPr>
          <w:i/>
          <w:sz w:val="22"/>
          <w:szCs w:val="22"/>
          <w:lang w:val="fr-FR"/>
        </w:rPr>
        <w:t xml:space="preserve">propriété </w:t>
      </w:r>
      <w:proofErr w:type="gramStart"/>
      <w:r w:rsidR="007915E7" w:rsidRPr="00B3235C">
        <w:rPr>
          <w:i/>
          <w:sz w:val="22"/>
          <w:szCs w:val="22"/>
          <w:lang w:val="fr-FR"/>
        </w:rPr>
        <w:t>intellectuelle</w:t>
      </w:r>
      <w:proofErr w:type="gramEnd"/>
      <w:r w:rsidR="00EC631A" w:rsidRPr="00B3235C">
        <w:rPr>
          <w:i/>
          <w:sz w:val="22"/>
          <w:szCs w:val="22"/>
          <w:lang w:val="fr-FR"/>
        </w:rPr>
        <w:br/>
      </w:r>
      <w:r w:rsidR="007915E7" w:rsidRPr="00B3235C">
        <w:rPr>
          <w:i/>
          <w:color w:val="000000"/>
          <w:sz w:val="22"/>
          <w:szCs w:val="22"/>
          <w:lang w:val="fr-FR"/>
        </w:rPr>
        <w:t>(grandes entreprises)</w:t>
      </w:r>
    </w:p>
    <w:p w:rsidR="007915E7" w:rsidRDefault="00EC631A" w:rsidP="00EC631A">
      <w:pPr>
        <w:jc w:val="center"/>
        <w:rPr>
          <w:lang w:val="fr-FR"/>
        </w:rPr>
      </w:pPr>
      <w:r w:rsidRPr="00EC631A">
        <w:rPr>
          <w:noProof/>
          <w:lang w:eastAsia="en-US"/>
        </w:rPr>
        <w:drawing>
          <wp:inline distT="0" distB="0" distL="0" distR="0" wp14:anchorId="2BF036EC" wp14:editId="3977CD55">
            <wp:extent cx="5875655" cy="69602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696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E7" w:rsidRPr="00E42E3B" w:rsidRDefault="007915E7" w:rsidP="005F03AB">
      <w:pPr>
        <w:pStyle w:val="ONUMFS"/>
        <w:numPr>
          <w:ilvl w:val="0"/>
          <w:numId w:val="0"/>
        </w:numPr>
        <w:rPr>
          <w:lang w:val="fr-FR"/>
        </w:rPr>
      </w:pPr>
      <w:r w:rsidRPr="00E42E3B">
        <w:rPr>
          <w:lang w:val="fr-FR"/>
        </w:rPr>
        <w:t>Les entreprises qui utilisent l</w:t>
      </w:r>
      <w:r w:rsidR="00EC631A" w:rsidRPr="00E42E3B">
        <w:rPr>
          <w:lang w:val="fr-FR"/>
        </w:rPr>
        <w:t>’</w:t>
      </w:r>
      <w:r w:rsidRPr="00E42E3B">
        <w:rPr>
          <w:lang w:val="fr-FR"/>
        </w:rPr>
        <w:t>une des quatre</w:t>
      </w:r>
      <w:r w:rsidR="00B301D1" w:rsidRPr="00E42E3B">
        <w:rPr>
          <w:lang w:val="fr-FR"/>
        </w:rPr>
        <w:t> </w:t>
      </w:r>
      <w:r w:rsidRPr="00E42E3B">
        <w:rPr>
          <w:lang w:val="fr-FR"/>
        </w:rPr>
        <w:t>méthodes d</w:t>
      </w:r>
      <w:r w:rsidR="00EC631A" w:rsidRPr="00E42E3B">
        <w:rPr>
          <w:lang w:val="fr-FR"/>
        </w:rPr>
        <w:t>’</w:t>
      </w:r>
      <w:r w:rsidRPr="00E42E3B">
        <w:rPr>
          <w:lang w:val="fr-FR"/>
        </w:rPr>
        <w:t xml:space="preserve">appropriation fondées sur la propriété intellectuelle </w:t>
      </w:r>
      <w:r w:rsidR="00A20C37" w:rsidRPr="00E42E3B">
        <w:rPr>
          <w:lang w:val="fr-FR"/>
        </w:rPr>
        <w:t>–</w:t>
      </w:r>
      <w:r w:rsidRPr="00E42E3B">
        <w:rPr>
          <w:lang w:val="fr-FR"/>
        </w:rPr>
        <w:t xml:space="preserve"> brevets d</w:t>
      </w:r>
      <w:r w:rsidR="00EC631A" w:rsidRPr="00E42E3B">
        <w:rPr>
          <w:lang w:val="fr-FR"/>
        </w:rPr>
        <w:t>’</w:t>
      </w:r>
      <w:r w:rsidRPr="00E42E3B">
        <w:rPr>
          <w:lang w:val="fr-FR"/>
        </w:rPr>
        <w:t>invention, modèles d</w:t>
      </w:r>
      <w:r w:rsidR="00EC631A" w:rsidRPr="00E42E3B">
        <w:rPr>
          <w:lang w:val="fr-FR"/>
        </w:rPr>
        <w:t>’</w:t>
      </w:r>
      <w:r w:rsidRPr="00E42E3B">
        <w:rPr>
          <w:lang w:val="fr-FR"/>
        </w:rPr>
        <w:t xml:space="preserve">utilité, dessins et modèles industriels et marques </w:t>
      </w:r>
      <w:r w:rsidR="00A20C37" w:rsidRPr="00E42E3B">
        <w:rPr>
          <w:lang w:val="fr-FR"/>
        </w:rPr>
        <w:t>–</w:t>
      </w:r>
      <w:r w:rsidRPr="00E42E3B">
        <w:rPr>
          <w:lang w:val="fr-FR"/>
        </w:rPr>
        <w:t xml:space="preserve"> sont </w:t>
      </w:r>
      <w:r w:rsidR="006941C3" w:rsidRPr="00E42E3B">
        <w:rPr>
          <w:lang w:val="fr-FR"/>
        </w:rPr>
        <w:t>davantage</w:t>
      </w:r>
      <w:r w:rsidRPr="00E42E3B">
        <w:rPr>
          <w:lang w:val="fr-FR"/>
        </w:rPr>
        <w:t xml:space="preserve"> susceptibles d</w:t>
      </w:r>
      <w:r w:rsidR="00EC631A" w:rsidRPr="00E42E3B">
        <w:rPr>
          <w:lang w:val="fr-FR"/>
        </w:rPr>
        <w:t>’</w:t>
      </w:r>
      <w:r w:rsidRPr="00E42E3B">
        <w:rPr>
          <w:lang w:val="fr-FR"/>
        </w:rPr>
        <w:t xml:space="preserve">exporter et le font dans une plus grande </w:t>
      </w:r>
      <w:r w:rsidR="006941C3" w:rsidRPr="00E42E3B">
        <w:rPr>
          <w:lang w:val="fr-FR"/>
        </w:rPr>
        <w:t xml:space="preserve">mesure </w:t>
      </w:r>
      <w:r w:rsidRPr="00E42E3B">
        <w:rPr>
          <w:lang w:val="fr-FR"/>
        </w:rPr>
        <w:t>(</w:t>
      </w:r>
      <w:r w:rsidR="00E42E3B">
        <w:rPr>
          <w:lang w:val="fr-FR"/>
        </w:rPr>
        <w:t>tableau E.2)</w:t>
      </w:r>
      <w:r w:rsidRPr="00E42E3B">
        <w:rPr>
          <w:lang w:val="fr-FR"/>
        </w:rPr>
        <w:t>.</w:t>
      </w:r>
      <w:r w:rsidR="006B5AE7" w:rsidRPr="00E42E3B">
        <w:rPr>
          <w:lang w:val="fr-FR"/>
        </w:rPr>
        <w:t xml:space="preserve">  </w:t>
      </w:r>
      <w:r w:rsidR="000B220E" w:rsidRPr="00E42E3B">
        <w:rPr>
          <w:lang w:val="fr-FR"/>
        </w:rPr>
        <w:t>Souvent, e</w:t>
      </w:r>
      <w:r w:rsidR="00A62223" w:rsidRPr="00E42E3B">
        <w:rPr>
          <w:lang w:val="fr-FR"/>
        </w:rPr>
        <w:t>lles assurent également une plus grande part des exportations totales du secteur.</w:t>
      </w:r>
    </w:p>
    <w:p w:rsidR="00CB3013" w:rsidRDefault="00A62223" w:rsidP="005F03AB">
      <w:pPr>
        <w:pStyle w:val="ONUMFS"/>
        <w:numPr>
          <w:ilvl w:val="0"/>
          <w:numId w:val="0"/>
        </w:numPr>
        <w:rPr>
          <w:lang w:val="fr-FR"/>
        </w:rPr>
      </w:pPr>
      <w:r w:rsidRPr="00CB3013">
        <w:rPr>
          <w:lang w:val="fr-FR"/>
        </w:rPr>
        <w:t xml:space="preserve">Cela étant, </w:t>
      </w:r>
      <w:r w:rsidR="00BA2FD2">
        <w:rPr>
          <w:lang w:val="fr-FR"/>
        </w:rPr>
        <w:t>cette tendance est également</w:t>
      </w:r>
      <w:r w:rsidRPr="00CB3013">
        <w:rPr>
          <w:lang w:val="fr-FR"/>
        </w:rPr>
        <w:t xml:space="preserve"> corrélée à des caractéristiques fondamentales telles que l</w:t>
      </w:r>
      <w:r w:rsidR="00EC631A">
        <w:rPr>
          <w:lang w:val="fr-FR"/>
        </w:rPr>
        <w:t>’</w:t>
      </w:r>
      <w:r w:rsidRPr="00CB3013">
        <w:rPr>
          <w:lang w:val="fr-FR"/>
        </w:rPr>
        <w:t xml:space="preserve">origine </w:t>
      </w:r>
      <w:r w:rsidR="006941C3" w:rsidRPr="00CB3013">
        <w:rPr>
          <w:lang w:val="fr-FR"/>
        </w:rPr>
        <w:t xml:space="preserve">du capital </w:t>
      </w:r>
      <w:r w:rsidRPr="00CB3013">
        <w:rPr>
          <w:lang w:val="fr-FR"/>
        </w:rPr>
        <w:t>ou la taille</w:t>
      </w:r>
      <w:r w:rsidR="006941C3" w:rsidRPr="00CB3013">
        <w:rPr>
          <w:lang w:val="fr-FR"/>
        </w:rPr>
        <w:t xml:space="preserve"> des entreprises</w:t>
      </w:r>
      <w:r w:rsidRPr="00CB3013">
        <w:rPr>
          <w:lang w:val="fr-FR"/>
        </w:rPr>
        <w:t>, qui peuvent également influer à la fois sur l</w:t>
      </w:r>
      <w:r w:rsidR="00EC631A">
        <w:rPr>
          <w:lang w:val="fr-FR"/>
        </w:rPr>
        <w:t>’</w:t>
      </w:r>
      <w:r w:rsidRPr="00CB3013">
        <w:rPr>
          <w:lang w:val="fr-FR"/>
        </w:rPr>
        <w:t>exportation et sur l</w:t>
      </w:r>
      <w:r w:rsidR="00EC631A">
        <w:rPr>
          <w:lang w:val="fr-FR"/>
        </w:rPr>
        <w:t>’</w:t>
      </w:r>
      <w:r w:rsidRPr="00CB3013">
        <w:rPr>
          <w:lang w:val="fr-FR"/>
        </w:rPr>
        <w:t>innovation.</w:t>
      </w:r>
      <w:r w:rsidR="006B5AE7" w:rsidRPr="00A20C37">
        <w:rPr>
          <w:lang w:val="fr-FR"/>
        </w:rPr>
        <w:t xml:space="preserve">  </w:t>
      </w:r>
      <w:r w:rsidRPr="00CB3013">
        <w:rPr>
          <w:lang w:val="fr-FR"/>
        </w:rPr>
        <w:t xml:space="preserve">La plupart des entreprises </w:t>
      </w:r>
      <w:r w:rsidR="006941C3" w:rsidRPr="00CB3013">
        <w:rPr>
          <w:lang w:val="fr-FR"/>
        </w:rPr>
        <w:t xml:space="preserve">entièrement ou partiellement </w:t>
      </w:r>
      <w:r w:rsidRPr="00CB3013">
        <w:rPr>
          <w:lang w:val="fr-FR"/>
        </w:rPr>
        <w:t>sous contrôle étranger sont exportatrices.</w:t>
      </w:r>
      <w:r w:rsidR="006B5AE7" w:rsidRPr="00A20C37">
        <w:rPr>
          <w:lang w:val="fr-FR"/>
        </w:rPr>
        <w:t xml:space="preserve">  </w:t>
      </w:r>
      <w:r w:rsidRPr="00CB3013">
        <w:rPr>
          <w:lang w:val="fr-FR"/>
        </w:rPr>
        <w:t xml:space="preserve">De même, les entreprises exportatrices ont en moyenne 10 fois plus de salariés et </w:t>
      </w:r>
      <w:r w:rsidR="001978E9" w:rsidRPr="00CB3013">
        <w:rPr>
          <w:lang w:val="fr-FR"/>
        </w:rPr>
        <w:t>des ventes</w:t>
      </w:r>
      <w:r w:rsidRPr="00CB3013">
        <w:rPr>
          <w:lang w:val="fr-FR"/>
        </w:rPr>
        <w:t xml:space="preserve"> 40 fois plus élevé</w:t>
      </w:r>
      <w:r w:rsidR="001978E9" w:rsidRPr="00CB3013">
        <w:rPr>
          <w:lang w:val="fr-FR"/>
        </w:rPr>
        <w:t>es</w:t>
      </w:r>
      <w:r w:rsidRPr="00CB3013">
        <w:rPr>
          <w:lang w:val="fr-FR"/>
        </w:rPr>
        <w:t xml:space="preserve"> que celles qui n</w:t>
      </w:r>
      <w:r w:rsidR="00EC631A">
        <w:rPr>
          <w:lang w:val="fr-FR"/>
        </w:rPr>
        <w:t>’</w:t>
      </w:r>
      <w:r w:rsidRPr="00CB3013">
        <w:rPr>
          <w:lang w:val="fr-FR"/>
        </w:rPr>
        <w:t>exportent pas.</w:t>
      </w:r>
      <w:r w:rsidR="006B5AE7" w:rsidRPr="00A20C37">
        <w:rPr>
          <w:lang w:val="fr-FR"/>
        </w:rPr>
        <w:t xml:space="preserve">  </w:t>
      </w:r>
      <w:r w:rsidR="001978E9" w:rsidRPr="00CB3013">
        <w:rPr>
          <w:lang w:val="fr-FR"/>
        </w:rPr>
        <w:t xml:space="preserve">Elles </w:t>
      </w:r>
      <w:r w:rsidR="001978E9" w:rsidRPr="00CB3013">
        <w:rPr>
          <w:lang w:val="fr-FR"/>
        </w:rPr>
        <w:lastRenderedPageBreak/>
        <w:t xml:space="preserve">ont en outre une plus forte intensité de </w:t>
      </w:r>
      <w:r w:rsidR="007668E4" w:rsidRPr="00CB3013">
        <w:rPr>
          <w:lang w:val="fr-FR"/>
        </w:rPr>
        <w:t>savoir.</w:t>
      </w:r>
      <w:r w:rsidR="006B5AE7" w:rsidRPr="00A20C37">
        <w:rPr>
          <w:lang w:val="fr-FR"/>
        </w:rPr>
        <w:t xml:space="preserve">  </w:t>
      </w:r>
      <w:r w:rsidR="001978E9" w:rsidRPr="00CB3013">
        <w:rPr>
          <w:lang w:val="fr-FR"/>
        </w:rPr>
        <w:t xml:space="preserve">Elles ont </w:t>
      </w:r>
      <w:r w:rsidR="007668E4" w:rsidRPr="00CB3013">
        <w:rPr>
          <w:lang w:val="fr-FR"/>
        </w:rPr>
        <w:t>30 fois plus de salariés qualifiés affectés exclusivement a</w:t>
      </w:r>
      <w:r w:rsidR="006941C3" w:rsidRPr="00CB3013">
        <w:rPr>
          <w:lang w:val="fr-FR"/>
        </w:rPr>
        <w:t>ux activités de R</w:t>
      </w:r>
      <w:r w:rsidR="004F5600">
        <w:rPr>
          <w:lang w:val="fr-FR"/>
        </w:rPr>
        <w:noBreakHyphen/>
      </w:r>
      <w:r w:rsidR="006941C3" w:rsidRPr="00CB3013">
        <w:rPr>
          <w:lang w:val="fr-FR"/>
        </w:rPr>
        <w:t>D et dépense</w:t>
      </w:r>
      <w:r w:rsidR="001978E9" w:rsidRPr="00CB3013">
        <w:rPr>
          <w:lang w:val="fr-FR"/>
        </w:rPr>
        <w:t>nt</w:t>
      </w:r>
      <w:r w:rsidR="007668E4" w:rsidRPr="00CB3013">
        <w:rPr>
          <w:lang w:val="fr-FR"/>
        </w:rPr>
        <w:t xml:space="preserve"> davantage pour les activités d</w:t>
      </w:r>
      <w:r w:rsidR="00EC631A">
        <w:rPr>
          <w:lang w:val="fr-FR"/>
        </w:rPr>
        <w:t>’</w:t>
      </w:r>
      <w:r w:rsidR="007668E4" w:rsidRPr="00CB3013">
        <w:rPr>
          <w:lang w:val="fr-FR"/>
        </w:rPr>
        <w:t>innovation.</w:t>
      </w:r>
      <w:r w:rsidR="006B5AE7" w:rsidRPr="00A20C37">
        <w:rPr>
          <w:lang w:val="fr-FR"/>
        </w:rPr>
        <w:t xml:space="preserve">  </w:t>
      </w:r>
      <w:r w:rsidR="007668E4" w:rsidRPr="00CB3013">
        <w:rPr>
          <w:lang w:val="fr-FR"/>
        </w:rPr>
        <w:t>C</w:t>
      </w:r>
      <w:r w:rsidR="00EC631A">
        <w:rPr>
          <w:lang w:val="fr-FR"/>
        </w:rPr>
        <w:t>’</w:t>
      </w:r>
      <w:r w:rsidR="007668E4" w:rsidRPr="00CB3013">
        <w:rPr>
          <w:lang w:val="fr-FR"/>
        </w:rPr>
        <w:t>est notamment le cas des dépenses de R</w:t>
      </w:r>
      <w:r w:rsidR="004F5600">
        <w:rPr>
          <w:lang w:val="fr-FR"/>
        </w:rPr>
        <w:noBreakHyphen/>
      </w:r>
      <w:r w:rsidR="007668E4" w:rsidRPr="00CB3013">
        <w:rPr>
          <w:lang w:val="fr-FR"/>
        </w:rPr>
        <w:t xml:space="preserve">D </w:t>
      </w:r>
      <w:r w:rsidR="00A20C37">
        <w:rPr>
          <w:lang w:val="fr-FR"/>
        </w:rPr>
        <w:t>–</w:t>
      </w:r>
      <w:r w:rsidR="007668E4" w:rsidRPr="00CB3013">
        <w:rPr>
          <w:lang w:val="fr-FR"/>
        </w:rPr>
        <w:t xml:space="preserve"> qu</w:t>
      </w:r>
      <w:r w:rsidR="00EC631A">
        <w:rPr>
          <w:lang w:val="fr-FR"/>
        </w:rPr>
        <w:t>’</w:t>
      </w:r>
      <w:r w:rsidR="007668E4" w:rsidRPr="00CB3013">
        <w:rPr>
          <w:lang w:val="fr-FR"/>
        </w:rPr>
        <w:t xml:space="preserve">elles soient internes ou externes </w:t>
      </w:r>
      <w:r w:rsidR="00A20C37">
        <w:rPr>
          <w:lang w:val="fr-FR"/>
        </w:rPr>
        <w:t>–</w:t>
      </w:r>
      <w:r w:rsidR="007668E4" w:rsidRPr="00CB3013">
        <w:rPr>
          <w:lang w:val="fr-FR"/>
        </w:rPr>
        <w:t xml:space="preserve">, </w:t>
      </w:r>
      <w:r w:rsidR="00501D81" w:rsidRPr="00CB3013">
        <w:rPr>
          <w:lang w:val="fr-FR"/>
        </w:rPr>
        <w:t xml:space="preserve">qui sont non seulement </w:t>
      </w:r>
      <w:r w:rsidR="007668E4" w:rsidRPr="00CB3013">
        <w:rPr>
          <w:lang w:val="fr-FR"/>
        </w:rPr>
        <w:t xml:space="preserve">100 fois plus </w:t>
      </w:r>
      <w:r w:rsidR="00501D81" w:rsidRPr="00CB3013">
        <w:rPr>
          <w:lang w:val="fr-FR"/>
        </w:rPr>
        <w:t xml:space="preserve">élevées dans les entreprises exportatrices </w:t>
      </w:r>
      <w:r w:rsidR="007668E4" w:rsidRPr="00CB3013">
        <w:rPr>
          <w:lang w:val="fr-FR"/>
        </w:rPr>
        <w:t xml:space="preserve">que </w:t>
      </w:r>
      <w:r w:rsidR="000B220E">
        <w:rPr>
          <w:lang w:val="fr-FR"/>
        </w:rPr>
        <w:t xml:space="preserve">dans </w:t>
      </w:r>
      <w:r w:rsidR="007668E4" w:rsidRPr="00CB3013">
        <w:rPr>
          <w:lang w:val="fr-FR"/>
        </w:rPr>
        <w:t xml:space="preserve">les </w:t>
      </w:r>
      <w:r w:rsidR="00501D81" w:rsidRPr="00CB3013">
        <w:rPr>
          <w:lang w:val="fr-FR"/>
        </w:rPr>
        <w:t xml:space="preserve">autres en valeur absolue mais également </w:t>
      </w:r>
      <w:r w:rsidR="007668E4" w:rsidRPr="00CB3013">
        <w:rPr>
          <w:lang w:val="fr-FR"/>
        </w:rPr>
        <w:t>trois fois plus élevé</w:t>
      </w:r>
      <w:r w:rsidR="00501D81" w:rsidRPr="00CB3013">
        <w:rPr>
          <w:lang w:val="fr-FR"/>
        </w:rPr>
        <w:t>es en valeur relative</w:t>
      </w:r>
      <w:r w:rsidR="007668E4" w:rsidRPr="00CB3013">
        <w:rPr>
          <w:lang w:val="fr-FR"/>
        </w:rPr>
        <w:t xml:space="preserve"> (</w:t>
      </w:r>
      <w:r w:rsidR="007668E4" w:rsidRPr="00CB3013">
        <w:rPr>
          <w:lang w:val="fr-FR"/>
        </w:rPr>
        <w:fldChar w:fldCharType="begin"/>
      </w:r>
      <w:r w:rsidR="007668E4" w:rsidRPr="00CB3013">
        <w:rPr>
          <w:lang w:val="fr-FR"/>
        </w:rPr>
        <w:instrText xml:space="preserve"> REF _Ref384904388 \h  \* MERGEFORMAT </w:instrText>
      </w:r>
      <w:r w:rsidR="007668E4" w:rsidRPr="00CB3013">
        <w:rPr>
          <w:lang w:val="fr-FR"/>
        </w:rPr>
      </w:r>
      <w:r w:rsidR="007668E4" w:rsidRPr="00CB3013">
        <w:rPr>
          <w:lang w:val="fr-FR"/>
        </w:rPr>
        <w:fldChar w:fldCharType="separate"/>
      </w:r>
      <w:r w:rsidR="007A20B3" w:rsidRPr="007A20B3">
        <w:rPr>
          <w:szCs w:val="22"/>
          <w:lang w:val="fr-FR"/>
        </w:rPr>
        <w:t>tableau E.3</w:t>
      </w:r>
      <w:r w:rsidR="007668E4" w:rsidRPr="00CB3013">
        <w:rPr>
          <w:lang w:val="fr-FR"/>
        </w:rPr>
        <w:fldChar w:fldCharType="end"/>
      </w:r>
      <w:r w:rsidR="007668E4" w:rsidRPr="00CB3013">
        <w:rPr>
          <w:lang w:val="fr-FR"/>
        </w:rPr>
        <w:t>).</w:t>
      </w:r>
      <w:r w:rsidR="006B5AE7" w:rsidRPr="00A20C37">
        <w:rPr>
          <w:lang w:val="fr-FR"/>
        </w:rPr>
        <w:t xml:space="preserve">  </w:t>
      </w:r>
      <w:r w:rsidR="007668E4" w:rsidRPr="00CB3013">
        <w:rPr>
          <w:lang w:val="fr-FR"/>
        </w:rPr>
        <w:t>Ce n</w:t>
      </w:r>
      <w:r w:rsidR="00EC631A">
        <w:rPr>
          <w:lang w:val="fr-FR"/>
        </w:rPr>
        <w:t>’</w:t>
      </w:r>
      <w:r w:rsidR="007668E4" w:rsidRPr="00CB3013">
        <w:rPr>
          <w:lang w:val="fr-FR"/>
        </w:rPr>
        <w:t xml:space="preserve">est pas le cas </w:t>
      </w:r>
      <w:r w:rsidR="004E28D5">
        <w:rPr>
          <w:lang w:val="fr-FR"/>
        </w:rPr>
        <w:t xml:space="preserve">des </w:t>
      </w:r>
      <w:r w:rsidR="00D20B7E" w:rsidRPr="00CB3013">
        <w:rPr>
          <w:lang w:val="fr-FR"/>
        </w:rPr>
        <w:t>dépenses</w:t>
      </w:r>
      <w:r w:rsidR="00A20C37">
        <w:rPr>
          <w:lang w:val="fr-FR"/>
        </w:rPr>
        <w:t xml:space="preserve"> </w:t>
      </w:r>
      <w:r w:rsidR="00D20B7E" w:rsidRPr="00CB3013">
        <w:rPr>
          <w:lang w:val="fr-FR"/>
        </w:rPr>
        <w:t xml:space="preserve">consenties </w:t>
      </w:r>
      <w:r w:rsidR="007668E4" w:rsidRPr="00CB3013">
        <w:rPr>
          <w:lang w:val="fr-FR"/>
        </w:rPr>
        <w:t>pour l</w:t>
      </w:r>
      <w:r w:rsidR="00EC631A">
        <w:rPr>
          <w:lang w:val="fr-FR"/>
        </w:rPr>
        <w:t>’</w:t>
      </w:r>
      <w:r w:rsidR="007668E4" w:rsidRPr="00CB3013">
        <w:rPr>
          <w:lang w:val="fr-FR"/>
        </w:rPr>
        <w:t xml:space="preserve">acquisition de savoirs externes </w:t>
      </w:r>
      <w:r w:rsidR="00A20C37">
        <w:rPr>
          <w:lang w:val="fr-FR"/>
        </w:rPr>
        <w:t>–</w:t>
      </w:r>
      <w:r w:rsidR="004E28D5">
        <w:rPr>
          <w:lang w:val="fr-FR"/>
        </w:rPr>
        <w:t xml:space="preserve"> </w:t>
      </w:r>
      <w:r w:rsidR="007668E4" w:rsidRPr="00CB3013">
        <w:rPr>
          <w:lang w:val="fr-FR"/>
        </w:rPr>
        <w:t xml:space="preserve">par exemple dans le cadre </w:t>
      </w:r>
      <w:r w:rsidR="00D20B7E" w:rsidRPr="00CB3013">
        <w:rPr>
          <w:lang w:val="fr-FR"/>
        </w:rPr>
        <w:t>d</w:t>
      </w:r>
      <w:r w:rsidR="00EC631A">
        <w:rPr>
          <w:lang w:val="fr-FR"/>
        </w:rPr>
        <w:t>’</w:t>
      </w:r>
      <w:r w:rsidR="00D20B7E" w:rsidRPr="00CB3013">
        <w:rPr>
          <w:lang w:val="fr-FR"/>
        </w:rPr>
        <w:t>un</w:t>
      </w:r>
      <w:r w:rsidR="007668E4" w:rsidRPr="00CB3013">
        <w:rPr>
          <w:lang w:val="fr-FR"/>
        </w:rPr>
        <w:t xml:space="preserve"> transfert de propriété intellectuelle </w:t>
      </w:r>
      <w:r w:rsidR="00A20C37">
        <w:rPr>
          <w:lang w:val="fr-FR"/>
        </w:rPr>
        <w:t>–</w:t>
      </w:r>
      <w:r w:rsidR="007668E4" w:rsidRPr="00CB3013">
        <w:rPr>
          <w:lang w:val="fr-FR"/>
        </w:rPr>
        <w:t xml:space="preserve">, </w:t>
      </w:r>
      <w:r w:rsidR="00D20B7E" w:rsidRPr="00CB3013">
        <w:rPr>
          <w:lang w:val="fr-FR"/>
        </w:rPr>
        <w:t xml:space="preserve">qui sont quantitativement plus élevées dans </w:t>
      </w:r>
      <w:r w:rsidR="007668E4" w:rsidRPr="00CB3013">
        <w:rPr>
          <w:lang w:val="fr-FR"/>
        </w:rPr>
        <w:t xml:space="preserve">les entreprises exportatrices que </w:t>
      </w:r>
      <w:r w:rsidR="00D20B7E" w:rsidRPr="00CB3013">
        <w:rPr>
          <w:lang w:val="fr-FR"/>
        </w:rPr>
        <w:t>dans les autres</w:t>
      </w:r>
      <w:r w:rsidR="007668E4" w:rsidRPr="00CB3013">
        <w:rPr>
          <w:lang w:val="fr-FR"/>
        </w:rPr>
        <w:t xml:space="preserve"> mais pratiquement </w:t>
      </w:r>
      <w:r w:rsidR="00D20B7E" w:rsidRPr="00CB3013">
        <w:rPr>
          <w:lang w:val="fr-FR"/>
        </w:rPr>
        <w:t xml:space="preserve">équivalentes </w:t>
      </w:r>
      <w:r w:rsidR="007668E4" w:rsidRPr="00CB3013">
        <w:rPr>
          <w:lang w:val="fr-FR"/>
        </w:rPr>
        <w:t>en termes relatifs.</w:t>
      </w:r>
    </w:p>
    <w:p w:rsidR="007915E7" w:rsidRPr="000B220E" w:rsidRDefault="007B1178" w:rsidP="000B220E">
      <w:pPr>
        <w:pStyle w:val="Caption"/>
        <w:jc w:val="center"/>
        <w:rPr>
          <w:i/>
          <w:sz w:val="22"/>
          <w:szCs w:val="22"/>
          <w:lang w:val="fr-FR"/>
        </w:rPr>
      </w:pPr>
      <w:bookmarkStart w:id="7" w:name="_Ref384904388"/>
      <w:r w:rsidRPr="000B220E">
        <w:rPr>
          <w:i/>
          <w:caps/>
          <w:sz w:val="22"/>
          <w:szCs w:val="22"/>
          <w:lang w:val="fr-FR"/>
        </w:rPr>
        <w:t>t</w:t>
      </w:r>
      <w:r w:rsidR="008A24D2" w:rsidRPr="000B220E">
        <w:rPr>
          <w:i/>
          <w:sz w:val="22"/>
          <w:szCs w:val="22"/>
          <w:lang w:val="fr-FR"/>
        </w:rPr>
        <w:t>ableau</w:t>
      </w:r>
      <w:r w:rsidRPr="000B220E">
        <w:rPr>
          <w:i/>
          <w:sz w:val="22"/>
          <w:szCs w:val="22"/>
          <w:lang w:val="fr-FR"/>
        </w:rPr>
        <w:t> </w:t>
      </w:r>
      <w:r w:rsidR="008A24D2" w:rsidRPr="000B220E">
        <w:rPr>
          <w:i/>
          <w:sz w:val="22"/>
          <w:szCs w:val="22"/>
          <w:lang w:val="fr-FR"/>
        </w:rPr>
        <w:t>E</w:t>
      </w:r>
      <w:r w:rsidR="00EC2D25" w:rsidRPr="000B220E">
        <w:rPr>
          <w:i/>
          <w:sz w:val="22"/>
          <w:szCs w:val="22"/>
          <w:lang w:val="fr-FR"/>
        </w:rPr>
        <w:t>.</w:t>
      </w:r>
      <w:r w:rsidR="006B5AE7" w:rsidRPr="000B220E">
        <w:rPr>
          <w:i/>
          <w:sz w:val="22"/>
          <w:szCs w:val="22"/>
          <w:lang w:val="fr-FR"/>
        </w:rPr>
        <w:fldChar w:fldCharType="begin"/>
      </w:r>
      <w:r w:rsidR="006B5AE7" w:rsidRPr="000B220E">
        <w:rPr>
          <w:i/>
          <w:sz w:val="22"/>
          <w:szCs w:val="22"/>
          <w:lang w:val="fr-FR"/>
        </w:rPr>
        <w:instrText xml:space="preserve"> SEQ Table_E_- \* ARABIC </w:instrText>
      </w:r>
      <w:r w:rsidR="006B5AE7" w:rsidRPr="000B220E">
        <w:rPr>
          <w:i/>
          <w:sz w:val="22"/>
          <w:szCs w:val="22"/>
          <w:lang w:val="fr-FR"/>
        </w:rPr>
        <w:fldChar w:fldCharType="separate"/>
      </w:r>
      <w:r w:rsidR="007A20B3">
        <w:rPr>
          <w:i/>
          <w:noProof/>
          <w:sz w:val="22"/>
          <w:szCs w:val="22"/>
          <w:lang w:val="fr-FR"/>
        </w:rPr>
        <w:t>3</w:t>
      </w:r>
      <w:r w:rsidR="006B5AE7" w:rsidRPr="000B220E">
        <w:rPr>
          <w:i/>
          <w:sz w:val="22"/>
          <w:szCs w:val="22"/>
          <w:lang w:val="fr-FR"/>
        </w:rPr>
        <w:fldChar w:fldCharType="end"/>
      </w:r>
      <w:bookmarkEnd w:id="7"/>
      <w:r w:rsidR="006B5AE7" w:rsidRPr="000B220E">
        <w:rPr>
          <w:i/>
          <w:sz w:val="22"/>
          <w:szCs w:val="22"/>
          <w:lang w:val="fr-FR"/>
        </w:rPr>
        <w:t xml:space="preserve"> </w:t>
      </w:r>
      <w:r w:rsidR="00EC2D25" w:rsidRPr="000B220E">
        <w:rPr>
          <w:i/>
          <w:sz w:val="22"/>
          <w:szCs w:val="22"/>
          <w:lang w:val="fr-FR"/>
        </w:rPr>
        <w:t xml:space="preserve">– </w:t>
      </w:r>
      <w:r w:rsidR="007668E4" w:rsidRPr="000B220E">
        <w:rPr>
          <w:i/>
          <w:color w:val="000000"/>
          <w:sz w:val="22"/>
          <w:szCs w:val="22"/>
          <w:lang w:val="fr-FR"/>
        </w:rPr>
        <w:t>Dépenses d</w:t>
      </w:r>
      <w:r w:rsidR="00EC631A" w:rsidRPr="000B220E">
        <w:rPr>
          <w:i/>
          <w:color w:val="000000"/>
          <w:sz w:val="22"/>
          <w:szCs w:val="22"/>
          <w:lang w:val="fr-FR"/>
        </w:rPr>
        <w:t>’</w:t>
      </w:r>
      <w:r w:rsidR="007668E4" w:rsidRPr="000B220E">
        <w:rPr>
          <w:i/>
          <w:color w:val="000000"/>
          <w:sz w:val="22"/>
          <w:szCs w:val="22"/>
          <w:lang w:val="fr-FR"/>
        </w:rPr>
        <w:t>innovation et propension à exporter</w:t>
      </w:r>
    </w:p>
    <w:p w:rsidR="000B220E" w:rsidRDefault="000B220E" w:rsidP="000B220E">
      <w:pPr>
        <w:jc w:val="center"/>
        <w:rPr>
          <w:lang w:val="fr-FR"/>
        </w:rPr>
      </w:pPr>
      <w:r w:rsidRPr="000B220E">
        <w:rPr>
          <w:noProof/>
          <w:lang w:eastAsia="en-US"/>
        </w:rPr>
        <w:drawing>
          <wp:inline distT="0" distB="0" distL="0" distR="0" wp14:anchorId="15805F8F" wp14:editId="78DEBB0D">
            <wp:extent cx="5940425" cy="350971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013" w:rsidRDefault="007668E4" w:rsidP="000B220E">
      <w:pPr>
        <w:pStyle w:val="Captionnotes"/>
        <w:ind w:left="567"/>
        <w:rPr>
          <w:lang w:val="fr-FR"/>
        </w:rPr>
      </w:pPr>
      <w:r w:rsidRPr="00CB3013">
        <w:rPr>
          <w:lang w:val="fr-FR"/>
        </w:rPr>
        <w:t>Source</w:t>
      </w:r>
      <w:r w:rsidR="00B301D1">
        <w:rPr>
          <w:lang w:val="fr-FR"/>
        </w:rPr>
        <w:t> </w:t>
      </w:r>
      <w:r w:rsidRPr="00CB3013">
        <w:rPr>
          <w:lang w:val="fr-FR"/>
        </w:rPr>
        <w:t>: IBGE/PINTEC 2008 et MDIC/SECEX 2008.</w:t>
      </w:r>
    </w:p>
    <w:p w:rsidR="007915E7" w:rsidRPr="00CB3013" w:rsidRDefault="007668E4" w:rsidP="00E73BE5">
      <w:pPr>
        <w:pStyle w:val="Heading4"/>
        <w:rPr>
          <w:lang w:val="fr-FR" w:eastAsia="en-US"/>
        </w:rPr>
      </w:pPr>
      <w:r w:rsidRPr="00CB3013">
        <w:rPr>
          <w:lang w:val="fr-FR" w:eastAsia="en-US"/>
        </w:rPr>
        <w:t>Analyse à plusieurs variables</w:t>
      </w:r>
    </w:p>
    <w:p w:rsidR="007915E7" w:rsidRPr="00CB3013" w:rsidRDefault="007915E7" w:rsidP="00E73BE5">
      <w:pPr>
        <w:rPr>
          <w:lang w:val="fr-FR" w:eastAsia="en-US"/>
        </w:rPr>
      </w:pPr>
    </w:p>
    <w:p w:rsidR="007915E7" w:rsidRPr="00CB3013" w:rsidRDefault="002D5C11" w:rsidP="00E73BE5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Les résultats de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analyse descriptive qui précède font apparaître une corrélation entre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innovation et les différentes mesures de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activité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exportation.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Toutefois, nous avons observé dans la même analyse que les exportations sont aussi corrélées à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autres caractéristiques telles que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origine des capitaux ou la taille</w:t>
      </w:r>
      <w:r w:rsidR="008A7DE2" w:rsidRPr="00CB3013">
        <w:rPr>
          <w:lang w:val="fr-FR" w:eastAsia="en-US"/>
        </w:rPr>
        <w:t xml:space="preserve"> des entreprises</w:t>
      </w:r>
      <w:r w:rsidRPr="00CB3013">
        <w:rPr>
          <w:lang w:val="fr-FR" w:eastAsia="en-US"/>
        </w:rPr>
        <w:t>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Nous avons également observé que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hétérogénéité du secteur joue un rôle dans ces mesures et doit être examinée de manière plus approfondie.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 xml:space="preserve">Pour remédier à ces problèmes, nous effectuons une </w:t>
      </w:r>
      <w:r w:rsidR="000E4FD7" w:rsidRPr="00CB3013">
        <w:rPr>
          <w:lang w:val="fr-FR" w:eastAsia="en-US"/>
        </w:rPr>
        <w:t>série</w:t>
      </w:r>
      <w:r w:rsidRPr="00CB3013">
        <w:rPr>
          <w:lang w:val="fr-FR" w:eastAsia="en-US"/>
        </w:rPr>
        <w:t xml:space="preserve">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 xml:space="preserve">analyses à plusieurs variables sur le lien entre </w:t>
      </w:r>
      <w:r w:rsidR="00560A57" w:rsidRPr="00CB3013">
        <w:rPr>
          <w:lang w:val="fr-FR" w:eastAsia="en-US"/>
        </w:rPr>
        <w:t xml:space="preserve">variables relatives à </w:t>
      </w:r>
      <w:r w:rsidRPr="00CB3013">
        <w:rPr>
          <w:lang w:val="fr-FR" w:eastAsia="en-US"/>
        </w:rPr>
        <w:t>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appropriation fondée sur la propriété intellectuelle et variables relatives aux exportations.</w:t>
      </w:r>
    </w:p>
    <w:p w:rsidR="00E73BE5" w:rsidRDefault="004441BA" w:rsidP="00E73BE5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Comme dans la partie descriptive, nous analysons les résultats à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 xml:space="preserve">exportation des </w:t>
      </w:r>
      <w:r w:rsidR="000E4FD7" w:rsidRPr="00CB3013">
        <w:rPr>
          <w:lang w:val="fr-FR" w:eastAsia="en-US"/>
        </w:rPr>
        <w:t>entreprises</w:t>
      </w:r>
      <w:r w:rsidRPr="00CB3013">
        <w:rPr>
          <w:lang w:val="fr-FR" w:eastAsia="en-US"/>
        </w:rPr>
        <w:t xml:space="preserve"> brésiliennes au moyen de trois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variables dépendantes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: i)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entreprise exportatrice (oui/non), ii)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valeur des exportations (variable logarithmique) et iii)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part de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entreprise dans les exportations sectorielles (niveau à trois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chiffres de</w:t>
      </w:r>
      <w:r w:rsidR="00CB3013" w:rsidRPr="00CB3013">
        <w:rPr>
          <w:lang w:val="fr-FR" w:eastAsia="en-US"/>
        </w:rPr>
        <w:t xml:space="preserve"> la</w:t>
      </w:r>
      <w:r w:rsidR="00CB3013">
        <w:rPr>
          <w:lang w:val="fr-FR" w:eastAsia="en-US"/>
        </w:rPr>
        <w:t> </w:t>
      </w:r>
      <w:r w:rsidR="00CB3013" w:rsidRPr="00CB3013">
        <w:rPr>
          <w:lang w:val="fr-FR" w:eastAsia="en-US"/>
        </w:rPr>
        <w:t>CIT</w:t>
      </w:r>
      <w:r w:rsidRPr="00CB3013">
        <w:rPr>
          <w:lang w:val="fr-FR" w:eastAsia="en-US"/>
        </w:rPr>
        <w:t>I).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Les principales variables qui nous intéressent sont quatre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variables binaires indiquant si l</w:t>
      </w:r>
      <w:r w:rsidR="00EC631A">
        <w:rPr>
          <w:lang w:val="fr-FR" w:eastAsia="en-US"/>
        </w:rPr>
        <w:t>’</w:t>
      </w:r>
      <w:r w:rsidR="004F5600">
        <w:rPr>
          <w:lang w:val="fr-FR" w:eastAsia="en-US"/>
        </w:rPr>
        <w:t>entreprise a utilisé 1) </w:t>
      </w:r>
      <w:r w:rsidR="00560A57" w:rsidRPr="00CB3013">
        <w:rPr>
          <w:lang w:val="fr-FR" w:eastAsia="en-US"/>
        </w:rPr>
        <w:t>d</w:t>
      </w:r>
      <w:r w:rsidRPr="00CB3013">
        <w:rPr>
          <w:lang w:val="fr-FR" w:eastAsia="en-US"/>
        </w:rPr>
        <w:t>es brevets d</w:t>
      </w:r>
      <w:r w:rsidR="00EC631A">
        <w:rPr>
          <w:lang w:val="fr-FR" w:eastAsia="en-US"/>
        </w:rPr>
        <w:t>’</w:t>
      </w:r>
      <w:r w:rsidR="004F5600">
        <w:rPr>
          <w:lang w:val="fr-FR" w:eastAsia="en-US"/>
        </w:rPr>
        <w:t>invention, 2) </w:t>
      </w:r>
      <w:r w:rsidR="00560A57" w:rsidRPr="00CB3013">
        <w:rPr>
          <w:lang w:val="fr-FR" w:eastAsia="en-US"/>
        </w:rPr>
        <w:t>d</w:t>
      </w:r>
      <w:r w:rsidRPr="00CB3013">
        <w:rPr>
          <w:lang w:val="fr-FR" w:eastAsia="en-US"/>
        </w:rPr>
        <w:t>es modèles d</w:t>
      </w:r>
      <w:r w:rsidR="00EC631A">
        <w:rPr>
          <w:lang w:val="fr-FR" w:eastAsia="en-US"/>
        </w:rPr>
        <w:t>’</w:t>
      </w:r>
      <w:r w:rsidR="004F5600">
        <w:rPr>
          <w:lang w:val="fr-FR" w:eastAsia="en-US"/>
        </w:rPr>
        <w:t>utilité, 3) </w:t>
      </w:r>
      <w:r w:rsidR="00560A57" w:rsidRPr="00CB3013">
        <w:rPr>
          <w:lang w:val="fr-FR" w:eastAsia="en-US"/>
        </w:rPr>
        <w:t>d</w:t>
      </w:r>
      <w:r w:rsidRPr="00CB3013">
        <w:rPr>
          <w:lang w:val="fr-FR" w:eastAsia="en-US"/>
        </w:rPr>
        <w:t>es dessin</w:t>
      </w:r>
      <w:r w:rsidR="004F5600">
        <w:rPr>
          <w:lang w:val="fr-FR" w:eastAsia="en-US"/>
        </w:rPr>
        <w:t>s et modèles industriels et 4) </w:t>
      </w:r>
      <w:r w:rsidR="00560A57" w:rsidRPr="00CB3013">
        <w:rPr>
          <w:lang w:val="fr-FR" w:eastAsia="en-US"/>
        </w:rPr>
        <w:t>d</w:t>
      </w:r>
      <w:r w:rsidRPr="00CB3013">
        <w:rPr>
          <w:lang w:val="fr-FR" w:eastAsia="en-US"/>
        </w:rPr>
        <w:t>es marques pour protéger ses innovations.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Nous utilisons en outre quatre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variables de contrôle pour le secteur (niveau à deux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chiffres de</w:t>
      </w:r>
      <w:r w:rsidR="00CB3013" w:rsidRPr="00CB3013">
        <w:rPr>
          <w:lang w:val="fr-FR" w:eastAsia="en-US"/>
        </w:rPr>
        <w:t xml:space="preserve"> la</w:t>
      </w:r>
      <w:r w:rsidR="00CB3013">
        <w:rPr>
          <w:lang w:val="fr-FR" w:eastAsia="en-US"/>
        </w:rPr>
        <w:t> </w:t>
      </w:r>
      <w:r w:rsidR="00CB3013" w:rsidRPr="00CB3013">
        <w:rPr>
          <w:lang w:val="fr-FR" w:eastAsia="en-US"/>
        </w:rPr>
        <w:t>CIT</w:t>
      </w:r>
      <w:r w:rsidRPr="00CB3013">
        <w:rPr>
          <w:lang w:val="fr-FR" w:eastAsia="en-US"/>
        </w:rPr>
        <w:t xml:space="preserve">I), la provenance du capital, la taille </w:t>
      </w:r>
      <w:r w:rsidR="00560A57" w:rsidRPr="00CB3013">
        <w:rPr>
          <w:lang w:val="fr-FR" w:eastAsia="en-US"/>
        </w:rPr>
        <w:t>de l</w:t>
      </w:r>
      <w:r w:rsidR="00EC631A">
        <w:rPr>
          <w:lang w:val="fr-FR" w:eastAsia="en-US"/>
        </w:rPr>
        <w:t>’</w:t>
      </w:r>
      <w:r w:rsidR="00560A57" w:rsidRPr="00CB3013">
        <w:rPr>
          <w:lang w:val="fr-FR" w:eastAsia="en-US"/>
        </w:rPr>
        <w:t xml:space="preserve">entreprise </w:t>
      </w:r>
      <w:r w:rsidRPr="00CB3013">
        <w:rPr>
          <w:lang w:val="fr-FR" w:eastAsia="en-US"/>
        </w:rPr>
        <w:t xml:space="preserve">et </w:t>
      </w:r>
      <w:r w:rsidR="00560A57" w:rsidRPr="00CB3013">
        <w:rPr>
          <w:lang w:val="fr-FR" w:eastAsia="en-US"/>
        </w:rPr>
        <w:t>s</w:t>
      </w:r>
      <w:r w:rsidRPr="00CB3013">
        <w:rPr>
          <w:lang w:val="fr-FR" w:eastAsia="en-US"/>
        </w:rPr>
        <w:t>es dépenses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innovation.</w:t>
      </w:r>
    </w:p>
    <w:p w:rsidR="00E73BE5" w:rsidRDefault="004441BA" w:rsidP="00E73BE5">
      <w:pPr>
        <w:pStyle w:val="ONUMFS"/>
        <w:numPr>
          <w:ilvl w:val="0"/>
          <w:numId w:val="0"/>
        </w:numPr>
        <w:rPr>
          <w:lang w:val="fr-FR"/>
        </w:rPr>
      </w:pPr>
      <w:r w:rsidRPr="00CB3013">
        <w:rPr>
          <w:lang w:val="fr-FR" w:eastAsia="en-US"/>
        </w:rPr>
        <w:lastRenderedPageBreak/>
        <w:t>Nous recherchons tout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abord si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utilisation de chaque méthode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 xml:space="preserve">appropriation fondée sur la propriété intellectuelle décrite est associée à </w:t>
      </w:r>
      <w:r w:rsidR="00DC4862" w:rsidRPr="00CB3013">
        <w:rPr>
          <w:lang w:val="fr-FR" w:eastAsia="en-US"/>
        </w:rPr>
        <w:t>une</w:t>
      </w:r>
      <w:r w:rsidRPr="00CB3013">
        <w:rPr>
          <w:lang w:val="fr-FR" w:eastAsia="en-US"/>
        </w:rPr>
        <w:t xml:space="preserve"> plus forte propension à exporter.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Nous observons que les quatre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méthodes sont corrélées positivement à la probabilité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être une entreprise exportatrice (</w:t>
      </w:r>
      <w:r w:rsidR="00A20C37">
        <w:rPr>
          <w:lang w:val="fr-FR" w:eastAsia="en-US"/>
        </w:rPr>
        <w:t>colonnes </w:t>
      </w:r>
      <w:r w:rsidRPr="00CB3013">
        <w:rPr>
          <w:lang w:val="fr-FR" w:eastAsia="en-US"/>
        </w:rPr>
        <w:t xml:space="preserve">1 et 2 du </w:t>
      </w:r>
      <w:r w:rsidRPr="00CB3013">
        <w:rPr>
          <w:lang w:val="fr-FR" w:eastAsia="en-US"/>
        </w:rPr>
        <w:fldChar w:fldCharType="begin"/>
      </w:r>
      <w:r w:rsidRPr="00CB3013">
        <w:rPr>
          <w:lang w:val="fr-FR" w:eastAsia="en-US"/>
        </w:rPr>
        <w:instrText xml:space="preserve"> REF _Ref384907602 \h  \* MERGEFORMAT </w:instrText>
      </w:r>
      <w:r w:rsidRPr="00CB3013">
        <w:rPr>
          <w:lang w:val="fr-FR" w:eastAsia="en-US"/>
        </w:rPr>
      </w:r>
      <w:r w:rsidRPr="00CB3013">
        <w:rPr>
          <w:lang w:val="fr-FR" w:eastAsia="en-US"/>
        </w:rPr>
        <w:fldChar w:fldCharType="separate"/>
      </w:r>
      <w:r w:rsidR="007A20B3" w:rsidRPr="007A20B3">
        <w:rPr>
          <w:szCs w:val="22"/>
          <w:lang w:val="fr-FR"/>
        </w:rPr>
        <w:t>tableau E.4</w:t>
      </w:r>
      <w:r w:rsidRPr="00CB3013">
        <w:rPr>
          <w:lang w:val="fr-FR" w:eastAsia="en-US"/>
        </w:rPr>
        <w:fldChar w:fldCharType="end"/>
      </w:r>
      <w:r w:rsidRPr="00CB3013">
        <w:rPr>
          <w:lang w:val="fr-FR" w:eastAsia="en-US"/>
        </w:rPr>
        <w:t>).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Toutefois, dans la plupart des cas, seule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utilisation des brevets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 xml:space="preserve">invention </w:t>
      </w:r>
      <w:r w:rsidR="00560A57" w:rsidRPr="00CB3013">
        <w:rPr>
          <w:lang w:val="fr-FR" w:eastAsia="en-US"/>
        </w:rPr>
        <w:t>est</w:t>
      </w:r>
      <w:r w:rsidRPr="00CB3013">
        <w:rPr>
          <w:lang w:val="fr-FR" w:eastAsia="en-US"/>
        </w:rPr>
        <w:t xml:space="preserve"> statistique</w:t>
      </w:r>
      <w:r w:rsidR="00560A57" w:rsidRPr="00CB3013">
        <w:rPr>
          <w:lang w:val="fr-FR" w:eastAsia="en-US"/>
        </w:rPr>
        <w:t>ment significative</w:t>
      </w:r>
      <w:r w:rsidRPr="00CB3013">
        <w:rPr>
          <w:lang w:val="fr-FR" w:eastAsia="en-US"/>
        </w:rPr>
        <w:t>.</w:t>
      </w:r>
      <w:r w:rsidR="00AC0D1F" w:rsidRPr="00A20C37">
        <w:rPr>
          <w:lang w:val="fr-FR"/>
        </w:rPr>
        <w:t xml:space="preserve">  </w:t>
      </w:r>
      <w:r w:rsidR="00C46BA5" w:rsidRPr="00CB3013">
        <w:rPr>
          <w:lang w:val="fr-FR" w:eastAsia="en-US"/>
        </w:rPr>
        <w:t xml:space="preserve">Selon le </w:t>
      </w:r>
      <w:r w:rsidR="00F54DAB">
        <w:rPr>
          <w:lang w:val="fr-FR" w:eastAsia="en-US"/>
        </w:rPr>
        <w:t>paramètre</w:t>
      </w:r>
      <w:r w:rsidR="00C46BA5" w:rsidRPr="00CB3013">
        <w:rPr>
          <w:lang w:val="fr-FR" w:eastAsia="en-US"/>
        </w:rPr>
        <w:t>, la probabilité d</w:t>
      </w:r>
      <w:r w:rsidR="00EC631A">
        <w:rPr>
          <w:lang w:val="fr-FR" w:eastAsia="en-US"/>
        </w:rPr>
        <w:t>’</w:t>
      </w:r>
      <w:r w:rsidR="00C46BA5" w:rsidRPr="00CB3013">
        <w:rPr>
          <w:lang w:val="fr-FR" w:eastAsia="en-US"/>
        </w:rPr>
        <w:t>exporter est supérieure d</w:t>
      </w:r>
      <w:r w:rsidR="00EC631A">
        <w:rPr>
          <w:lang w:val="fr-FR" w:eastAsia="en-US"/>
        </w:rPr>
        <w:t>’</w:t>
      </w:r>
      <w:r w:rsidR="00C46BA5" w:rsidRPr="00CB3013">
        <w:rPr>
          <w:lang w:val="fr-FR" w:eastAsia="en-US"/>
        </w:rPr>
        <w:t>environ 9% parmi les entreprises qui utilisent les brevets d</w:t>
      </w:r>
      <w:r w:rsidR="00EC631A">
        <w:rPr>
          <w:lang w:val="fr-FR" w:eastAsia="en-US"/>
        </w:rPr>
        <w:t>’</w:t>
      </w:r>
      <w:r w:rsidR="00C46BA5" w:rsidRPr="00CB3013">
        <w:rPr>
          <w:lang w:val="fr-FR" w:eastAsia="en-US"/>
        </w:rPr>
        <w:t>invention.</w:t>
      </w:r>
    </w:p>
    <w:p w:rsidR="00E73BE5" w:rsidRDefault="00C46BA5" w:rsidP="00E73BE5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On obtient des résultats très similaires en utilisant le montant des ventes à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exportation comme variable dépendante (</w:t>
      </w:r>
      <w:r w:rsidR="00A20C37">
        <w:rPr>
          <w:lang w:val="fr-FR" w:eastAsia="en-US"/>
        </w:rPr>
        <w:t>colonnes </w:t>
      </w:r>
      <w:r w:rsidRPr="00CB3013">
        <w:rPr>
          <w:lang w:val="fr-FR" w:eastAsia="en-US"/>
        </w:rPr>
        <w:t xml:space="preserve">3 et 4 du </w:t>
      </w:r>
      <w:r w:rsidRPr="00CB3013">
        <w:rPr>
          <w:lang w:val="fr-FR" w:eastAsia="en-US"/>
        </w:rPr>
        <w:fldChar w:fldCharType="begin"/>
      </w:r>
      <w:r w:rsidRPr="00CB3013">
        <w:rPr>
          <w:lang w:val="fr-FR" w:eastAsia="en-US"/>
        </w:rPr>
        <w:instrText xml:space="preserve"> REF _Ref384907602 \h  \* MERGEFORMAT </w:instrText>
      </w:r>
      <w:r w:rsidRPr="00CB3013">
        <w:rPr>
          <w:lang w:val="fr-FR" w:eastAsia="en-US"/>
        </w:rPr>
      </w:r>
      <w:r w:rsidRPr="00CB3013">
        <w:rPr>
          <w:lang w:val="fr-FR" w:eastAsia="en-US"/>
        </w:rPr>
        <w:fldChar w:fldCharType="separate"/>
      </w:r>
      <w:r w:rsidR="007A20B3" w:rsidRPr="007A20B3">
        <w:rPr>
          <w:szCs w:val="22"/>
          <w:lang w:val="fr-FR"/>
        </w:rPr>
        <w:t>tableau E.4</w:t>
      </w:r>
      <w:r w:rsidRPr="00CB3013">
        <w:rPr>
          <w:lang w:val="fr-FR" w:eastAsia="en-US"/>
        </w:rPr>
        <w:fldChar w:fldCharType="end"/>
      </w:r>
      <w:r w:rsidRPr="00CB3013">
        <w:rPr>
          <w:lang w:val="fr-FR" w:eastAsia="en-US"/>
        </w:rPr>
        <w:t>).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Là encore, les quatre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méthodes ont virtuellement un impact positif sur les exportations, mais seuls les brevets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invention sont statistiquement signifi</w:t>
      </w:r>
      <w:r w:rsidR="005075DA" w:rsidRPr="00CB3013">
        <w:rPr>
          <w:lang w:val="fr-FR" w:eastAsia="en-US"/>
        </w:rPr>
        <w:t>c</w:t>
      </w:r>
      <w:r w:rsidRPr="00CB3013">
        <w:rPr>
          <w:lang w:val="fr-FR" w:eastAsia="en-US"/>
        </w:rPr>
        <w:t>at</w:t>
      </w:r>
      <w:r w:rsidR="005075DA" w:rsidRPr="00CB3013">
        <w:rPr>
          <w:lang w:val="fr-FR" w:eastAsia="en-US"/>
        </w:rPr>
        <w:t>if</w:t>
      </w:r>
      <w:r w:rsidRPr="00CB3013">
        <w:rPr>
          <w:lang w:val="fr-FR" w:eastAsia="en-US"/>
        </w:rPr>
        <w:t>s.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 xml:space="preserve">En outre, la </w:t>
      </w:r>
      <w:r w:rsidR="005075DA" w:rsidRPr="00CB3013">
        <w:rPr>
          <w:lang w:val="fr-FR" w:eastAsia="en-US"/>
        </w:rPr>
        <w:t>valeur</w:t>
      </w:r>
      <w:r w:rsidRPr="00CB3013">
        <w:rPr>
          <w:lang w:val="fr-FR" w:eastAsia="en-US"/>
        </w:rPr>
        <w:t xml:space="preserve"> économique du coefficient estimatif est importante.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Toutes choses égales par ailleurs, les entreprises qui utilisent les brevets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invention exportent plus de trois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fois plus que celles qui ne le font pas.</w:t>
      </w:r>
      <w:r w:rsidR="00AC0D1F" w:rsidRPr="00A20C37">
        <w:rPr>
          <w:lang w:val="fr-FR"/>
        </w:rPr>
        <w:t xml:space="preserve">  </w:t>
      </w:r>
      <w:r w:rsidRPr="00CB3013">
        <w:rPr>
          <w:lang w:val="fr-FR" w:eastAsia="en-US"/>
        </w:rPr>
        <w:t>Les résultats changent légèrement si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on utilise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analyse dynamique avec les effets fixes au niveau de l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entreprise.</w:t>
      </w:r>
      <w:r w:rsidR="00AC0D1F" w:rsidRPr="00A20C37">
        <w:rPr>
          <w:lang w:val="fr-FR"/>
        </w:rPr>
        <w:t xml:space="preserve">  </w:t>
      </w:r>
      <w:r w:rsidR="00B60355" w:rsidRPr="00CB3013">
        <w:rPr>
          <w:lang w:val="fr-FR" w:eastAsia="en-US"/>
        </w:rPr>
        <w:t>Même si cela n</w:t>
      </w:r>
      <w:r w:rsidR="00EC631A">
        <w:rPr>
          <w:lang w:val="fr-FR" w:eastAsia="en-US"/>
        </w:rPr>
        <w:t>’</w:t>
      </w:r>
      <w:r w:rsidR="00B60355" w:rsidRPr="00CB3013">
        <w:rPr>
          <w:lang w:val="fr-FR" w:eastAsia="en-US"/>
        </w:rPr>
        <w:t>est statistiquement significatif qu</w:t>
      </w:r>
      <w:r w:rsidR="00EC631A">
        <w:rPr>
          <w:lang w:val="fr-FR" w:eastAsia="en-US"/>
        </w:rPr>
        <w:t>’</w:t>
      </w:r>
      <w:r w:rsidR="00852126">
        <w:rPr>
          <w:lang w:val="fr-FR" w:eastAsia="en-US"/>
        </w:rPr>
        <w:t>à</w:t>
      </w:r>
      <w:r w:rsidR="00B60355" w:rsidRPr="00CB3013">
        <w:rPr>
          <w:lang w:val="fr-FR" w:eastAsia="en-US"/>
        </w:rPr>
        <w:t xml:space="preserve"> 10%, nous observons que les entreprises qui n</w:t>
      </w:r>
      <w:r w:rsidR="00EC631A">
        <w:rPr>
          <w:lang w:val="fr-FR" w:eastAsia="en-US"/>
        </w:rPr>
        <w:t>’</w:t>
      </w:r>
      <w:r w:rsidR="00852126">
        <w:rPr>
          <w:lang w:val="fr-FR" w:eastAsia="en-US"/>
        </w:rPr>
        <w:t>utilisaient pas</w:t>
      </w:r>
      <w:r w:rsidR="00B60355" w:rsidRPr="00CB3013">
        <w:rPr>
          <w:lang w:val="fr-FR" w:eastAsia="en-US"/>
        </w:rPr>
        <w:t xml:space="preserve"> de brevets au cours de la première période augment</w:t>
      </w:r>
      <w:r w:rsidR="00852126">
        <w:rPr>
          <w:lang w:val="fr-FR" w:eastAsia="en-US"/>
        </w:rPr>
        <w:t>ent</w:t>
      </w:r>
      <w:r w:rsidR="00B60355" w:rsidRPr="00CB3013">
        <w:rPr>
          <w:lang w:val="fr-FR" w:eastAsia="en-US"/>
        </w:rPr>
        <w:t xml:space="preserve"> leurs exportations de 70% en moyenne </w:t>
      </w:r>
      <w:r w:rsidR="00852126">
        <w:rPr>
          <w:lang w:val="fr-FR" w:eastAsia="en-US"/>
        </w:rPr>
        <w:t xml:space="preserve">si </w:t>
      </w:r>
      <w:r w:rsidR="00B60355" w:rsidRPr="00CB3013">
        <w:rPr>
          <w:lang w:val="fr-FR" w:eastAsia="en-US"/>
        </w:rPr>
        <w:t xml:space="preserve">elles </w:t>
      </w:r>
      <w:r w:rsidR="00852126">
        <w:rPr>
          <w:lang w:val="fr-FR" w:eastAsia="en-US"/>
        </w:rPr>
        <w:t>commencent</w:t>
      </w:r>
      <w:r w:rsidR="00B60355" w:rsidRPr="00CB3013">
        <w:rPr>
          <w:lang w:val="fr-FR" w:eastAsia="en-US"/>
        </w:rPr>
        <w:t xml:space="preserve"> à les utilis</w:t>
      </w:r>
      <w:r w:rsidR="005075DA" w:rsidRPr="00CB3013">
        <w:rPr>
          <w:lang w:val="fr-FR" w:eastAsia="en-US"/>
        </w:rPr>
        <w:t>er</w:t>
      </w:r>
      <w:r w:rsidR="00B60355" w:rsidRPr="00CB3013">
        <w:rPr>
          <w:lang w:val="fr-FR" w:eastAsia="en-US"/>
        </w:rPr>
        <w:t xml:space="preserve"> au cours de la deuxième période (colonnes 5 et 6 du </w:t>
      </w:r>
      <w:r w:rsidR="00B60355" w:rsidRPr="00CB3013">
        <w:rPr>
          <w:lang w:val="fr-FR" w:eastAsia="en-US"/>
        </w:rPr>
        <w:fldChar w:fldCharType="begin"/>
      </w:r>
      <w:r w:rsidR="00B60355" w:rsidRPr="00CB3013">
        <w:rPr>
          <w:lang w:val="fr-FR" w:eastAsia="en-US"/>
        </w:rPr>
        <w:instrText xml:space="preserve"> REF _Ref384907602 \h  \* MERGEFORMAT </w:instrText>
      </w:r>
      <w:r w:rsidR="00B60355" w:rsidRPr="00CB3013">
        <w:rPr>
          <w:lang w:val="fr-FR" w:eastAsia="en-US"/>
        </w:rPr>
      </w:r>
      <w:r w:rsidR="00B60355" w:rsidRPr="00CB3013">
        <w:rPr>
          <w:lang w:val="fr-FR" w:eastAsia="en-US"/>
        </w:rPr>
        <w:fldChar w:fldCharType="separate"/>
      </w:r>
      <w:r w:rsidR="007A20B3" w:rsidRPr="007A20B3">
        <w:rPr>
          <w:szCs w:val="22"/>
          <w:lang w:val="fr-FR"/>
        </w:rPr>
        <w:t>tableau E.4</w:t>
      </w:r>
      <w:r w:rsidR="00B60355" w:rsidRPr="00CB3013">
        <w:rPr>
          <w:lang w:val="fr-FR" w:eastAsia="en-US"/>
        </w:rPr>
        <w:fldChar w:fldCharType="end"/>
      </w:r>
      <w:r w:rsidR="00B60355" w:rsidRPr="00CB3013">
        <w:rPr>
          <w:lang w:val="fr-FR" w:eastAsia="en-US"/>
        </w:rPr>
        <w:t>).</w:t>
      </w:r>
      <w:r w:rsidR="00AC0D1F" w:rsidRPr="00A20C37">
        <w:rPr>
          <w:lang w:val="fr-FR"/>
        </w:rPr>
        <w:t xml:space="preserve">  </w:t>
      </w:r>
      <w:r w:rsidR="00B60355" w:rsidRPr="00CB3013">
        <w:rPr>
          <w:lang w:val="fr-FR" w:eastAsia="en-US"/>
        </w:rPr>
        <w:t>Dans le cas des modèles d</w:t>
      </w:r>
      <w:r w:rsidR="00EC631A">
        <w:rPr>
          <w:lang w:val="fr-FR" w:eastAsia="en-US"/>
        </w:rPr>
        <w:t>’</w:t>
      </w:r>
      <w:r w:rsidR="00B60355" w:rsidRPr="00CB3013">
        <w:rPr>
          <w:lang w:val="fr-FR" w:eastAsia="en-US"/>
        </w:rPr>
        <w:t xml:space="preserve">utilité, cette augmentation est supérieure à 50%, </w:t>
      </w:r>
      <w:r w:rsidR="00852126">
        <w:rPr>
          <w:lang w:val="fr-FR" w:eastAsia="en-US"/>
        </w:rPr>
        <w:t>mais elle n</w:t>
      </w:r>
      <w:r w:rsidR="00EC631A">
        <w:rPr>
          <w:lang w:val="fr-FR" w:eastAsia="en-US"/>
        </w:rPr>
        <w:t>’</w:t>
      </w:r>
      <w:r w:rsidR="00852126">
        <w:rPr>
          <w:lang w:val="fr-FR" w:eastAsia="en-US"/>
        </w:rPr>
        <w:t>est</w:t>
      </w:r>
      <w:r w:rsidR="00B60355" w:rsidRPr="00CB3013">
        <w:rPr>
          <w:lang w:val="fr-FR" w:eastAsia="en-US"/>
        </w:rPr>
        <w:t xml:space="preserve"> guère significative statistiquement.</w:t>
      </w:r>
      <w:r w:rsidR="00AC0D1F" w:rsidRPr="00A20C37">
        <w:rPr>
          <w:lang w:val="fr-FR"/>
        </w:rPr>
        <w:t xml:space="preserve">  </w:t>
      </w:r>
      <w:r w:rsidR="00B60355" w:rsidRPr="00CB3013">
        <w:rPr>
          <w:lang w:val="fr-FR" w:eastAsia="en-US"/>
        </w:rPr>
        <w:t>Curieusement, les marques ont l</w:t>
      </w:r>
      <w:r w:rsidR="00EC631A">
        <w:rPr>
          <w:lang w:val="fr-FR" w:eastAsia="en-US"/>
        </w:rPr>
        <w:t>’</w:t>
      </w:r>
      <w:r w:rsidR="00B60355" w:rsidRPr="00CB3013">
        <w:rPr>
          <w:lang w:val="fr-FR" w:eastAsia="en-US"/>
        </w:rPr>
        <w:t xml:space="preserve">effet statistique le plus </w:t>
      </w:r>
      <w:r w:rsidR="007F3FEC" w:rsidRPr="00CB3013">
        <w:rPr>
          <w:lang w:val="fr-FR" w:eastAsia="en-US"/>
        </w:rPr>
        <w:t>prononcé</w:t>
      </w:r>
      <w:r w:rsidR="00B60355" w:rsidRPr="00CB3013">
        <w:rPr>
          <w:lang w:val="fr-FR" w:eastAsia="en-US"/>
        </w:rPr>
        <w:t>, mais il est négatif.</w:t>
      </w:r>
      <w:r w:rsidR="00AC0D1F" w:rsidRPr="00A20C37">
        <w:rPr>
          <w:lang w:val="fr-FR"/>
        </w:rPr>
        <w:t xml:space="preserve">  </w:t>
      </w:r>
      <w:r w:rsidR="008E0E4D" w:rsidRPr="00CB3013">
        <w:rPr>
          <w:lang w:val="fr-FR" w:eastAsia="en-US"/>
        </w:rPr>
        <w:t>Les entreprises qui n</w:t>
      </w:r>
      <w:r w:rsidR="00EC631A">
        <w:rPr>
          <w:lang w:val="fr-FR" w:eastAsia="en-US"/>
        </w:rPr>
        <w:t>’</w:t>
      </w:r>
      <w:r w:rsidR="008E0E4D" w:rsidRPr="00CB3013">
        <w:rPr>
          <w:lang w:val="fr-FR" w:eastAsia="en-US"/>
        </w:rPr>
        <w:t>ut</w:t>
      </w:r>
      <w:r w:rsidR="00852126">
        <w:rPr>
          <w:lang w:val="fr-FR" w:eastAsia="en-US"/>
        </w:rPr>
        <w:t>ilisaient</w:t>
      </w:r>
      <w:r w:rsidR="008E0E4D" w:rsidRPr="00CB3013">
        <w:rPr>
          <w:lang w:val="fr-FR" w:eastAsia="en-US"/>
        </w:rPr>
        <w:t xml:space="preserve"> </w:t>
      </w:r>
      <w:r w:rsidR="004F5600">
        <w:rPr>
          <w:lang w:val="fr-FR" w:eastAsia="en-US"/>
        </w:rPr>
        <w:t>pas d</w:t>
      </w:r>
      <w:r w:rsidR="008E0E4D" w:rsidRPr="00CB3013">
        <w:rPr>
          <w:lang w:val="fr-FR" w:eastAsia="en-US"/>
        </w:rPr>
        <w:t xml:space="preserve">e marques au cours de la première période </w:t>
      </w:r>
      <w:r w:rsidR="00852126">
        <w:rPr>
          <w:lang w:val="fr-FR" w:eastAsia="en-US"/>
        </w:rPr>
        <w:t>exporteront</w:t>
      </w:r>
      <w:r w:rsidR="008E0E4D" w:rsidRPr="00CB3013">
        <w:rPr>
          <w:lang w:val="fr-FR" w:eastAsia="en-US"/>
        </w:rPr>
        <w:t xml:space="preserve"> en moyenne 40% de moins lorsqu</w:t>
      </w:r>
      <w:r w:rsidR="00EC631A">
        <w:rPr>
          <w:lang w:val="fr-FR" w:eastAsia="en-US"/>
        </w:rPr>
        <w:t>’</w:t>
      </w:r>
      <w:r w:rsidR="008E0E4D" w:rsidRPr="00CB3013">
        <w:rPr>
          <w:lang w:val="fr-FR" w:eastAsia="en-US"/>
        </w:rPr>
        <w:t xml:space="preserve">elles </w:t>
      </w:r>
      <w:r w:rsidR="00852126">
        <w:rPr>
          <w:lang w:val="fr-FR" w:eastAsia="en-US"/>
        </w:rPr>
        <w:t>commenceront</w:t>
      </w:r>
      <w:r w:rsidR="008E0E4D" w:rsidRPr="00CB3013">
        <w:rPr>
          <w:lang w:val="fr-FR" w:eastAsia="en-US"/>
        </w:rPr>
        <w:t xml:space="preserve"> à les utiliser.</w:t>
      </w:r>
    </w:p>
    <w:p w:rsidR="007915E7" w:rsidRDefault="008E0E4D" w:rsidP="00E73BE5">
      <w:pPr>
        <w:pStyle w:val="ONUMFS"/>
        <w:numPr>
          <w:ilvl w:val="0"/>
          <w:numId w:val="0"/>
        </w:numPr>
        <w:rPr>
          <w:lang w:val="fr-FR" w:eastAsia="en-US"/>
        </w:rPr>
      </w:pPr>
      <w:r w:rsidRPr="00CB3013">
        <w:rPr>
          <w:lang w:val="fr-FR" w:eastAsia="en-US"/>
        </w:rPr>
        <w:t>Passons maintenant au troisième indicateur des activités d</w:t>
      </w:r>
      <w:r w:rsidR="00EC631A">
        <w:rPr>
          <w:lang w:val="fr-FR" w:eastAsia="en-US"/>
        </w:rPr>
        <w:t>’</w:t>
      </w:r>
      <w:r w:rsidRPr="00CB3013">
        <w:rPr>
          <w:lang w:val="fr-FR" w:eastAsia="en-US"/>
        </w:rPr>
        <w:t>exportation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 xml:space="preserve">: la part dans les exportations </w:t>
      </w:r>
      <w:r w:rsidR="0075713A">
        <w:rPr>
          <w:lang w:val="fr-FR" w:eastAsia="en-US"/>
        </w:rPr>
        <w:t>du secteur</w:t>
      </w:r>
      <w:r w:rsidRPr="00CB3013">
        <w:rPr>
          <w:lang w:val="fr-FR" w:eastAsia="en-US"/>
        </w:rPr>
        <w:t xml:space="preserve"> au niveau à trois</w:t>
      </w:r>
      <w:r w:rsidR="00B301D1">
        <w:rPr>
          <w:lang w:val="fr-FR" w:eastAsia="en-US"/>
        </w:rPr>
        <w:t> </w:t>
      </w:r>
      <w:r w:rsidRPr="00CB3013">
        <w:rPr>
          <w:lang w:val="fr-FR" w:eastAsia="en-US"/>
        </w:rPr>
        <w:t>chiffres de</w:t>
      </w:r>
      <w:r w:rsidR="00CB3013" w:rsidRPr="00CB3013">
        <w:rPr>
          <w:lang w:val="fr-FR" w:eastAsia="en-US"/>
        </w:rPr>
        <w:t xml:space="preserve"> la</w:t>
      </w:r>
      <w:r w:rsidR="00CB3013">
        <w:rPr>
          <w:lang w:val="fr-FR" w:eastAsia="en-US"/>
        </w:rPr>
        <w:t> </w:t>
      </w:r>
      <w:r w:rsidR="00CB3013" w:rsidRPr="00CB3013">
        <w:rPr>
          <w:lang w:val="fr-FR" w:eastAsia="en-US"/>
        </w:rPr>
        <w:t>CIT</w:t>
      </w:r>
      <w:r w:rsidRPr="00CB3013">
        <w:rPr>
          <w:lang w:val="fr-FR" w:eastAsia="en-US"/>
        </w:rPr>
        <w:t>I.</w:t>
      </w:r>
      <w:r w:rsidR="00AC0D1F" w:rsidRPr="00A20C37">
        <w:rPr>
          <w:lang w:val="fr-FR"/>
        </w:rPr>
        <w:t xml:space="preserve">  </w:t>
      </w:r>
      <w:r w:rsidR="00740AD7" w:rsidRPr="00CB3013">
        <w:rPr>
          <w:lang w:val="fr-FR" w:eastAsia="en-US"/>
        </w:rPr>
        <w:t xml:space="preserve">Ces estimations sont </w:t>
      </w:r>
      <w:r w:rsidR="0075713A">
        <w:rPr>
          <w:lang w:val="fr-FR" w:eastAsia="en-US"/>
        </w:rPr>
        <w:t xml:space="preserve">relativement </w:t>
      </w:r>
      <w:r w:rsidR="00740AD7" w:rsidRPr="00CB3013">
        <w:rPr>
          <w:lang w:val="fr-FR" w:eastAsia="en-US"/>
        </w:rPr>
        <w:t xml:space="preserve">semblables à celles </w:t>
      </w:r>
      <w:r w:rsidR="0075713A">
        <w:rPr>
          <w:lang w:val="fr-FR" w:eastAsia="en-US"/>
        </w:rPr>
        <w:t xml:space="preserve">qui portent sur le </w:t>
      </w:r>
      <w:r w:rsidR="00740AD7" w:rsidRPr="00CB3013">
        <w:rPr>
          <w:lang w:val="fr-FR" w:eastAsia="en-US"/>
        </w:rPr>
        <w:t>montant des ventes à l</w:t>
      </w:r>
      <w:r w:rsidR="00EC631A">
        <w:rPr>
          <w:lang w:val="fr-FR" w:eastAsia="en-US"/>
        </w:rPr>
        <w:t>’</w:t>
      </w:r>
      <w:r w:rsidR="00740AD7" w:rsidRPr="00CB3013">
        <w:rPr>
          <w:lang w:val="fr-FR" w:eastAsia="en-US"/>
        </w:rPr>
        <w:t>exportation en ce qui concerne l</w:t>
      </w:r>
      <w:r w:rsidR="00EC631A">
        <w:rPr>
          <w:lang w:val="fr-FR" w:eastAsia="en-US"/>
        </w:rPr>
        <w:t>’</w:t>
      </w:r>
      <w:r w:rsidR="00740AD7" w:rsidRPr="00CB3013">
        <w:rPr>
          <w:lang w:val="fr-FR" w:eastAsia="en-US"/>
        </w:rPr>
        <w:t>utilisation des brevets.</w:t>
      </w:r>
      <w:r w:rsidR="00AC0D1F" w:rsidRPr="00A20C37">
        <w:rPr>
          <w:lang w:val="fr-FR"/>
        </w:rPr>
        <w:t xml:space="preserve">  </w:t>
      </w:r>
      <w:r w:rsidR="007C108B" w:rsidRPr="00CB3013">
        <w:rPr>
          <w:lang w:val="fr-FR" w:eastAsia="en-US"/>
        </w:rPr>
        <w:t>L</w:t>
      </w:r>
      <w:r w:rsidR="007F3FEC" w:rsidRPr="00CB3013">
        <w:rPr>
          <w:lang w:val="fr-FR" w:eastAsia="en-US"/>
        </w:rPr>
        <w:t>a part d</w:t>
      </w:r>
      <w:r w:rsidR="007C108B" w:rsidRPr="00CB3013">
        <w:rPr>
          <w:lang w:val="fr-FR" w:eastAsia="en-US"/>
        </w:rPr>
        <w:t xml:space="preserve">es entreprises qui ont utilisé des brevets </w:t>
      </w:r>
      <w:r w:rsidR="007F3FEC" w:rsidRPr="00CB3013">
        <w:rPr>
          <w:lang w:val="fr-FR" w:eastAsia="en-US"/>
        </w:rPr>
        <w:t xml:space="preserve">dans les exportations </w:t>
      </w:r>
      <w:r w:rsidR="0075713A">
        <w:rPr>
          <w:lang w:val="fr-FR" w:eastAsia="en-US"/>
        </w:rPr>
        <w:t xml:space="preserve">totales </w:t>
      </w:r>
      <w:r w:rsidR="007F3FEC" w:rsidRPr="00CB3013">
        <w:rPr>
          <w:lang w:val="fr-FR" w:eastAsia="en-US"/>
        </w:rPr>
        <w:t xml:space="preserve">du secteur est en moyenne supérieure de </w:t>
      </w:r>
      <w:r w:rsidR="007C108B" w:rsidRPr="00CB3013">
        <w:rPr>
          <w:lang w:val="fr-FR" w:eastAsia="en-US"/>
        </w:rPr>
        <w:t xml:space="preserve">6% </w:t>
      </w:r>
      <w:r w:rsidR="007F3FEC" w:rsidRPr="00CB3013">
        <w:rPr>
          <w:lang w:val="fr-FR" w:eastAsia="en-US"/>
        </w:rPr>
        <w:t>à celles des autres entreprises</w:t>
      </w:r>
      <w:r w:rsidR="007C108B" w:rsidRPr="00CB3013">
        <w:rPr>
          <w:lang w:val="fr-FR" w:eastAsia="en-US"/>
        </w:rPr>
        <w:t xml:space="preserve"> (</w:t>
      </w:r>
      <w:r w:rsidR="00A20C37">
        <w:rPr>
          <w:lang w:val="fr-FR" w:eastAsia="en-US"/>
        </w:rPr>
        <w:t>colonnes </w:t>
      </w:r>
      <w:r w:rsidR="007C108B" w:rsidRPr="00CB3013">
        <w:rPr>
          <w:lang w:val="fr-FR" w:eastAsia="en-US"/>
        </w:rPr>
        <w:t xml:space="preserve">7 et 8 du </w:t>
      </w:r>
      <w:r w:rsidR="007C108B" w:rsidRPr="00CB3013">
        <w:rPr>
          <w:lang w:val="fr-FR" w:eastAsia="en-US"/>
        </w:rPr>
        <w:fldChar w:fldCharType="begin"/>
      </w:r>
      <w:r w:rsidR="007C108B" w:rsidRPr="00CB3013">
        <w:rPr>
          <w:lang w:val="fr-FR" w:eastAsia="en-US"/>
        </w:rPr>
        <w:instrText xml:space="preserve"> REF _Ref384907602 \h  \* MERGEFORMAT </w:instrText>
      </w:r>
      <w:r w:rsidR="007C108B" w:rsidRPr="00CB3013">
        <w:rPr>
          <w:lang w:val="fr-FR" w:eastAsia="en-US"/>
        </w:rPr>
      </w:r>
      <w:r w:rsidR="007C108B" w:rsidRPr="00CB3013">
        <w:rPr>
          <w:lang w:val="fr-FR" w:eastAsia="en-US"/>
        </w:rPr>
        <w:fldChar w:fldCharType="separate"/>
      </w:r>
      <w:r w:rsidR="007A20B3" w:rsidRPr="007A20B3">
        <w:rPr>
          <w:szCs w:val="22"/>
          <w:lang w:val="fr-FR"/>
        </w:rPr>
        <w:t>tableau E.4</w:t>
      </w:r>
      <w:r w:rsidR="007C108B" w:rsidRPr="00CB3013">
        <w:rPr>
          <w:lang w:val="fr-FR" w:eastAsia="en-US"/>
        </w:rPr>
        <w:fldChar w:fldCharType="end"/>
      </w:r>
      <w:r w:rsidR="007C108B" w:rsidRPr="00CB3013">
        <w:rPr>
          <w:lang w:val="fr-FR" w:eastAsia="en-US"/>
        </w:rPr>
        <w:t>).</w:t>
      </w:r>
      <w:r w:rsidR="00AC0D1F" w:rsidRPr="00A20C37">
        <w:rPr>
          <w:lang w:val="fr-FR"/>
        </w:rPr>
        <w:t xml:space="preserve">  </w:t>
      </w:r>
      <w:r w:rsidR="00A2333E" w:rsidRPr="00CB3013">
        <w:rPr>
          <w:lang w:val="fr-FR" w:eastAsia="en-US"/>
        </w:rPr>
        <w:t>Les autres méthodes d</w:t>
      </w:r>
      <w:r w:rsidR="00EC631A">
        <w:rPr>
          <w:lang w:val="fr-FR" w:eastAsia="en-US"/>
        </w:rPr>
        <w:t>’</w:t>
      </w:r>
      <w:r w:rsidR="00A2333E" w:rsidRPr="00CB3013">
        <w:rPr>
          <w:lang w:val="fr-FR" w:eastAsia="en-US"/>
        </w:rPr>
        <w:t xml:space="preserve">appropriation fondées sur la propriété intellectuelle sont </w:t>
      </w:r>
      <w:r w:rsidR="007F3FEC" w:rsidRPr="00CB3013">
        <w:rPr>
          <w:lang w:val="fr-FR" w:eastAsia="en-US"/>
        </w:rPr>
        <w:t>presque</w:t>
      </w:r>
      <w:r w:rsidR="00A2333E" w:rsidRPr="00CB3013">
        <w:rPr>
          <w:lang w:val="fr-FR" w:eastAsia="en-US"/>
        </w:rPr>
        <w:t xml:space="preserve"> toujours statistiquement non significatives.</w:t>
      </w:r>
      <w:r w:rsidR="00AC0D1F" w:rsidRPr="00A20C37">
        <w:rPr>
          <w:lang w:val="fr-FR"/>
        </w:rPr>
        <w:t xml:space="preserve">  </w:t>
      </w:r>
      <w:r w:rsidR="0028499E" w:rsidRPr="00CB3013">
        <w:rPr>
          <w:lang w:val="fr-FR" w:eastAsia="en-US"/>
        </w:rPr>
        <w:t>Les résultats de l</w:t>
      </w:r>
      <w:r w:rsidR="00EC631A">
        <w:rPr>
          <w:lang w:val="fr-FR" w:eastAsia="en-US"/>
        </w:rPr>
        <w:t>’</w:t>
      </w:r>
      <w:r w:rsidR="0028499E" w:rsidRPr="00CB3013">
        <w:rPr>
          <w:lang w:val="fr-FR" w:eastAsia="en-US"/>
        </w:rPr>
        <w:t xml:space="preserve">analyse dynamique </w:t>
      </w:r>
      <w:r w:rsidR="00F7605E" w:rsidRPr="00CB3013">
        <w:rPr>
          <w:lang w:val="fr-FR" w:eastAsia="en-US"/>
        </w:rPr>
        <w:t>tenant compte</w:t>
      </w:r>
      <w:r w:rsidR="0028499E" w:rsidRPr="00CB3013">
        <w:rPr>
          <w:lang w:val="fr-FR" w:eastAsia="en-US"/>
        </w:rPr>
        <w:t xml:space="preserve"> des effets fixes au niveau de l</w:t>
      </w:r>
      <w:r w:rsidR="00EC631A">
        <w:rPr>
          <w:lang w:val="fr-FR" w:eastAsia="en-US"/>
        </w:rPr>
        <w:t>’</w:t>
      </w:r>
      <w:r w:rsidR="0028499E" w:rsidRPr="00CB3013">
        <w:rPr>
          <w:lang w:val="fr-FR" w:eastAsia="en-US"/>
        </w:rPr>
        <w:t>entreprise sont aussi globalement semblables à ceux qui concernent le montant des ventes à l</w:t>
      </w:r>
      <w:r w:rsidR="00EC631A">
        <w:rPr>
          <w:lang w:val="fr-FR" w:eastAsia="en-US"/>
        </w:rPr>
        <w:t>’</w:t>
      </w:r>
      <w:r w:rsidR="0028499E" w:rsidRPr="00CB3013">
        <w:rPr>
          <w:lang w:val="fr-FR" w:eastAsia="en-US"/>
        </w:rPr>
        <w:t>exportation (</w:t>
      </w:r>
      <w:r w:rsidR="00A20C37">
        <w:rPr>
          <w:lang w:val="fr-FR" w:eastAsia="en-US"/>
        </w:rPr>
        <w:t>colonnes </w:t>
      </w:r>
      <w:r w:rsidR="0028499E" w:rsidRPr="00CB3013">
        <w:rPr>
          <w:lang w:val="fr-FR" w:eastAsia="en-US"/>
        </w:rPr>
        <w:t xml:space="preserve">7 et 8 du </w:t>
      </w:r>
      <w:r w:rsidR="0028499E" w:rsidRPr="00CB3013">
        <w:rPr>
          <w:lang w:val="fr-FR" w:eastAsia="en-US"/>
        </w:rPr>
        <w:fldChar w:fldCharType="begin"/>
      </w:r>
      <w:r w:rsidR="0028499E" w:rsidRPr="00CB3013">
        <w:rPr>
          <w:lang w:val="fr-FR" w:eastAsia="en-US"/>
        </w:rPr>
        <w:instrText xml:space="preserve"> REF _Ref384907602 \h  \* MERGEFORMAT </w:instrText>
      </w:r>
      <w:r w:rsidR="0028499E" w:rsidRPr="00CB3013">
        <w:rPr>
          <w:lang w:val="fr-FR" w:eastAsia="en-US"/>
        </w:rPr>
      </w:r>
      <w:r w:rsidR="0028499E" w:rsidRPr="00CB3013">
        <w:rPr>
          <w:lang w:val="fr-FR" w:eastAsia="en-US"/>
        </w:rPr>
        <w:fldChar w:fldCharType="separate"/>
      </w:r>
      <w:r w:rsidR="007A20B3" w:rsidRPr="007A20B3">
        <w:rPr>
          <w:szCs w:val="22"/>
          <w:lang w:val="fr-FR"/>
        </w:rPr>
        <w:t>tableau E.4</w:t>
      </w:r>
      <w:r w:rsidR="0028499E" w:rsidRPr="00CB3013">
        <w:rPr>
          <w:lang w:val="fr-FR" w:eastAsia="en-US"/>
        </w:rPr>
        <w:fldChar w:fldCharType="end"/>
      </w:r>
      <w:r w:rsidR="0028499E" w:rsidRPr="00CB3013">
        <w:rPr>
          <w:lang w:val="fr-FR" w:eastAsia="en-US"/>
        </w:rPr>
        <w:t>).</w:t>
      </w:r>
      <w:r w:rsidR="00AC0D1F" w:rsidRPr="00A20C37">
        <w:rPr>
          <w:lang w:val="fr-FR"/>
        </w:rPr>
        <w:t xml:space="preserve">  </w:t>
      </w:r>
      <w:r w:rsidR="00AE27C9" w:rsidRPr="00CB3013">
        <w:rPr>
          <w:lang w:val="fr-FR" w:eastAsia="en-US"/>
        </w:rPr>
        <w:t xml:space="preserve">On observe un </w:t>
      </w:r>
      <w:r w:rsidR="0075713A">
        <w:rPr>
          <w:lang w:val="fr-FR" w:eastAsia="en-US"/>
        </w:rPr>
        <w:t>impact</w:t>
      </w:r>
      <w:r w:rsidR="00AE27C9" w:rsidRPr="00CB3013">
        <w:rPr>
          <w:lang w:val="fr-FR" w:eastAsia="en-US"/>
        </w:rPr>
        <w:t xml:space="preserve"> positif de l</w:t>
      </w:r>
      <w:r w:rsidR="00EC631A">
        <w:rPr>
          <w:lang w:val="fr-FR" w:eastAsia="en-US"/>
        </w:rPr>
        <w:t>’</w:t>
      </w:r>
      <w:r w:rsidR="00AE27C9" w:rsidRPr="00CB3013">
        <w:rPr>
          <w:lang w:val="fr-FR" w:eastAsia="en-US"/>
        </w:rPr>
        <w:t xml:space="preserve">utilisation des brevets et un </w:t>
      </w:r>
      <w:r w:rsidR="0075713A">
        <w:rPr>
          <w:lang w:val="fr-FR" w:eastAsia="en-US"/>
        </w:rPr>
        <w:t xml:space="preserve">impact </w:t>
      </w:r>
      <w:r w:rsidR="00AE27C9" w:rsidRPr="00CB3013">
        <w:rPr>
          <w:lang w:val="fr-FR" w:eastAsia="en-US"/>
        </w:rPr>
        <w:t>négatif des marques.</w:t>
      </w:r>
      <w:r w:rsidR="00AC0D1F" w:rsidRPr="00A20C37">
        <w:rPr>
          <w:lang w:val="fr-FR"/>
        </w:rPr>
        <w:t xml:space="preserve">  </w:t>
      </w:r>
      <w:r w:rsidR="00F47847" w:rsidRPr="00CB3013">
        <w:rPr>
          <w:lang w:val="fr-FR" w:eastAsia="en-US"/>
        </w:rPr>
        <w:t>Les deux</w:t>
      </w:r>
      <w:r w:rsidR="00B301D1">
        <w:rPr>
          <w:lang w:val="fr-FR" w:eastAsia="en-US"/>
        </w:rPr>
        <w:t> </w:t>
      </w:r>
      <w:r w:rsidR="00F47847" w:rsidRPr="00CB3013">
        <w:rPr>
          <w:lang w:val="fr-FR" w:eastAsia="en-US"/>
        </w:rPr>
        <w:t>sont statistiquement significatifs, bien que le second ne</w:t>
      </w:r>
      <w:r w:rsidR="000B220E">
        <w:rPr>
          <w:lang w:val="fr-FR" w:eastAsia="en-US"/>
        </w:rPr>
        <w:t xml:space="preserve"> le</w:t>
      </w:r>
      <w:r w:rsidR="00F47847" w:rsidRPr="00CB3013">
        <w:rPr>
          <w:lang w:val="fr-FR" w:eastAsia="en-US"/>
        </w:rPr>
        <w:t xml:space="preserve"> soit qu</w:t>
      </w:r>
      <w:r w:rsidR="00EC631A">
        <w:rPr>
          <w:lang w:val="fr-FR" w:eastAsia="en-US"/>
        </w:rPr>
        <w:t>’</w:t>
      </w:r>
      <w:r w:rsidR="000B220E">
        <w:rPr>
          <w:lang w:val="fr-FR" w:eastAsia="en-US"/>
        </w:rPr>
        <w:t>à </w:t>
      </w:r>
      <w:r w:rsidR="00F47847" w:rsidRPr="00CB3013">
        <w:rPr>
          <w:lang w:val="fr-FR" w:eastAsia="en-US"/>
        </w:rPr>
        <w:t>10%.</w:t>
      </w:r>
      <w:r w:rsidR="00AC0D1F" w:rsidRPr="00A20C37">
        <w:rPr>
          <w:lang w:val="fr-FR"/>
        </w:rPr>
        <w:t xml:space="preserve">  </w:t>
      </w:r>
      <w:r w:rsidR="0075713A">
        <w:rPr>
          <w:lang w:val="fr-FR" w:eastAsia="en-US"/>
        </w:rPr>
        <w:t xml:space="preserve">Sur le plan économique, </w:t>
      </w:r>
      <w:r w:rsidR="00F47847" w:rsidRPr="00CB3013">
        <w:rPr>
          <w:lang w:val="fr-FR" w:eastAsia="en-US"/>
        </w:rPr>
        <w:t xml:space="preserve">ces résultats </w:t>
      </w:r>
      <w:r w:rsidR="0075713A">
        <w:rPr>
          <w:lang w:val="fr-FR" w:eastAsia="en-US"/>
        </w:rPr>
        <w:t>signifient</w:t>
      </w:r>
      <w:r w:rsidR="00F47847" w:rsidRPr="00CB3013">
        <w:rPr>
          <w:lang w:val="fr-FR" w:eastAsia="en-US"/>
        </w:rPr>
        <w:t xml:space="preserve"> que, en moyenne, les entreprises qui n</w:t>
      </w:r>
      <w:r w:rsidR="00EC631A">
        <w:rPr>
          <w:lang w:val="fr-FR" w:eastAsia="en-US"/>
        </w:rPr>
        <w:t>’</w:t>
      </w:r>
      <w:r w:rsidR="00F47847" w:rsidRPr="00CB3013">
        <w:rPr>
          <w:lang w:val="fr-FR" w:eastAsia="en-US"/>
        </w:rPr>
        <w:t>uti</w:t>
      </w:r>
      <w:r w:rsidR="0075713A">
        <w:rPr>
          <w:lang w:val="fr-FR" w:eastAsia="en-US"/>
        </w:rPr>
        <w:t>lisaient pas</w:t>
      </w:r>
      <w:r w:rsidR="00F47847" w:rsidRPr="00CB3013">
        <w:rPr>
          <w:lang w:val="fr-FR" w:eastAsia="en-US"/>
        </w:rPr>
        <w:t xml:space="preserve"> les brevets au cours de la première période augment</w:t>
      </w:r>
      <w:r w:rsidR="0075713A">
        <w:rPr>
          <w:lang w:val="fr-FR" w:eastAsia="en-US"/>
        </w:rPr>
        <w:t>ent</w:t>
      </w:r>
      <w:r w:rsidR="00F47847" w:rsidRPr="00CB3013">
        <w:rPr>
          <w:lang w:val="fr-FR" w:eastAsia="en-US"/>
        </w:rPr>
        <w:t xml:space="preserve"> d</w:t>
      </w:r>
      <w:r w:rsidR="00EC631A">
        <w:rPr>
          <w:lang w:val="fr-FR" w:eastAsia="en-US"/>
        </w:rPr>
        <w:t>’</w:t>
      </w:r>
      <w:r w:rsidR="00F47847" w:rsidRPr="00CB3013">
        <w:rPr>
          <w:lang w:val="fr-FR" w:eastAsia="en-US"/>
        </w:rPr>
        <w:t xml:space="preserve">environ 4% leur participation aux exportations </w:t>
      </w:r>
      <w:r w:rsidR="0075713A">
        <w:rPr>
          <w:lang w:val="fr-FR" w:eastAsia="en-US"/>
        </w:rPr>
        <w:t xml:space="preserve">totales </w:t>
      </w:r>
      <w:r w:rsidR="00F47847" w:rsidRPr="00CB3013">
        <w:rPr>
          <w:lang w:val="fr-FR" w:eastAsia="en-US"/>
        </w:rPr>
        <w:t>du secteur lorsqu</w:t>
      </w:r>
      <w:r w:rsidR="00EC631A">
        <w:rPr>
          <w:lang w:val="fr-FR" w:eastAsia="en-US"/>
        </w:rPr>
        <w:t>’</w:t>
      </w:r>
      <w:r w:rsidR="00F47847" w:rsidRPr="00CB3013">
        <w:rPr>
          <w:lang w:val="fr-FR" w:eastAsia="en-US"/>
        </w:rPr>
        <w:t xml:space="preserve">elles </w:t>
      </w:r>
      <w:r w:rsidR="0075713A">
        <w:rPr>
          <w:lang w:val="fr-FR" w:eastAsia="en-US"/>
        </w:rPr>
        <w:t>commencent</w:t>
      </w:r>
      <w:r w:rsidR="00F47847" w:rsidRPr="00CB3013">
        <w:rPr>
          <w:lang w:val="fr-FR" w:eastAsia="en-US"/>
        </w:rPr>
        <w:t xml:space="preserve"> à utiliser les brevets au cours de la deuxième période.</w:t>
      </w:r>
      <w:r w:rsidR="00AC0D1F" w:rsidRPr="00A20C37">
        <w:rPr>
          <w:lang w:val="fr-FR"/>
        </w:rPr>
        <w:t xml:space="preserve">  </w:t>
      </w:r>
      <w:r w:rsidR="00027791" w:rsidRPr="00CB3013">
        <w:rPr>
          <w:lang w:val="fr-FR" w:eastAsia="en-US"/>
        </w:rPr>
        <w:t xml:space="preserve">Cela signifie </w:t>
      </w:r>
      <w:r w:rsidR="00B3235C">
        <w:rPr>
          <w:lang w:val="fr-FR" w:eastAsia="en-US"/>
        </w:rPr>
        <w:t>non seulement</w:t>
      </w:r>
      <w:r w:rsidR="00B3235C" w:rsidRPr="00CB3013">
        <w:rPr>
          <w:lang w:val="fr-FR" w:eastAsia="en-US"/>
        </w:rPr>
        <w:t xml:space="preserve"> </w:t>
      </w:r>
      <w:r w:rsidR="00027791" w:rsidRPr="00CB3013">
        <w:rPr>
          <w:lang w:val="fr-FR" w:eastAsia="en-US"/>
        </w:rPr>
        <w:t>que, en moyenne</w:t>
      </w:r>
      <w:r w:rsidR="000B220E">
        <w:rPr>
          <w:lang w:val="fr-FR" w:eastAsia="en-US"/>
        </w:rPr>
        <w:t xml:space="preserve">, </w:t>
      </w:r>
      <w:r w:rsidR="000B220E" w:rsidRPr="00CB3013">
        <w:rPr>
          <w:lang w:val="fr-FR" w:eastAsia="en-US"/>
        </w:rPr>
        <w:t xml:space="preserve">elles augmentent </w:t>
      </w:r>
      <w:r w:rsidR="00027791" w:rsidRPr="00CB3013">
        <w:rPr>
          <w:lang w:val="fr-FR" w:eastAsia="en-US"/>
        </w:rPr>
        <w:t>leurs ventes à l</w:t>
      </w:r>
      <w:r w:rsidR="00EC631A">
        <w:rPr>
          <w:lang w:val="fr-FR" w:eastAsia="en-US"/>
        </w:rPr>
        <w:t>’</w:t>
      </w:r>
      <w:r w:rsidR="00027791" w:rsidRPr="00CB3013">
        <w:rPr>
          <w:lang w:val="fr-FR" w:eastAsia="en-US"/>
        </w:rPr>
        <w:t>exportation mais également que celles</w:t>
      </w:r>
      <w:r w:rsidR="004F5600">
        <w:rPr>
          <w:lang w:val="fr-FR" w:eastAsia="en-US"/>
        </w:rPr>
        <w:noBreakHyphen/>
      </w:r>
      <w:r w:rsidR="00027791" w:rsidRPr="00CB3013">
        <w:rPr>
          <w:lang w:val="fr-FR" w:eastAsia="en-US"/>
        </w:rPr>
        <w:t>ci augmentent plus vite que la moyenne du secteur.</w:t>
      </w:r>
      <w:r w:rsidR="00AC0D1F" w:rsidRPr="00A20C37">
        <w:rPr>
          <w:lang w:val="fr-FR"/>
        </w:rPr>
        <w:t xml:space="preserve">  </w:t>
      </w:r>
      <w:r w:rsidR="00027791" w:rsidRPr="00CB3013">
        <w:rPr>
          <w:lang w:val="fr-FR" w:eastAsia="en-US"/>
        </w:rPr>
        <w:t>À l</w:t>
      </w:r>
      <w:r w:rsidR="00EC631A">
        <w:rPr>
          <w:lang w:val="fr-FR" w:eastAsia="en-US"/>
        </w:rPr>
        <w:t>’</w:t>
      </w:r>
      <w:r w:rsidR="00027791" w:rsidRPr="00CB3013">
        <w:rPr>
          <w:lang w:val="fr-FR" w:eastAsia="en-US"/>
        </w:rPr>
        <w:t>inverse, on observe que l</w:t>
      </w:r>
      <w:r w:rsidR="00EC631A">
        <w:rPr>
          <w:lang w:val="fr-FR" w:eastAsia="en-US"/>
        </w:rPr>
        <w:t>’</w:t>
      </w:r>
      <w:r w:rsidR="00027791" w:rsidRPr="00CB3013">
        <w:rPr>
          <w:lang w:val="fr-FR" w:eastAsia="en-US"/>
        </w:rPr>
        <w:t xml:space="preserve">utilisation des marques </w:t>
      </w:r>
      <w:r w:rsidR="008C4A2A">
        <w:rPr>
          <w:lang w:val="fr-FR" w:eastAsia="en-US"/>
        </w:rPr>
        <w:t>les</w:t>
      </w:r>
      <w:r w:rsidR="00027791" w:rsidRPr="00CB3013">
        <w:rPr>
          <w:lang w:val="fr-FR" w:eastAsia="en-US"/>
        </w:rPr>
        <w:t xml:space="preserve"> </w:t>
      </w:r>
      <w:r w:rsidR="008C4A2A">
        <w:rPr>
          <w:lang w:val="fr-FR" w:eastAsia="en-US"/>
        </w:rPr>
        <w:t>diminue</w:t>
      </w:r>
      <w:r w:rsidR="00027791" w:rsidRPr="00CB3013">
        <w:rPr>
          <w:lang w:val="fr-FR" w:eastAsia="en-US"/>
        </w:rPr>
        <w:t xml:space="preserve"> de 2,5%</w:t>
      </w:r>
      <w:r w:rsidR="008C4A2A">
        <w:rPr>
          <w:lang w:val="fr-FR" w:eastAsia="en-US"/>
        </w:rPr>
        <w:t>.  Bien que ce soit le</w:t>
      </w:r>
      <w:r w:rsidR="00027791" w:rsidRPr="00CB3013">
        <w:rPr>
          <w:lang w:val="fr-FR" w:eastAsia="en-US"/>
        </w:rPr>
        <w:t xml:space="preserve"> </w:t>
      </w:r>
      <w:r w:rsidR="00F7605E" w:rsidRPr="00CB3013">
        <w:rPr>
          <w:lang w:val="fr-FR" w:eastAsia="en-US"/>
        </w:rPr>
        <w:t>contraire</w:t>
      </w:r>
      <w:r w:rsidR="004F5600">
        <w:rPr>
          <w:lang w:val="fr-FR" w:eastAsia="en-US"/>
        </w:rPr>
        <w:t xml:space="preserve"> </w:t>
      </w:r>
      <w:r w:rsidR="000B220E">
        <w:rPr>
          <w:lang w:val="fr-FR" w:eastAsia="en-US"/>
        </w:rPr>
        <w:t xml:space="preserve">de ce </w:t>
      </w:r>
      <w:r w:rsidR="00027791" w:rsidRPr="00CB3013">
        <w:rPr>
          <w:lang w:val="fr-FR" w:eastAsia="en-US"/>
        </w:rPr>
        <w:t>que l</w:t>
      </w:r>
      <w:r w:rsidR="00EC631A">
        <w:rPr>
          <w:lang w:val="fr-FR" w:eastAsia="en-US"/>
        </w:rPr>
        <w:t>’</w:t>
      </w:r>
      <w:r w:rsidR="00027791" w:rsidRPr="00CB3013">
        <w:rPr>
          <w:lang w:val="fr-FR" w:eastAsia="en-US"/>
        </w:rPr>
        <w:t xml:space="preserve">on </w:t>
      </w:r>
      <w:r w:rsidR="00F7605E" w:rsidRPr="00CB3013">
        <w:rPr>
          <w:lang w:val="fr-FR" w:eastAsia="en-US"/>
        </w:rPr>
        <w:t>pouvait attendre</w:t>
      </w:r>
      <w:r w:rsidR="008C4A2A">
        <w:rPr>
          <w:lang w:val="fr-FR" w:eastAsia="en-US"/>
        </w:rPr>
        <w:t>, ce résultat</w:t>
      </w:r>
      <w:r w:rsidR="000B220E">
        <w:rPr>
          <w:lang w:val="fr-FR" w:eastAsia="en-US"/>
        </w:rPr>
        <w:t xml:space="preserve"> peut s’expliquer</w:t>
      </w:r>
      <w:r w:rsidR="008C4A2A">
        <w:rPr>
          <w:lang w:val="fr-FR" w:eastAsia="en-US"/>
        </w:rPr>
        <w:t xml:space="preserve"> par le fait que les entreprises concentrent leurs activités sur les marchés nationaux plutôt que les exportations</w:t>
      </w:r>
      <w:r w:rsidR="00027791" w:rsidRPr="00CB3013">
        <w:rPr>
          <w:lang w:val="fr-FR" w:eastAsia="en-US"/>
        </w:rPr>
        <w:t>.</w:t>
      </w:r>
    </w:p>
    <w:p w:rsidR="007B1178" w:rsidRPr="00CB3013" w:rsidRDefault="007B1178" w:rsidP="00E73BE5">
      <w:pPr>
        <w:pStyle w:val="ONUMFS"/>
        <w:numPr>
          <w:ilvl w:val="0"/>
          <w:numId w:val="0"/>
        </w:numPr>
        <w:rPr>
          <w:lang w:val="fr-FR" w:eastAsia="en-US"/>
        </w:rPr>
      </w:pPr>
    </w:p>
    <w:p w:rsidR="00AC0D1F" w:rsidRPr="00CB3013" w:rsidRDefault="00AC0D1F">
      <w:pPr>
        <w:spacing w:after="200" w:line="276" w:lineRule="auto"/>
        <w:rPr>
          <w:i/>
          <w:lang w:val="fr-FR"/>
        </w:rPr>
        <w:sectPr w:rsidR="00AC0D1F" w:rsidRPr="00CB3013" w:rsidSect="00EC631A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1906" w:h="16840" w:code="9"/>
          <w:pgMar w:top="567" w:right="1134" w:bottom="1417" w:left="1417" w:header="510" w:footer="1020" w:gutter="0"/>
          <w:pgNumType w:start="1"/>
          <w:cols w:space="720"/>
          <w:titlePg/>
          <w:docGrid w:linePitch="299"/>
        </w:sectPr>
      </w:pPr>
    </w:p>
    <w:p w:rsidR="007915E7" w:rsidRPr="00AA113A" w:rsidRDefault="007B1178" w:rsidP="00AA113A">
      <w:pPr>
        <w:pStyle w:val="Caption"/>
        <w:jc w:val="center"/>
        <w:rPr>
          <w:i/>
          <w:sz w:val="22"/>
          <w:szCs w:val="22"/>
          <w:lang w:val="fr-FR"/>
        </w:rPr>
      </w:pPr>
      <w:bookmarkStart w:id="8" w:name="_Ref384907602"/>
      <w:r w:rsidRPr="00AA113A">
        <w:rPr>
          <w:i/>
          <w:caps/>
          <w:sz w:val="22"/>
          <w:szCs w:val="22"/>
          <w:lang w:val="fr-FR"/>
        </w:rPr>
        <w:lastRenderedPageBreak/>
        <w:t>t</w:t>
      </w:r>
      <w:r w:rsidR="00027791" w:rsidRPr="00AA113A">
        <w:rPr>
          <w:i/>
          <w:sz w:val="22"/>
          <w:szCs w:val="22"/>
          <w:lang w:val="fr-FR"/>
        </w:rPr>
        <w:t>ableau</w:t>
      </w:r>
      <w:r w:rsidRPr="00AA113A">
        <w:rPr>
          <w:i/>
          <w:sz w:val="22"/>
          <w:szCs w:val="22"/>
          <w:lang w:val="fr-FR"/>
        </w:rPr>
        <w:t> </w:t>
      </w:r>
      <w:r w:rsidR="00027791" w:rsidRPr="00AA113A">
        <w:rPr>
          <w:i/>
          <w:sz w:val="22"/>
          <w:szCs w:val="22"/>
          <w:lang w:val="fr-FR"/>
        </w:rPr>
        <w:t>E</w:t>
      </w:r>
      <w:r w:rsidR="00EC2D25" w:rsidRPr="00AA113A">
        <w:rPr>
          <w:i/>
          <w:sz w:val="22"/>
          <w:szCs w:val="22"/>
          <w:lang w:val="fr-FR"/>
        </w:rPr>
        <w:t>.</w:t>
      </w:r>
      <w:r w:rsidR="00A221AC" w:rsidRPr="00AA113A">
        <w:rPr>
          <w:i/>
          <w:sz w:val="22"/>
          <w:szCs w:val="22"/>
          <w:lang w:val="fr-FR"/>
        </w:rPr>
        <w:fldChar w:fldCharType="begin"/>
      </w:r>
      <w:r w:rsidR="00A221AC" w:rsidRPr="00AA113A">
        <w:rPr>
          <w:i/>
          <w:sz w:val="22"/>
          <w:szCs w:val="22"/>
          <w:lang w:val="fr-FR"/>
        </w:rPr>
        <w:instrText xml:space="preserve"> SEQ Table_E_- \* ARABIC </w:instrText>
      </w:r>
      <w:r w:rsidR="00A221AC" w:rsidRPr="00AA113A">
        <w:rPr>
          <w:i/>
          <w:sz w:val="22"/>
          <w:szCs w:val="22"/>
          <w:lang w:val="fr-FR"/>
        </w:rPr>
        <w:fldChar w:fldCharType="separate"/>
      </w:r>
      <w:r w:rsidR="007A20B3">
        <w:rPr>
          <w:i/>
          <w:noProof/>
          <w:sz w:val="22"/>
          <w:szCs w:val="22"/>
          <w:lang w:val="fr-FR"/>
        </w:rPr>
        <w:t>4</w:t>
      </w:r>
      <w:r w:rsidR="00A221AC" w:rsidRPr="00AA113A">
        <w:rPr>
          <w:i/>
          <w:sz w:val="22"/>
          <w:szCs w:val="22"/>
          <w:lang w:val="fr-FR"/>
        </w:rPr>
        <w:fldChar w:fldCharType="end"/>
      </w:r>
      <w:bookmarkEnd w:id="8"/>
      <w:r w:rsidR="00E73BE5" w:rsidRPr="00AA113A">
        <w:rPr>
          <w:i/>
          <w:sz w:val="22"/>
          <w:szCs w:val="22"/>
          <w:lang w:val="fr-FR"/>
        </w:rPr>
        <w:t xml:space="preserve"> – </w:t>
      </w:r>
      <w:r w:rsidR="00027791" w:rsidRPr="00AA113A">
        <w:rPr>
          <w:i/>
          <w:color w:val="000000"/>
          <w:sz w:val="22"/>
          <w:szCs w:val="22"/>
          <w:lang w:val="fr-FR"/>
        </w:rPr>
        <w:t>Appropriations et exportations (grandes entreprises)</w:t>
      </w:r>
    </w:p>
    <w:p w:rsidR="00AA113A" w:rsidRDefault="00AA113A" w:rsidP="00E73BE5">
      <w:pPr>
        <w:rPr>
          <w:lang w:val="fr-FR"/>
        </w:rPr>
      </w:pPr>
      <w:r w:rsidRPr="00AA113A">
        <w:rPr>
          <w:noProof/>
          <w:lang w:eastAsia="en-US"/>
        </w:rPr>
        <w:drawing>
          <wp:inline distT="0" distB="0" distL="0" distR="0" wp14:anchorId="3E3D595F" wp14:editId="529A55D8">
            <wp:extent cx="9433560" cy="26673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60" cy="266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E7" w:rsidRPr="00E73BE5" w:rsidRDefault="00027791" w:rsidP="00E73BE5">
      <w:pPr>
        <w:rPr>
          <w:i/>
          <w:sz w:val="16"/>
          <w:lang w:val="fr-FR"/>
        </w:rPr>
      </w:pPr>
      <w:r w:rsidRPr="00E73BE5">
        <w:rPr>
          <w:i/>
          <w:sz w:val="16"/>
          <w:lang w:val="fr-FR"/>
        </w:rPr>
        <w:t>Notes</w:t>
      </w:r>
      <w:r w:rsidR="00B301D1" w:rsidRPr="00E73BE5">
        <w:rPr>
          <w:i/>
          <w:sz w:val="16"/>
          <w:lang w:val="fr-FR"/>
        </w:rPr>
        <w:t> </w:t>
      </w:r>
      <w:r w:rsidRPr="00E73BE5">
        <w:rPr>
          <w:i/>
          <w:sz w:val="16"/>
          <w:lang w:val="fr-FR"/>
        </w:rPr>
        <w:t>: écarts types robustes entre parenthèses.</w:t>
      </w:r>
      <w:r w:rsidR="00B301D1" w:rsidRPr="00E73BE5">
        <w:rPr>
          <w:i/>
          <w:sz w:val="16"/>
          <w:lang w:val="fr-FR"/>
        </w:rPr>
        <w:t xml:space="preserve"> </w:t>
      </w:r>
      <w:r w:rsidR="00A221AC" w:rsidRPr="00E73BE5">
        <w:rPr>
          <w:i/>
          <w:sz w:val="16"/>
          <w:lang w:val="fr-FR"/>
        </w:rPr>
        <w:t xml:space="preserve"> </w:t>
      </w:r>
      <w:r w:rsidRPr="00E73BE5">
        <w:rPr>
          <w:i/>
          <w:sz w:val="16"/>
          <w:lang w:val="fr-FR"/>
        </w:rPr>
        <w:t xml:space="preserve">*** p&lt;0.01, ** p&lt;0.05, * p&lt;0.1.  Correction des coefficients binaires selon </w:t>
      </w:r>
      <w:proofErr w:type="spellStart"/>
      <w:r w:rsidRPr="00E73BE5">
        <w:rPr>
          <w:i/>
          <w:sz w:val="16"/>
          <w:lang w:val="fr-FR"/>
        </w:rPr>
        <w:t>Halvorsen</w:t>
      </w:r>
      <w:proofErr w:type="spellEnd"/>
      <w:r w:rsidRPr="00E73BE5">
        <w:rPr>
          <w:i/>
          <w:sz w:val="16"/>
          <w:lang w:val="fr-FR"/>
        </w:rPr>
        <w:t xml:space="preserve"> </w:t>
      </w:r>
      <w:r w:rsidR="00A20C37" w:rsidRPr="00E73BE5">
        <w:rPr>
          <w:i/>
          <w:sz w:val="16"/>
          <w:lang w:val="fr-FR"/>
        </w:rPr>
        <w:t>et</w:t>
      </w:r>
      <w:r w:rsidRPr="00E73BE5">
        <w:rPr>
          <w:i/>
          <w:sz w:val="16"/>
          <w:lang w:val="fr-FR"/>
        </w:rPr>
        <w:t xml:space="preserve"> </w:t>
      </w:r>
      <w:proofErr w:type="spellStart"/>
      <w:r w:rsidRPr="00E73BE5">
        <w:rPr>
          <w:i/>
          <w:sz w:val="16"/>
          <w:lang w:val="fr-FR"/>
        </w:rPr>
        <w:t>Palmquist</w:t>
      </w:r>
      <w:proofErr w:type="spellEnd"/>
      <w:r w:rsidRPr="00E73BE5">
        <w:rPr>
          <w:i/>
          <w:sz w:val="16"/>
          <w:lang w:val="fr-FR"/>
        </w:rPr>
        <w:t xml:space="preserve"> (1980) en italiques.</w:t>
      </w:r>
    </w:p>
    <w:p w:rsidR="00E73BE5" w:rsidRPr="00CB3013" w:rsidRDefault="00E73BE5" w:rsidP="00E73BE5">
      <w:pPr>
        <w:rPr>
          <w:lang w:val="fr-FR"/>
        </w:rPr>
      </w:pPr>
    </w:p>
    <w:p w:rsidR="00567A53" w:rsidRPr="00CB3013" w:rsidRDefault="00567A53">
      <w:pPr>
        <w:spacing w:after="200" w:line="276" w:lineRule="auto"/>
        <w:rPr>
          <w:rFonts w:eastAsiaTheme="majorEastAsia"/>
          <w:b/>
          <w:bCs/>
          <w:i/>
          <w:sz w:val="24"/>
          <w:szCs w:val="24"/>
          <w:lang w:val="fr-FR" w:eastAsia="en-US"/>
        </w:rPr>
        <w:sectPr w:rsidR="00567A53" w:rsidRPr="00CB3013" w:rsidSect="00EC631A">
          <w:headerReference w:type="first" r:id="rId21"/>
          <w:endnotePr>
            <w:numFmt w:val="decimal"/>
          </w:endnotePr>
          <w:pgSz w:w="16840" w:h="11906" w:orient="landscape" w:code="9"/>
          <w:pgMar w:top="1417" w:right="567" w:bottom="1134" w:left="1417" w:header="510" w:footer="1020" w:gutter="0"/>
          <w:cols w:space="720"/>
          <w:titlePg/>
          <w:docGrid w:linePitch="299"/>
        </w:sectPr>
      </w:pPr>
    </w:p>
    <w:p w:rsidR="007915E7" w:rsidRPr="008C4A2A" w:rsidRDefault="008C4A2A" w:rsidP="00E73BE5">
      <w:pPr>
        <w:pStyle w:val="Heading1"/>
        <w:rPr>
          <w:b w:val="0"/>
          <w:i/>
          <w:lang w:val="fr-FR" w:eastAsia="en-US"/>
        </w:rPr>
      </w:pPr>
      <w:r w:rsidRPr="008C4A2A">
        <w:rPr>
          <w:b w:val="0"/>
          <w:i/>
          <w:caps w:val="0"/>
          <w:lang w:val="fr-FR" w:eastAsia="en-US"/>
        </w:rPr>
        <w:lastRenderedPageBreak/>
        <w:t>Principales conclusions</w:t>
      </w:r>
    </w:p>
    <w:p w:rsidR="007915E7" w:rsidRPr="00CB3013" w:rsidRDefault="007915E7" w:rsidP="00A221AC">
      <w:pPr>
        <w:rPr>
          <w:rFonts w:eastAsia="Times New Roman"/>
          <w:szCs w:val="24"/>
          <w:lang w:val="fr-FR" w:eastAsia="en-US"/>
        </w:rPr>
      </w:pPr>
    </w:p>
    <w:p w:rsidR="00EC631A" w:rsidRDefault="008C4A2A" w:rsidP="00E73BE5">
      <w:pPr>
        <w:pStyle w:val="ONUMFS"/>
        <w:numPr>
          <w:ilvl w:val="0"/>
          <w:numId w:val="0"/>
        </w:numPr>
        <w:rPr>
          <w:lang w:val="fr-FR"/>
        </w:rPr>
      </w:pPr>
      <w:r>
        <w:rPr>
          <w:spacing w:val="-2"/>
          <w:lang w:val="fr-FR" w:eastAsia="en-US"/>
        </w:rPr>
        <w:t xml:space="preserve">Dans ce rapport, nous </w:t>
      </w:r>
      <w:r w:rsidR="00027791" w:rsidRPr="007B1178">
        <w:rPr>
          <w:spacing w:val="-2"/>
          <w:lang w:val="fr-FR" w:eastAsia="en-US"/>
        </w:rPr>
        <w:t>évalu</w:t>
      </w:r>
      <w:r>
        <w:rPr>
          <w:spacing w:val="-2"/>
          <w:lang w:val="fr-FR" w:eastAsia="en-US"/>
        </w:rPr>
        <w:t>ons</w:t>
      </w:r>
      <w:r w:rsidR="00027791" w:rsidRPr="007B1178">
        <w:rPr>
          <w:spacing w:val="-2"/>
          <w:lang w:val="fr-FR" w:eastAsia="en-US"/>
        </w:rPr>
        <w:t xml:space="preserve"> le lien entre différentes méthodes d</w:t>
      </w:r>
      <w:r w:rsidR="00EC631A">
        <w:rPr>
          <w:spacing w:val="-2"/>
          <w:lang w:val="fr-FR" w:eastAsia="en-US"/>
        </w:rPr>
        <w:t>’</w:t>
      </w:r>
      <w:r w:rsidR="00027791" w:rsidRPr="007B1178">
        <w:rPr>
          <w:spacing w:val="-2"/>
          <w:lang w:val="fr-FR" w:eastAsia="en-US"/>
        </w:rPr>
        <w:t>appropriation fondées sur la propriété intellectuelle et les performances à l</w:t>
      </w:r>
      <w:r w:rsidR="00EC631A">
        <w:rPr>
          <w:spacing w:val="-2"/>
          <w:lang w:val="fr-FR" w:eastAsia="en-US"/>
        </w:rPr>
        <w:t>’</w:t>
      </w:r>
      <w:r w:rsidR="000E4FD7" w:rsidRPr="007B1178">
        <w:rPr>
          <w:spacing w:val="-2"/>
          <w:lang w:val="fr-FR" w:eastAsia="en-US"/>
        </w:rPr>
        <w:t>exportation</w:t>
      </w:r>
      <w:r w:rsidR="00027791" w:rsidRPr="007B1178">
        <w:rPr>
          <w:spacing w:val="-2"/>
          <w:lang w:val="fr-FR" w:eastAsia="en-US"/>
        </w:rPr>
        <w:t xml:space="preserve"> des entreprises industrielles brésiliennes.</w:t>
      </w:r>
      <w:r w:rsidR="00A221AC" w:rsidRPr="007B1178">
        <w:rPr>
          <w:spacing w:val="-2"/>
          <w:lang w:val="fr-FR"/>
        </w:rPr>
        <w:t xml:space="preserve">  </w:t>
      </w:r>
      <w:r w:rsidR="00027791" w:rsidRPr="007B1178">
        <w:rPr>
          <w:spacing w:val="-2"/>
          <w:lang w:val="fr-FR" w:eastAsia="en-US"/>
        </w:rPr>
        <w:t>Même si le Brésil se caractérise traditionnellement par l</w:t>
      </w:r>
      <w:r w:rsidR="00EC631A">
        <w:rPr>
          <w:spacing w:val="-2"/>
          <w:lang w:val="fr-FR" w:eastAsia="en-US"/>
        </w:rPr>
        <w:t>’</w:t>
      </w:r>
      <w:r w:rsidR="00027791" w:rsidRPr="007B1178">
        <w:rPr>
          <w:spacing w:val="-2"/>
          <w:lang w:val="fr-FR" w:eastAsia="en-US"/>
        </w:rPr>
        <w:t xml:space="preserve">exportation de produits de base (De Negri, 2005), nos résultats descriptifs suggèrent que non seulement les entreprises innovantes tendent à exporter davantage mais également que différents instruments de propriété intellectuelle </w:t>
      </w:r>
      <w:r w:rsidR="00A20C37" w:rsidRPr="007B1178">
        <w:rPr>
          <w:spacing w:val="-2"/>
          <w:lang w:val="fr-FR" w:eastAsia="en-US"/>
        </w:rPr>
        <w:t>–</w:t>
      </w:r>
      <w:r w:rsidR="00027791" w:rsidRPr="007B1178">
        <w:rPr>
          <w:spacing w:val="-2"/>
          <w:lang w:val="fr-FR" w:eastAsia="en-US"/>
        </w:rPr>
        <w:t xml:space="preserve"> brevets, modèles d</w:t>
      </w:r>
      <w:r w:rsidR="00EC631A">
        <w:rPr>
          <w:spacing w:val="-2"/>
          <w:lang w:val="fr-FR" w:eastAsia="en-US"/>
        </w:rPr>
        <w:t>’</w:t>
      </w:r>
      <w:r w:rsidR="00027791" w:rsidRPr="007B1178">
        <w:rPr>
          <w:spacing w:val="-2"/>
          <w:lang w:val="fr-FR" w:eastAsia="en-US"/>
        </w:rPr>
        <w:t xml:space="preserve">utilité, dessins et modèles industriels et marques </w:t>
      </w:r>
      <w:r w:rsidR="00A20C37" w:rsidRPr="007B1178">
        <w:rPr>
          <w:spacing w:val="-2"/>
          <w:lang w:val="fr-FR" w:eastAsia="en-US"/>
        </w:rPr>
        <w:t>–</w:t>
      </w:r>
      <w:r w:rsidR="00027791" w:rsidRPr="007B1178">
        <w:rPr>
          <w:spacing w:val="-2"/>
          <w:lang w:val="fr-FR" w:eastAsia="en-US"/>
        </w:rPr>
        <w:t xml:space="preserve"> </w:t>
      </w:r>
      <w:r>
        <w:rPr>
          <w:spacing w:val="-2"/>
          <w:lang w:val="fr-FR" w:eastAsia="en-US"/>
        </w:rPr>
        <w:t xml:space="preserve">ont un </w:t>
      </w:r>
      <w:r w:rsidR="000B220E">
        <w:rPr>
          <w:spacing w:val="-2"/>
          <w:lang w:val="fr-FR" w:eastAsia="en-US"/>
        </w:rPr>
        <w:t>rapport</w:t>
      </w:r>
      <w:r>
        <w:rPr>
          <w:spacing w:val="-2"/>
          <w:lang w:val="fr-FR" w:eastAsia="en-US"/>
        </w:rPr>
        <w:t xml:space="preserve"> </w:t>
      </w:r>
      <w:r w:rsidR="00027791" w:rsidRPr="007B1178">
        <w:rPr>
          <w:spacing w:val="-2"/>
          <w:lang w:val="fr-FR" w:eastAsia="en-US"/>
        </w:rPr>
        <w:t>avec de meilleurs résultats à l</w:t>
      </w:r>
      <w:r w:rsidR="00EC631A">
        <w:rPr>
          <w:spacing w:val="-2"/>
          <w:lang w:val="fr-FR" w:eastAsia="en-US"/>
        </w:rPr>
        <w:t>’</w:t>
      </w:r>
      <w:r w:rsidR="00027791" w:rsidRPr="007B1178">
        <w:rPr>
          <w:spacing w:val="-2"/>
          <w:lang w:val="fr-FR" w:eastAsia="en-US"/>
        </w:rPr>
        <w:t>exportation.</w:t>
      </w:r>
      <w:r w:rsidR="00A221AC" w:rsidRPr="007B1178">
        <w:rPr>
          <w:spacing w:val="-2"/>
          <w:lang w:val="fr-FR"/>
        </w:rPr>
        <w:t xml:space="preserve">  </w:t>
      </w:r>
      <w:r>
        <w:rPr>
          <w:spacing w:val="-2"/>
          <w:lang w:val="fr-FR"/>
        </w:rPr>
        <w:t>À l</w:t>
      </w:r>
      <w:r w:rsidR="00EC631A">
        <w:rPr>
          <w:spacing w:val="-2"/>
          <w:lang w:val="fr-FR"/>
        </w:rPr>
        <w:t>’</w:t>
      </w:r>
      <w:r>
        <w:rPr>
          <w:spacing w:val="-2"/>
          <w:lang w:val="fr-FR"/>
        </w:rPr>
        <w:t>inverse, n</w:t>
      </w:r>
      <w:r w:rsidR="000E4FD7" w:rsidRPr="007B1178">
        <w:rPr>
          <w:spacing w:val="-2"/>
          <w:lang w:val="fr-FR" w:eastAsia="en-US"/>
        </w:rPr>
        <w:t>ous observons également que les entreprises exportatrices sont davantage susceptibles d</w:t>
      </w:r>
      <w:r w:rsidR="00EC631A">
        <w:rPr>
          <w:spacing w:val="-2"/>
          <w:lang w:val="fr-FR" w:eastAsia="en-US"/>
        </w:rPr>
        <w:t>’</w:t>
      </w:r>
      <w:r w:rsidR="000E4FD7" w:rsidRPr="007B1178">
        <w:rPr>
          <w:spacing w:val="-2"/>
          <w:lang w:val="fr-FR" w:eastAsia="en-US"/>
        </w:rPr>
        <w:t>utiliser les méthodes d</w:t>
      </w:r>
      <w:r w:rsidR="00EC631A">
        <w:rPr>
          <w:spacing w:val="-2"/>
          <w:lang w:val="fr-FR" w:eastAsia="en-US"/>
        </w:rPr>
        <w:t>’</w:t>
      </w:r>
      <w:r w:rsidR="000E4FD7" w:rsidRPr="007B1178">
        <w:rPr>
          <w:spacing w:val="-2"/>
          <w:lang w:val="fr-FR" w:eastAsia="en-US"/>
        </w:rPr>
        <w:t xml:space="preserve">appropriation fondées sur la propriété intellectuelle, tout en </w:t>
      </w:r>
      <w:r>
        <w:rPr>
          <w:spacing w:val="-2"/>
          <w:lang w:val="fr-FR" w:eastAsia="en-US"/>
        </w:rPr>
        <w:t xml:space="preserve">étant aussi </w:t>
      </w:r>
      <w:proofErr w:type="gramStart"/>
      <w:r>
        <w:rPr>
          <w:spacing w:val="-2"/>
          <w:lang w:val="fr-FR" w:eastAsia="en-US"/>
        </w:rPr>
        <w:t>susceptibles</w:t>
      </w:r>
      <w:proofErr w:type="gramEnd"/>
      <w:r>
        <w:rPr>
          <w:spacing w:val="-2"/>
          <w:lang w:val="fr-FR" w:eastAsia="en-US"/>
        </w:rPr>
        <w:t xml:space="preserve"> d</w:t>
      </w:r>
      <w:r w:rsidR="00EC631A">
        <w:rPr>
          <w:spacing w:val="-2"/>
          <w:lang w:val="fr-FR" w:eastAsia="en-US"/>
        </w:rPr>
        <w:t>’</w:t>
      </w:r>
      <w:r>
        <w:rPr>
          <w:spacing w:val="-2"/>
          <w:lang w:val="fr-FR" w:eastAsia="en-US"/>
        </w:rPr>
        <w:t>utiliser davantage de</w:t>
      </w:r>
      <w:r w:rsidR="000B220E">
        <w:rPr>
          <w:spacing w:val="-2"/>
          <w:lang w:val="fr-FR" w:eastAsia="en-US"/>
        </w:rPr>
        <w:t>s</w:t>
      </w:r>
      <w:r>
        <w:rPr>
          <w:spacing w:val="-2"/>
          <w:lang w:val="fr-FR" w:eastAsia="en-US"/>
        </w:rPr>
        <w:t xml:space="preserve"> méthodes sans rapport avec la propriété intellectuelle</w:t>
      </w:r>
      <w:r w:rsidR="000E4FD7" w:rsidRPr="007B1178">
        <w:rPr>
          <w:spacing w:val="-2"/>
          <w:lang w:val="fr-FR" w:eastAsia="en-US"/>
        </w:rPr>
        <w:t>, telles que les secrets d</w:t>
      </w:r>
      <w:r w:rsidR="00EC631A">
        <w:rPr>
          <w:spacing w:val="-2"/>
          <w:lang w:val="fr-FR" w:eastAsia="en-US"/>
        </w:rPr>
        <w:t>’</w:t>
      </w:r>
      <w:r w:rsidR="000E4FD7" w:rsidRPr="007B1178">
        <w:rPr>
          <w:spacing w:val="-2"/>
          <w:lang w:val="fr-FR" w:eastAsia="en-US"/>
        </w:rPr>
        <w:t xml:space="preserve">affaires, </w:t>
      </w:r>
      <w:r w:rsidR="000B5991" w:rsidRPr="007B1178">
        <w:rPr>
          <w:spacing w:val="-2"/>
          <w:lang w:val="fr-FR" w:eastAsia="en-US"/>
        </w:rPr>
        <w:t>le délai de production</w:t>
      </w:r>
      <w:r w:rsidR="000E4FD7" w:rsidRPr="007B1178">
        <w:rPr>
          <w:spacing w:val="-2"/>
          <w:lang w:val="fr-FR" w:eastAsia="en-US"/>
        </w:rPr>
        <w:t xml:space="preserve"> ou la complexité de conception.</w:t>
      </w:r>
      <w:r w:rsidR="005D720D">
        <w:rPr>
          <w:spacing w:val="-2"/>
          <w:lang w:val="fr-FR" w:eastAsia="en-US"/>
        </w:rPr>
        <w:t xml:space="preserve">  </w:t>
      </w:r>
      <w:r>
        <w:rPr>
          <w:lang w:val="fr-FR" w:eastAsia="en-US"/>
        </w:rPr>
        <w:t>En nous fondant sur l</w:t>
      </w:r>
      <w:r w:rsidR="00EC631A">
        <w:rPr>
          <w:lang w:val="fr-FR" w:eastAsia="en-US"/>
        </w:rPr>
        <w:t>’</w:t>
      </w:r>
      <w:r>
        <w:rPr>
          <w:lang w:val="fr-FR" w:eastAsia="en-US"/>
        </w:rPr>
        <w:t>analyse économétrique</w:t>
      </w:r>
      <w:r w:rsidR="000E4FD7" w:rsidRPr="00CB3013">
        <w:rPr>
          <w:lang w:val="fr-FR" w:eastAsia="en-US"/>
        </w:rPr>
        <w:t>, nous trouvons des résultats attestant d</w:t>
      </w:r>
      <w:r w:rsidR="00EC631A">
        <w:rPr>
          <w:lang w:val="fr-FR" w:eastAsia="en-US"/>
        </w:rPr>
        <w:t>’</w:t>
      </w:r>
      <w:r w:rsidR="000E4FD7" w:rsidRPr="00CB3013">
        <w:rPr>
          <w:lang w:val="fr-FR" w:eastAsia="en-US"/>
        </w:rPr>
        <w:t>un impact positif de l</w:t>
      </w:r>
      <w:r w:rsidR="00EC631A">
        <w:rPr>
          <w:lang w:val="fr-FR" w:eastAsia="en-US"/>
        </w:rPr>
        <w:t>’</w:t>
      </w:r>
      <w:r w:rsidR="000E4FD7" w:rsidRPr="00CB3013">
        <w:rPr>
          <w:lang w:val="fr-FR" w:eastAsia="en-US"/>
        </w:rPr>
        <w:t xml:space="preserve">utilisation des brevets sur </w:t>
      </w:r>
      <w:r w:rsidR="000B5991" w:rsidRPr="00CB3013">
        <w:rPr>
          <w:lang w:val="fr-FR" w:eastAsia="en-US"/>
        </w:rPr>
        <w:t>tout</w:t>
      </w:r>
      <w:r w:rsidR="000E4FD7" w:rsidRPr="00CB3013">
        <w:rPr>
          <w:lang w:val="fr-FR" w:eastAsia="en-US"/>
        </w:rPr>
        <w:t xml:space="preserve"> indicateur de performance à l</w:t>
      </w:r>
      <w:r w:rsidR="00EC631A">
        <w:rPr>
          <w:lang w:val="fr-FR" w:eastAsia="en-US"/>
        </w:rPr>
        <w:t>’</w:t>
      </w:r>
      <w:r w:rsidR="000E4FD7" w:rsidRPr="00CB3013">
        <w:rPr>
          <w:lang w:val="fr-FR" w:eastAsia="en-US"/>
        </w:rPr>
        <w:t>exportation.</w:t>
      </w:r>
    </w:p>
    <w:p w:rsidR="00E73BE5" w:rsidRDefault="0048338D" w:rsidP="004F5600">
      <w:pPr>
        <w:pStyle w:val="ONUMFS"/>
        <w:numPr>
          <w:ilvl w:val="0"/>
          <w:numId w:val="0"/>
        </w:numPr>
        <w:spacing w:after="0"/>
        <w:rPr>
          <w:lang w:val="fr-FR" w:eastAsia="en-US"/>
        </w:rPr>
      </w:pPr>
      <w:r>
        <w:rPr>
          <w:lang w:val="fr-FR" w:eastAsia="en-US"/>
        </w:rPr>
        <w:t>Nous nous sommes appuyés</w:t>
      </w:r>
      <w:r w:rsidR="000E4FD7" w:rsidRPr="00CB3013">
        <w:rPr>
          <w:lang w:val="fr-FR" w:eastAsia="en-US"/>
        </w:rPr>
        <w:t xml:space="preserve"> sur les informations relatives à l</w:t>
      </w:r>
      <w:r w:rsidR="00EC631A">
        <w:rPr>
          <w:lang w:val="fr-FR" w:eastAsia="en-US"/>
        </w:rPr>
        <w:t>’</w:t>
      </w:r>
      <w:r w:rsidR="000E4FD7" w:rsidRPr="00CB3013">
        <w:rPr>
          <w:lang w:val="fr-FR" w:eastAsia="en-US"/>
        </w:rPr>
        <w:t xml:space="preserve">utilisation de la propriété intellectuelle par les grandes entreprises brésiliennes innovantes tirées de </w:t>
      </w:r>
      <w:r w:rsidR="000B5991" w:rsidRPr="00CB3013">
        <w:rPr>
          <w:lang w:val="fr-FR" w:eastAsia="en-US"/>
        </w:rPr>
        <w:t>l</w:t>
      </w:r>
      <w:r w:rsidR="00EC631A">
        <w:rPr>
          <w:lang w:val="fr-FR" w:eastAsia="en-US"/>
        </w:rPr>
        <w:t>’</w:t>
      </w:r>
      <w:r w:rsidR="000B5991" w:rsidRPr="00CB3013">
        <w:rPr>
          <w:lang w:val="fr-FR" w:eastAsia="en-US"/>
        </w:rPr>
        <w:t>enquête</w:t>
      </w:r>
      <w:r w:rsidR="000E4FD7" w:rsidRPr="00CB3013">
        <w:rPr>
          <w:lang w:val="fr-FR" w:eastAsia="en-US"/>
        </w:rPr>
        <w:t xml:space="preserve"> PINTEC, qui constituait la meilleure source au moment où </w:t>
      </w:r>
      <w:r w:rsidR="000B5991" w:rsidRPr="00CB3013">
        <w:rPr>
          <w:lang w:val="fr-FR" w:eastAsia="en-US"/>
        </w:rPr>
        <w:t>l</w:t>
      </w:r>
      <w:r w:rsidR="00EC631A">
        <w:rPr>
          <w:lang w:val="fr-FR" w:eastAsia="en-US"/>
        </w:rPr>
        <w:t>’</w:t>
      </w:r>
      <w:r w:rsidR="000E4FD7" w:rsidRPr="00CB3013">
        <w:rPr>
          <w:lang w:val="fr-FR" w:eastAsia="en-US"/>
        </w:rPr>
        <w:t>étude a été réalisée.</w:t>
      </w:r>
      <w:r w:rsidR="00A221AC" w:rsidRPr="00A20C37">
        <w:rPr>
          <w:lang w:val="fr-FR"/>
        </w:rPr>
        <w:t xml:space="preserve">  </w:t>
      </w:r>
      <w:r w:rsidR="000E4FD7" w:rsidRPr="00CB3013">
        <w:rPr>
          <w:lang w:val="fr-FR" w:eastAsia="en-US"/>
        </w:rPr>
        <w:t xml:space="preserve">Toutefois, </w:t>
      </w:r>
      <w:r>
        <w:rPr>
          <w:lang w:val="fr-FR" w:eastAsia="en-US"/>
        </w:rPr>
        <w:t xml:space="preserve">cela signifie que </w:t>
      </w:r>
      <w:r w:rsidR="000E4FD7" w:rsidRPr="00CB3013">
        <w:rPr>
          <w:lang w:val="fr-FR" w:eastAsia="en-US"/>
        </w:rPr>
        <w:t>nos résultats peuvent ne pas valoir pour d</w:t>
      </w:r>
      <w:r w:rsidR="00EC631A">
        <w:rPr>
          <w:lang w:val="fr-FR" w:eastAsia="en-US"/>
        </w:rPr>
        <w:t>’</w:t>
      </w:r>
      <w:r w:rsidR="00A20C37">
        <w:rPr>
          <w:lang w:val="fr-FR" w:eastAsia="en-US"/>
        </w:rPr>
        <w:t>autres</w:t>
      </w:r>
      <w:r w:rsidR="000E4FD7" w:rsidRPr="00CB3013">
        <w:rPr>
          <w:lang w:val="fr-FR" w:eastAsia="en-US"/>
        </w:rPr>
        <w:t xml:space="preserve"> groupes, tels que les entreprises de plus petite taille ou non innovantes.</w:t>
      </w:r>
      <w:r w:rsidR="00A221AC" w:rsidRPr="00A20C37">
        <w:rPr>
          <w:lang w:val="fr-FR"/>
        </w:rPr>
        <w:t xml:space="preserve">  </w:t>
      </w:r>
      <w:r>
        <w:rPr>
          <w:lang w:val="fr-FR"/>
        </w:rPr>
        <w:t>C</w:t>
      </w:r>
      <w:r w:rsidR="000E4FD7" w:rsidRPr="00CB3013">
        <w:rPr>
          <w:lang w:val="fr-FR" w:eastAsia="en-US"/>
        </w:rPr>
        <w:t xml:space="preserve">es limitations </w:t>
      </w:r>
      <w:r>
        <w:rPr>
          <w:lang w:val="fr-FR" w:eastAsia="en-US"/>
        </w:rPr>
        <w:t>peuvent être surmontées grâce à l</w:t>
      </w:r>
      <w:r w:rsidR="00EC631A">
        <w:rPr>
          <w:lang w:val="fr-FR" w:eastAsia="en-US"/>
        </w:rPr>
        <w:t>’</w:t>
      </w:r>
      <w:r>
        <w:rPr>
          <w:lang w:val="fr-FR" w:eastAsia="en-US"/>
        </w:rPr>
        <w:t xml:space="preserve">utilisation de </w:t>
      </w:r>
      <w:r w:rsidR="000E4FD7" w:rsidRPr="00CB3013">
        <w:rPr>
          <w:lang w:val="fr-FR" w:eastAsia="en-US"/>
        </w:rPr>
        <w:t>la base de données sur l</w:t>
      </w:r>
      <w:r w:rsidR="00EC631A">
        <w:rPr>
          <w:lang w:val="fr-FR" w:eastAsia="en-US"/>
        </w:rPr>
        <w:t>’</w:t>
      </w:r>
      <w:r w:rsidR="000E4FD7" w:rsidRPr="00CB3013">
        <w:rPr>
          <w:lang w:val="fr-FR" w:eastAsia="en-US"/>
        </w:rPr>
        <w:t xml:space="preserve">enregistrement </w:t>
      </w:r>
      <w:r w:rsidR="000B5991" w:rsidRPr="00CB3013">
        <w:rPr>
          <w:lang w:val="fr-FR" w:eastAsia="en-US"/>
        </w:rPr>
        <w:t xml:space="preserve">de </w:t>
      </w:r>
      <w:r w:rsidR="000E4FD7" w:rsidRPr="00CB3013">
        <w:rPr>
          <w:lang w:val="fr-FR" w:eastAsia="en-US"/>
        </w:rPr>
        <w:t>l</w:t>
      </w:r>
      <w:r w:rsidR="00EC631A">
        <w:rPr>
          <w:lang w:val="fr-FR" w:eastAsia="en-US"/>
        </w:rPr>
        <w:t>’</w:t>
      </w:r>
      <w:proofErr w:type="spellStart"/>
      <w:r w:rsidR="000E4FD7" w:rsidRPr="00CB3013">
        <w:rPr>
          <w:lang w:val="fr-FR" w:eastAsia="en-US"/>
        </w:rPr>
        <w:t>Instituto</w:t>
      </w:r>
      <w:proofErr w:type="spellEnd"/>
      <w:r w:rsidR="000E4FD7" w:rsidRPr="00CB3013">
        <w:rPr>
          <w:lang w:val="fr-FR" w:eastAsia="en-US"/>
        </w:rPr>
        <w:t xml:space="preserve"> </w:t>
      </w:r>
      <w:proofErr w:type="spellStart"/>
      <w:r w:rsidR="000E4FD7" w:rsidRPr="00CB3013">
        <w:rPr>
          <w:lang w:val="fr-FR" w:eastAsia="en-US"/>
        </w:rPr>
        <w:t>Nacional</w:t>
      </w:r>
      <w:proofErr w:type="spellEnd"/>
      <w:r w:rsidR="000E4FD7" w:rsidRPr="00CB3013">
        <w:rPr>
          <w:lang w:val="fr-FR" w:eastAsia="en-US"/>
        </w:rPr>
        <w:t xml:space="preserve"> de </w:t>
      </w:r>
      <w:proofErr w:type="spellStart"/>
      <w:r w:rsidR="000E4FD7" w:rsidRPr="00CB3013">
        <w:rPr>
          <w:lang w:val="fr-FR" w:eastAsia="en-US"/>
        </w:rPr>
        <w:t>Propriedade</w:t>
      </w:r>
      <w:proofErr w:type="spellEnd"/>
      <w:r w:rsidR="000E4FD7" w:rsidRPr="00CB3013">
        <w:rPr>
          <w:lang w:val="fr-FR" w:eastAsia="en-US"/>
        </w:rPr>
        <w:t xml:space="preserve"> </w:t>
      </w:r>
      <w:proofErr w:type="spellStart"/>
      <w:r w:rsidR="000E4FD7" w:rsidRPr="00CB3013">
        <w:rPr>
          <w:lang w:val="fr-FR" w:eastAsia="en-US"/>
        </w:rPr>
        <w:t>Industrial</w:t>
      </w:r>
      <w:proofErr w:type="spellEnd"/>
      <w:r w:rsidR="000E4FD7" w:rsidRPr="00CB3013">
        <w:rPr>
          <w:lang w:val="fr-FR" w:eastAsia="en-US"/>
        </w:rPr>
        <w:t xml:space="preserve"> (INPI), </w:t>
      </w:r>
      <w:r>
        <w:rPr>
          <w:lang w:val="fr-FR" w:eastAsia="en-US"/>
        </w:rPr>
        <w:t>qui</w:t>
      </w:r>
      <w:r w:rsidR="000E4FD7" w:rsidRPr="00CB3013">
        <w:rPr>
          <w:lang w:val="fr-FR" w:eastAsia="en-US"/>
        </w:rPr>
        <w:t xml:space="preserve"> </w:t>
      </w:r>
      <w:r>
        <w:rPr>
          <w:lang w:val="fr-FR" w:eastAsia="en-US"/>
        </w:rPr>
        <w:t>est</w:t>
      </w:r>
      <w:r w:rsidR="000E4FD7" w:rsidRPr="00CB3013">
        <w:rPr>
          <w:lang w:val="fr-FR" w:eastAsia="en-US"/>
        </w:rPr>
        <w:t xml:space="preserve"> un élément complémentaire </w:t>
      </w:r>
      <w:r>
        <w:rPr>
          <w:lang w:val="fr-FR" w:eastAsia="en-US"/>
        </w:rPr>
        <w:t>de l</w:t>
      </w:r>
      <w:r w:rsidR="00EC631A">
        <w:rPr>
          <w:lang w:val="fr-FR" w:eastAsia="en-US"/>
        </w:rPr>
        <w:t>’</w:t>
      </w:r>
      <w:r>
        <w:rPr>
          <w:lang w:val="fr-FR" w:eastAsia="en-US"/>
        </w:rPr>
        <w:t>Étude de pays menée au Brésil (</w:t>
      </w:r>
      <w:r w:rsidR="000E4FD7" w:rsidRPr="00CB3013">
        <w:rPr>
          <w:lang w:val="fr-FR" w:eastAsia="en-US"/>
        </w:rPr>
        <w:t>CDIP/</w:t>
      </w:r>
      <w:r>
        <w:rPr>
          <w:lang w:val="fr-FR" w:eastAsia="en-US"/>
        </w:rPr>
        <w:t>14/INF/6)</w:t>
      </w:r>
      <w:r w:rsidRPr="0048338D">
        <w:rPr>
          <w:lang w:val="fr-FR" w:eastAsia="en-US"/>
        </w:rPr>
        <w:t xml:space="preserve"> </w:t>
      </w:r>
      <w:r w:rsidR="000B220E">
        <w:rPr>
          <w:lang w:val="fr-FR" w:eastAsia="en-US"/>
        </w:rPr>
        <w:t xml:space="preserve">au titre </w:t>
      </w:r>
      <w:r>
        <w:rPr>
          <w:lang w:val="fr-FR" w:eastAsia="en-US"/>
        </w:rPr>
        <w:t>du projet.</w:t>
      </w:r>
    </w:p>
    <w:p w:rsidR="007915E7" w:rsidRPr="00CB3013" w:rsidRDefault="007915E7" w:rsidP="004F5600">
      <w:pPr>
        <w:pStyle w:val="NoSpacing"/>
        <w:rPr>
          <w:rFonts w:ascii="Arial" w:hAnsi="Arial" w:cs="Arial"/>
          <w:lang w:val="fr-FR"/>
        </w:rPr>
      </w:pPr>
    </w:p>
    <w:p w:rsidR="007915E7" w:rsidRDefault="007915E7" w:rsidP="004F5600">
      <w:pPr>
        <w:rPr>
          <w:szCs w:val="22"/>
          <w:lang w:val="fr-FR"/>
        </w:rPr>
      </w:pPr>
    </w:p>
    <w:p w:rsidR="004F5600" w:rsidRDefault="004F5600" w:rsidP="004F5600">
      <w:pPr>
        <w:rPr>
          <w:szCs w:val="22"/>
          <w:lang w:val="fr-FR"/>
        </w:rPr>
      </w:pPr>
    </w:p>
    <w:p w:rsidR="007915E7" w:rsidRPr="00CB3013" w:rsidRDefault="000E4FD7" w:rsidP="004F5600">
      <w:pPr>
        <w:pStyle w:val="Endofdocument-Annex"/>
        <w:rPr>
          <w:i/>
          <w:lang w:val="fr-FR"/>
        </w:rPr>
      </w:pPr>
      <w:r w:rsidRPr="00CB3013">
        <w:rPr>
          <w:lang w:val="fr-FR"/>
        </w:rPr>
        <w:t>[Fin de l</w:t>
      </w:r>
      <w:r w:rsidR="00EC631A">
        <w:rPr>
          <w:lang w:val="fr-FR"/>
        </w:rPr>
        <w:t>’</w:t>
      </w:r>
      <w:r w:rsidRPr="00CB3013">
        <w:rPr>
          <w:lang w:val="fr-FR"/>
        </w:rPr>
        <w:t>annexe et du document]</w:t>
      </w:r>
    </w:p>
    <w:sectPr w:rsidR="007915E7" w:rsidRPr="00CB3013" w:rsidSect="00EC631A">
      <w:footerReference w:type="first" r:id="rId22"/>
      <w:endnotePr>
        <w:numFmt w:val="decimal"/>
      </w:endnotePr>
      <w:pgSz w:w="11906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8D" w:rsidRDefault="00DF608D" w:rsidP="00DB70AF">
      <w:r>
        <w:separator/>
      </w:r>
    </w:p>
  </w:endnote>
  <w:endnote w:type="continuationSeparator" w:id="0">
    <w:p w:rsidR="00DF608D" w:rsidRDefault="00DF608D" w:rsidP="00DB70AF">
      <w:r>
        <w:continuationSeparator/>
      </w:r>
    </w:p>
  </w:endnote>
  <w:endnote w:type="continuationNotice" w:id="1">
    <w:p w:rsidR="00A20C37" w:rsidRDefault="00A20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13" w:rsidRPr="00CB3013" w:rsidRDefault="00CB3013" w:rsidP="00CB3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AF" w:rsidRDefault="00261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13" w:rsidRDefault="00CB3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8D" w:rsidRDefault="00DF608D" w:rsidP="00DB70AF">
      <w:r>
        <w:separator/>
      </w:r>
    </w:p>
  </w:footnote>
  <w:footnote w:type="continuationSeparator" w:id="0">
    <w:p w:rsidR="00DF608D" w:rsidRDefault="00DF608D" w:rsidP="00DB70AF">
      <w:r>
        <w:continuationSeparator/>
      </w:r>
    </w:p>
  </w:footnote>
  <w:footnote w:type="continuationNotice" w:id="1">
    <w:p w:rsidR="00A20C37" w:rsidRDefault="00A20C37"/>
  </w:footnote>
  <w:footnote w:id="2">
    <w:p w:rsidR="00900585" w:rsidRPr="00900585" w:rsidRDefault="0090058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05732">
        <w:rPr>
          <w:lang w:val="fr-CH"/>
        </w:rPr>
        <w:t xml:space="preserve"> </w:t>
      </w:r>
      <w:r w:rsidR="00EC631A" w:rsidRPr="00A05732">
        <w:rPr>
          <w:lang w:val="fr-CH"/>
        </w:rPr>
        <w:tab/>
      </w:r>
      <w:r>
        <w:rPr>
          <w:lang w:val="fr-CH"/>
        </w:rPr>
        <w:t xml:space="preserve">Parallèlement à l’établissement de ce rapport et dans le cadre </w:t>
      </w:r>
      <w:r w:rsidR="00BA684F">
        <w:rPr>
          <w:lang w:val="fr-CH"/>
        </w:rPr>
        <w:t>de l’</w:t>
      </w:r>
      <w:r>
        <w:rPr>
          <w:lang w:val="fr-CH"/>
        </w:rPr>
        <w:t>Étude de pays</w:t>
      </w:r>
      <w:r w:rsidR="00BA684F">
        <w:rPr>
          <w:lang w:val="fr-CH"/>
        </w:rPr>
        <w:t xml:space="preserve"> menée</w:t>
      </w:r>
      <w:r>
        <w:rPr>
          <w:lang w:val="fr-CH"/>
        </w:rPr>
        <w:t xml:space="preserve"> </w:t>
      </w:r>
      <w:r w:rsidR="00BA684F">
        <w:rPr>
          <w:lang w:val="fr-CH"/>
        </w:rPr>
        <w:t>au</w:t>
      </w:r>
      <w:r>
        <w:rPr>
          <w:lang w:val="fr-CH"/>
        </w:rPr>
        <w:t xml:space="preserve"> Brésil (CDIP/14/INF/6)</w:t>
      </w:r>
      <w:r w:rsidR="000B220E">
        <w:rPr>
          <w:lang w:val="fr-CH"/>
        </w:rPr>
        <w:t xml:space="preserve"> au titre</w:t>
      </w:r>
      <w:r w:rsidR="00BA684F">
        <w:rPr>
          <w:lang w:val="fr-CH"/>
        </w:rPr>
        <w:t xml:space="preserve"> du projet</w:t>
      </w:r>
      <w:r>
        <w:rPr>
          <w:lang w:val="fr-CH"/>
        </w:rPr>
        <w:t xml:space="preserve">, </w:t>
      </w:r>
      <w:r w:rsidR="00BA684F" w:rsidRPr="00BA684F">
        <w:rPr>
          <w:lang w:val="fr-CH"/>
        </w:rPr>
        <w:t>l’Office brésilien de la propriété intellectuelle</w:t>
      </w:r>
      <w:r w:rsidR="00BA684F">
        <w:rPr>
          <w:lang w:val="fr-CH"/>
        </w:rPr>
        <w:t xml:space="preserve"> a entrepris la création d’une </w:t>
      </w:r>
      <w:r w:rsidR="0048338D" w:rsidRPr="00CB3013">
        <w:rPr>
          <w:lang w:val="fr-FR" w:eastAsia="en-US"/>
        </w:rPr>
        <w:t xml:space="preserve">base de données </w:t>
      </w:r>
      <w:proofErr w:type="gramStart"/>
      <w:r w:rsidR="0048338D">
        <w:rPr>
          <w:lang w:val="fr-FR" w:eastAsia="en-US"/>
        </w:rPr>
        <w:t>statistique</w:t>
      </w:r>
      <w:r w:rsidR="000B220E">
        <w:rPr>
          <w:lang w:val="fr-FR" w:eastAsia="en-US"/>
        </w:rPr>
        <w:t>s</w:t>
      </w:r>
      <w:proofErr w:type="gramEnd"/>
      <w:r w:rsidR="0048338D">
        <w:rPr>
          <w:lang w:val="fr-FR" w:eastAsia="en-US"/>
        </w:rPr>
        <w:t xml:space="preserve"> </w:t>
      </w:r>
      <w:r w:rsidR="0048338D" w:rsidRPr="00CB3013">
        <w:rPr>
          <w:lang w:val="fr-FR" w:eastAsia="en-US"/>
        </w:rPr>
        <w:t>sur l</w:t>
      </w:r>
      <w:r w:rsidR="0048338D">
        <w:rPr>
          <w:lang w:val="fr-FR" w:eastAsia="en-US"/>
        </w:rPr>
        <w:t>’</w:t>
      </w:r>
      <w:r w:rsidR="0048338D" w:rsidRPr="00CB3013">
        <w:rPr>
          <w:lang w:val="fr-FR" w:eastAsia="en-US"/>
        </w:rPr>
        <w:t>enregistrement</w:t>
      </w:r>
      <w:r w:rsidR="00BA684F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80D" w:rsidRDefault="00D8380D" w:rsidP="00D377AB">
    <w:pPr>
      <w:jc w:val="right"/>
    </w:pPr>
    <w:bookmarkStart w:id="5" w:name="Code2"/>
    <w:bookmarkEnd w:id="5"/>
    <w:r>
      <w:t>CDIP/13/INF/</w:t>
    </w:r>
    <w:r w:rsidR="00621AFE">
      <w:t>1</w:t>
    </w:r>
    <w:r>
      <w:t>2</w:t>
    </w:r>
  </w:p>
  <w:p w:rsidR="00D8380D" w:rsidRDefault="00D8380D" w:rsidP="00D377A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880696">
      <w:rPr>
        <w:noProof/>
      </w:rPr>
      <w:t>2</w:t>
    </w:r>
    <w:r>
      <w:fldChar w:fldCharType="end"/>
    </w:r>
  </w:p>
  <w:p w:rsidR="00D8380D" w:rsidRDefault="00D8380D" w:rsidP="00D377A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37" w:rsidRDefault="00A20C37" w:rsidP="00D377AB">
    <w:pPr>
      <w:jc w:val="right"/>
    </w:pPr>
    <w:r>
      <w:t>CDIP/1</w:t>
    </w:r>
    <w:r w:rsidR="008C4A2A">
      <w:t>4</w:t>
    </w:r>
    <w:r>
      <w:t>/INF/</w:t>
    </w:r>
    <w:r w:rsidR="008C4A2A">
      <w:t>5</w:t>
    </w:r>
  </w:p>
  <w:p w:rsidR="00A20C37" w:rsidRDefault="00A20C37" w:rsidP="00D377AB">
    <w:pPr>
      <w:jc w:val="right"/>
    </w:pPr>
    <w:proofErr w:type="spellStart"/>
    <w:r>
      <w:t>Annexe</w:t>
    </w:r>
    <w:proofErr w:type="spellEnd"/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7A20B3">
      <w:rPr>
        <w:noProof/>
      </w:rPr>
      <w:t>2</w:t>
    </w:r>
    <w:r>
      <w:fldChar w:fldCharType="end"/>
    </w:r>
  </w:p>
  <w:p w:rsidR="00A20C37" w:rsidRDefault="00A20C37" w:rsidP="00D377A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AF" w:rsidRDefault="002619AF" w:rsidP="002619AF">
    <w:pPr>
      <w:jc w:val="right"/>
    </w:pPr>
    <w:r>
      <w:t>CDIP/1</w:t>
    </w:r>
    <w:r w:rsidR="00B21405">
      <w:t>4</w:t>
    </w:r>
    <w:r>
      <w:t>/INF/</w:t>
    </w:r>
    <w:r w:rsidR="00B21405">
      <w:t>5</w:t>
    </w:r>
  </w:p>
  <w:p w:rsidR="002619AF" w:rsidRDefault="00A20C37" w:rsidP="002619AF">
    <w:pPr>
      <w:jc w:val="right"/>
    </w:pPr>
    <w:r>
      <w:t>ANNEXE</w:t>
    </w:r>
  </w:p>
  <w:p w:rsidR="002619AF" w:rsidRDefault="002619AF" w:rsidP="00A20C37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C37" w:rsidRDefault="00A20C37" w:rsidP="00A20C37">
    <w:pPr>
      <w:jc w:val="right"/>
    </w:pPr>
    <w:r>
      <w:t>CDIP/1</w:t>
    </w:r>
    <w:r w:rsidR="008C4A2A">
      <w:t>4</w:t>
    </w:r>
    <w:r>
      <w:t>/INF/</w:t>
    </w:r>
    <w:r w:rsidR="008C4A2A">
      <w:t>5</w:t>
    </w:r>
  </w:p>
  <w:p w:rsidR="00A20C37" w:rsidRDefault="00A20C37" w:rsidP="00A20C37">
    <w:pPr>
      <w:jc w:val="right"/>
    </w:pPr>
    <w:proofErr w:type="spellStart"/>
    <w:r>
      <w:t>Annexe</w:t>
    </w:r>
    <w:proofErr w:type="spellEnd"/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7A20B3">
      <w:rPr>
        <w:noProof/>
      </w:rPr>
      <w:t>7</w:t>
    </w:r>
    <w:r>
      <w:fldChar w:fldCharType="end"/>
    </w:r>
  </w:p>
  <w:p w:rsidR="00A20C37" w:rsidRDefault="00A20C37" w:rsidP="00A20C3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Lisbonne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Madrid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"/>
    <w:docVar w:name="TextBaseURL" w:val="empty"/>
    <w:docVar w:name="UILng" w:val="en"/>
  </w:docVars>
  <w:rsids>
    <w:rsidRoot w:val="00DB70AF"/>
    <w:rsid w:val="00017819"/>
    <w:rsid w:val="000208F9"/>
    <w:rsid w:val="00027791"/>
    <w:rsid w:val="0003334D"/>
    <w:rsid w:val="000343AE"/>
    <w:rsid w:val="00065BED"/>
    <w:rsid w:val="000675D2"/>
    <w:rsid w:val="00070403"/>
    <w:rsid w:val="00072F8F"/>
    <w:rsid w:val="00097E7A"/>
    <w:rsid w:val="000A01E6"/>
    <w:rsid w:val="000A1DF6"/>
    <w:rsid w:val="000A2EF4"/>
    <w:rsid w:val="000B220E"/>
    <w:rsid w:val="000B3841"/>
    <w:rsid w:val="000B5991"/>
    <w:rsid w:val="000C70CE"/>
    <w:rsid w:val="000E37FD"/>
    <w:rsid w:val="000E4FD7"/>
    <w:rsid w:val="00101EFA"/>
    <w:rsid w:val="001120AE"/>
    <w:rsid w:val="00143D6D"/>
    <w:rsid w:val="001613D7"/>
    <w:rsid w:val="0016210F"/>
    <w:rsid w:val="00183537"/>
    <w:rsid w:val="001978E9"/>
    <w:rsid w:val="001B0F76"/>
    <w:rsid w:val="001C48BA"/>
    <w:rsid w:val="001C5BA6"/>
    <w:rsid w:val="001D4706"/>
    <w:rsid w:val="001F09A9"/>
    <w:rsid w:val="001F2BAB"/>
    <w:rsid w:val="00212789"/>
    <w:rsid w:val="00216AD2"/>
    <w:rsid w:val="00237213"/>
    <w:rsid w:val="00237687"/>
    <w:rsid w:val="0023783D"/>
    <w:rsid w:val="002619AF"/>
    <w:rsid w:val="002669F3"/>
    <w:rsid w:val="00280000"/>
    <w:rsid w:val="0028499E"/>
    <w:rsid w:val="002878EB"/>
    <w:rsid w:val="00291629"/>
    <w:rsid w:val="00296123"/>
    <w:rsid w:val="002A2ADD"/>
    <w:rsid w:val="002B1478"/>
    <w:rsid w:val="002C4E7C"/>
    <w:rsid w:val="002D5C11"/>
    <w:rsid w:val="002F58E7"/>
    <w:rsid w:val="002F6DC0"/>
    <w:rsid w:val="0030238F"/>
    <w:rsid w:val="00317007"/>
    <w:rsid w:val="00360DEA"/>
    <w:rsid w:val="003856EA"/>
    <w:rsid w:val="00393AF3"/>
    <w:rsid w:val="003B3850"/>
    <w:rsid w:val="003B72A9"/>
    <w:rsid w:val="003E71F0"/>
    <w:rsid w:val="003F0273"/>
    <w:rsid w:val="003F41F5"/>
    <w:rsid w:val="003F5D01"/>
    <w:rsid w:val="00405112"/>
    <w:rsid w:val="004150B5"/>
    <w:rsid w:val="004230FA"/>
    <w:rsid w:val="00432E81"/>
    <w:rsid w:val="004410A5"/>
    <w:rsid w:val="004441BA"/>
    <w:rsid w:val="004473DA"/>
    <w:rsid w:val="00451763"/>
    <w:rsid w:val="004627D6"/>
    <w:rsid w:val="00472F75"/>
    <w:rsid w:val="0048338D"/>
    <w:rsid w:val="00483687"/>
    <w:rsid w:val="00494315"/>
    <w:rsid w:val="004B0E45"/>
    <w:rsid w:val="004C15EC"/>
    <w:rsid w:val="004C586B"/>
    <w:rsid w:val="004C6183"/>
    <w:rsid w:val="004D3727"/>
    <w:rsid w:val="004D77CD"/>
    <w:rsid w:val="004E0D5E"/>
    <w:rsid w:val="004E28D5"/>
    <w:rsid w:val="004F1D28"/>
    <w:rsid w:val="004F252A"/>
    <w:rsid w:val="004F4069"/>
    <w:rsid w:val="004F5600"/>
    <w:rsid w:val="00501D81"/>
    <w:rsid w:val="005075DA"/>
    <w:rsid w:val="00531A4A"/>
    <w:rsid w:val="00560A57"/>
    <w:rsid w:val="00567A53"/>
    <w:rsid w:val="00574F03"/>
    <w:rsid w:val="00582660"/>
    <w:rsid w:val="00594AB7"/>
    <w:rsid w:val="00597CFF"/>
    <w:rsid w:val="005D720D"/>
    <w:rsid w:val="005E719E"/>
    <w:rsid w:val="005F03AB"/>
    <w:rsid w:val="005F7B11"/>
    <w:rsid w:val="00616659"/>
    <w:rsid w:val="00621AFE"/>
    <w:rsid w:val="00634D57"/>
    <w:rsid w:val="006617C0"/>
    <w:rsid w:val="00666FD7"/>
    <w:rsid w:val="006941C3"/>
    <w:rsid w:val="006B543D"/>
    <w:rsid w:val="006B5576"/>
    <w:rsid w:val="006B5AE7"/>
    <w:rsid w:val="006C4E07"/>
    <w:rsid w:val="006E021F"/>
    <w:rsid w:val="007036D9"/>
    <w:rsid w:val="00712CCE"/>
    <w:rsid w:val="00715200"/>
    <w:rsid w:val="00740AD7"/>
    <w:rsid w:val="00750888"/>
    <w:rsid w:val="0075713A"/>
    <w:rsid w:val="007668E4"/>
    <w:rsid w:val="00776770"/>
    <w:rsid w:val="00776EBD"/>
    <w:rsid w:val="00782B5E"/>
    <w:rsid w:val="007915E7"/>
    <w:rsid w:val="007A20B3"/>
    <w:rsid w:val="007B1178"/>
    <w:rsid w:val="007B381B"/>
    <w:rsid w:val="007C108B"/>
    <w:rsid w:val="007C2EC2"/>
    <w:rsid w:val="007C6C7E"/>
    <w:rsid w:val="007E03CA"/>
    <w:rsid w:val="007E79AE"/>
    <w:rsid w:val="007F3FEC"/>
    <w:rsid w:val="008076D0"/>
    <w:rsid w:val="00816C88"/>
    <w:rsid w:val="00847165"/>
    <w:rsid w:val="00850965"/>
    <w:rsid w:val="00852126"/>
    <w:rsid w:val="008565D5"/>
    <w:rsid w:val="00862D99"/>
    <w:rsid w:val="00863B4D"/>
    <w:rsid w:val="00880696"/>
    <w:rsid w:val="00880FF6"/>
    <w:rsid w:val="008828AE"/>
    <w:rsid w:val="008949A5"/>
    <w:rsid w:val="008A24D2"/>
    <w:rsid w:val="008A7DE2"/>
    <w:rsid w:val="008B3175"/>
    <w:rsid w:val="008C4A2A"/>
    <w:rsid w:val="008E0E4D"/>
    <w:rsid w:val="008E6A8C"/>
    <w:rsid w:val="008E6CA5"/>
    <w:rsid w:val="008E6D2C"/>
    <w:rsid w:val="00900585"/>
    <w:rsid w:val="009024A9"/>
    <w:rsid w:val="00912A1A"/>
    <w:rsid w:val="00912A6B"/>
    <w:rsid w:val="00944122"/>
    <w:rsid w:val="00951A87"/>
    <w:rsid w:val="00954953"/>
    <w:rsid w:val="00967457"/>
    <w:rsid w:val="00971829"/>
    <w:rsid w:val="009A01E3"/>
    <w:rsid w:val="009A1B39"/>
    <w:rsid w:val="009A6D3D"/>
    <w:rsid w:val="009D1B16"/>
    <w:rsid w:val="009E123A"/>
    <w:rsid w:val="009E1EB5"/>
    <w:rsid w:val="00A05732"/>
    <w:rsid w:val="00A20C37"/>
    <w:rsid w:val="00A221AC"/>
    <w:rsid w:val="00A2333E"/>
    <w:rsid w:val="00A26FD0"/>
    <w:rsid w:val="00A27A81"/>
    <w:rsid w:val="00A35368"/>
    <w:rsid w:val="00A44C07"/>
    <w:rsid w:val="00A56B93"/>
    <w:rsid w:val="00A62223"/>
    <w:rsid w:val="00A81353"/>
    <w:rsid w:val="00A954F1"/>
    <w:rsid w:val="00AA113A"/>
    <w:rsid w:val="00AA2007"/>
    <w:rsid w:val="00AA5C1F"/>
    <w:rsid w:val="00AB277B"/>
    <w:rsid w:val="00AB5C83"/>
    <w:rsid w:val="00AC0D1F"/>
    <w:rsid w:val="00AD0650"/>
    <w:rsid w:val="00AE27C9"/>
    <w:rsid w:val="00B21405"/>
    <w:rsid w:val="00B21B0E"/>
    <w:rsid w:val="00B301D1"/>
    <w:rsid w:val="00B3235C"/>
    <w:rsid w:val="00B60355"/>
    <w:rsid w:val="00B62A80"/>
    <w:rsid w:val="00B70EA3"/>
    <w:rsid w:val="00B724C7"/>
    <w:rsid w:val="00B8131E"/>
    <w:rsid w:val="00BA2FD2"/>
    <w:rsid w:val="00BA44E2"/>
    <w:rsid w:val="00BA684F"/>
    <w:rsid w:val="00BB0F97"/>
    <w:rsid w:val="00BC51A7"/>
    <w:rsid w:val="00BE03CF"/>
    <w:rsid w:val="00BE4022"/>
    <w:rsid w:val="00BE56DA"/>
    <w:rsid w:val="00C00022"/>
    <w:rsid w:val="00C15297"/>
    <w:rsid w:val="00C202CE"/>
    <w:rsid w:val="00C208EA"/>
    <w:rsid w:val="00C46BA5"/>
    <w:rsid w:val="00C730F4"/>
    <w:rsid w:val="00C9121C"/>
    <w:rsid w:val="00CB3013"/>
    <w:rsid w:val="00CD129B"/>
    <w:rsid w:val="00CE2303"/>
    <w:rsid w:val="00D02A2E"/>
    <w:rsid w:val="00D0329E"/>
    <w:rsid w:val="00D20B7E"/>
    <w:rsid w:val="00D377AB"/>
    <w:rsid w:val="00D50470"/>
    <w:rsid w:val="00D66230"/>
    <w:rsid w:val="00D7355B"/>
    <w:rsid w:val="00D801F0"/>
    <w:rsid w:val="00D8380D"/>
    <w:rsid w:val="00D9374B"/>
    <w:rsid w:val="00DB200E"/>
    <w:rsid w:val="00DB418C"/>
    <w:rsid w:val="00DB70AF"/>
    <w:rsid w:val="00DC193F"/>
    <w:rsid w:val="00DC4862"/>
    <w:rsid w:val="00DC697A"/>
    <w:rsid w:val="00DD2351"/>
    <w:rsid w:val="00DD573B"/>
    <w:rsid w:val="00DF04A2"/>
    <w:rsid w:val="00DF608D"/>
    <w:rsid w:val="00DF7371"/>
    <w:rsid w:val="00E028D6"/>
    <w:rsid w:val="00E103E8"/>
    <w:rsid w:val="00E201BD"/>
    <w:rsid w:val="00E23654"/>
    <w:rsid w:val="00E36F1D"/>
    <w:rsid w:val="00E4125D"/>
    <w:rsid w:val="00E42E3B"/>
    <w:rsid w:val="00E43236"/>
    <w:rsid w:val="00E46CF3"/>
    <w:rsid w:val="00E50E17"/>
    <w:rsid w:val="00E63E52"/>
    <w:rsid w:val="00E71C10"/>
    <w:rsid w:val="00E73BE5"/>
    <w:rsid w:val="00E81BDD"/>
    <w:rsid w:val="00E9009E"/>
    <w:rsid w:val="00EB2086"/>
    <w:rsid w:val="00EB4BAD"/>
    <w:rsid w:val="00EC2D25"/>
    <w:rsid w:val="00EC631A"/>
    <w:rsid w:val="00ED322F"/>
    <w:rsid w:val="00EF16CE"/>
    <w:rsid w:val="00F2562E"/>
    <w:rsid w:val="00F47847"/>
    <w:rsid w:val="00F54DAB"/>
    <w:rsid w:val="00F60AF7"/>
    <w:rsid w:val="00F66147"/>
    <w:rsid w:val="00F7605E"/>
    <w:rsid w:val="00F90CAE"/>
    <w:rsid w:val="00F94C66"/>
    <w:rsid w:val="00FA3038"/>
    <w:rsid w:val="00FB6AA5"/>
    <w:rsid w:val="00FB76EF"/>
    <w:rsid w:val="00FC6796"/>
    <w:rsid w:val="00FC6E8C"/>
    <w:rsid w:val="00FD4DF9"/>
    <w:rsid w:val="00FE4525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AF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0A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70A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70A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DB70AF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0AF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B70AF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AF"/>
    <w:rPr>
      <w:rFonts w:ascii="Arial" w:eastAsia="SimSun" w:hAnsi="Arial" w:cs="Arial"/>
      <w:bCs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DB70AF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rsid w:val="00DB70AF"/>
    <w:pPr>
      <w:ind w:left="5534"/>
    </w:pPr>
  </w:style>
  <w:style w:type="paragraph" w:styleId="BodyText">
    <w:name w:val="Body Text"/>
    <w:basedOn w:val="Normal"/>
    <w:link w:val="BodyTextChar"/>
    <w:rsid w:val="00DB70AF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DB70AF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35"/>
    <w:qFormat/>
    <w:rsid w:val="00DB70AF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DB70AF"/>
    <w:rPr>
      <w:sz w:val="18"/>
    </w:rPr>
  </w:style>
  <w:style w:type="character" w:customStyle="1" w:styleId="CommentTextChar">
    <w:name w:val="Comment Text Char"/>
    <w:basedOn w:val="DefaultParagraphFont"/>
    <w:uiPriority w:val="99"/>
    <w:semiHidden/>
    <w:rsid w:val="00DB70AF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DB70AF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DB7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DB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0AF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 ak"/>
    <w:basedOn w:val="Normal"/>
    <w:link w:val="FootnoteTextChar"/>
    <w:uiPriority w:val="99"/>
    <w:rsid w:val="00DB70AF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uiPriority w:val="99"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DB7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semiHidden/>
    <w:rsid w:val="00DB70AF"/>
    <w:pPr>
      <w:numPr>
        <w:numId w:val="1"/>
      </w:numPr>
    </w:pPr>
  </w:style>
  <w:style w:type="paragraph" w:customStyle="1" w:styleId="ONUME">
    <w:name w:val="ONUM E"/>
    <w:basedOn w:val="BodyText"/>
    <w:rsid w:val="00DB70AF"/>
    <w:pPr>
      <w:numPr>
        <w:numId w:val="2"/>
      </w:numPr>
    </w:pPr>
  </w:style>
  <w:style w:type="paragraph" w:customStyle="1" w:styleId="ONUMFS">
    <w:name w:val="ONUM FS"/>
    <w:basedOn w:val="BodyText"/>
    <w:rsid w:val="00DB70AF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DB70AF"/>
  </w:style>
  <w:style w:type="character" w:customStyle="1" w:styleId="SalutationChar">
    <w:name w:val="Salutation Char"/>
    <w:basedOn w:val="DefaultParagraphFont"/>
    <w:link w:val="Salutation"/>
    <w:semiHidden/>
    <w:rsid w:val="00DB70AF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semiHidden/>
    <w:rsid w:val="00DB70AF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DB70AF"/>
    <w:rPr>
      <w:rFonts w:ascii="Arial" w:eastAsia="SimSun" w:hAnsi="Arial" w:cs="Arial"/>
      <w:szCs w:val="20"/>
      <w:lang w:eastAsia="zh-CN"/>
    </w:rPr>
  </w:style>
  <w:style w:type="character" w:styleId="Hyperlink">
    <w:name w:val="Hyperlink"/>
    <w:uiPriority w:val="99"/>
    <w:unhideWhenUsed/>
    <w:rsid w:val="00DB70AF"/>
    <w:rPr>
      <w:color w:val="0000FF"/>
      <w:u w:val="single"/>
    </w:rPr>
  </w:style>
  <w:style w:type="paragraph" w:styleId="NoSpacing">
    <w:name w:val="No Spacing"/>
    <w:uiPriority w:val="1"/>
    <w:qFormat/>
    <w:rsid w:val="00DB70A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DB70AF"/>
    <w:pPr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2">
    <w:name w:val="Light List Accent 2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5">
    <w:name w:val="Light List Accent 5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">
    <w:name w:val="Light Shading"/>
    <w:basedOn w:val="TableNormal"/>
    <w:uiPriority w:val="60"/>
    <w:rsid w:val="00DB70A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DB70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unhideWhenUsed/>
    <w:rsid w:val="00DB70AF"/>
    <w:rPr>
      <w:vertAlign w:val="superscript"/>
    </w:rPr>
  </w:style>
  <w:style w:type="character" w:customStyle="1" w:styleId="StyleBold">
    <w:name w:val="Style Bold"/>
    <w:rsid w:val="00DB70AF"/>
    <w:rPr>
      <w:b/>
      <w:bCs/>
    </w:rPr>
  </w:style>
  <w:style w:type="paragraph" w:styleId="NormalWeb">
    <w:name w:val="Normal (Web)"/>
    <w:basedOn w:val="Normal"/>
    <w:uiPriority w:val="99"/>
    <w:unhideWhenUsed/>
    <w:rsid w:val="00DB70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0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70AF"/>
    <w:pPr>
      <w:spacing w:after="100" w:line="276" w:lineRule="auto"/>
    </w:pPr>
    <w:rPr>
      <w:rFonts w:ascii="Calibri" w:eastAsia="Calibri" w:hAnsi="Calibri" w:cs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B70AF"/>
    <w:pPr>
      <w:spacing w:after="100" w:line="276" w:lineRule="auto"/>
      <w:ind w:left="440"/>
    </w:pPr>
    <w:rPr>
      <w:rFonts w:ascii="Calibri" w:eastAsia="Calibri" w:hAnsi="Calibri" w:cs="Times New Roman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DB70AF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B70A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70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B70AF"/>
    <w:pPr>
      <w:spacing w:after="200"/>
    </w:pPr>
    <w:rPr>
      <w:rFonts w:ascii="Calibri" w:eastAsia="Calibri" w:hAnsi="Calibri" w:cs="Times New Roman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70AF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DB70AF"/>
    <w:pPr>
      <w:spacing w:after="100" w:line="276" w:lineRule="auto"/>
      <w:ind w:left="220"/>
    </w:pPr>
    <w:rPr>
      <w:rFonts w:ascii="Calibri" w:eastAsia="Calibri" w:hAnsi="Calibri" w:cs="Times New Roman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DB70AF"/>
    <w:rPr>
      <w:rFonts w:eastAsia="MS Mincho"/>
      <w:szCs w:val="24"/>
      <w:lang w:val="de-DE" w:eastAsia="en-US"/>
    </w:rPr>
  </w:style>
  <w:style w:type="paragraph" w:styleId="Revision">
    <w:name w:val="Revision"/>
    <w:hidden/>
    <w:uiPriority w:val="99"/>
    <w:semiHidden/>
    <w:rsid w:val="002B147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C48BA"/>
    <w:rPr>
      <w:color w:val="800080" w:themeColor="followedHyperlink"/>
      <w:u w:val="single"/>
    </w:rPr>
  </w:style>
  <w:style w:type="paragraph" w:customStyle="1" w:styleId="Captionnotes">
    <w:name w:val="Caption notes"/>
    <w:basedOn w:val="BodyText"/>
    <w:qFormat/>
    <w:rsid w:val="006B5AE7"/>
    <w:pPr>
      <w:spacing w:after="0"/>
      <w:jc w:val="center"/>
    </w:pPr>
    <w:rPr>
      <w:rFonts w:eastAsia="Times New Roman"/>
      <w:i/>
      <w:sz w:val="1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96123"/>
    <w:rPr>
      <w:rFonts w:asciiTheme="majorHAnsi" w:eastAsiaTheme="majorEastAsia" w:hAnsiTheme="majorHAnsi" w:cstheme="majorBidi"/>
      <w:color w:val="243F60" w:themeColor="accent1" w:themeShade="7F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AF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70A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70A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70A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DB70AF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61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0AF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B70AF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B70AF"/>
    <w:rPr>
      <w:rFonts w:ascii="Arial" w:eastAsia="SimSun" w:hAnsi="Arial" w:cs="Arial"/>
      <w:bCs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DB70AF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rsid w:val="00DB70AF"/>
    <w:pPr>
      <w:ind w:left="5534"/>
    </w:pPr>
  </w:style>
  <w:style w:type="paragraph" w:styleId="BodyText">
    <w:name w:val="Body Text"/>
    <w:basedOn w:val="Normal"/>
    <w:link w:val="BodyTextChar"/>
    <w:rsid w:val="00DB70AF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DB70AF"/>
    <w:rPr>
      <w:rFonts w:ascii="Arial" w:eastAsia="SimSun" w:hAnsi="Arial" w:cs="Arial"/>
      <w:szCs w:val="20"/>
      <w:lang w:eastAsia="zh-CN"/>
    </w:rPr>
  </w:style>
  <w:style w:type="paragraph" w:styleId="Caption">
    <w:name w:val="caption"/>
    <w:basedOn w:val="Normal"/>
    <w:next w:val="Normal"/>
    <w:uiPriority w:val="35"/>
    <w:qFormat/>
    <w:rsid w:val="00DB70AF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semiHidden/>
    <w:rsid w:val="00DB70AF"/>
    <w:rPr>
      <w:sz w:val="18"/>
    </w:rPr>
  </w:style>
  <w:style w:type="character" w:customStyle="1" w:styleId="CommentTextChar">
    <w:name w:val="Comment Text Char"/>
    <w:basedOn w:val="DefaultParagraphFont"/>
    <w:uiPriority w:val="99"/>
    <w:semiHidden/>
    <w:rsid w:val="00DB70AF"/>
    <w:rPr>
      <w:rFonts w:ascii="Arial" w:eastAsia="SimSu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semiHidden/>
    <w:rsid w:val="00DB70AF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DB70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rsid w:val="00DB7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B70AF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 ak"/>
    <w:basedOn w:val="Normal"/>
    <w:link w:val="FootnoteTextChar"/>
    <w:uiPriority w:val="99"/>
    <w:rsid w:val="00DB70AF"/>
    <w:rPr>
      <w:sz w:val="18"/>
    </w:rPr>
  </w:style>
  <w:style w:type="character" w:customStyle="1" w:styleId="FootnoteTextChar">
    <w:name w:val="Footnote Text Char"/>
    <w:aliases w:val="Footnote ak Char"/>
    <w:basedOn w:val="DefaultParagraphFont"/>
    <w:link w:val="FootnoteText"/>
    <w:uiPriority w:val="99"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DB70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0AF"/>
    <w:rPr>
      <w:rFonts w:ascii="Arial" w:eastAsia="SimSun" w:hAnsi="Arial" w:cs="Arial"/>
      <w:szCs w:val="20"/>
      <w:lang w:eastAsia="zh-CN"/>
    </w:rPr>
  </w:style>
  <w:style w:type="paragraph" w:styleId="ListNumber">
    <w:name w:val="List Number"/>
    <w:basedOn w:val="Normal"/>
    <w:semiHidden/>
    <w:rsid w:val="00DB70AF"/>
    <w:pPr>
      <w:numPr>
        <w:numId w:val="1"/>
      </w:numPr>
    </w:pPr>
  </w:style>
  <w:style w:type="paragraph" w:customStyle="1" w:styleId="ONUME">
    <w:name w:val="ONUM E"/>
    <w:basedOn w:val="BodyText"/>
    <w:rsid w:val="00DB70AF"/>
    <w:pPr>
      <w:numPr>
        <w:numId w:val="2"/>
      </w:numPr>
    </w:pPr>
  </w:style>
  <w:style w:type="paragraph" w:customStyle="1" w:styleId="ONUMFS">
    <w:name w:val="ONUM FS"/>
    <w:basedOn w:val="BodyText"/>
    <w:rsid w:val="00DB70AF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DB70AF"/>
  </w:style>
  <w:style w:type="character" w:customStyle="1" w:styleId="SalutationChar">
    <w:name w:val="Salutation Char"/>
    <w:basedOn w:val="DefaultParagraphFont"/>
    <w:link w:val="Salutation"/>
    <w:semiHidden/>
    <w:rsid w:val="00DB70AF"/>
    <w:rPr>
      <w:rFonts w:ascii="Arial" w:eastAsia="SimSun" w:hAnsi="Arial" w:cs="Arial"/>
      <w:szCs w:val="20"/>
      <w:lang w:eastAsia="zh-CN"/>
    </w:rPr>
  </w:style>
  <w:style w:type="paragraph" w:styleId="Signature">
    <w:name w:val="Signature"/>
    <w:basedOn w:val="Normal"/>
    <w:link w:val="SignatureChar"/>
    <w:semiHidden/>
    <w:rsid w:val="00DB70AF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DB70AF"/>
    <w:rPr>
      <w:rFonts w:ascii="Arial" w:eastAsia="SimSun" w:hAnsi="Arial" w:cs="Arial"/>
      <w:szCs w:val="20"/>
      <w:lang w:eastAsia="zh-CN"/>
    </w:rPr>
  </w:style>
  <w:style w:type="character" w:styleId="Hyperlink">
    <w:name w:val="Hyperlink"/>
    <w:uiPriority w:val="99"/>
    <w:unhideWhenUsed/>
    <w:rsid w:val="00DB70AF"/>
    <w:rPr>
      <w:color w:val="0000FF"/>
      <w:u w:val="single"/>
    </w:rPr>
  </w:style>
  <w:style w:type="paragraph" w:styleId="NoSpacing">
    <w:name w:val="No Spacing"/>
    <w:uiPriority w:val="1"/>
    <w:qFormat/>
    <w:rsid w:val="00DB70A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DB70AF"/>
    <w:pPr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2">
    <w:name w:val="Light List Accent 2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5">
    <w:name w:val="Light List Accent 5"/>
    <w:basedOn w:val="TableNormal"/>
    <w:uiPriority w:val="61"/>
    <w:rsid w:val="00DB70AF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">
    <w:name w:val="Light Shading"/>
    <w:basedOn w:val="TableNormal"/>
    <w:uiPriority w:val="60"/>
    <w:rsid w:val="00DB70A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DB70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unhideWhenUsed/>
    <w:rsid w:val="00DB70AF"/>
    <w:rPr>
      <w:vertAlign w:val="superscript"/>
    </w:rPr>
  </w:style>
  <w:style w:type="character" w:customStyle="1" w:styleId="StyleBold">
    <w:name w:val="Style Bold"/>
    <w:rsid w:val="00DB70AF"/>
    <w:rPr>
      <w:b/>
      <w:bCs/>
    </w:rPr>
  </w:style>
  <w:style w:type="paragraph" w:styleId="NormalWeb">
    <w:name w:val="Normal (Web)"/>
    <w:basedOn w:val="Normal"/>
    <w:uiPriority w:val="99"/>
    <w:unhideWhenUsed/>
    <w:rsid w:val="00DB70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0A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B70AF"/>
    <w:pPr>
      <w:spacing w:after="100" w:line="276" w:lineRule="auto"/>
    </w:pPr>
    <w:rPr>
      <w:rFonts w:ascii="Calibri" w:eastAsia="Calibri" w:hAnsi="Calibri" w:cs="Times New Roman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B70AF"/>
    <w:pPr>
      <w:spacing w:after="100" w:line="276" w:lineRule="auto"/>
      <w:ind w:left="440"/>
    </w:pPr>
    <w:rPr>
      <w:rFonts w:ascii="Calibri" w:eastAsia="Calibri" w:hAnsi="Calibri" w:cs="Times New Roman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DB70AF"/>
    <w:rPr>
      <w:rFonts w:ascii="Tahoma" w:eastAsia="Calibr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B70A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70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B70AF"/>
    <w:pPr>
      <w:spacing w:after="200"/>
    </w:pPr>
    <w:rPr>
      <w:rFonts w:ascii="Calibri" w:eastAsia="Calibri" w:hAnsi="Calibri" w:cs="Times New Roman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B70AF"/>
    <w:rPr>
      <w:rFonts w:ascii="Calibri" w:eastAsia="Calibri" w:hAnsi="Calibri" w:cs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B70AF"/>
    <w:rPr>
      <w:rFonts w:ascii="Arial" w:eastAsia="SimSun" w:hAnsi="Arial" w:cs="Arial"/>
      <w:sz w:val="18"/>
      <w:szCs w:val="20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DB70AF"/>
    <w:pPr>
      <w:spacing w:after="100" w:line="276" w:lineRule="auto"/>
      <w:ind w:left="220"/>
    </w:pPr>
    <w:rPr>
      <w:rFonts w:ascii="Calibri" w:eastAsia="Calibri" w:hAnsi="Calibri" w:cs="Times New Roman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DB70AF"/>
    <w:rPr>
      <w:rFonts w:eastAsia="MS Mincho"/>
      <w:szCs w:val="24"/>
      <w:lang w:val="de-DE" w:eastAsia="en-US"/>
    </w:rPr>
  </w:style>
  <w:style w:type="paragraph" w:styleId="Revision">
    <w:name w:val="Revision"/>
    <w:hidden/>
    <w:uiPriority w:val="99"/>
    <w:semiHidden/>
    <w:rsid w:val="002B1478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C48BA"/>
    <w:rPr>
      <w:color w:val="800080" w:themeColor="followedHyperlink"/>
      <w:u w:val="single"/>
    </w:rPr>
  </w:style>
  <w:style w:type="paragraph" w:customStyle="1" w:styleId="Captionnotes">
    <w:name w:val="Caption notes"/>
    <w:basedOn w:val="BodyText"/>
    <w:qFormat/>
    <w:rsid w:val="006B5AE7"/>
    <w:pPr>
      <w:spacing w:after="0"/>
      <w:jc w:val="center"/>
    </w:pPr>
    <w:rPr>
      <w:rFonts w:eastAsia="Times New Roman"/>
      <w:i/>
      <w:sz w:val="1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296123"/>
    <w:rPr>
      <w:rFonts w:asciiTheme="majorHAnsi" w:eastAsiaTheme="majorEastAsia" w:hAnsiTheme="majorHAnsi" w:cstheme="majorBidi"/>
      <w:color w:val="243F60" w:themeColor="accent1" w:themeShade="7F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10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43627-06E3-4A00-A77D-53CDBBA749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5B3CA-05B4-4EF4-94BB-3E99688687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3B8BED-9AEC-49C6-A803-EF00A23EE1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86D11-E8FC-4025-A5C6-6EE300A5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VALLES GALMES Caterina</dc:creator>
  <cp:keywords>DB/mhf</cp:keywords>
  <cp:lastModifiedBy>SHOUSHA Sally</cp:lastModifiedBy>
  <cp:revision>4</cp:revision>
  <cp:lastPrinted>2014-09-19T08:43:00Z</cp:lastPrinted>
  <dcterms:created xsi:type="dcterms:W3CDTF">2014-09-19T07:40:00Z</dcterms:created>
  <dcterms:modified xsi:type="dcterms:W3CDTF">2014-09-19T08:47:00Z</dcterms:modified>
</cp:coreProperties>
</file>