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8236C" w:rsidRPr="0028236C" w:rsidTr="00545373">
        <w:tc>
          <w:tcPr>
            <w:tcW w:w="4513" w:type="dxa"/>
            <w:tcBorders>
              <w:bottom w:val="single" w:sz="4" w:space="0" w:color="auto"/>
            </w:tcBorders>
            <w:tcMar>
              <w:bottom w:w="170" w:type="dxa"/>
            </w:tcMar>
          </w:tcPr>
          <w:p w:rsidR="0040701B" w:rsidRPr="0028236C" w:rsidRDefault="0040701B" w:rsidP="00153D45">
            <w:bookmarkStart w:id="0" w:name="_GoBack"/>
            <w:bookmarkEnd w:id="0"/>
          </w:p>
        </w:tc>
        <w:tc>
          <w:tcPr>
            <w:tcW w:w="4337" w:type="dxa"/>
            <w:tcBorders>
              <w:bottom w:val="single" w:sz="4" w:space="0" w:color="auto"/>
            </w:tcBorders>
            <w:tcMar>
              <w:left w:w="0" w:type="dxa"/>
              <w:right w:w="0" w:type="dxa"/>
            </w:tcMar>
          </w:tcPr>
          <w:p w:rsidR="0040701B" w:rsidRPr="0028236C" w:rsidRDefault="0040701B" w:rsidP="00153D45">
            <w:r w:rsidRPr="0028236C">
              <w:rPr>
                <w:noProof/>
                <w:lang w:val="en-US" w:eastAsia="en-US"/>
              </w:rPr>
              <w:drawing>
                <wp:inline distT="0" distB="0" distL="0" distR="0" wp14:anchorId="48CD29B5" wp14:editId="01C5D56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0701B" w:rsidRPr="0028236C" w:rsidRDefault="0040701B" w:rsidP="00153D45">
            <w:pPr>
              <w:jc w:val="right"/>
            </w:pPr>
            <w:r w:rsidRPr="0028236C">
              <w:rPr>
                <w:b/>
                <w:sz w:val="40"/>
                <w:szCs w:val="40"/>
              </w:rPr>
              <w:t>F</w:t>
            </w:r>
          </w:p>
        </w:tc>
      </w:tr>
      <w:tr w:rsidR="0040701B" w:rsidRPr="00D849C0" w:rsidTr="00153D45">
        <w:trPr>
          <w:trHeight w:hRule="exact" w:val="340"/>
        </w:trPr>
        <w:tc>
          <w:tcPr>
            <w:tcW w:w="9356" w:type="dxa"/>
            <w:gridSpan w:val="3"/>
            <w:tcBorders>
              <w:top w:val="single" w:sz="4" w:space="0" w:color="auto"/>
            </w:tcBorders>
            <w:tcMar>
              <w:top w:w="170" w:type="dxa"/>
              <w:left w:w="0" w:type="dxa"/>
              <w:right w:w="0" w:type="dxa"/>
            </w:tcMar>
            <w:vAlign w:val="bottom"/>
          </w:tcPr>
          <w:p w:rsidR="0040701B" w:rsidRPr="00D849C0" w:rsidRDefault="0040701B" w:rsidP="00153D45">
            <w:pPr>
              <w:jc w:val="right"/>
              <w:rPr>
                <w:rFonts w:ascii="Arial Black" w:hAnsi="Arial Black"/>
                <w:caps/>
                <w:sz w:val="15"/>
              </w:rPr>
            </w:pPr>
            <w:r w:rsidRPr="00D849C0">
              <w:rPr>
                <w:rFonts w:ascii="Arial Black" w:hAnsi="Arial Black"/>
                <w:caps/>
                <w:sz w:val="15"/>
              </w:rPr>
              <w:t>CDIP/13/</w:t>
            </w:r>
            <w:bookmarkStart w:id="1" w:name="Code"/>
            <w:bookmarkEnd w:id="1"/>
            <w:r w:rsidRPr="00D849C0">
              <w:rPr>
                <w:rFonts w:ascii="Arial Black" w:hAnsi="Arial Black"/>
                <w:caps/>
                <w:sz w:val="15"/>
              </w:rPr>
              <w:t xml:space="preserve">10 </w:t>
            </w:r>
          </w:p>
        </w:tc>
      </w:tr>
      <w:tr w:rsidR="0040701B" w:rsidRPr="00D849C0" w:rsidTr="00153D45">
        <w:trPr>
          <w:trHeight w:hRule="exact" w:val="170"/>
        </w:trPr>
        <w:tc>
          <w:tcPr>
            <w:tcW w:w="9356" w:type="dxa"/>
            <w:gridSpan w:val="3"/>
            <w:noWrap/>
            <w:tcMar>
              <w:left w:w="0" w:type="dxa"/>
              <w:right w:w="0" w:type="dxa"/>
            </w:tcMar>
            <w:vAlign w:val="bottom"/>
          </w:tcPr>
          <w:p w:rsidR="0040701B" w:rsidRPr="00D849C0" w:rsidRDefault="0040701B" w:rsidP="00153D45">
            <w:pPr>
              <w:jc w:val="right"/>
              <w:rPr>
                <w:rFonts w:ascii="Arial Black" w:hAnsi="Arial Black"/>
                <w:caps/>
                <w:sz w:val="15"/>
              </w:rPr>
            </w:pPr>
            <w:r w:rsidRPr="00D849C0">
              <w:rPr>
                <w:rFonts w:ascii="Arial Black" w:hAnsi="Arial Black"/>
                <w:caps/>
                <w:sz w:val="15"/>
              </w:rPr>
              <w:t>ORIGINAL</w:t>
            </w:r>
            <w:r w:rsidR="005D43EC">
              <w:rPr>
                <w:rFonts w:ascii="Arial Black" w:hAnsi="Arial Black"/>
                <w:caps/>
                <w:sz w:val="15"/>
              </w:rPr>
              <w:t> </w:t>
            </w:r>
            <w:r w:rsidRPr="00D849C0">
              <w:rPr>
                <w:rFonts w:ascii="Arial Black" w:hAnsi="Arial Black"/>
                <w:caps/>
                <w:sz w:val="15"/>
              </w:rPr>
              <w:t xml:space="preserve">: </w:t>
            </w:r>
            <w:bookmarkStart w:id="2" w:name="Original"/>
            <w:bookmarkEnd w:id="2"/>
            <w:r w:rsidRPr="00D849C0">
              <w:rPr>
                <w:rFonts w:ascii="Arial Black" w:hAnsi="Arial Black"/>
                <w:caps/>
                <w:sz w:val="15"/>
              </w:rPr>
              <w:t>anglais</w:t>
            </w:r>
          </w:p>
        </w:tc>
      </w:tr>
      <w:tr w:rsidR="0040701B" w:rsidRPr="00D849C0" w:rsidTr="00153D45">
        <w:trPr>
          <w:trHeight w:hRule="exact" w:val="198"/>
        </w:trPr>
        <w:tc>
          <w:tcPr>
            <w:tcW w:w="9356" w:type="dxa"/>
            <w:gridSpan w:val="3"/>
            <w:tcMar>
              <w:left w:w="0" w:type="dxa"/>
              <w:right w:w="0" w:type="dxa"/>
            </w:tcMar>
            <w:vAlign w:val="bottom"/>
          </w:tcPr>
          <w:p w:rsidR="0040701B" w:rsidRPr="00D849C0" w:rsidRDefault="0040701B" w:rsidP="00153D45">
            <w:pPr>
              <w:jc w:val="right"/>
              <w:rPr>
                <w:rFonts w:ascii="Arial Black" w:hAnsi="Arial Black"/>
                <w:caps/>
                <w:sz w:val="15"/>
              </w:rPr>
            </w:pPr>
            <w:r w:rsidRPr="00D849C0">
              <w:rPr>
                <w:rFonts w:ascii="Arial Black" w:hAnsi="Arial Black"/>
                <w:caps/>
                <w:sz w:val="15"/>
              </w:rPr>
              <w:t>DATE</w:t>
            </w:r>
            <w:r w:rsidR="005D43EC">
              <w:rPr>
                <w:rFonts w:ascii="Arial Black" w:hAnsi="Arial Black"/>
                <w:caps/>
                <w:sz w:val="15"/>
              </w:rPr>
              <w:t> </w:t>
            </w:r>
            <w:r w:rsidRPr="00D849C0">
              <w:rPr>
                <w:rFonts w:ascii="Arial Black" w:hAnsi="Arial Black"/>
                <w:caps/>
                <w:sz w:val="15"/>
              </w:rPr>
              <w:t>: 2</w:t>
            </w:r>
            <w:r w:rsidR="001937C9" w:rsidRPr="00D849C0">
              <w:rPr>
                <w:rFonts w:ascii="Arial Black" w:hAnsi="Arial Black"/>
                <w:caps/>
                <w:sz w:val="15"/>
              </w:rPr>
              <w:t>7</w:t>
            </w:r>
            <w:r w:rsidR="001937C9">
              <w:rPr>
                <w:rFonts w:ascii="Arial Black" w:hAnsi="Arial Black"/>
                <w:caps/>
                <w:sz w:val="15"/>
              </w:rPr>
              <w:t> </w:t>
            </w:r>
            <w:r w:rsidR="001937C9" w:rsidRPr="00D849C0">
              <w:rPr>
                <w:rFonts w:ascii="Arial Black" w:hAnsi="Arial Black"/>
                <w:caps/>
                <w:sz w:val="15"/>
              </w:rPr>
              <w:t>mars</w:t>
            </w:r>
            <w:r w:rsidR="001937C9">
              <w:rPr>
                <w:rFonts w:ascii="Arial Black" w:hAnsi="Arial Black"/>
                <w:caps/>
                <w:sz w:val="15"/>
              </w:rPr>
              <w:t> </w:t>
            </w:r>
            <w:r w:rsidR="001937C9" w:rsidRPr="00D849C0">
              <w:rPr>
                <w:rFonts w:ascii="Arial Black" w:hAnsi="Arial Black"/>
                <w:caps/>
                <w:sz w:val="15"/>
              </w:rPr>
              <w:t>20</w:t>
            </w:r>
            <w:r w:rsidRPr="00D849C0">
              <w:rPr>
                <w:rFonts w:ascii="Arial Black" w:hAnsi="Arial Black"/>
                <w:caps/>
                <w:sz w:val="15"/>
              </w:rPr>
              <w:t>14</w:t>
            </w:r>
          </w:p>
        </w:tc>
      </w:tr>
    </w:tbl>
    <w:p w:rsidR="0040701B" w:rsidRPr="00D849C0" w:rsidRDefault="0040701B" w:rsidP="0040701B"/>
    <w:p w:rsidR="0040701B" w:rsidRPr="00D849C0" w:rsidRDefault="0040701B" w:rsidP="0040701B"/>
    <w:p w:rsidR="0040701B" w:rsidRPr="00D849C0" w:rsidRDefault="0040701B" w:rsidP="0040701B"/>
    <w:p w:rsidR="0040701B" w:rsidRPr="00D849C0" w:rsidRDefault="0040701B" w:rsidP="0040701B"/>
    <w:p w:rsidR="0040701B" w:rsidRPr="00D849C0" w:rsidRDefault="0040701B" w:rsidP="0040701B"/>
    <w:p w:rsidR="0040701B" w:rsidRPr="00D849C0" w:rsidRDefault="0040701B" w:rsidP="0040701B">
      <w:pPr>
        <w:rPr>
          <w:b/>
          <w:sz w:val="28"/>
          <w:szCs w:val="28"/>
        </w:rPr>
      </w:pPr>
      <w:r w:rsidRPr="00D849C0">
        <w:rPr>
          <w:b/>
          <w:sz w:val="28"/>
          <w:szCs w:val="28"/>
        </w:rPr>
        <w:t>Comité du développement et de la propriété intellectuelle (CDIP)</w:t>
      </w:r>
    </w:p>
    <w:p w:rsidR="0040701B" w:rsidRPr="00D849C0" w:rsidRDefault="0040701B" w:rsidP="0040701B"/>
    <w:p w:rsidR="0040701B" w:rsidRPr="00D849C0" w:rsidRDefault="0040701B" w:rsidP="0040701B"/>
    <w:p w:rsidR="0040701B" w:rsidRPr="00D849C0" w:rsidRDefault="0040701B" w:rsidP="0040701B">
      <w:pPr>
        <w:rPr>
          <w:b/>
          <w:sz w:val="24"/>
          <w:szCs w:val="24"/>
        </w:rPr>
      </w:pPr>
      <w:r w:rsidRPr="00D849C0">
        <w:rPr>
          <w:b/>
          <w:sz w:val="24"/>
          <w:szCs w:val="24"/>
        </w:rPr>
        <w:t>Treizième</w:t>
      </w:r>
      <w:r w:rsidR="005D43EC">
        <w:rPr>
          <w:b/>
          <w:sz w:val="24"/>
          <w:szCs w:val="24"/>
        </w:rPr>
        <w:t> </w:t>
      </w:r>
      <w:r w:rsidRPr="00D849C0">
        <w:rPr>
          <w:b/>
          <w:sz w:val="24"/>
          <w:szCs w:val="24"/>
        </w:rPr>
        <w:t>session</w:t>
      </w:r>
    </w:p>
    <w:p w:rsidR="0040701B" w:rsidRPr="00D849C0" w:rsidRDefault="0040701B" w:rsidP="0040701B">
      <w:pPr>
        <w:rPr>
          <w:b/>
          <w:sz w:val="24"/>
          <w:szCs w:val="24"/>
        </w:rPr>
      </w:pPr>
      <w:r w:rsidRPr="00D849C0">
        <w:rPr>
          <w:b/>
          <w:sz w:val="24"/>
          <w:szCs w:val="24"/>
        </w:rPr>
        <w:t>Genève, 19 – 2</w:t>
      </w:r>
      <w:r w:rsidR="001937C9" w:rsidRPr="00D849C0">
        <w:rPr>
          <w:b/>
          <w:sz w:val="24"/>
          <w:szCs w:val="24"/>
        </w:rPr>
        <w:t>3</w:t>
      </w:r>
      <w:r w:rsidR="001937C9">
        <w:rPr>
          <w:b/>
          <w:sz w:val="24"/>
          <w:szCs w:val="24"/>
        </w:rPr>
        <w:t> </w:t>
      </w:r>
      <w:r w:rsidR="001937C9" w:rsidRPr="00D849C0">
        <w:rPr>
          <w:b/>
          <w:sz w:val="24"/>
          <w:szCs w:val="24"/>
        </w:rPr>
        <w:t>mai</w:t>
      </w:r>
      <w:r w:rsidR="001937C9">
        <w:rPr>
          <w:b/>
          <w:sz w:val="24"/>
          <w:szCs w:val="24"/>
        </w:rPr>
        <w:t> </w:t>
      </w:r>
      <w:r w:rsidR="001937C9" w:rsidRPr="00D849C0">
        <w:rPr>
          <w:b/>
          <w:sz w:val="24"/>
          <w:szCs w:val="24"/>
        </w:rPr>
        <w:t>20</w:t>
      </w:r>
      <w:r w:rsidRPr="00D849C0">
        <w:rPr>
          <w:b/>
          <w:sz w:val="24"/>
          <w:szCs w:val="24"/>
        </w:rPr>
        <w:t>14</w:t>
      </w:r>
    </w:p>
    <w:p w:rsidR="0040701B" w:rsidRPr="00D849C0" w:rsidRDefault="0040701B" w:rsidP="0040701B"/>
    <w:p w:rsidR="0040701B" w:rsidRPr="00D849C0" w:rsidRDefault="0040701B" w:rsidP="0040701B"/>
    <w:p w:rsidR="0040701B" w:rsidRPr="00D849C0" w:rsidRDefault="0040701B" w:rsidP="0040701B"/>
    <w:p w:rsidR="008B2CC1" w:rsidRPr="00D849C0" w:rsidRDefault="006C62A1" w:rsidP="0040701B">
      <w:pPr>
        <w:rPr>
          <w:caps/>
          <w:sz w:val="24"/>
        </w:rPr>
      </w:pPr>
      <w:r w:rsidRPr="00D849C0">
        <w:rPr>
          <w:caps/>
          <w:sz w:val="24"/>
        </w:rPr>
        <w:t>ÉLÉMENTS DE FLEXIBILITÉ RELATIFS AUX BREVETS</w:t>
      </w:r>
      <w:r w:rsidR="006E57C9" w:rsidRPr="00D849C0">
        <w:rPr>
          <w:caps/>
          <w:sz w:val="24"/>
        </w:rPr>
        <w:t xml:space="preserve"> DANS LE CADRE JURIDIQUE MULTILATÉRAL ET LEUR MISE EN œuvre LÉGISLATIVE AUX</w:t>
      </w:r>
      <w:r w:rsidR="0028236C">
        <w:rPr>
          <w:caps/>
          <w:sz w:val="24"/>
        </w:rPr>
        <w:t> </w:t>
      </w:r>
      <w:r w:rsidR="006E57C9" w:rsidRPr="00D849C0">
        <w:rPr>
          <w:caps/>
          <w:sz w:val="24"/>
        </w:rPr>
        <w:t>NIVEAUX NATIONAL ET RÉGIONAL – PARTIE iii</w:t>
      </w:r>
    </w:p>
    <w:p w:rsidR="008B2CC1" w:rsidRPr="00D849C0" w:rsidRDefault="008B2CC1" w:rsidP="008B2CC1"/>
    <w:p w:rsidR="008B2CC1" w:rsidRPr="00D849C0" w:rsidRDefault="0040701B" w:rsidP="008B2CC1">
      <w:pPr>
        <w:rPr>
          <w:i/>
        </w:rPr>
      </w:pPr>
      <w:bookmarkStart w:id="3" w:name="Prepared"/>
      <w:bookmarkEnd w:id="3"/>
      <w:r w:rsidRPr="00D849C0">
        <w:rPr>
          <w:i/>
        </w:rPr>
        <w:t>Doc</w:t>
      </w:r>
      <w:r w:rsidR="00B82E54" w:rsidRPr="00D849C0">
        <w:rPr>
          <w:i/>
        </w:rPr>
        <w:t>ument</w:t>
      </w:r>
      <w:r w:rsidRPr="00D849C0">
        <w:rPr>
          <w:i/>
        </w:rPr>
        <w:t xml:space="preserve"> établi par le Secrétariat</w:t>
      </w:r>
    </w:p>
    <w:p w:rsidR="00AC205C" w:rsidRPr="00D849C0" w:rsidRDefault="00AC205C"/>
    <w:p w:rsidR="000F5E56" w:rsidRPr="00D849C0" w:rsidRDefault="000F5E56"/>
    <w:p w:rsidR="002928D3" w:rsidRPr="00D849C0" w:rsidRDefault="002928D3"/>
    <w:p w:rsidR="002928D3" w:rsidRPr="00D849C0" w:rsidRDefault="002928D3" w:rsidP="0053057A"/>
    <w:p w:rsidR="002928D3" w:rsidRPr="00D849C0" w:rsidRDefault="002928D3" w:rsidP="00A83989">
      <w:pPr>
        <w:rPr>
          <w:szCs w:val="22"/>
        </w:rPr>
      </w:pPr>
    </w:p>
    <w:p w:rsidR="00934714" w:rsidRPr="00D849C0" w:rsidRDefault="00012A48" w:rsidP="0040701B">
      <w:pPr>
        <w:pStyle w:val="ONUMFS"/>
      </w:pPr>
      <w:r w:rsidRPr="00D849C0">
        <w:t>Dans le cadre des délibérations sur la recommandation n°</w:t>
      </w:r>
      <w:r w:rsidR="005D43EC">
        <w:t> </w:t>
      </w:r>
      <w:r w:rsidRPr="00D849C0">
        <w:t>14 du Plan d</w:t>
      </w:r>
      <w:r w:rsidR="001937C9">
        <w:t>’</w:t>
      </w:r>
      <w:r w:rsidRPr="00D849C0">
        <w:t>action pour le développement, à la onzième</w:t>
      </w:r>
      <w:r w:rsidR="005D43EC">
        <w:t> </w:t>
      </w:r>
      <w:r w:rsidRPr="00D849C0">
        <w:t>session du Comité du développement et de la propriété intellectuelle (CDIP) qui s</w:t>
      </w:r>
      <w:r w:rsidR="001937C9">
        <w:t>’</w:t>
      </w:r>
      <w:r w:rsidRPr="00D849C0">
        <w:t>est tenue du 13 au 1</w:t>
      </w:r>
      <w:r w:rsidR="001937C9" w:rsidRPr="00D849C0">
        <w:t>7</w:t>
      </w:r>
      <w:r w:rsidR="001937C9">
        <w:t> </w:t>
      </w:r>
      <w:r w:rsidR="001937C9" w:rsidRPr="00D849C0">
        <w:t>mai</w:t>
      </w:r>
      <w:r w:rsidR="001937C9">
        <w:t> </w:t>
      </w:r>
      <w:r w:rsidR="001937C9" w:rsidRPr="00D849C0">
        <w:t>20</w:t>
      </w:r>
      <w:r w:rsidRPr="00D849C0">
        <w:t xml:space="preserve">13 à Genève, </w:t>
      </w:r>
      <w:r w:rsidR="008B61DD" w:rsidRPr="00D849C0">
        <w:t xml:space="preserve">les États membres </w:t>
      </w:r>
      <w:r w:rsidR="003E42DA" w:rsidRPr="00D849C0">
        <w:t>ont demandé au Bureau international de l</w:t>
      </w:r>
      <w:r w:rsidR="001937C9">
        <w:t>’</w:t>
      </w:r>
      <w:r w:rsidR="003E42DA" w:rsidRPr="00D849C0">
        <w:t>Organisation Mondiale de la Propriété Intellectuelle (OMPI)</w:t>
      </w:r>
      <w:r w:rsidR="00522FCC" w:rsidRPr="00D849C0">
        <w:t xml:space="preserve"> d</w:t>
      </w:r>
      <w:r w:rsidR="001937C9">
        <w:t>’</w:t>
      </w:r>
      <w:r w:rsidR="00522FCC" w:rsidRPr="00D849C0">
        <w:t>établir un document</w:t>
      </w:r>
      <w:r w:rsidR="008B61DD" w:rsidRPr="00D849C0">
        <w:t xml:space="preserve"> couvrant deux</w:t>
      </w:r>
      <w:r w:rsidR="005D43EC">
        <w:t> </w:t>
      </w:r>
      <w:r w:rsidR="008B61DD" w:rsidRPr="00D849C0">
        <w:t>nouveaux éléments de flexibilité relatifs aux brevets.</w:t>
      </w:r>
    </w:p>
    <w:p w:rsidR="00934714" w:rsidRPr="00D849C0" w:rsidRDefault="00632FDE" w:rsidP="0040701B">
      <w:pPr>
        <w:pStyle w:val="ONUMFS"/>
        <w:rPr>
          <w:color w:val="000000" w:themeColor="text1"/>
        </w:rPr>
      </w:pPr>
      <w:r w:rsidRPr="00D849C0">
        <w:t>Le présent document traite des deux</w:t>
      </w:r>
      <w:r w:rsidR="005D43EC">
        <w:t> </w:t>
      </w:r>
      <w:r w:rsidRPr="00D849C0">
        <w:t>éléments additionnels de flexibilité demandés.</w:t>
      </w:r>
    </w:p>
    <w:p w:rsidR="004C60C1" w:rsidRPr="00D849C0" w:rsidRDefault="0040701B" w:rsidP="0040701B">
      <w:pPr>
        <w:pStyle w:val="ONUMFS"/>
        <w:ind w:left="5533"/>
        <w:rPr>
          <w:i/>
          <w:color w:val="000000" w:themeColor="text1"/>
        </w:rPr>
      </w:pPr>
      <w:r w:rsidRPr="00D849C0">
        <w:rPr>
          <w:i/>
          <w:color w:val="000000" w:themeColor="text1"/>
        </w:rPr>
        <w:t>Le CDIP est invité à prendre note du contenu du présent document et de ses annexes.</w:t>
      </w:r>
    </w:p>
    <w:p w:rsidR="004C60C1" w:rsidRPr="00D849C0" w:rsidRDefault="004C60C1" w:rsidP="00007A87">
      <w:pPr>
        <w:ind w:left="5387"/>
        <w:rPr>
          <w:i/>
          <w:szCs w:val="22"/>
        </w:rPr>
      </w:pPr>
      <w:r w:rsidRPr="00D849C0">
        <w:rPr>
          <w:i/>
          <w:szCs w:val="22"/>
        </w:rPr>
        <w:br w:type="page"/>
      </w:r>
    </w:p>
    <w:p w:rsidR="00445982" w:rsidRPr="00D849C0" w:rsidRDefault="0040701B" w:rsidP="00445982">
      <w:pPr>
        <w:jc w:val="center"/>
      </w:pPr>
      <w:r w:rsidRPr="00D849C0">
        <w:lastRenderedPageBreak/>
        <w:t>Table des matières</w:t>
      </w:r>
    </w:p>
    <w:p w:rsidR="00445982" w:rsidRPr="00D849C0" w:rsidRDefault="00445982" w:rsidP="00445982"/>
    <w:p w:rsidR="00110D14" w:rsidRDefault="0033642E">
      <w:pPr>
        <w:pStyle w:val="TOC1"/>
        <w:rPr>
          <w:rFonts w:asciiTheme="minorHAnsi" w:eastAsiaTheme="minorEastAsia" w:hAnsiTheme="minorHAnsi" w:cstheme="minorBidi"/>
          <w:caps w:val="0"/>
          <w:szCs w:val="22"/>
          <w:lang w:val="fr-FR" w:eastAsia="fr-FR"/>
        </w:rPr>
      </w:pPr>
      <w:r w:rsidRPr="00D849C0">
        <w:fldChar w:fldCharType="begin"/>
      </w:r>
      <w:r w:rsidR="00BD2732" w:rsidRPr="00D849C0">
        <w:instrText xml:space="preserve"> TOC \o "1-3" \u </w:instrText>
      </w:r>
      <w:r w:rsidRPr="00D849C0">
        <w:fldChar w:fldCharType="separate"/>
      </w:r>
      <w:r w:rsidR="00110D14">
        <w:t>I.</w:t>
      </w:r>
      <w:r w:rsidR="00110D14">
        <w:rPr>
          <w:rFonts w:asciiTheme="minorHAnsi" w:eastAsiaTheme="minorEastAsia" w:hAnsiTheme="minorHAnsi" w:cstheme="minorBidi"/>
          <w:caps w:val="0"/>
          <w:szCs w:val="22"/>
          <w:lang w:val="fr-FR" w:eastAsia="fr-FR"/>
        </w:rPr>
        <w:tab/>
      </w:r>
      <w:r w:rsidR="00110D14">
        <w:t>Résumé</w:t>
      </w:r>
      <w:r w:rsidR="00110D14">
        <w:tab/>
      </w:r>
      <w:r w:rsidR="00110D14">
        <w:fldChar w:fldCharType="begin"/>
      </w:r>
      <w:r w:rsidR="00110D14">
        <w:instrText xml:space="preserve"> PAGEREF _Toc387060457 \h </w:instrText>
      </w:r>
      <w:r w:rsidR="00110D14">
        <w:fldChar w:fldCharType="separate"/>
      </w:r>
      <w:r w:rsidR="00B1788B">
        <w:t>3</w:t>
      </w:r>
      <w:r w:rsidR="00110D14">
        <w:fldChar w:fldCharType="end"/>
      </w:r>
    </w:p>
    <w:p w:rsidR="00110D14" w:rsidRDefault="00110D14">
      <w:pPr>
        <w:pStyle w:val="TOC1"/>
        <w:rPr>
          <w:rFonts w:asciiTheme="minorHAnsi" w:eastAsiaTheme="minorEastAsia" w:hAnsiTheme="minorHAnsi" w:cstheme="minorBidi"/>
          <w:caps w:val="0"/>
          <w:szCs w:val="22"/>
          <w:lang w:val="fr-FR" w:eastAsia="fr-FR"/>
        </w:rPr>
      </w:pPr>
      <w:r>
        <w:t>II.</w:t>
      </w:r>
      <w:r>
        <w:rPr>
          <w:rFonts w:asciiTheme="minorHAnsi" w:eastAsiaTheme="minorEastAsia" w:hAnsiTheme="minorHAnsi" w:cstheme="minorBidi"/>
          <w:caps w:val="0"/>
          <w:szCs w:val="22"/>
          <w:lang w:val="fr-FR" w:eastAsia="fr-FR"/>
        </w:rPr>
        <w:tab/>
      </w:r>
      <w:r>
        <w:t>la portée de l’exclusion de la brevetabilité des végétaux</w:t>
      </w:r>
      <w:r>
        <w:tab/>
      </w:r>
      <w:r>
        <w:fldChar w:fldCharType="begin"/>
      </w:r>
      <w:r>
        <w:instrText xml:space="preserve"> PAGEREF _Toc387060458 \h </w:instrText>
      </w:r>
      <w:r>
        <w:fldChar w:fldCharType="separate"/>
      </w:r>
      <w:r w:rsidR="00B1788B">
        <w:t>4</w:t>
      </w:r>
      <w:r>
        <w:fldChar w:fldCharType="end"/>
      </w:r>
    </w:p>
    <w:p w:rsidR="00110D14" w:rsidRDefault="00110D14">
      <w:pPr>
        <w:pStyle w:val="TOC2"/>
        <w:rPr>
          <w:rFonts w:asciiTheme="minorHAnsi" w:eastAsiaTheme="minorEastAsia" w:hAnsiTheme="minorHAnsi" w:cstheme="minorBidi"/>
          <w:szCs w:val="22"/>
          <w:lang w:val="fr-FR" w:eastAsia="fr-FR"/>
        </w:rPr>
      </w:pPr>
      <w:r>
        <w:t xml:space="preserve">A </w:t>
      </w:r>
      <w:r>
        <w:rPr>
          <w:rFonts w:asciiTheme="minorHAnsi" w:eastAsiaTheme="minorEastAsia" w:hAnsiTheme="minorHAnsi" w:cstheme="minorBidi"/>
          <w:szCs w:val="22"/>
          <w:lang w:val="fr-FR" w:eastAsia="fr-FR"/>
        </w:rPr>
        <w:tab/>
      </w:r>
      <w:r>
        <w:t>Introduction</w:t>
      </w:r>
      <w:r>
        <w:tab/>
      </w:r>
      <w:r>
        <w:fldChar w:fldCharType="begin"/>
      </w:r>
      <w:r>
        <w:instrText xml:space="preserve"> PAGEREF _Toc387060459 \h </w:instrText>
      </w:r>
      <w:r>
        <w:fldChar w:fldCharType="separate"/>
      </w:r>
      <w:r w:rsidR="00B1788B">
        <w:t>4</w:t>
      </w:r>
      <w:r>
        <w:fldChar w:fldCharType="end"/>
      </w:r>
    </w:p>
    <w:p w:rsidR="00110D14" w:rsidRDefault="00110D14">
      <w:pPr>
        <w:pStyle w:val="TOC2"/>
        <w:rPr>
          <w:rFonts w:asciiTheme="minorHAnsi" w:eastAsiaTheme="minorEastAsia" w:hAnsiTheme="minorHAnsi" w:cstheme="minorBidi"/>
          <w:szCs w:val="22"/>
          <w:lang w:val="fr-FR" w:eastAsia="fr-FR"/>
        </w:rPr>
      </w:pPr>
      <w:r>
        <w:t>B.</w:t>
      </w:r>
      <w:r>
        <w:rPr>
          <w:rFonts w:asciiTheme="minorHAnsi" w:eastAsiaTheme="minorEastAsia" w:hAnsiTheme="minorHAnsi" w:cstheme="minorBidi"/>
          <w:szCs w:val="22"/>
          <w:lang w:val="fr-FR" w:eastAsia="fr-FR"/>
        </w:rPr>
        <w:tab/>
      </w:r>
      <w:r>
        <w:t>Le cadre juridique international</w:t>
      </w:r>
      <w:r>
        <w:tab/>
      </w:r>
      <w:r>
        <w:fldChar w:fldCharType="begin"/>
      </w:r>
      <w:r>
        <w:instrText xml:space="preserve"> PAGEREF _Toc387060460 \h </w:instrText>
      </w:r>
      <w:r>
        <w:fldChar w:fldCharType="separate"/>
      </w:r>
      <w:r w:rsidR="00B1788B">
        <w:t>7</w:t>
      </w:r>
      <w:r>
        <w:fldChar w:fldCharType="end"/>
      </w:r>
    </w:p>
    <w:p w:rsidR="00110D14" w:rsidRDefault="00110D14">
      <w:pPr>
        <w:pStyle w:val="TOC2"/>
        <w:rPr>
          <w:rFonts w:asciiTheme="minorHAnsi" w:eastAsiaTheme="minorEastAsia" w:hAnsiTheme="minorHAnsi" w:cstheme="minorBidi"/>
          <w:szCs w:val="22"/>
          <w:lang w:val="fr-FR" w:eastAsia="fr-FR"/>
        </w:rPr>
      </w:pPr>
      <w:r>
        <w:t>C.</w:t>
      </w:r>
      <w:r>
        <w:rPr>
          <w:rFonts w:asciiTheme="minorHAnsi" w:eastAsiaTheme="minorEastAsia" w:hAnsiTheme="minorHAnsi" w:cstheme="minorBidi"/>
          <w:szCs w:val="22"/>
          <w:lang w:val="fr-FR" w:eastAsia="fr-FR"/>
        </w:rPr>
        <w:tab/>
      </w:r>
      <w:r>
        <w:t>Mise en œuvre nationale et régionale</w:t>
      </w:r>
      <w:r>
        <w:tab/>
      </w:r>
      <w:r>
        <w:fldChar w:fldCharType="begin"/>
      </w:r>
      <w:r>
        <w:instrText xml:space="preserve"> PAGEREF _Toc387060461 \h </w:instrText>
      </w:r>
      <w:r>
        <w:fldChar w:fldCharType="separate"/>
      </w:r>
      <w:r w:rsidR="00B1788B">
        <w:t>8</w:t>
      </w:r>
      <w:r>
        <w:fldChar w:fldCharType="end"/>
      </w:r>
    </w:p>
    <w:p w:rsidR="00110D14" w:rsidRDefault="00110D14">
      <w:pPr>
        <w:pStyle w:val="TOC3"/>
        <w:tabs>
          <w:tab w:val="left" w:pos="1701"/>
        </w:tabs>
        <w:rPr>
          <w:rFonts w:asciiTheme="minorHAnsi" w:eastAsiaTheme="minorEastAsia" w:hAnsiTheme="minorHAnsi" w:cstheme="minorBidi"/>
          <w:noProof/>
          <w:szCs w:val="22"/>
          <w:lang w:val="fr-FR" w:eastAsia="fr-FR"/>
        </w:rPr>
      </w:pPr>
      <w:r>
        <w:rPr>
          <w:noProof/>
        </w:rPr>
        <w:t>a)</w:t>
      </w:r>
      <w:r>
        <w:rPr>
          <w:rFonts w:asciiTheme="minorHAnsi" w:eastAsiaTheme="minorEastAsia" w:hAnsiTheme="minorHAnsi" w:cstheme="minorBidi"/>
          <w:noProof/>
          <w:szCs w:val="22"/>
          <w:lang w:val="fr-FR" w:eastAsia="fr-FR"/>
        </w:rPr>
        <w:tab/>
      </w:r>
      <w:r>
        <w:rPr>
          <w:noProof/>
        </w:rPr>
        <w:t>Exclusion de la brevetabilité des végétaux</w:t>
      </w:r>
      <w:r>
        <w:rPr>
          <w:noProof/>
        </w:rPr>
        <w:tab/>
      </w:r>
      <w:r>
        <w:rPr>
          <w:noProof/>
        </w:rPr>
        <w:fldChar w:fldCharType="begin"/>
      </w:r>
      <w:r>
        <w:rPr>
          <w:noProof/>
        </w:rPr>
        <w:instrText xml:space="preserve"> PAGEREF _Toc387060462 \h </w:instrText>
      </w:r>
      <w:r>
        <w:rPr>
          <w:noProof/>
        </w:rPr>
      </w:r>
      <w:r>
        <w:rPr>
          <w:noProof/>
        </w:rPr>
        <w:fldChar w:fldCharType="separate"/>
      </w:r>
      <w:r w:rsidR="00B1788B">
        <w:rPr>
          <w:noProof/>
        </w:rPr>
        <w:t>8</w:t>
      </w:r>
      <w:r>
        <w:rPr>
          <w:noProof/>
        </w:rPr>
        <w:fldChar w:fldCharType="end"/>
      </w:r>
    </w:p>
    <w:p w:rsidR="00110D14" w:rsidRDefault="00110D14">
      <w:pPr>
        <w:pStyle w:val="TOC3"/>
        <w:tabs>
          <w:tab w:val="left" w:pos="1701"/>
        </w:tabs>
        <w:rPr>
          <w:rFonts w:asciiTheme="minorHAnsi" w:eastAsiaTheme="minorEastAsia" w:hAnsiTheme="minorHAnsi" w:cstheme="minorBidi"/>
          <w:noProof/>
          <w:szCs w:val="22"/>
          <w:lang w:val="fr-FR" w:eastAsia="fr-FR"/>
        </w:rPr>
      </w:pPr>
      <w:r>
        <w:rPr>
          <w:noProof/>
        </w:rPr>
        <w:t>b)</w:t>
      </w:r>
      <w:r>
        <w:rPr>
          <w:rFonts w:asciiTheme="minorHAnsi" w:eastAsiaTheme="minorEastAsia" w:hAnsiTheme="minorHAnsi" w:cstheme="minorBidi"/>
          <w:noProof/>
          <w:szCs w:val="22"/>
          <w:lang w:val="fr-FR" w:eastAsia="fr-FR"/>
        </w:rPr>
        <w:tab/>
      </w:r>
      <w:r>
        <w:rPr>
          <w:noProof/>
        </w:rPr>
        <w:t>Exclusion de la brevetabilité des variétés végétales</w:t>
      </w:r>
      <w:r>
        <w:rPr>
          <w:noProof/>
        </w:rPr>
        <w:tab/>
      </w:r>
      <w:r>
        <w:rPr>
          <w:noProof/>
        </w:rPr>
        <w:fldChar w:fldCharType="begin"/>
      </w:r>
      <w:r>
        <w:rPr>
          <w:noProof/>
        </w:rPr>
        <w:instrText xml:space="preserve"> PAGEREF _Toc387060463 \h </w:instrText>
      </w:r>
      <w:r>
        <w:rPr>
          <w:noProof/>
        </w:rPr>
      </w:r>
      <w:r>
        <w:rPr>
          <w:noProof/>
        </w:rPr>
        <w:fldChar w:fldCharType="separate"/>
      </w:r>
      <w:r w:rsidR="00B1788B">
        <w:rPr>
          <w:noProof/>
        </w:rPr>
        <w:t>8</w:t>
      </w:r>
      <w:r>
        <w:rPr>
          <w:noProof/>
        </w:rPr>
        <w:fldChar w:fldCharType="end"/>
      </w:r>
    </w:p>
    <w:p w:rsidR="00110D14" w:rsidRDefault="00110D14">
      <w:pPr>
        <w:pStyle w:val="TOC3"/>
        <w:tabs>
          <w:tab w:val="left" w:pos="1701"/>
        </w:tabs>
        <w:rPr>
          <w:rFonts w:asciiTheme="minorHAnsi" w:eastAsiaTheme="minorEastAsia" w:hAnsiTheme="minorHAnsi" w:cstheme="minorBidi"/>
          <w:noProof/>
          <w:szCs w:val="22"/>
          <w:lang w:val="fr-FR" w:eastAsia="fr-FR"/>
        </w:rPr>
      </w:pPr>
      <w:r>
        <w:rPr>
          <w:noProof/>
        </w:rPr>
        <w:t>c)</w:t>
      </w:r>
      <w:r>
        <w:rPr>
          <w:rFonts w:asciiTheme="minorHAnsi" w:eastAsiaTheme="minorEastAsia" w:hAnsiTheme="minorHAnsi" w:cstheme="minorBidi"/>
          <w:noProof/>
          <w:szCs w:val="22"/>
          <w:lang w:val="fr-FR" w:eastAsia="fr-FR"/>
        </w:rPr>
        <w:tab/>
      </w:r>
      <w:r>
        <w:rPr>
          <w:noProof/>
        </w:rPr>
        <w:t>Exclusion de la brevetabilité des végétaux et des variétés végétales</w:t>
      </w:r>
      <w:r>
        <w:rPr>
          <w:noProof/>
        </w:rPr>
        <w:tab/>
      </w:r>
      <w:r>
        <w:rPr>
          <w:noProof/>
        </w:rPr>
        <w:fldChar w:fldCharType="begin"/>
      </w:r>
      <w:r>
        <w:rPr>
          <w:noProof/>
        </w:rPr>
        <w:instrText xml:space="preserve"> PAGEREF _Toc387060464 \h </w:instrText>
      </w:r>
      <w:r>
        <w:rPr>
          <w:noProof/>
        </w:rPr>
      </w:r>
      <w:r>
        <w:rPr>
          <w:noProof/>
        </w:rPr>
        <w:fldChar w:fldCharType="separate"/>
      </w:r>
      <w:r w:rsidR="00B1788B">
        <w:rPr>
          <w:noProof/>
        </w:rPr>
        <w:t>10</w:t>
      </w:r>
      <w:r>
        <w:rPr>
          <w:noProof/>
        </w:rPr>
        <w:fldChar w:fldCharType="end"/>
      </w:r>
    </w:p>
    <w:p w:rsidR="00110D14" w:rsidRDefault="00110D14">
      <w:pPr>
        <w:pStyle w:val="TOC3"/>
        <w:tabs>
          <w:tab w:val="left" w:pos="1701"/>
        </w:tabs>
        <w:rPr>
          <w:rFonts w:asciiTheme="minorHAnsi" w:eastAsiaTheme="minorEastAsia" w:hAnsiTheme="minorHAnsi" w:cstheme="minorBidi"/>
          <w:noProof/>
          <w:szCs w:val="22"/>
          <w:lang w:val="fr-FR" w:eastAsia="fr-FR"/>
        </w:rPr>
      </w:pPr>
      <w:r>
        <w:rPr>
          <w:noProof/>
        </w:rPr>
        <w:t>d)</w:t>
      </w:r>
      <w:r>
        <w:rPr>
          <w:rFonts w:asciiTheme="minorHAnsi" w:eastAsiaTheme="minorEastAsia" w:hAnsiTheme="minorHAnsi" w:cstheme="minorBidi"/>
          <w:noProof/>
          <w:szCs w:val="22"/>
          <w:lang w:val="fr-FR" w:eastAsia="fr-FR"/>
        </w:rPr>
        <w:tab/>
      </w:r>
      <w:r>
        <w:rPr>
          <w:noProof/>
        </w:rPr>
        <w:t>Reconnaissance de la brevetabilité des végétaux</w:t>
      </w:r>
      <w:r>
        <w:rPr>
          <w:noProof/>
        </w:rPr>
        <w:tab/>
      </w:r>
      <w:r>
        <w:rPr>
          <w:noProof/>
        </w:rPr>
        <w:fldChar w:fldCharType="begin"/>
      </w:r>
      <w:r>
        <w:rPr>
          <w:noProof/>
        </w:rPr>
        <w:instrText xml:space="preserve"> PAGEREF _Toc387060465 \h </w:instrText>
      </w:r>
      <w:r>
        <w:rPr>
          <w:noProof/>
        </w:rPr>
      </w:r>
      <w:r>
        <w:rPr>
          <w:noProof/>
        </w:rPr>
        <w:fldChar w:fldCharType="separate"/>
      </w:r>
      <w:r w:rsidR="00B1788B">
        <w:rPr>
          <w:noProof/>
        </w:rPr>
        <w:t>10</w:t>
      </w:r>
      <w:r>
        <w:rPr>
          <w:noProof/>
        </w:rPr>
        <w:fldChar w:fldCharType="end"/>
      </w:r>
    </w:p>
    <w:p w:rsidR="00110D14" w:rsidRDefault="00110D14">
      <w:pPr>
        <w:pStyle w:val="TOC3"/>
        <w:tabs>
          <w:tab w:val="left" w:pos="1701"/>
        </w:tabs>
        <w:rPr>
          <w:rFonts w:asciiTheme="minorHAnsi" w:eastAsiaTheme="minorEastAsia" w:hAnsiTheme="minorHAnsi" w:cstheme="minorBidi"/>
          <w:noProof/>
          <w:szCs w:val="22"/>
          <w:lang w:val="fr-FR" w:eastAsia="fr-FR"/>
        </w:rPr>
      </w:pPr>
      <w:r>
        <w:rPr>
          <w:noProof/>
        </w:rPr>
        <w:t>e)</w:t>
      </w:r>
      <w:r>
        <w:rPr>
          <w:rFonts w:asciiTheme="minorHAnsi" w:eastAsiaTheme="minorEastAsia" w:hAnsiTheme="minorHAnsi" w:cstheme="minorBidi"/>
          <w:noProof/>
          <w:szCs w:val="22"/>
          <w:lang w:val="fr-FR" w:eastAsia="fr-FR"/>
        </w:rPr>
        <w:tab/>
      </w:r>
      <w:r>
        <w:rPr>
          <w:noProof/>
        </w:rPr>
        <w:t>Exclusion de la brevetabilité des procédés essentiellement biologiques d’obtention de végétaux</w:t>
      </w:r>
      <w:r>
        <w:rPr>
          <w:noProof/>
        </w:rPr>
        <w:tab/>
      </w:r>
      <w:r>
        <w:rPr>
          <w:noProof/>
        </w:rPr>
        <w:fldChar w:fldCharType="begin"/>
      </w:r>
      <w:r>
        <w:rPr>
          <w:noProof/>
        </w:rPr>
        <w:instrText xml:space="preserve"> PAGEREF _Toc387060466 \h </w:instrText>
      </w:r>
      <w:r>
        <w:rPr>
          <w:noProof/>
        </w:rPr>
      </w:r>
      <w:r>
        <w:rPr>
          <w:noProof/>
        </w:rPr>
        <w:fldChar w:fldCharType="separate"/>
      </w:r>
      <w:r w:rsidR="00B1788B">
        <w:rPr>
          <w:noProof/>
        </w:rPr>
        <w:t>11</w:t>
      </w:r>
      <w:r>
        <w:rPr>
          <w:noProof/>
        </w:rPr>
        <w:fldChar w:fldCharType="end"/>
      </w:r>
    </w:p>
    <w:p w:rsidR="00110D14" w:rsidRDefault="00110D14">
      <w:pPr>
        <w:pStyle w:val="TOC1"/>
        <w:rPr>
          <w:rFonts w:asciiTheme="minorHAnsi" w:eastAsiaTheme="minorEastAsia" w:hAnsiTheme="minorHAnsi" w:cstheme="minorBidi"/>
          <w:caps w:val="0"/>
          <w:szCs w:val="22"/>
          <w:lang w:val="fr-FR" w:eastAsia="fr-FR"/>
        </w:rPr>
      </w:pPr>
      <w:r>
        <w:t>III.</w:t>
      </w:r>
      <w:r>
        <w:rPr>
          <w:rFonts w:asciiTheme="minorHAnsi" w:eastAsiaTheme="minorEastAsia" w:hAnsiTheme="minorHAnsi" w:cstheme="minorBidi"/>
          <w:caps w:val="0"/>
          <w:szCs w:val="22"/>
          <w:lang w:val="fr-FR" w:eastAsia="fr-FR"/>
        </w:rPr>
        <w:tab/>
      </w:r>
      <w:r>
        <w:t>éléments de flexibilité en rapport avec la brevetabilité, ou l’exclusion de la brevetabilité, des inventions relatives à des logiciels</w:t>
      </w:r>
      <w:r>
        <w:tab/>
      </w:r>
      <w:r>
        <w:fldChar w:fldCharType="begin"/>
      </w:r>
      <w:r>
        <w:instrText xml:space="preserve"> PAGEREF _Toc387060467 \h </w:instrText>
      </w:r>
      <w:r>
        <w:fldChar w:fldCharType="separate"/>
      </w:r>
      <w:r w:rsidR="00B1788B">
        <w:t>13</w:t>
      </w:r>
      <w:r>
        <w:fldChar w:fldCharType="end"/>
      </w:r>
    </w:p>
    <w:p w:rsidR="00110D14" w:rsidRDefault="00110D14">
      <w:pPr>
        <w:pStyle w:val="TOC2"/>
        <w:rPr>
          <w:rFonts w:asciiTheme="minorHAnsi" w:eastAsiaTheme="minorEastAsia" w:hAnsiTheme="minorHAnsi" w:cstheme="minorBidi"/>
          <w:szCs w:val="22"/>
          <w:lang w:val="fr-FR" w:eastAsia="fr-FR"/>
        </w:rPr>
      </w:pPr>
      <w:r>
        <w:t>A.</w:t>
      </w:r>
      <w:r>
        <w:rPr>
          <w:rFonts w:asciiTheme="minorHAnsi" w:eastAsiaTheme="minorEastAsia" w:hAnsiTheme="minorHAnsi" w:cstheme="minorBidi"/>
          <w:szCs w:val="22"/>
          <w:lang w:val="fr-FR" w:eastAsia="fr-FR"/>
        </w:rPr>
        <w:tab/>
      </w:r>
      <w:r>
        <w:t>Introduction</w:t>
      </w:r>
      <w:r>
        <w:tab/>
      </w:r>
      <w:r>
        <w:fldChar w:fldCharType="begin"/>
      </w:r>
      <w:r>
        <w:instrText xml:space="preserve"> PAGEREF _Toc387060468 \h </w:instrText>
      </w:r>
      <w:r>
        <w:fldChar w:fldCharType="separate"/>
      </w:r>
      <w:r w:rsidR="00B1788B">
        <w:t>13</w:t>
      </w:r>
      <w:r>
        <w:fldChar w:fldCharType="end"/>
      </w:r>
    </w:p>
    <w:p w:rsidR="00110D14" w:rsidRDefault="00110D14">
      <w:pPr>
        <w:pStyle w:val="TOC2"/>
        <w:rPr>
          <w:rFonts w:asciiTheme="minorHAnsi" w:eastAsiaTheme="minorEastAsia" w:hAnsiTheme="minorHAnsi" w:cstheme="minorBidi"/>
          <w:szCs w:val="22"/>
          <w:lang w:val="fr-FR" w:eastAsia="fr-FR"/>
        </w:rPr>
      </w:pPr>
      <w:r>
        <w:t>B.</w:t>
      </w:r>
      <w:r>
        <w:rPr>
          <w:rFonts w:asciiTheme="minorHAnsi" w:eastAsiaTheme="minorEastAsia" w:hAnsiTheme="minorHAnsi" w:cstheme="minorBidi"/>
          <w:szCs w:val="22"/>
          <w:lang w:val="fr-FR" w:eastAsia="fr-FR"/>
        </w:rPr>
        <w:tab/>
      </w:r>
      <w:r>
        <w:t>Le cadre juridique international</w:t>
      </w:r>
      <w:r>
        <w:tab/>
      </w:r>
      <w:r>
        <w:fldChar w:fldCharType="begin"/>
      </w:r>
      <w:r>
        <w:instrText xml:space="preserve"> PAGEREF _Toc387060469 \h </w:instrText>
      </w:r>
      <w:r>
        <w:fldChar w:fldCharType="separate"/>
      </w:r>
      <w:r w:rsidR="00B1788B">
        <w:t>14</w:t>
      </w:r>
      <w:r>
        <w:fldChar w:fldCharType="end"/>
      </w:r>
    </w:p>
    <w:p w:rsidR="00110D14" w:rsidRDefault="00110D14">
      <w:pPr>
        <w:pStyle w:val="TOC2"/>
        <w:rPr>
          <w:rFonts w:asciiTheme="minorHAnsi" w:eastAsiaTheme="minorEastAsia" w:hAnsiTheme="minorHAnsi" w:cstheme="minorBidi"/>
          <w:szCs w:val="22"/>
          <w:lang w:val="fr-FR" w:eastAsia="fr-FR"/>
        </w:rPr>
      </w:pPr>
      <w:r>
        <w:t>C.</w:t>
      </w:r>
      <w:r>
        <w:rPr>
          <w:rFonts w:asciiTheme="minorHAnsi" w:eastAsiaTheme="minorEastAsia" w:hAnsiTheme="minorHAnsi" w:cstheme="minorBidi"/>
          <w:szCs w:val="22"/>
          <w:lang w:val="fr-FR" w:eastAsia="fr-FR"/>
        </w:rPr>
        <w:tab/>
      </w:r>
      <w:r>
        <w:t>Mise en œuvre nationale</w:t>
      </w:r>
      <w:r>
        <w:tab/>
      </w:r>
      <w:r>
        <w:fldChar w:fldCharType="begin"/>
      </w:r>
      <w:r>
        <w:instrText xml:space="preserve"> PAGEREF _Toc387060470 \h </w:instrText>
      </w:r>
      <w:r>
        <w:fldChar w:fldCharType="separate"/>
      </w:r>
      <w:r w:rsidR="00B1788B">
        <w:t>15</w:t>
      </w:r>
      <w:r>
        <w:fldChar w:fldCharType="end"/>
      </w:r>
    </w:p>
    <w:p w:rsidR="00110D14" w:rsidRDefault="00110D14">
      <w:pPr>
        <w:pStyle w:val="TOC3"/>
        <w:tabs>
          <w:tab w:val="left" w:pos="1701"/>
        </w:tabs>
        <w:rPr>
          <w:rFonts w:asciiTheme="minorHAnsi" w:eastAsiaTheme="minorEastAsia" w:hAnsiTheme="minorHAnsi" w:cstheme="minorBidi"/>
          <w:noProof/>
          <w:szCs w:val="22"/>
          <w:lang w:val="fr-FR" w:eastAsia="fr-FR"/>
        </w:rPr>
      </w:pPr>
      <w:r>
        <w:rPr>
          <w:noProof/>
        </w:rPr>
        <w:t>a)</w:t>
      </w:r>
      <w:r>
        <w:rPr>
          <w:rFonts w:asciiTheme="minorHAnsi" w:eastAsiaTheme="minorEastAsia" w:hAnsiTheme="minorHAnsi" w:cstheme="minorBidi"/>
          <w:noProof/>
          <w:szCs w:val="22"/>
          <w:lang w:val="fr-FR" w:eastAsia="fr-FR"/>
        </w:rPr>
        <w:tab/>
      </w:r>
      <w:r>
        <w:rPr>
          <w:noProof/>
        </w:rPr>
        <w:t>Exclusion expresse</w:t>
      </w:r>
      <w:r>
        <w:rPr>
          <w:noProof/>
        </w:rPr>
        <w:tab/>
      </w:r>
      <w:r>
        <w:rPr>
          <w:noProof/>
        </w:rPr>
        <w:fldChar w:fldCharType="begin"/>
      </w:r>
      <w:r>
        <w:rPr>
          <w:noProof/>
        </w:rPr>
        <w:instrText xml:space="preserve"> PAGEREF _Toc387060471 \h </w:instrText>
      </w:r>
      <w:r>
        <w:rPr>
          <w:noProof/>
        </w:rPr>
      </w:r>
      <w:r>
        <w:rPr>
          <w:noProof/>
        </w:rPr>
        <w:fldChar w:fldCharType="separate"/>
      </w:r>
      <w:r w:rsidR="00B1788B">
        <w:rPr>
          <w:noProof/>
        </w:rPr>
        <w:t>16</w:t>
      </w:r>
      <w:r>
        <w:rPr>
          <w:noProof/>
        </w:rPr>
        <w:fldChar w:fldCharType="end"/>
      </w:r>
    </w:p>
    <w:p w:rsidR="00110D14" w:rsidRDefault="00110D14">
      <w:pPr>
        <w:pStyle w:val="TOC3"/>
        <w:tabs>
          <w:tab w:val="left" w:pos="1701"/>
        </w:tabs>
        <w:rPr>
          <w:rFonts w:asciiTheme="minorHAnsi" w:eastAsiaTheme="minorEastAsia" w:hAnsiTheme="minorHAnsi" w:cstheme="minorBidi"/>
          <w:noProof/>
          <w:szCs w:val="22"/>
          <w:lang w:val="fr-FR" w:eastAsia="fr-FR"/>
        </w:rPr>
      </w:pPr>
      <w:r>
        <w:rPr>
          <w:noProof/>
        </w:rPr>
        <w:t>b)</w:t>
      </w:r>
      <w:r>
        <w:rPr>
          <w:rFonts w:asciiTheme="minorHAnsi" w:eastAsiaTheme="minorEastAsia" w:hAnsiTheme="minorHAnsi" w:cstheme="minorBidi"/>
          <w:noProof/>
          <w:szCs w:val="22"/>
          <w:lang w:val="fr-FR" w:eastAsia="fr-FR"/>
        </w:rPr>
        <w:tab/>
      </w:r>
      <w:r>
        <w:rPr>
          <w:noProof/>
        </w:rPr>
        <w:t>Inclusion expresse</w:t>
      </w:r>
      <w:r>
        <w:rPr>
          <w:noProof/>
        </w:rPr>
        <w:tab/>
      </w:r>
      <w:r>
        <w:rPr>
          <w:noProof/>
        </w:rPr>
        <w:fldChar w:fldCharType="begin"/>
      </w:r>
      <w:r>
        <w:rPr>
          <w:noProof/>
        </w:rPr>
        <w:instrText xml:space="preserve"> PAGEREF _Toc387060472 \h </w:instrText>
      </w:r>
      <w:r>
        <w:rPr>
          <w:noProof/>
        </w:rPr>
      </w:r>
      <w:r>
        <w:rPr>
          <w:noProof/>
        </w:rPr>
        <w:fldChar w:fldCharType="separate"/>
      </w:r>
      <w:r w:rsidR="00B1788B">
        <w:rPr>
          <w:noProof/>
        </w:rPr>
        <w:t>17</w:t>
      </w:r>
      <w:r>
        <w:rPr>
          <w:noProof/>
        </w:rPr>
        <w:fldChar w:fldCharType="end"/>
      </w:r>
    </w:p>
    <w:p w:rsidR="00110D14" w:rsidRDefault="00110D14">
      <w:pPr>
        <w:pStyle w:val="TOC3"/>
        <w:tabs>
          <w:tab w:val="left" w:pos="1701"/>
        </w:tabs>
        <w:rPr>
          <w:rFonts w:asciiTheme="minorHAnsi" w:eastAsiaTheme="minorEastAsia" w:hAnsiTheme="minorHAnsi" w:cstheme="minorBidi"/>
          <w:noProof/>
          <w:szCs w:val="22"/>
          <w:lang w:val="fr-FR" w:eastAsia="fr-FR"/>
        </w:rPr>
      </w:pPr>
      <w:r>
        <w:rPr>
          <w:noProof/>
        </w:rPr>
        <w:t>c)</w:t>
      </w:r>
      <w:r>
        <w:rPr>
          <w:rFonts w:asciiTheme="minorHAnsi" w:eastAsiaTheme="minorEastAsia" w:hAnsiTheme="minorHAnsi" w:cstheme="minorBidi"/>
          <w:noProof/>
          <w:szCs w:val="22"/>
          <w:lang w:val="fr-FR" w:eastAsia="fr-FR"/>
        </w:rPr>
        <w:tab/>
      </w:r>
      <w:r>
        <w:rPr>
          <w:noProof/>
        </w:rPr>
        <w:t>Absence de dispositions particulières</w:t>
      </w:r>
      <w:r>
        <w:rPr>
          <w:noProof/>
        </w:rPr>
        <w:tab/>
      </w:r>
      <w:r>
        <w:rPr>
          <w:noProof/>
        </w:rPr>
        <w:fldChar w:fldCharType="begin"/>
      </w:r>
      <w:r>
        <w:rPr>
          <w:noProof/>
        </w:rPr>
        <w:instrText xml:space="preserve"> PAGEREF _Toc387060473 \h </w:instrText>
      </w:r>
      <w:r>
        <w:rPr>
          <w:noProof/>
        </w:rPr>
      </w:r>
      <w:r>
        <w:rPr>
          <w:noProof/>
        </w:rPr>
        <w:fldChar w:fldCharType="separate"/>
      </w:r>
      <w:r w:rsidR="00B1788B">
        <w:rPr>
          <w:noProof/>
        </w:rPr>
        <w:t>18</w:t>
      </w:r>
      <w:r>
        <w:rPr>
          <w:noProof/>
        </w:rPr>
        <w:fldChar w:fldCharType="end"/>
      </w:r>
    </w:p>
    <w:p w:rsidR="00110D14" w:rsidRDefault="00110D14">
      <w:pPr>
        <w:pStyle w:val="TOC2"/>
        <w:rPr>
          <w:rFonts w:asciiTheme="minorHAnsi" w:eastAsiaTheme="minorEastAsia" w:hAnsiTheme="minorHAnsi" w:cstheme="minorBidi"/>
          <w:szCs w:val="22"/>
          <w:lang w:val="fr-FR" w:eastAsia="fr-FR"/>
        </w:rPr>
      </w:pPr>
      <w:r>
        <w:t>D.</w:t>
      </w:r>
      <w:r>
        <w:rPr>
          <w:rFonts w:asciiTheme="minorHAnsi" w:eastAsiaTheme="minorEastAsia" w:hAnsiTheme="minorHAnsi" w:cstheme="minorBidi"/>
          <w:szCs w:val="22"/>
          <w:lang w:val="fr-FR" w:eastAsia="fr-FR"/>
        </w:rPr>
        <w:tab/>
      </w:r>
      <w:r>
        <w:t>Autres éléments à considérer</w:t>
      </w:r>
      <w:r>
        <w:tab/>
      </w:r>
      <w:r>
        <w:fldChar w:fldCharType="begin"/>
      </w:r>
      <w:r>
        <w:instrText xml:space="preserve"> PAGEREF _Toc387060474 \h </w:instrText>
      </w:r>
      <w:r>
        <w:fldChar w:fldCharType="separate"/>
      </w:r>
      <w:r w:rsidR="00B1788B">
        <w:t>20</w:t>
      </w:r>
      <w:r>
        <w:fldChar w:fldCharType="end"/>
      </w:r>
    </w:p>
    <w:p w:rsidR="00BD2732" w:rsidRPr="00D849C0" w:rsidRDefault="0033642E" w:rsidP="00445982">
      <w:r w:rsidRPr="00D849C0">
        <w:fldChar w:fldCharType="end"/>
      </w:r>
    </w:p>
    <w:p w:rsidR="00BD2732" w:rsidRPr="00D849C0" w:rsidRDefault="00BD2732" w:rsidP="00445982"/>
    <w:p w:rsidR="004C60C1" w:rsidRPr="00D849C0" w:rsidRDefault="004C60C1" w:rsidP="00A83989">
      <w:pPr>
        <w:rPr>
          <w:szCs w:val="22"/>
        </w:rPr>
      </w:pPr>
      <w:r w:rsidRPr="00D849C0">
        <w:rPr>
          <w:szCs w:val="22"/>
        </w:rPr>
        <w:br w:type="page"/>
      </w:r>
    </w:p>
    <w:p w:rsidR="00C439FF" w:rsidRPr="00D849C0" w:rsidRDefault="009741BB" w:rsidP="0040701B">
      <w:pPr>
        <w:pStyle w:val="Heading1"/>
      </w:pPr>
      <w:bookmarkStart w:id="4" w:name="_Toc387060457"/>
      <w:r>
        <w:lastRenderedPageBreak/>
        <w:t>I.</w:t>
      </w:r>
      <w:r w:rsidR="00AB4ACC" w:rsidRPr="00D849C0">
        <w:tab/>
      </w:r>
      <w:r w:rsidR="0040701B" w:rsidRPr="00D849C0">
        <w:t>Résumé</w:t>
      </w:r>
      <w:bookmarkEnd w:id="4"/>
    </w:p>
    <w:p w:rsidR="005A74B2" w:rsidRPr="00D849C0" w:rsidRDefault="005A74B2" w:rsidP="0040701B"/>
    <w:p w:rsidR="005A74B2" w:rsidRPr="00D849C0" w:rsidRDefault="0003452C" w:rsidP="009741BB">
      <w:pPr>
        <w:pStyle w:val="ONUMFS"/>
      </w:pPr>
      <w:r w:rsidRPr="00D849C0">
        <w:t>À sa onzième</w:t>
      </w:r>
      <w:r w:rsidR="005D43EC">
        <w:t> </w:t>
      </w:r>
      <w:r w:rsidRPr="00D849C0">
        <w:t xml:space="preserve">session, le </w:t>
      </w:r>
      <w:r w:rsidR="004B3931" w:rsidRPr="00D849C0">
        <w:t xml:space="preserve">Comité du développement et de la propriété intellectuelle (CDIP) a poursuivi ses délibérations concernant les </w:t>
      </w:r>
      <w:r w:rsidRPr="00D849C0">
        <w:t>travaux futurs sur les éléments de flexibilité relatifs aux brevets dans le cadre juridique multilatéral</w:t>
      </w:r>
      <w:r w:rsidR="005A74B2" w:rsidRPr="00D849C0">
        <w:t xml:space="preserve"> (CDIP/10/11 </w:t>
      </w:r>
      <w:r w:rsidRPr="00D849C0">
        <w:t>et</w:t>
      </w:r>
      <w:r w:rsidR="005A74B2" w:rsidRPr="00D849C0">
        <w:t xml:space="preserve"> CDIP/10/11</w:t>
      </w:r>
      <w:r w:rsidR="005D43EC">
        <w:t> </w:t>
      </w:r>
      <w:proofErr w:type="spellStart"/>
      <w:r w:rsidR="005A74B2" w:rsidRPr="00D849C0">
        <w:t>Add</w:t>
      </w:r>
      <w:proofErr w:type="spellEnd"/>
      <w:r w:rsidR="005A74B2" w:rsidRPr="00D849C0">
        <w:t>.).</w:t>
      </w:r>
      <w:r w:rsidR="00FD0E53" w:rsidRPr="00D849C0">
        <w:t xml:space="preserve">  </w:t>
      </w:r>
      <w:r w:rsidR="00843F75" w:rsidRPr="00D849C0">
        <w:t>Dans ce contexte, le comité a demandé au Secrétariat d</w:t>
      </w:r>
      <w:r w:rsidR="001937C9">
        <w:t>’</w:t>
      </w:r>
      <w:r w:rsidR="00843F75" w:rsidRPr="00D849C0">
        <w:t>entreprendre des travaux sur les deux</w:t>
      </w:r>
      <w:r w:rsidR="005D43EC">
        <w:t> </w:t>
      </w:r>
      <w:r w:rsidR="00843F75" w:rsidRPr="00D849C0">
        <w:t>éléments de flexibilité suivants</w:t>
      </w:r>
      <w:r w:rsidR="009741BB">
        <w:t> :</w:t>
      </w:r>
    </w:p>
    <w:p w:rsidR="005A74B2" w:rsidRPr="00D849C0" w:rsidRDefault="00B22BF1" w:rsidP="00462347">
      <w:pPr>
        <w:pStyle w:val="ListParagraph"/>
        <w:numPr>
          <w:ilvl w:val="0"/>
          <w:numId w:val="20"/>
        </w:numPr>
        <w:tabs>
          <w:tab w:val="left" w:pos="1134"/>
        </w:tabs>
        <w:ind w:left="1170" w:hanging="603"/>
        <w:rPr>
          <w:szCs w:val="22"/>
        </w:rPr>
      </w:pPr>
      <w:r w:rsidRPr="00D849C0">
        <w:rPr>
          <w:szCs w:val="22"/>
        </w:rPr>
        <w:t>la portée de l</w:t>
      </w:r>
      <w:r w:rsidR="001937C9">
        <w:rPr>
          <w:szCs w:val="22"/>
        </w:rPr>
        <w:t>’</w:t>
      </w:r>
      <w:r w:rsidRPr="00D849C0">
        <w:rPr>
          <w:szCs w:val="22"/>
        </w:rPr>
        <w:t>exclusion</w:t>
      </w:r>
      <w:r w:rsidR="00843F75" w:rsidRPr="00D849C0">
        <w:rPr>
          <w:szCs w:val="22"/>
        </w:rPr>
        <w:t xml:space="preserve"> de </w:t>
      </w:r>
      <w:r w:rsidRPr="00D849C0">
        <w:rPr>
          <w:szCs w:val="22"/>
        </w:rPr>
        <w:t>la brevetabilité</w:t>
      </w:r>
      <w:r w:rsidR="00905BC1" w:rsidRPr="00D849C0">
        <w:rPr>
          <w:szCs w:val="22"/>
        </w:rPr>
        <w:t xml:space="preserve"> des végétaux</w:t>
      </w:r>
      <w:r w:rsidRPr="00D849C0">
        <w:rPr>
          <w:szCs w:val="22"/>
        </w:rPr>
        <w:t xml:space="preserve"> (article</w:t>
      </w:r>
      <w:r w:rsidR="005D43EC">
        <w:rPr>
          <w:szCs w:val="22"/>
        </w:rPr>
        <w:t> </w:t>
      </w:r>
      <w:r w:rsidRPr="00D849C0">
        <w:rPr>
          <w:szCs w:val="22"/>
        </w:rPr>
        <w:t>27 de l</w:t>
      </w:r>
      <w:r w:rsidR="001937C9">
        <w:rPr>
          <w:szCs w:val="22"/>
        </w:rPr>
        <w:t>’</w:t>
      </w:r>
      <w:r w:rsidRPr="00D849C0">
        <w:rPr>
          <w:szCs w:val="22"/>
        </w:rPr>
        <w:t>Accord sur</w:t>
      </w:r>
      <w:r w:rsidR="001937C9" w:rsidRPr="00D849C0">
        <w:rPr>
          <w:szCs w:val="22"/>
        </w:rPr>
        <w:t xml:space="preserve"> les</w:t>
      </w:r>
      <w:r w:rsidR="001937C9">
        <w:rPr>
          <w:szCs w:val="22"/>
        </w:rPr>
        <w:t> </w:t>
      </w:r>
      <w:r w:rsidR="001937C9" w:rsidRPr="00D849C0">
        <w:rPr>
          <w:szCs w:val="22"/>
        </w:rPr>
        <w:t>ADP</w:t>
      </w:r>
      <w:r w:rsidRPr="00D849C0">
        <w:rPr>
          <w:szCs w:val="22"/>
        </w:rPr>
        <w:t>IC)</w:t>
      </w:r>
      <w:r w:rsidR="009741BB">
        <w:rPr>
          <w:szCs w:val="22"/>
        </w:rPr>
        <w:t xml:space="preserve">;  </w:t>
      </w:r>
      <w:r w:rsidR="00733921" w:rsidRPr="00D849C0">
        <w:rPr>
          <w:szCs w:val="22"/>
        </w:rPr>
        <w:t>et</w:t>
      </w:r>
    </w:p>
    <w:p w:rsidR="005A74B2" w:rsidRPr="00D849C0" w:rsidRDefault="005A74B2" w:rsidP="00A83989">
      <w:pPr>
        <w:rPr>
          <w:szCs w:val="22"/>
        </w:rPr>
      </w:pPr>
    </w:p>
    <w:p w:rsidR="005A74B2" w:rsidRPr="00D849C0" w:rsidRDefault="00733921" w:rsidP="004B3931">
      <w:pPr>
        <w:pStyle w:val="ListParagraph"/>
        <w:numPr>
          <w:ilvl w:val="0"/>
          <w:numId w:val="20"/>
        </w:numPr>
        <w:tabs>
          <w:tab w:val="left" w:pos="1134"/>
        </w:tabs>
        <w:ind w:left="1170" w:hanging="603"/>
        <w:rPr>
          <w:szCs w:val="22"/>
        </w:rPr>
      </w:pPr>
      <w:r w:rsidRPr="00D849C0">
        <w:rPr>
          <w:szCs w:val="22"/>
        </w:rPr>
        <w:t>les éléments de flexibilité en rapport avec la brevetabilité, ou l</w:t>
      </w:r>
      <w:r w:rsidR="001937C9">
        <w:rPr>
          <w:szCs w:val="22"/>
        </w:rPr>
        <w:t>’</w:t>
      </w:r>
      <w:r w:rsidRPr="00D849C0">
        <w:rPr>
          <w:szCs w:val="22"/>
        </w:rPr>
        <w:t>exclusion de la</w:t>
      </w:r>
      <w:r w:rsidR="009741BB">
        <w:rPr>
          <w:szCs w:val="22"/>
        </w:rPr>
        <w:t> </w:t>
      </w:r>
      <w:r w:rsidRPr="00D849C0">
        <w:rPr>
          <w:szCs w:val="22"/>
        </w:rPr>
        <w:t>brevetabilité, des inventions relatives à des logiciels (article</w:t>
      </w:r>
      <w:r w:rsidR="005D43EC">
        <w:rPr>
          <w:szCs w:val="22"/>
        </w:rPr>
        <w:t> </w:t>
      </w:r>
      <w:r w:rsidRPr="00D849C0">
        <w:rPr>
          <w:szCs w:val="22"/>
        </w:rPr>
        <w:t>27 de l</w:t>
      </w:r>
      <w:r w:rsidR="001937C9">
        <w:rPr>
          <w:szCs w:val="22"/>
        </w:rPr>
        <w:t>’</w:t>
      </w:r>
      <w:r w:rsidRPr="00D849C0">
        <w:rPr>
          <w:szCs w:val="22"/>
        </w:rPr>
        <w:t>Accord sur</w:t>
      </w:r>
      <w:r w:rsidR="001937C9" w:rsidRPr="00D849C0">
        <w:rPr>
          <w:szCs w:val="22"/>
        </w:rPr>
        <w:t xml:space="preserve"> les</w:t>
      </w:r>
      <w:r w:rsidR="001937C9">
        <w:rPr>
          <w:szCs w:val="22"/>
        </w:rPr>
        <w:t> </w:t>
      </w:r>
      <w:r w:rsidR="001937C9" w:rsidRPr="00D849C0">
        <w:rPr>
          <w:szCs w:val="22"/>
        </w:rPr>
        <w:t>ADP</w:t>
      </w:r>
      <w:r w:rsidRPr="00D849C0">
        <w:rPr>
          <w:szCs w:val="22"/>
        </w:rPr>
        <w:t>IC)</w:t>
      </w:r>
      <w:r w:rsidR="005A74B2" w:rsidRPr="00D849C0">
        <w:rPr>
          <w:szCs w:val="22"/>
        </w:rPr>
        <w:t>.</w:t>
      </w:r>
    </w:p>
    <w:p w:rsidR="005A74B2" w:rsidRPr="00D849C0" w:rsidRDefault="005A74B2" w:rsidP="00A83989">
      <w:pPr>
        <w:rPr>
          <w:szCs w:val="22"/>
        </w:rPr>
      </w:pPr>
    </w:p>
    <w:p w:rsidR="005A74B2" w:rsidRPr="00D849C0" w:rsidRDefault="00A81567" w:rsidP="009741BB">
      <w:pPr>
        <w:pStyle w:val="ONUMFS"/>
      </w:pPr>
      <w:r w:rsidRPr="00D849C0">
        <w:t xml:space="preserve">La méthode </w:t>
      </w:r>
      <w:r w:rsidR="00465B62" w:rsidRPr="00D849C0">
        <w:t>suivie aux fins de</w:t>
      </w:r>
      <w:r w:rsidRPr="00D849C0">
        <w:t xml:space="preserve"> l</w:t>
      </w:r>
      <w:r w:rsidR="001937C9">
        <w:t>’</w:t>
      </w:r>
      <w:r w:rsidRPr="00D849C0">
        <w:t xml:space="preserve">élaboration de ce document est la même que celle adoptée par le comité concernant ses travaux antérieurs sur les éléments de flexibilité relative aux brevets, </w:t>
      </w:r>
      <w:r w:rsidR="001937C9">
        <w:t>à savoir</w:t>
      </w:r>
      <w:r w:rsidRPr="00D849C0">
        <w:t xml:space="preserve"> </w:t>
      </w:r>
      <w:r w:rsidR="005A74B2" w:rsidRPr="00D849C0">
        <w:t>CDIP/5/4</w:t>
      </w:r>
      <w:r w:rsidR="005D43EC">
        <w:t> </w:t>
      </w:r>
      <w:proofErr w:type="spellStart"/>
      <w:r w:rsidR="005A74B2" w:rsidRPr="00D849C0">
        <w:t>Rev</w:t>
      </w:r>
      <w:proofErr w:type="spellEnd"/>
      <w:r w:rsidR="005A74B2" w:rsidRPr="00D849C0">
        <w:t xml:space="preserve">. </w:t>
      </w:r>
      <w:r w:rsidRPr="00D849C0">
        <w:t>et</w:t>
      </w:r>
      <w:r w:rsidR="005A74B2" w:rsidRPr="00D849C0">
        <w:t xml:space="preserve"> CDIP/7/3</w:t>
      </w:r>
      <w:r w:rsidR="005D43EC">
        <w:t> </w:t>
      </w:r>
      <w:proofErr w:type="spellStart"/>
      <w:r w:rsidR="005A74B2" w:rsidRPr="00D849C0">
        <w:t>Rev</w:t>
      </w:r>
      <w:proofErr w:type="spellEnd"/>
      <w:r w:rsidR="005A74B2" w:rsidRPr="00D849C0">
        <w:t>.</w:t>
      </w:r>
      <w:r w:rsidR="00D21F0D" w:rsidRPr="00D849C0">
        <w:t xml:space="preserve"> </w:t>
      </w:r>
      <w:r w:rsidR="008667FB" w:rsidRPr="00D849C0">
        <w:t xml:space="preserve"> Le document traite d</w:t>
      </w:r>
      <w:r w:rsidR="001937C9">
        <w:t>’</w:t>
      </w:r>
      <w:r w:rsidR="008667FB" w:rsidRPr="00D849C0">
        <w:t>un nombre non exhaustif d</w:t>
      </w:r>
      <w:r w:rsidR="001937C9">
        <w:t>’</w:t>
      </w:r>
      <w:r w:rsidR="008667FB" w:rsidRPr="00D849C0">
        <w:t>éléments de flexibilité dans le domaine des brevets</w:t>
      </w:r>
      <w:r w:rsidR="007A161A" w:rsidRPr="00D849C0">
        <w:t xml:space="preserve"> </w:t>
      </w:r>
      <w:r w:rsidR="00531E68" w:rsidRPr="00D849C0">
        <w:t xml:space="preserve">en </w:t>
      </w:r>
      <w:r w:rsidR="007C0143" w:rsidRPr="00D849C0">
        <w:t>décrivant le développement conceptuel de chacun et comprend deux</w:t>
      </w:r>
      <w:r w:rsidR="005D43EC">
        <w:t> </w:t>
      </w:r>
      <w:r w:rsidR="007C0143" w:rsidRPr="00D849C0">
        <w:t xml:space="preserve">annexes, </w:t>
      </w:r>
      <w:r w:rsidR="001937C9">
        <w:t>à savoir</w:t>
      </w:r>
      <w:r w:rsidR="007C0143" w:rsidRPr="00D849C0">
        <w:t xml:space="preserve"> des tableaux catégorisant les divers aspects</w:t>
      </w:r>
      <w:r w:rsidR="00531E68" w:rsidRPr="00D849C0">
        <w:t xml:space="preserve"> des éléments de flexibilité étudiés </w:t>
      </w:r>
      <w:r w:rsidR="001A6BAC" w:rsidRPr="00D849C0">
        <w:t>ainsi que les dispositions législatives s</w:t>
      </w:r>
      <w:r w:rsidR="001937C9">
        <w:t>’</w:t>
      </w:r>
      <w:r w:rsidR="001A6BAC" w:rsidRPr="00D849C0">
        <w:t>y rapportant dans un certain nombre de pays.</w:t>
      </w:r>
    </w:p>
    <w:p w:rsidR="005A74B2" w:rsidRPr="00D849C0" w:rsidRDefault="00C2386A" w:rsidP="009741BB">
      <w:pPr>
        <w:pStyle w:val="ONUMFS"/>
      </w:pPr>
      <w:r w:rsidRPr="00D849C0">
        <w:t xml:space="preserve">Le présent document </w:t>
      </w:r>
      <w:r w:rsidR="00905BC1" w:rsidRPr="00D849C0">
        <w:t>se compose de deux</w:t>
      </w:r>
      <w:r w:rsidR="005D43EC">
        <w:t> </w:t>
      </w:r>
      <w:r w:rsidR="00905BC1" w:rsidRPr="00D849C0">
        <w:t>parties :</w:t>
      </w:r>
    </w:p>
    <w:p w:rsidR="005A74B2" w:rsidRPr="00D849C0" w:rsidRDefault="00905BC1" w:rsidP="00CD78ED">
      <w:pPr>
        <w:pStyle w:val="ListParagraph"/>
        <w:numPr>
          <w:ilvl w:val="0"/>
          <w:numId w:val="25"/>
        </w:numPr>
        <w:ind w:left="1134" w:hanging="567"/>
        <w:rPr>
          <w:szCs w:val="22"/>
        </w:rPr>
      </w:pPr>
      <w:r w:rsidRPr="00D849C0">
        <w:rPr>
          <w:szCs w:val="22"/>
        </w:rPr>
        <w:t>la première partie est consacrée à la portée de l</w:t>
      </w:r>
      <w:r w:rsidR="001937C9">
        <w:rPr>
          <w:szCs w:val="22"/>
        </w:rPr>
        <w:t>’</w:t>
      </w:r>
      <w:r w:rsidRPr="00D849C0">
        <w:rPr>
          <w:szCs w:val="22"/>
        </w:rPr>
        <w:t>exclusion de la brevetabilité des</w:t>
      </w:r>
      <w:r w:rsidR="009741BB">
        <w:rPr>
          <w:szCs w:val="22"/>
        </w:rPr>
        <w:t> </w:t>
      </w:r>
      <w:r w:rsidRPr="00D849C0">
        <w:rPr>
          <w:szCs w:val="22"/>
        </w:rPr>
        <w:t>végétaux</w:t>
      </w:r>
      <w:r w:rsidR="00E373FD" w:rsidRPr="00D849C0">
        <w:rPr>
          <w:szCs w:val="22"/>
        </w:rPr>
        <w:t>;  plus particulièrement, elle illustre</w:t>
      </w:r>
      <w:r w:rsidR="00934812" w:rsidRPr="00D849C0">
        <w:rPr>
          <w:szCs w:val="22"/>
        </w:rPr>
        <w:t xml:space="preserve"> les différents </w:t>
      </w:r>
      <w:r w:rsidR="00912AFC" w:rsidRPr="00D849C0">
        <w:rPr>
          <w:szCs w:val="22"/>
        </w:rPr>
        <w:t>modes de mise</w:t>
      </w:r>
      <w:r w:rsidR="00934812" w:rsidRPr="00D849C0">
        <w:rPr>
          <w:szCs w:val="22"/>
        </w:rPr>
        <w:t xml:space="preserve"> en</w:t>
      </w:r>
      <w:r w:rsidR="009741BB">
        <w:rPr>
          <w:szCs w:val="22"/>
        </w:rPr>
        <w:t> </w:t>
      </w:r>
      <w:r w:rsidR="00934812" w:rsidRPr="00D849C0">
        <w:rPr>
          <w:szCs w:val="22"/>
        </w:rPr>
        <w:t xml:space="preserve">œuvre </w:t>
      </w:r>
      <w:r w:rsidR="00912AFC" w:rsidRPr="00D849C0">
        <w:rPr>
          <w:szCs w:val="22"/>
        </w:rPr>
        <w:t>d</w:t>
      </w:r>
      <w:r w:rsidR="00934812" w:rsidRPr="00D849C0">
        <w:rPr>
          <w:szCs w:val="22"/>
        </w:rPr>
        <w:t xml:space="preserve">es obligations </w:t>
      </w:r>
      <w:r w:rsidR="00912AFC" w:rsidRPr="00D849C0">
        <w:rPr>
          <w:szCs w:val="22"/>
        </w:rPr>
        <w:t>découlant de</w:t>
      </w:r>
      <w:r w:rsidR="00934812" w:rsidRPr="00D849C0">
        <w:rPr>
          <w:szCs w:val="22"/>
        </w:rPr>
        <w:t xml:space="preserve"> l</w:t>
      </w:r>
      <w:r w:rsidR="001937C9">
        <w:rPr>
          <w:szCs w:val="22"/>
        </w:rPr>
        <w:t>’</w:t>
      </w:r>
      <w:r w:rsidR="00934812" w:rsidRPr="00D849C0">
        <w:rPr>
          <w:szCs w:val="22"/>
        </w:rPr>
        <w:t>article</w:t>
      </w:r>
      <w:r w:rsidR="005D43EC">
        <w:rPr>
          <w:szCs w:val="22"/>
        </w:rPr>
        <w:t> </w:t>
      </w:r>
      <w:r w:rsidR="00912AFC" w:rsidRPr="00D849C0">
        <w:rPr>
          <w:szCs w:val="22"/>
        </w:rPr>
        <w:t>27.3 de l</w:t>
      </w:r>
      <w:r w:rsidR="001937C9">
        <w:rPr>
          <w:szCs w:val="22"/>
        </w:rPr>
        <w:t>’</w:t>
      </w:r>
      <w:r w:rsidR="00912AFC" w:rsidRPr="00D849C0">
        <w:rPr>
          <w:szCs w:val="22"/>
        </w:rPr>
        <w:t>Accord sur</w:t>
      </w:r>
      <w:r w:rsidR="001937C9" w:rsidRPr="00D849C0">
        <w:rPr>
          <w:szCs w:val="22"/>
        </w:rPr>
        <w:t xml:space="preserve"> les</w:t>
      </w:r>
      <w:r w:rsidR="001937C9">
        <w:rPr>
          <w:szCs w:val="22"/>
        </w:rPr>
        <w:t> </w:t>
      </w:r>
      <w:r w:rsidR="001937C9" w:rsidRPr="00D849C0">
        <w:rPr>
          <w:szCs w:val="22"/>
        </w:rPr>
        <w:t>ADP</w:t>
      </w:r>
      <w:r w:rsidR="00912AFC" w:rsidRPr="00D849C0">
        <w:rPr>
          <w:szCs w:val="22"/>
        </w:rPr>
        <w:t>IC en ce qui concerne les végétaux</w:t>
      </w:r>
      <w:r w:rsidR="00726741" w:rsidRPr="00D849C0">
        <w:rPr>
          <w:szCs w:val="22"/>
        </w:rPr>
        <w:t>, ce qui signifie que cette étude ne couvre pas les animaux et les variétés végétales;</w:t>
      </w:r>
    </w:p>
    <w:p w:rsidR="005A74B2" w:rsidRPr="00D849C0" w:rsidRDefault="005A74B2" w:rsidP="00CF75CC">
      <w:pPr>
        <w:ind w:left="567"/>
        <w:rPr>
          <w:szCs w:val="22"/>
        </w:rPr>
      </w:pPr>
    </w:p>
    <w:p w:rsidR="005A74B2" w:rsidRPr="00D849C0" w:rsidRDefault="00726741" w:rsidP="00354183">
      <w:pPr>
        <w:pStyle w:val="ListParagraph"/>
        <w:numPr>
          <w:ilvl w:val="0"/>
          <w:numId w:val="25"/>
        </w:numPr>
        <w:ind w:left="1080" w:hanging="540"/>
        <w:rPr>
          <w:szCs w:val="22"/>
        </w:rPr>
      </w:pPr>
      <w:r w:rsidRPr="00D849C0">
        <w:rPr>
          <w:szCs w:val="22"/>
        </w:rPr>
        <w:t xml:space="preserve">la deuxième partie </w:t>
      </w:r>
      <w:r w:rsidR="005C16F3" w:rsidRPr="00D849C0">
        <w:rPr>
          <w:szCs w:val="22"/>
        </w:rPr>
        <w:t>illustre les questions liées à la brevetabilité des inventions relatives à des logiciels, ainsi que les différentes approches adoptées aux niveaux national et régional.</w:t>
      </w:r>
    </w:p>
    <w:p w:rsidR="005A74B2" w:rsidRPr="00D849C0" w:rsidRDefault="005A74B2" w:rsidP="00A83989">
      <w:pPr>
        <w:rPr>
          <w:szCs w:val="22"/>
        </w:rPr>
      </w:pPr>
    </w:p>
    <w:p w:rsidR="00C439FF" w:rsidRPr="00D849C0" w:rsidRDefault="00C439FF" w:rsidP="00A83989">
      <w:pPr>
        <w:rPr>
          <w:szCs w:val="22"/>
        </w:rPr>
      </w:pPr>
    </w:p>
    <w:p w:rsidR="00C439FF" w:rsidRPr="00D849C0" w:rsidRDefault="00C439FF" w:rsidP="007319AE">
      <w:pPr>
        <w:tabs>
          <w:tab w:val="left" w:pos="567"/>
        </w:tabs>
        <w:rPr>
          <w:szCs w:val="22"/>
        </w:rPr>
      </w:pPr>
      <w:r w:rsidRPr="00D849C0">
        <w:rPr>
          <w:szCs w:val="22"/>
        </w:rPr>
        <w:br w:type="page"/>
      </w:r>
    </w:p>
    <w:p w:rsidR="00A26A13" w:rsidRPr="00D849C0" w:rsidRDefault="00E65C5E" w:rsidP="00BD2732">
      <w:pPr>
        <w:pStyle w:val="Heading1"/>
      </w:pPr>
      <w:bookmarkStart w:id="5" w:name="_Toc387060458"/>
      <w:r w:rsidRPr="00D849C0">
        <w:lastRenderedPageBreak/>
        <w:t>I</w:t>
      </w:r>
      <w:r w:rsidR="00A26A13" w:rsidRPr="00D849C0">
        <w:t>I</w:t>
      </w:r>
      <w:r w:rsidR="00CD78ED" w:rsidRPr="00D849C0">
        <w:t>.</w:t>
      </w:r>
      <w:r w:rsidR="00CD78ED" w:rsidRPr="00D849C0">
        <w:tab/>
      </w:r>
      <w:r w:rsidR="005C16F3" w:rsidRPr="00D849C0">
        <w:t>la portée de l</w:t>
      </w:r>
      <w:r w:rsidR="001937C9">
        <w:t>’</w:t>
      </w:r>
      <w:r w:rsidR="005C16F3" w:rsidRPr="00D849C0">
        <w:t>exclusion de la brevetabilité des végétaux</w:t>
      </w:r>
      <w:bookmarkEnd w:id="5"/>
    </w:p>
    <w:p w:rsidR="00A26A13" w:rsidRPr="00D849C0" w:rsidRDefault="008057B3" w:rsidP="00BD2732">
      <w:pPr>
        <w:pStyle w:val="Heading2"/>
        <w:rPr>
          <w:b w:val="0"/>
        </w:rPr>
      </w:pPr>
      <w:bookmarkStart w:id="6" w:name="_Toc387060459"/>
      <w:r w:rsidRPr="00D849C0">
        <w:t xml:space="preserve">A </w:t>
      </w:r>
      <w:r w:rsidRPr="00D849C0">
        <w:tab/>
      </w:r>
      <w:r w:rsidR="00A26A13" w:rsidRPr="00D849C0">
        <w:t>Introduction</w:t>
      </w:r>
      <w:bookmarkEnd w:id="6"/>
    </w:p>
    <w:p w:rsidR="00A26A13" w:rsidRPr="00D849C0" w:rsidRDefault="00A26A13" w:rsidP="00A83989">
      <w:pPr>
        <w:rPr>
          <w:szCs w:val="22"/>
        </w:rPr>
      </w:pPr>
    </w:p>
    <w:p w:rsidR="00A26A13" w:rsidRPr="00D849C0" w:rsidRDefault="005C16F3" w:rsidP="009741BB">
      <w:pPr>
        <w:pStyle w:val="ONUMFS"/>
      </w:pPr>
      <w:r w:rsidRPr="00D849C0">
        <w:t xml:space="preserve">Il est communément reconnu que les végétaux existant </w:t>
      </w:r>
      <w:r w:rsidR="00396F0D" w:rsidRPr="00D849C0">
        <w:t xml:space="preserve">déjà </w:t>
      </w:r>
      <w:r w:rsidRPr="00D849C0">
        <w:t>dans la nature</w:t>
      </w:r>
      <w:r w:rsidR="00396F0D" w:rsidRPr="00D849C0">
        <w:t xml:space="preserve"> ne </w:t>
      </w:r>
      <w:r w:rsidR="00452C38" w:rsidRPr="00D849C0">
        <w:t>sont pas brevetables</w:t>
      </w:r>
      <w:r w:rsidR="00396F0D" w:rsidRPr="00D849C0">
        <w:t>, dans la mesure où ils constitueraient de simples découvertes</w:t>
      </w:r>
      <w:r w:rsidR="00A26A13" w:rsidRPr="00D849C0">
        <w:rPr>
          <w:vertAlign w:val="superscript"/>
        </w:rPr>
        <w:footnoteReference w:id="2"/>
      </w:r>
      <w:r w:rsidR="00396F0D" w:rsidRPr="00D849C0">
        <w:t>.</w:t>
      </w:r>
      <w:r w:rsidR="001C05E7" w:rsidRPr="00D849C0">
        <w:t xml:space="preserve">  </w:t>
      </w:r>
      <w:r w:rsidR="00452C38" w:rsidRPr="00D849C0">
        <w:t>La biotechnologie, en revanche, c</w:t>
      </w:r>
      <w:r w:rsidR="001937C9">
        <w:t>’</w:t>
      </w:r>
      <w:r w:rsidR="00452C38" w:rsidRPr="00D849C0">
        <w:t>est</w:t>
      </w:r>
      <w:r w:rsidR="001937C9">
        <w:t>-</w:t>
      </w:r>
      <w:r w:rsidR="00452C38" w:rsidRPr="00D849C0">
        <w:t>à</w:t>
      </w:r>
      <w:r w:rsidR="001937C9">
        <w:t>-</w:t>
      </w:r>
      <w:r w:rsidR="00452C38" w:rsidRPr="00D849C0">
        <w:t>dire l</w:t>
      </w:r>
      <w:r w:rsidR="001937C9">
        <w:t>’</w:t>
      </w:r>
      <w:r w:rsidR="00452C38" w:rsidRPr="00D849C0">
        <w:t>application de techniques scientifiques à la modification et à l</w:t>
      </w:r>
      <w:r w:rsidR="001937C9">
        <w:t>’</w:t>
      </w:r>
      <w:r w:rsidR="00452C38" w:rsidRPr="00D849C0">
        <w:t>amélioration de végétaux, d</w:t>
      </w:r>
      <w:r w:rsidR="001937C9">
        <w:t>’</w:t>
      </w:r>
      <w:r w:rsidR="00452C38" w:rsidRPr="00D849C0">
        <w:t>animaux et de micro</w:t>
      </w:r>
      <w:r w:rsidR="001937C9">
        <w:t>-</w:t>
      </w:r>
      <w:r w:rsidR="00452C38" w:rsidRPr="00D849C0">
        <w:t>organismes ou à l</w:t>
      </w:r>
      <w:r w:rsidR="001937C9">
        <w:t>’</w:t>
      </w:r>
      <w:r w:rsidR="00452C38" w:rsidRPr="00D849C0">
        <w:t>ajout de valeur à ces derniers, a la capacité d</w:t>
      </w:r>
      <w:r w:rsidR="001937C9">
        <w:t>’</w:t>
      </w:r>
      <w:r w:rsidR="00452C38" w:rsidRPr="00D849C0">
        <w:t>intervenir sur les végétaux et les variétés végétales et d</w:t>
      </w:r>
      <w:r w:rsidR="001937C9">
        <w:t>’</w:t>
      </w:r>
      <w:r w:rsidR="00452C38" w:rsidRPr="00D849C0">
        <w:t xml:space="preserve">aboutir à un résultat différent de celui qui existe dans la nature.  De nombreux offices de </w:t>
      </w:r>
      <w:r w:rsidR="005D43EC" w:rsidRPr="00D849C0">
        <w:t>brevet</w:t>
      </w:r>
      <w:r w:rsidR="005D43EC">
        <w:t>s</w:t>
      </w:r>
      <w:r w:rsidR="00452C38" w:rsidRPr="00D849C0">
        <w:t xml:space="preserve"> considèrent par exemple à cet égard qu</w:t>
      </w:r>
      <w:r w:rsidR="001937C9">
        <w:t>’</w:t>
      </w:r>
      <w:r w:rsidR="00A26A13" w:rsidRPr="00D849C0">
        <w:t>“</w:t>
      </w:r>
      <w:r w:rsidR="00452C38" w:rsidRPr="00D849C0">
        <w:t>une entité biologique est susceptible d</w:t>
      </w:r>
      <w:r w:rsidR="001937C9">
        <w:t>’</w:t>
      </w:r>
      <w:r w:rsidR="00452C38" w:rsidRPr="00D849C0">
        <w:t>être brevetée si l</w:t>
      </w:r>
      <w:r w:rsidR="001937C9">
        <w:t>’</w:t>
      </w:r>
      <w:r w:rsidR="00452C38" w:rsidRPr="00D849C0">
        <w:t>intervention technique de l</w:t>
      </w:r>
      <w:r w:rsidR="001937C9">
        <w:t>’</w:t>
      </w:r>
      <w:r w:rsidR="00452C38" w:rsidRPr="00D849C0">
        <w:t>homme (la fabrication) a produit un état de choses artificiel qu</w:t>
      </w:r>
      <w:r w:rsidR="00B66F6E">
        <w:t>i n</w:t>
      </w:r>
      <w:r w:rsidR="001937C9">
        <w:t>’</w:t>
      </w:r>
      <w:r w:rsidR="00B66F6E">
        <w:t>existe</w:t>
      </w:r>
      <w:r w:rsidR="00452C38" w:rsidRPr="00D849C0">
        <w:t xml:space="preserve"> pas dans la nature</w:t>
      </w:r>
      <w:r w:rsidR="00A26A13" w:rsidRPr="00D849C0">
        <w:t>”</w:t>
      </w:r>
      <w:r w:rsidR="00A26A13" w:rsidRPr="00D849C0">
        <w:rPr>
          <w:vertAlign w:val="superscript"/>
        </w:rPr>
        <w:footnoteReference w:id="3"/>
      </w:r>
      <w:r w:rsidR="00452C38" w:rsidRPr="00D849C0">
        <w:t>.</w:t>
      </w:r>
    </w:p>
    <w:p w:rsidR="00A26A13" w:rsidRPr="00D849C0" w:rsidRDefault="00452C38" w:rsidP="009741BB">
      <w:pPr>
        <w:pStyle w:val="ONUMFS"/>
      </w:pPr>
      <w:r w:rsidRPr="00D849C0">
        <w:t>La brevetabilité des variétés végétales est largement reconnue (article</w:t>
      </w:r>
      <w:r w:rsidR="005D43EC">
        <w:t> </w:t>
      </w:r>
      <w:r w:rsidRPr="00D849C0">
        <w:t>27.3)b) de l</w:t>
      </w:r>
      <w:r w:rsidR="001937C9">
        <w:t>’</w:t>
      </w:r>
      <w:r w:rsidRPr="00D849C0">
        <w:t>Accord sur</w:t>
      </w:r>
      <w:r w:rsidR="001937C9" w:rsidRPr="00D849C0">
        <w:t xml:space="preserve"> les</w:t>
      </w:r>
      <w:r w:rsidR="001937C9">
        <w:t> </w:t>
      </w:r>
      <w:r w:rsidR="001937C9" w:rsidRPr="00D849C0">
        <w:t>ADP</w:t>
      </w:r>
      <w:r w:rsidRPr="00D849C0">
        <w:t>IC), que ce soit par le biais d</w:t>
      </w:r>
      <w:r w:rsidR="001937C9">
        <w:t>’</w:t>
      </w:r>
      <w:r w:rsidRPr="00D849C0">
        <w:t>un système de brevets, d</w:t>
      </w:r>
      <w:r w:rsidR="001937C9">
        <w:t>’</w:t>
      </w:r>
      <w:r w:rsidRPr="00D849C0">
        <w:t xml:space="preserve">un système </w:t>
      </w:r>
      <w:r w:rsidRPr="009741BB">
        <w:rPr>
          <w:i/>
        </w:rPr>
        <w:t>sui</w:t>
      </w:r>
      <w:r w:rsidR="005D43EC" w:rsidRPr="009741BB">
        <w:rPr>
          <w:i/>
        </w:rPr>
        <w:t> </w:t>
      </w:r>
      <w:r w:rsidRPr="009741BB">
        <w:rPr>
          <w:i/>
        </w:rPr>
        <w:t>generis</w:t>
      </w:r>
      <w:r w:rsidRPr="00D849C0">
        <w:t xml:space="preserve"> ou d</w:t>
      </w:r>
      <w:r w:rsidR="001937C9">
        <w:t>’</w:t>
      </w:r>
      <w:r w:rsidRPr="00D849C0">
        <w:t xml:space="preserve">une combinaison des deux, tandis que la protection des végétaux est plus incertaine dans certains </w:t>
      </w:r>
      <w:r w:rsidR="00843FDC">
        <w:t>systèmes juridiques</w:t>
      </w:r>
      <w:r w:rsidRPr="00D849C0">
        <w:t>.  Il est important, à cet égard, de mettre en lumière ce qui différencie les végétaux et les variétés végétales.</w:t>
      </w:r>
    </w:p>
    <w:p w:rsidR="00A26A13" w:rsidRPr="00D849C0" w:rsidRDefault="00452C38" w:rsidP="009741BB">
      <w:pPr>
        <w:pStyle w:val="ONUMFS"/>
      </w:pPr>
      <w:r w:rsidRPr="00D849C0">
        <w:t xml:space="preserve">Le terme de </w:t>
      </w:r>
      <w:r w:rsidR="00A26A13" w:rsidRPr="00D849C0">
        <w:t>“</w:t>
      </w:r>
      <w:r w:rsidRPr="00D849C0">
        <w:t>végétal</w:t>
      </w:r>
      <w:r w:rsidR="00A26A13" w:rsidRPr="00D849C0">
        <w:t xml:space="preserve">” </w:t>
      </w:r>
      <w:r w:rsidRPr="00D849C0">
        <w:t>relève d</w:t>
      </w:r>
      <w:r w:rsidR="001937C9">
        <w:t>’</w:t>
      </w:r>
      <w:r w:rsidRPr="00D849C0">
        <w:t xml:space="preserve">une notion plus large que celle de variété végétale.  Il se rapporte généralement à </w:t>
      </w:r>
      <w:r w:rsidR="00A26A13" w:rsidRPr="00D849C0">
        <w:t>“</w:t>
      </w:r>
      <w:r w:rsidRPr="00D849C0">
        <w:t>un organisme vivant appartenant au règne végétal</w:t>
      </w:r>
      <w:r w:rsidR="00741E1C" w:rsidRPr="00D849C0">
        <w:t>”</w:t>
      </w:r>
      <w:r w:rsidR="00A26A13" w:rsidRPr="00D849C0">
        <w:rPr>
          <w:vertAlign w:val="superscript"/>
        </w:rPr>
        <w:footnoteReference w:id="4"/>
      </w:r>
      <w:r w:rsidRPr="00D849C0">
        <w:t>.</w:t>
      </w:r>
      <w:r w:rsidR="005134FE" w:rsidRPr="00D849C0">
        <w:t xml:space="preserve">  </w:t>
      </w:r>
      <w:r w:rsidRPr="00D849C0">
        <w:t xml:space="preserve">Les législations nationales ont adopté des notions diverses à son égard.  En Chine, par exemple, les végétaux sont conçus </w:t>
      </w:r>
      <w:r w:rsidR="00BB6DFE" w:rsidRPr="00D849C0">
        <w:t xml:space="preserve">– </w:t>
      </w:r>
      <w:r w:rsidRPr="00D849C0">
        <w:t xml:space="preserve">dans le contexte du droit des brevets </w:t>
      </w:r>
      <w:r w:rsidR="00BB6DFE" w:rsidRPr="00D849C0">
        <w:t>–</w:t>
      </w:r>
      <w:r w:rsidRPr="00D849C0">
        <w:t xml:space="preserve"> comme étant </w:t>
      </w:r>
      <w:r w:rsidR="00DF0B16" w:rsidRPr="00D849C0">
        <w:t>“</w:t>
      </w:r>
      <w:r w:rsidRPr="00D849C0">
        <w:t>la forme du vivant dont le</w:t>
      </w:r>
      <w:r w:rsidR="009741BB">
        <w:t> </w:t>
      </w:r>
      <w:r w:rsidRPr="00D849C0">
        <w:t xml:space="preserve">maintien de la vie </w:t>
      </w:r>
      <w:r w:rsidR="00920B02">
        <w:t>est assuré par</w:t>
      </w:r>
      <w:r w:rsidRPr="00D849C0">
        <w:t xml:space="preserve"> la synthèse de glucides et de protéines à partir de matières inorganiques telles que l</w:t>
      </w:r>
      <w:r w:rsidR="001937C9">
        <w:t>’</w:t>
      </w:r>
      <w:r w:rsidRPr="00D849C0">
        <w:t xml:space="preserve">eau, le dioxyde de carbone et les sels inorganiques, et qui est généralement </w:t>
      </w:r>
      <w:r w:rsidR="00843FDC">
        <w:t>fixe</w:t>
      </w:r>
      <w:r w:rsidR="00A26A13" w:rsidRPr="00D849C0">
        <w:t>”</w:t>
      </w:r>
      <w:r w:rsidR="00A26A13" w:rsidRPr="00D849C0">
        <w:rPr>
          <w:vertAlign w:val="superscript"/>
        </w:rPr>
        <w:footnoteReference w:id="5"/>
      </w:r>
      <w:r w:rsidR="00A26A13" w:rsidRPr="00D849C0">
        <w:t>.</w:t>
      </w:r>
      <w:r w:rsidR="00920B02">
        <w:t xml:space="preserve">  </w:t>
      </w:r>
      <w:r w:rsidRPr="00D849C0">
        <w:t>L</w:t>
      </w:r>
      <w:r w:rsidR="001937C9">
        <w:t>’</w:t>
      </w:r>
      <w:r w:rsidRPr="00D849C0">
        <w:t>Office japonais des brevets précise dans ses directives d</w:t>
      </w:r>
      <w:r w:rsidR="001937C9">
        <w:t>’</w:t>
      </w:r>
      <w:r w:rsidRPr="00D849C0">
        <w:t>examen que le</w:t>
      </w:r>
      <w:r w:rsidR="009741BB">
        <w:t> </w:t>
      </w:r>
      <w:r w:rsidRPr="00D849C0">
        <w:t xml:space="preserve">terme </w:t>
      </w:r>
      <w:r w:rsidR="005D43EC">
        <w:t>“</w:t>
      </w:r>
      <w:r w:rsidRPr="00D849C0">
        <w:t>végétaux</w:t>
      </w:r>
      <w:r w:rsidR="005D43EC">
        <w:t>”</w:t>
      </w:r>
      <w:r w:rsidRPr="00D849C0">
        <w:t xml:space="preserve"> désigne l</w:t>
      </w:r>
      <w:r w:rsidR="001937C9">
        <w:t>’</w:t>
      </w:r>
      <w:r w:rsidRPr="00D849C0">
        <w:t>une des trois</w:t>
      </w:r>
      <w:r w:rsidR="005D43EC">
        <w:t> </w:t>
      </w:r>
      <w:r w:rsidRPr="00D849C0">
        <w:t xml:space="preserve">catégories utilisées </w:t>
      </w:r>
      <w:r w:rsidR="00322953" w:rsidRPr="00D849C0">
        <w:t>aux fins du</w:t>
      </w:r>
      <w:r w:rsidRPr="00D849C0">
        <w:t xml:space="preserve"> classement des organismes, </w:t>
      </w:r>
      <w:r w:rsidR="001937C9">
        <w:t>à savoir</w:t>
      </w:r>
      <w:r w:rsidRPr="00D849C0">
        <w:t xml:space="preserve"> les micro</w:t>
      </w:r>
      <w:r w:rsidR="001937C9">
        <w:t>-</w:t>
      </w:r>
      <w:r w:rsidRPr="00D849C0">
        <w:t xml:space="preserve">organismes, les végétaux et les animaux. </w:t>
      </w:r>
      <w:r w:rsidR="005D43EC">
        <w:t xml:space="preserve"> </w:t>
      </w:r>
      <w:r w:rsidR="00E94243" w:rsidRPr="00D849C0">
        <w:t xml:space="preserve">Le droit des brevets de </w:t>
      </w:r>
      <w:r w:rsidRPr="00D849C0">
        <w:t>plusieurs pays</w:t>
      </w:r>
      <w:r w:rsidR="00E94243" w:rsidRPr="00D849C0">
        <w:t xml:space="preserve"> </w:t>
      </w:r>
      <w:r w:rsidRPr="00D849C0">
        <w:t>considère les cellules végétales non différenciées et les cultures de tissus végétaux comme des micro</w:t>
      </w:r>
      <w:r w:rsidR="001937C9">
        <w:t>-</w:t>
      </w:r>
      <w:r w:rsidRPr="00D849C0">
        <w:t>organismes</w:t>
      </w:r>
      <w:r w:rsidR="00A26A13" w:rsidRPr="00D849C0">
        <w:rPr>
          <w:vertAlign w:val="superscript"/>
        </w:rPr>
        <w:footnoteReference w:id="6"/>
      </w:r>
      <w:r w:rsidRPr="00D849C0">
        <w:t>.</w:t>
      </w:r>
    </w:p>
    <w:p w:rsidR="00AD05F3" w:rsidRPr="00D849C0" w:rsidRDefault="00D3406A" w:rsidP="009741BB">
      <w:pPr>
        <w:pStyle w:val="ONUMFS"/>
      </w:pPr>
      <w:r w:rsidRPr="00D849C0">
        <w:t xml:space="preserve">Une </w:t>
      </w:r>
      <w:r w:rsidR="00A26A13" w:rsidRPr="00D849C0">
        <w:t>“</w:t>
      </w:r>
      <w:r w:rsidRPr="00D849C0">
        <w:t>variété végétale</w:t>
      </w:r>
      <w:r w:rsidR="00A26A13" w:rsidRPr="00D849C0">
        <w:t>”</w:t>
      </w:r>
      <w:r w:rsidRPr="00D849C0">
        <w:t xml:space="preserve"> est en revanche un groupe de végétaux</w:t>
      </w:r>
      <w:r w:rsidR="00B572E8" w:rsidRPr="00D849C0">
        <w:t xml:space="preserve"> plus défini,</w:t>
      </w:r>
      <w:r w:rsidR="000C468B" w:rsidRPr="00D849C0">
        <w:t xml:space="preserve"> sélectionné au</w:t>
      </w:r>
      <w:r w:rsidR="00523373">
        <w:t> </w:t>
      </w:r>
      <w:r w:rsidR="000C468B" w:rsidRPr="00D849C0">
        <w:t>sein d</w:t>
      </w:r>
      <w:r w:rsidR="001937C9">
        <w:t>’</w:t>
      </w:r>
      <w:r w:rsidR="000C468B" w:rsidRPr="00D849C0">
        <w:t>une espèce et</w:t>
      </w:r>
      <w:r w:rsidR="00B572E8" w:rsidRPr="00D849C0">
        <w:t xml:space="preserve"> </w:t>
      </w:r>
      <w:r w:rsidR="00B7272B" w:rsidRPr="00D849C0">
        <w:t>présentant un ensemble de caractéristiques communes</w:t>
      </w:r>
      <w:r w:rsidR="00A26A13" w:rsidRPr="00D849C0">
        <w:rPr>
          <w:vertAlign w:val="superscript"/>
        </w:rPr>
        <w:footnoteReference w:id="7"/>
      </w:r>
      <w:r w:rsidR="00CE4471" w:rsidRPr="00D849C0">
        <w:t xml:space="preserve">, une </w:t>
      </w:r>
      <w:r w:rsidR="005D43EC">
        <w:t>“</w:t>
      </w:r>
      <w:r w:rsidR="002425EE" w:rsidRPr="00D849C0">
        <w:t>espèce</w:t>
      </w:r>
      <w:r w:rsidR="005D43EC">
        <w:t>”</w:t>
      </w:r>
      <w:r w:rsidR="00A26A13" w:rsidRPr="00D849C0">
        <w:t xml:space="preserve"> </w:t>
      </w:r>
      <w:r w:rsidR="00CE4471" w:rsidRPr="00D849C0">
        <w:t>étant</w:t>
      </w:r>
      <w:r w:rsidR="002425EE" w:rsidRPr="00D849C0">
        <w:t xml:space="preserve"> </w:t>
      </w:r>
      <w:r w:rsidR="00F20BF3" w:rsidRPr="00D849C0">
        <w:t>une unité de classification botanique courante du règne végétal</w:t>
      </w:r>
      <w:r w:rsidR="00A26A13" w:rsidRPr="00D849C0">
        <w:rPr>
          <w:vertAlign w:val="superscript"/>
        </w:rPr>
        <w:footnoteReference w:id="8"/>
      </w:r>
      <w:r w:rsidR="00F20BF3" w:rsidRPr="00D849C0">
        <w:t>.</w:t>
      </w:r>
      <w:r w:rsidR="00A26A13" w:rsidRPr="00D849C0">
        <w:t xml:space="preserve">  </w:t>
      </w:r>
      <w:r w:rsidR="0050187D" w:rsidRPr="00D849C0">
        <w:t xml:space="preserve">En voici une définition </w:t>
      </w:r>
      <w:r w:rsidR="0050187D" w:rsidRPr="00D849C0">
        <w:lastRenderedPageBreak/>
        <w:t xml:space="preserve">plus précise : </w:t>
      </w:r>
      <w:r w:rsidR="00A26A13" w:rsidRPr="00D849C0">
        <w:t>“</w:t>
      </w:r>
      <w:r w:rsidR="00CA7E15">
        <w:t>Plante ou animal différe</w:t>
      </w:r>
      <w:r w:rsidR="00CE4471" w:rsidRPr="00D849C0">
        <w:t>nt</w:t>
      </w:r>
      <w:r w:rsidR="00CA7E15">
        <w:t>s</w:t>
      </w:r>
      <w:r w:rsidR="00CE4471" w:rsidRPr="00D849C0">
        <w:t xml:space="preserve"> de ceux de l</w:t>
      </w:r>
      <w:r w:rsidR="001937C9">
        <w:t>’</w:t>
      </w:r>
      <w:r w:rsidR="00CE4471" w:rsidRPr="00D849C0">
        <w:t>espèce à laquelle elle ou il appartient par une quelconque particularité</w:t>
      </w:r>
      <w:r w:rsidR="00C60EFC" w:rsidRPr="00D849C0">
        <w:t xml:space="preserve"> de faible importance, mais permanente ou transmissible;  groupe de tels individus constituant une sous</w:t>
      </w:r>
      <w:r w:rsidR="001937C9">
        <w:t>-</w:t>
      </w:r>
      <w:r w:rsidR="00C60EFC" w:rsidRPr="00D849C0">
        <w:t>espèce ou autre subdivision d</w:t>
      </w:r>
      <w:r w:rsidR="001937C9">
        <w:t>’</w:t>
      </w:r>
      <w:r w:rsidR="00C60EFC" w:rsidRPr="00D849C0">
        <w:t xml:space="preserve">une espèce;  également, plante ou animal </w:t>
      </w:r>
      <w:r w:rsidR="00CA7E15">
        <w:t>différents</w:t>
      </w:r>
      <w:r w:rsidR="00C60EFC" w:rsidRPr="00D849C0">
        <w:t xml:space="preserve"> par un menu détail de son type ou parent immédiat</w:t>
      </w:r>
      <w:r w:rsidR="005F5A23" w:rsidRPr="00D849C0">
        <w:t>”</w:t>
      </w:r>
      <w:r w:rsidR="00A26A13" w:rsidRPr="00D849C0">
        <w:rPr>
          <w:vertAlign w:val="superscript"/>
        </w:rPr>
        <w:footnoteReference w:id="9"/>
      </w:r>
      <w:r w:rsidR="00C60EFC" w:rsidRPr="00D849C0">
        <w:t>.</w:t>
      </w:r>
    </w:p>
    <w:p w:rsidR="006C1014" w:rsidRPr="00D849C0" w:rsidRDefault="00C60EFC" w:rsidP="003C0F42">
      <w:pPr>
        <w:pStyle w:val="ONUMFS"/>
      </w:pPr>
      <w:r w:rsidRPr="00D849C0">
        <w:t xml:space="preserve">Cette distinction est importante, </w:t>
      </w:r>
      <w:r w:rsidR="008443B6" w:rsidRPr="00D849C0">
        <w:t xml:space="preserve">car elle </w:t>
      </w:r>
      <w:r w:rsidR="00623BFF">
        <w:t>constitue</w:t>
      </w:r>
      <w:r w:rsidR="008443B6" w:rsidRPr="00D849C0">
        <w:t xml:space="preserve"> dans de nombreux systèmes juridiques la ligne de démarcation entre les mécanismes de protection</w:t>
      </w:r>
      <w:r w:rsidR="00925189" w:rsidRPr="00D849C0">
        <w:t xml:space="preserve"> dont peut </w:t>
      </w:r>
      <w:proofErr w:type="gramStart"/>
      <w:r w:rsidR="00925189" w:rsidRPr="00D849C0">
        <w:t>bénéficier</w:t>
      </w:r>
      <w:proofErr w:type="gramEnd"/>
      <w:r w:rsidR="00925189" w:rsidRPr="00D849C0">
        <w:t xml:space="preserve"> une invention donnée</w:t>
      </w:r>
      <w:r w:rsidR="003C0F42">
        <w:t>.  Au niveau européen, la C</w:t>
      </w:r>
      <w:r w:rsidR="00EA4B43" w:rsidRPr="00D849C0">
        <w:t>hambre de recours de l</w:t>
      </w:r>
      <w:r w:rsidR="001937C9">
        <w:t>’</w:t>
      </w:r>
      <w:r w:rsidR="00EA4B43" w:rsidRPr="00D849C0">
        <w:t>Office européen des brevets (OEB) a d</w:t>
      </w:r>
      <w:r w:rsidR="001937C9">
        <w:t>’</w:t>
      </w:r>
      <w:r w:rsidR="00EA4B43" w:rsidRPr="00D849C0">
        <w:t xml:space="preserve">abord défini le terme </w:t>
      </w:r>
      <w:r w:rsidR="005D43EC">
        <w:t>“</w:t>
      </w:r>
      <w:r w:rsidR="00EA4B43" w:rsidRPr="00D849C0">
        <w:t>variété végétale</w:t>
      </w:r>
      <w:r w:rsidR="005D43EC">
        <w:t>”</w:t>
      </w:r>
      <w:r w:rsidR="00EA4B43" w:rsidRPr="00D849C0">
        <w:t xml:space="preserve"> </w:t>
      </w:r>
      <w:r w:rsidR="00C923AD" w:rsidRPr="00D849C0">
        <w:t xml:space="preserve">comme désignant </w:t>
      </w:r>
      <w:r w:rsidR="00771B6E" w:rsidRPr="00D849C0">
        <w:t>un grand nombre de végétaux similaires, dans une large mesure, de par leurs caractères et qui, à l</w:t>
      </w:r>
      <w:r w:rsidR="001937C9">
        <w:t>’</w:t>
      </w:r>
      <w:r w:rsidR="00771B6E" w:rsidRPr="00D849C0">
        <w:t>intérieur de certaines marges de tolérance, ne sont pas modifiées à la fin de chaque cycle de multiplication</w:t>
      </w:r>
      <w:r w:rsidR="00F47B74" w:rsidRPr="00D849C0">
        <w:rPr>
          <w:rStyle w:val="FootnoteReference"/>
        </w:rPr>
        <w:footnoteReference w:id="10"/>
      </w:r>
      <w:r w:rsidR="00771B6E" w:rsidRPr="00D849C0">
        <w:t>.</w:t>
      </w:r>
      <w:r w:rsidR="00F47B74" w:rsidRPr="00D849C0">
        <w:t xml:space="preserve"> </w:t>
      </w:r>
      <w:r w:rsidR="001029C5" w:rsidRPr="00D849C0">
        <w:t xml:space="preserve"> </w:t>
      </w:r>
      <w:r w:rsidR="0007152F" w:rsidRPr="00D849C0">
        <w:t>La</w:t>
      </w:r>
      <w:r w:rsidR="003C0F42">
        <w:t> </w:t>
      </w:r>
      <w:r w:rsidR="0007152F" w:rsidRPr="00D849C0">
        <w:t xml:space="preserve">chambre a ensuite statué, dans sa décision </w:t>
      </w:r>
      <w:r w:rsidR="003C0F42">
        <w:t>T </w:t>
      </w:r>
      <w:r w:rsidR="00F47B74" w:rsidRPr="00D849C0">
        <w:t>320/87 (</w:t>
      </w:r>
      <w:r w:rsidR="006D27D0" w:rsidRPr="00D849C0">
        <w:t>JO</w:t>
      </w:r>
      <w:r w:rsidR="003C0F42">
        <w:t> </w:t>
      </w:r>
      <w:r w:rsidR="00F47B74" w:rsidRPr="00D849C0">
        <w:t>1990, 71)</w:t>
      </w:r>
      <w:r w:rsidR="0007152F" w:rsidRPr="00D849C0">
        <w:t xml:space="preserve">, </w:t>
      </w:r>
      <w:r w:rsidR="0074528C" w:rsidRPr="00D849C0">
        <w:t>que les semences et les plantes hybrides présentant un caractère instable sur l</w:t>
      </w:r>
      <w:r w:rsidR="001937C9">
        <w:t>’</w:t>
      </w:r>
      <w:r w:rsidR="0074528C" w:rsidRPr="00D849C0">
        <w:t>ensemble de la population d</w:t>
      </w:r>
      <w:r w:rsidR="001937C9">
        <w:t>’</w:t>
      </w:r>
      <w:r w:rsidR="0074528C" w:rsidRPr="00D849C0">
        <w:t>une génération</w:t>
      </w:r>
      <w:r w:rsidR="00ED434D" w:rsidRPr="00D849C0">
        <w:t xml:space="preserve"> ne pouvaient pas être considérées comme des variétés végétales au sens de l</w:t>
      </w:r>
      <w:r w:rsidR="001937C9">
        <w:t>’</w:t>
      </w:r>
      <w:r w:rsidR="00ED434D" w:rsidRPr="00D849C0">
        <w:t>article</w:t>
      </w:r>
      <w:r w:rsidR="005D43EC">
        <w:t> </w:t>
      </w:r>
      <w:r w:rsidR="00F47B74" w:rsidRPr="00D849C0">
        <w:t>53</w:t>
      </w:r>
      <w:r w:rsidR="00ED434D" w:rsidRPr="00D849C0">
        <w:t>.</w:t>
      </w:r>
      <w:r w:rsidR="00F47B74" w:rsidRPr="00D849C0">
        <w:t>b)</w:t>
      </w:r>
      <w:r w:rsidR="003C0F42">
        <w:t> </w:t>
      </w:r>
      <w:r w:rsidR="00ED434D" w:rsidRPr="00D849C0">
        <w:t>CBE</w:t>
      </w:r>
      <w:r w:rsidR="003C0F42">
        <w:t> </w:t>
      </w:r>
      <w:r w:rsidR="00F47B74" w:rsidRPr="00D849C0">
        <w:t xml:space="preserve">1973. </w:t>
      </w:r>
      <w:r w:rsidR="00ED434D" w:rsidRPr="00D849C0">
        <w:t xml:space="preserve"> La chambre a estimé que les cellules de plantes en tant que telles, qui peuvent être mises en culture comme des bactéries ou des levures grâce à la technologie moderne,</w:t>
      </w:r>
      <w:r w:rsidR="005740B5" w:rsidRPr="00D849C0">
        <w:t xml:space="preserve"> ne sauraient être considérées comme répondant à la définition d</w:t>
      </w:r>
      <w:r w:rsidR="001937C9">
        <w:t>’</w:t>
      </w:r>
      <w:r w:rsidR="005740B5" w:rsidRPr="00D849C0">
        <w:t>une plante ou d</w:t>
      </w:r>
      <w:r w:rsidR="001937C9">
        <w:t>’</w:t>
      </w:r>
      <w:r w:rsidR="005740B5" w:rsidRPr="00D849C0">
        <w:t>une variété végétale.  Cela a été confirmé dans la décision</w:t>
      </w:r>
      <w:r w:rsidR="003C0F42">
        <w:t> G </w:t>
      </w:r>
      <w:r w:rsidR="005740B5" w:rsidRPr="00D849C0">
        <w:t>1/98</w:t>
      </w:r>
      <w:r w:rsidR="005B6B8A" w:rsidRPr="00D849C0">
        <w:t>, selon laquelle les cellules végétales devraient être traitées comme des micro</w:t>
      </w:r>
      <w:r w:rsidR="001937C9">
        <w:t>-</w:t>
      </w:r>
      <w:r w:rsidR="005B6B8A" w:rsidRPr="00D849C0">
        <w:t>organismes</w:t>
      </w:r>
      <w:r w:rsidR="00F47B74" w:rsidRPr="00D849C0">
        <w:rPr>
          <w:rStyle w:val="FootnoteReference"/>
        </w:rPr>
        <w:footnoteReference w:id="11"/>
      </w:r>
      <w:r w:rsidR="005B6B8A" w:rsidRPr="00D849C0">
        <w:t>.</w:t>
      </w:r>
      <w:r w:rsidR="00F47B74" w:rsidRPr="00D849C0">
        <w:t xml:space="preserve">  </w:t>
      </w:r>
      <w:r w:rsidR="00D25447" w:rsidRPr="00D849C0">
        <w:t>L</w:t>
      </w:r>
      <w:r w:rsidR="005B6B8A" w:rsidRPr="00D849C0">
        <w:t xml:space="preserve">e </w:t>
      </w:r>
      <w:r w:rsidR="005D43EC">
        <w:t>règle</w:t>
      </w:r>
      <w:r w:rsidR="005B6B8A" w:rsidRPr="00D849C0">
        <w:t>ment d</w:t>
      </w:r>
      <w:r w:rsidR="001937C9">
        <w:t>’</w:t>
      </w:r>
      <w:r w:rsidR="005B6B8A" w:rsidRPr="00D849C0">
        <w:t>exécution de la Convention sur le brevet européen</w:t>
      </w:r>
      <w:r w:rsidR="00D25447" w:rsidRPr="00D849C0">
        <w:t xml:space="preserve"> adopte cependant la notion </w:t>
      </w:r>
      <w:r w:rsidR="00D21AFD" w:rsidRPr="00D849C0">
        <w:t>énoncée dans la Convention de l</w:t>
      </w:r>
      <w:r w:rsidR="001937C9">
        <w:t>’</w:t>
      </w:r>
      <w:r w:rsidR="00D21AFD" w:rsidRPr="00D849C0">
        <w:t>UPOV, selon laquelle une</w:t>
      </w:r>
      <w:r w:rsidR="00D25447" w:rsidRPr="00D849C0">
        <w:t xml:space="preserve"> variété végétale</w:t>
      </w:r>
      <w:r w:rsidR="00D21AFD" w:rsidRPr="00D849C0">
        <w:t xml:space="preserve"> est </w:t>
      </w:r>
      <w:r w:rsidR="005D43EC">
        <w:t>“</w:t>
      </w:r>
      <w:r w:rsidR="00D21AFD" w:rsidRPr="00D849C0">
        <w:t>tout ensemble végétal d</w:t>
      </w:r>
      <w:r w:rsidR="001937C9">
        <w:t>’</w:t>
      </w:r>
      <w:r w:rsidR="00D21AFD" w:rsidRPr="00D849C0">
        <w:t>un seul taxon botanique du rang le plus bas connu qui, qu</w:t>
      </w:r>
      <w:r w:rsidR="001937C9">
        <w:t>’</w:t>
      </w:r>
      <w:r w:rsidR="00D21AFD" w:rsidRPr="00D849C0">
        <w:t>il réponde ou non pleinement aux conditions d</w:t>
      </w:r>
      <w:r w:rsidR="001937C9">
        <w:t>’</w:t>
      </w:r>
      <w:r w:rsidR="00D21AFD" w:rsidRPr="00D849C0">
        <w:t>octroi d</w:t>
      </w:r>
      <w:r w:rsidR="001937C9">
        <w:t>’</w:t>
      </w:r>
      <w:r w:rsidR="00D21AFD" w:rsidRPr="00D849C0">
        <w:t>une protection des obtentions végétales peut</w:t>
      </w:r>
      <w:r w:rsidR="005D43EC">
        <w:t> </w:t>
      </w:r>
      <w:r w:rsidR="00D21AFD" w:rsidRPr="00D849C0">
        <w:t>:</w:t>
      </w:r>
      <w:r w:rsidR="00F47B74" w:rsidRPr="00D849C0">
        <w:t xml:space="preserve"> a)</w:t>
      </w:r>
      <w:r w:rsidR="005D43EC">
        <w:t> </w:t>
      </w:r>
      <w:r w:rsidR="00D21AFD" w:rsidRPr="00D849C0">
        <w:t>être défini par l</w:t>
      </w:r>
      <w:r w:rsidR="001937C9">
        <w:t>’</w:t>
      </w:r>
      <w:r w:rsidR="00D21AFD" w:rsidRPr="00D849C0">
        <w:t>expression des caractères résultant d</w:t>
      </w:r>
      <w:r w:rsidR="001937C9">
        <w:t>’</w:t>
      </w:r>
      <w:r w:rsidR="00D21AFD" w:rsidRPr="00D849C0">
        <w:t>un certain génotype ou d</w:t>
      </w:r>
      <w:r w:rsidR="001937C9">
        <w:t>’</w:t>
      </w:r>
      <w:r w:rsidR="00D21AFD" w:rsidRPr="00D849C0">
        <w:t>une certaine combinaison de génotypes,</w:t>
      </w:r>
      <w:r w:rsidR="00F47B74" w:rsidRPr="00D849C0">
        <w:t xml:space="preserve"> </w:t>
      </w:r>
      <w:r w:rsidR="006C1014" w:rsidRPr="00D849C0">
        <w:t>b)</w:t>
      </w:r>
      <w:r w:rsidR="005D43EC">
        <w:t> </w:t>
      </w:r>
      <w:r w:rsidR="00D21AFD" w:rsidRPr="00D849C0">
        <w:t>être distingué de tout autre ensemble végétal par l</w:t>
      </w:r>
      <w:r w:rsidR="001937C9">
        <w:t>’</w:t>
      </w:r>
      <w:r w:rsidR="00D21AFD" w:rsidRPr="00D849C0">
        <w:t>expression d</w:t>
      </w:r>
      <w:r w:rsidR="001937C9">
        <w:t>’</w:t>
      </w:r>
      <w:r w:rsidR="00D21AFD" w:rsidRPr="00D849C0">
        <w:t xml:space="preserve">au moins un desdits caractères et </w:t>
      </w:r>
      <w:r w:rsidR="006C1014" w:rsidRPr="00D849C0">
        <w:t>c)</w:t>
      </w:r>
      <w:r w:rsidR="005D43EC">
        <w:t> </w:t>
      </w:r>
      <w:r w:rsidR="00D21AFD" w:rsidRPr="00D849C0">
        <w:t>être considéré comme une entité eu égard à son aptitude à être reproduit sans changement</w:t>
      </w:r>
      <w:r w:rsidR="005D43EC">
        <w:t>”</w:t>
      </w:r>
      <w:r w:rsidR="006C1014" w:rsidRPr="00D849C0">
        <w:rPr>
          <w:rStyle w:val="FootnoteReference"/>
        </w:rPr>
        <w:footnoteReference w:id="12"/>
      </w:r>
      <w:r w:rsidR="00D21AFD" w:rsidRPr="00D849C0">
        <w:t>.</w:t>
      </w:r>
    </w:p>
    <w:p w:rsidR="00A26A13" w:rsidRPr="00D849C0" w:rsidRDefault="00AD05F3" w:rsidP="00BE251C">
      <w:pPr>
        <w:pStyle w:val="ONUMFS"/>
      </w:pPr>
      <w:r w:rsidRPr="00D849C0">
        <w:t>Les tenants de l</w:t>
      </w:r>
      <w:r w:rsidR="001937C9">
        <w:t>’</w:t>
      </w:r>
      <w:r w:rsidRPr="00D849C0">
        <w:t>exclusion de la brevetabilité des végétaux</w:t>
      </w:r>
      <w:r w:rsidR="001C7BBB" w:rsidRPr="00D849C0">
        <w:t xml:space="preserve"> </w:t>
      </w:r>
      <w:r w:rsidR="00621F9B" w:rsidRPr="00D849C0">
        <w:t>appellent l</w:t>
      </w:r>
      <w:r w:rsidR="001937C9">
        <w:t>’</w:t>
      </w:r>
      <w:r w:rsidR="00621F9B" w:rsidRPr="00D849C0">
        <w:t>attention sur les considérations morales liées à l</w:t>
      </w:r>
      <w:r w:rsidR="001937C9">
        <w:t>’</w:t>
      </w:r>
      <w:r w:rsidR="00621F9B" w:rsidRPr="00D849C0">
        <w:t>acquisition de</w:t>
      </w:r>
      <w:r w:rsidR="00BA5FCC" w:rsidRPr="00D849C0">
        <w:t xml:space="preserve"> </w:t>
      </w:r>
      <w:r w:rsidR="00621F9B" w:rsidRPr="00D849C0">
        <w:t>droits de brevet sur les inventions génétiques</w:t>
      </w:r>
      <w:r w:rsidR="00791AA9" w:rsidRPr="00D849C0">
        <w:rPr>
          <w:rStyle w:val="FootnoteReference"/>
          <w:szCs w:val="22"/>
        </w:rPr>
        <w:footnoteReference w:id="13"/>
      </w:r>
      <w:r w:rsidR="006E7C9E" w:rsidRPr="00D849C0">
        <w:t xml:space="preserve">, </w:t>
      </w:r>
      <w:r w:rsidR="00621F9B" w:rsidRPr="00D849C0">
        <w:t>ainsi que sur les questions d</w:t>
      </w:r>
      <w:r w:rsidR="001937C9">
        <w:t>’</w:t>
      </w:r>
      <w:r w:rsidR="00621F9B" w:rsidRPr="00D849C0">
        <w:t>accès</w:t>
      </w:r>
      <w:r w:rsidR="009924B3" w:rsidRPr="00D849C0">
        <w:t xml:space="preserve"> à l</w:t>
      </w:r>
      <w:r w:rsidR="001937C9">
        <w:t>’</w:t>
      </w:r>
      <w:r w:rsidR="009924B3" w:rsidRPr="00D849C0">
        <w:t>alimentation</w:t>
      </w:r>
      <w:r w:rsidR="00A26A13" w:rsidRPr="00D849C0">
        <w:rPr>
          <w:vertAlign w:val="superscript"/>
        </w:rPr>
        <w:footnoteReference w:id="14"/>
      </w:r>
      <w:r w:rsidR="009924B3" w:rsidRPr="00D849C0">
        <w:t>.</w:t>
      </w:r>
      <w:r w:rsidR="00021AE0" w:rsidRPr="00D849C0">
        <w:t xml:space="preserve"> </w:t>
      </w:r>
      <w:r w:rsidR="009D5C26" w:rsidRPr="00D849C0">
        <w:t xml:space="preserve"> L</w:t>
      </w:r>
      <w:r w:rsidR="001937C9">
        <w:t>’</w:t>
      </w:r>
      <w:r w:rsidR="009D5C26" w:rsidRPr="00D849C0">
        <w:t>hypothèse selon laquelle les brevets sur les végétaux et leurs semences permettraient d</w:t>
      </w:r>
      <w:r w:rsidR="001937C9">
        <w:t>’</w:t>
      </w:r>
      <w:r w:rsidR="009D5C26" w:rsidRPr="00D849C0">
        <w:t>exercer un contrôle sur leur distribution et finalement sur la production alimentaire constitue une préoccupation</w:t>
      </w:r>
      <w:r w:rsidR="001F3230" w:rsidRPr="00D849C0">
        <w:t xml:space="preserve"> à ce dernier égard</w:t>
      </w:r>
      <w:r w:rsidR="006E7C9E" w:rsidRPr="00D849C0">
        <w:rPr>
          <w:vertAlign w:val="superscript"/>
        </w:rPr>
        <w:footnoteReference w:id="15"/>
      </w:r>
      <w:r w:rsidR="006E7C9E" w:rsidRPr="00D849C0">
        <w:t>.</w:t>
      </w:r>
    </w:p>
    <w:p w:rsidR="00A26A13" w:rsidRPr="00D849C0" w:rsidRDefault="00D27F9C" w:rsidP="00BE251C">
      <w:pPr>
        <w:pStyle w:val="ONUMFS"/>
      </w:pPr>
      <w:r w:rsidRPr="00D849C0">
        <w:t>Les partisans des brevets sur les végétaux observent pour leur part que l</w:t>
      </w:r>
      <w:r w:rsidR="001937C9">
        <w:t>’</w:t>
      </w:r>
      <w:r w:rsidRPr="00D849C0">
        <w:t>investissement consenti pour obtenir un nouveau végétal doté de caractéristiques particulières devrait être récompensé par l</w:t>
      </w:r>
      <w:r w:rsidR="001937C9">
        <w:t>’</w:t>
      </w:r>
      <w:r w:rsidRPr="00D849C0">
        <w:t>octroi d</w:t>
      </w:r>
      <w:r w:rsidR="001937C9">
        <w:t>’</w:t>
      </w:r>
      <w:r w:rsidRPr="00D849C0">
        <w:t>un droit exclusif</w:t>
      </w:r>
      <w:r w:rsidR="00D71994" w:rsidRPr="00D849C0">
        <w:t>, compte tenu du fait que les plantes génétiquement modifiées permettent d</w:t>
      </w:r>
      <w:r w:rsidR="001937C9">
        <w:t>’</w:t>
      </w:r>
      <w:r w:rsidR="00D71994" w:rsidRPr="00D849C0">
        <w:t xml:space="preserve">améliorer les récoltes en qualité et en quantité.  </w:t>
      </w:r>
      <w:r w:rsidR="002C3DBE" w:rsidRPr="00D849C0">
        <w:t>Il a été observé, à ce</w:t>
      </w:r>
      <w:r w:rsidR="00CA0A01">
        <w:t> </w:t>
      </w:r>
      <w:r w:rsidR="002C3DBE" w:rsidRPr="00D849C0">
        <w:t>sujet, que si l</w:t>
      </w:r>
      <w:r w:rsidR="001937C9">
        <w:t>’</w:t>
      </w:r>
      <w:r w:rsidR="002C3DBE" w:rsidRPr="00D849C0">
        <w:t>élaboration de caractères génétiques tels que la tolérance aux herbicides</w:t>
      </w:r>
      <w:r w:rsidR="00D71994" w:rsidRPr="00D849C0">
        <w:t xml:space="preserve"> </w:t>
      </w:r>
      <w:r w:rsidR="002C3DBE" w:rsidRPr="00D849C0">
        <w:t xml:space="preserve">découle principalement </w:t>
      </w:r>
      <w:r w:rsidR="0013764C" w:rsidRPr="00D849C0">
        <w:t>de la recherche d</w:t>
      </w:r>
      <w:r w:rsidR="001937C9">
        <w:t>’</w:t>
      </w:r>
      <w:r w:rsidR="0013764C" w:rsidRPr="00D849C0">
        <w:t>un avantage commercial, s</w:t>
      </w:r>
      <w:r w:rsidR="00261604" w:rsidRPr="00D849C0">
        <w:t>on apport</w:t>
      </w:r>
      <w:r w:rsidR="0013764C" w:rsidRPr="00D849C0">
        <w:t xml:space="preserve"> et ses incidences ne se limitent pas aux marchés développés;  </w:t>
      </w:r>
      <w:r w:rsidR="00261604" w:rsidRPr="00D849C0">
        <w:t>les pays en développement</w:t>
      </w:r>
      <w:r w:rsidR="00692215" w:rsidRPr="00D849C0">
        <w:t xml:space="preserve"> voient eux aussi les avantages qui peuvent en résulter</w:t>
      </w:r>
      <w:r w:rsidR="00A26A13" w:rsidRPr="00D849C0">
        <w:rPr>
          <w:vertAlign w:val="superscript"/>
        </w:rPr>
        <w:footnoteReference w:id="16"/>
      </w:r>
      <w:r w:rsidR="00692215" w:rsidRPr="00D849C0">
        <w:t>.</w:t>
      </w:r>
    </w:p>
    <w:p w:rsidR="00A26A13" w:rsidRPr="00D849C0" w:rsidRDefault="0083650F" w:rsidP="00BE251C">
      <w:pPr>
        <w:pStyle w:val="ONUMFS"/>
      </w:pPr>
      <w:r w:rsidRPr="00D849C0">
        <w:lastRenderedPageBreak/>
        <w:t xml:space="preserve">Le débat </w:t>
      </w:r>
      <w:r w:rsidR="0003195B" w:rsidRPr="00D849C0">
        <w:t>s</w:t>
      </w:r>
      <w:r w:rsidR="001937C9">
        <w:t>’</w:t>
      </w:r>
      <w:r w:rsidRPr="00D849C0">
        <w:t xml:space="preserve">est particulièrement </w:t>
      </w:r>
      <w:r w:rsidR="0003195B" w:rsidRPr="00D849C0">
        <w:t>animé</w:t>
      </w:r>
      <w:r w:rsidRPr="00D849C0">
        <w:t xml:space="preserve"> au cours des années</w:t>
      </w:r>
      <w:r w:rsidR="005D43EC">
        <w:t> </w:t>
      </w:r>
      <w:r w:rsidR="005D43EC" w:rsidRPr="00D849C0">
        <w:t>7</w:t>
      </w:r>
      <w:r w:rsidR="005D43EC">
        <w:t>0</w:t>
      </w:r>
      <w:r w:rsidRPr="00D849C0">
        <w:t xml:space="preserve"> avec l</w:t>
      </w:r>
      <w:r w:rsidR="00CB2EEF">
        <w:t xml:space="preserve">e </w:t>
      </w:r>
      <w:r w:rsidR="00CA0D32">
        <w:t>développement</w:t>
      </w:r>
      <w:r w:rsidRPr="00D849C0">
        <w:t xml:space="preserve"> du</w:t>
      </w:r>
      <w:r w:rsidR="00EE3CDF">
        <w:t> </w:t>
      </w:r>
      <w:r w:rsidRPr="00D849C0">
        <w:t>génie génétique, c</w:t>
      </w:r>
      <w:r w:rsidR="001937C9">
        <w:t>’</w:t>
      </w:r>
      <w:r w:rsidRPr="00D849C0">
        <w:t>est</w:t>
      </w:r>
      <w:r w:rsidR="001937C9">
        <w:t>-</w:t>
      </w:r>
      <w:r w:rsidRPr="00D849C0">
        <w:t>à</w:t>
      </w:r>
      <w:r w:rsidR="001937C9">
        <w:t>-</w:t>
      </w:r>
      <w:r w:rsidRPr="00D849C0">
        <w:t xml:space="preserve">dire </w:t>
      </w:r>
      <w:r w:rsidR="00A26A13" w:rsidRPr="00D849C0">
        <w:t>“</w:t>
      </w:r>
      <w:r w:rsidRPr="00D849C0">
        <w:t>la modification du génome d</w:t>
      </w:r>
      <w:r w:rsidR="001937C9">
        <w:t>’</w:t>
      </w:r>
      <w:r w:rsidRPr="00D849C0">
        <w:t xml:space="preserve">un organisme par des techniques de laboratoire, en particulier </w:t>
      </w:r>
      <w:r w:rsidR="00550BFD" w:rsidRPr="00D849C0">
        <w:t>par l</w:t>
      </w:r>
      <w:r w:rsidR="001937C9">
        <w:t>’</w:t>
      </w:r>
      <w:r w:rsidR="00550BFD" w:rsidRPr="00D849C0">
        <w:t>ajout, la modification ou la suppression d</w:t>
      </w:r>
      <w:r w:rsidR="001937C9">
        <w:t>’</w:t>
      </w:r>
      <w:r w:rsidR="00550BFD" w:rsidRPr="00D849C0">
        <w:t>un gène ou, d</w:t>
      </w:r>
      <w:r w:rsidR="001937C9">
        <w:t>’</w:t>
      </w:r>
      <w:r w:rsidR="00550BFD" w:rsidRPr="00D849C0">
        <w:t xml:space="preserve">une manière plus générale, les techniques mises en œuvre </w:t>
      </w:r>
      <w:r w:rsidR="00CB2EEF">
        <w:t>à cet effet</w:t>
      </w:r>
      <w:r w:rsidR="00C97937" w:rsidRPr="00D849C0">
        <w:t>”</w:t>
      </w:r>
      <w:r w:rsidR="00A26A13" w:rsidRPr="00D849C0">
        <w:rPr>
          <w:vertAlign w:val="superscript"/>
        </w:rPr>
        <w:footnoteReference w:id="17"/>
      </w:r>
      <w:r w:rsidR="00A26A13" w:rsidRPr="00D849C0">
        <w:t>.</w:t>
      </w:r>
      <w:r w:rsidR="005236D4" w:rsidRPr="00D849C0">
        <w:t xml:space="preserve"> </w:t>
      </w:r>
      <w:r w:rsidR="00702F60" w:rsidRPr="00D849C0">
        <w:t xml:space="preserve"> Le fait est que l</w:t>
      </w:r>
      <w:r w:rsidR="001937C9">
        <w:t>’</w:t>
      </w:r>
      <w:r w:rsidR="00702F60" w:rsidRPr="00D849C0">
        <w:t>intérêt économique pour la biotechnologie relative aux végétaux s</w:t>
      </w:r>
      <w:r w:rsidR="001937C9">
        <w:t>’</w:t>
      </w:r>
      <w:r w:rsidR="00702F60" w:rsidRPr="00D849C0">
        <w:t>est accru, comme le démontrent les importants investissements consentis non seulement par des entreprises privées, mais aussi par</w:t>
      </w:r>
      <w:r w:rsidR="0038776C" w:rsidRPr="00D849C0">
        <w:t xml:space="preserve"> les gouvernements de pays développés</w:t>
      </w:r>
      <w:r w:rsidR="00A26A13" w:rsidRPr="00D849C0">
        <w:rPr>
          <w:vertAlign w:val="superscript"/>
        </w:rPr>
        <w:footnoteReference w:id="18"/>
      </w:r>
      <w:r w:rsidR="00A26A13" w:rsidRPr="00D849C0">
        <w:t xml:space="preserve"> </w:t>
      </w:r>
      <w:r w:rsidR="0038776C" w:rsidRPr="00D849C0">
        <w:t>et en développement</w:t>
      </w:r>
      <w:r w:rsidR="00A26A13" w:rsidRPr="00D849C0">
        <w:rPr>
          <w:vertAlign w:val="superscript"/>
        </w:rPr>
        <w:footnoteReference w:id="19"/>
      </w:r>
      <w:r w:rsidR="0038776C" w:rsidRPr="00D849C0">
        <w:t>.</w:t>
      </w:r>
    </w:p>
    <w:p w:rsidR="00A26A13" w:rsidRPr="00D849C0" w:rsidRDefault="00341EBA" w:rsidP="00BE251C">
      <w:pPr>
        <w:pStyle w:val="ONUMFS"/>
      </w:pPr>
      <w:r w:rsidRPr="00D849C0">
        <w:t>Ce type de technologie</w:t>
      </w:r>
      <w:r w:rsidR="00EE79AB" w:rsidRPr="00D849C0">
        <w:t xml:space="preserve"> revêt une pertinence particulière dans le</w:t>
      </w:r>
      <w:r w:rsidRPr="00D849C0">
        <w:t xml:space="preserve"> secteur de l</w:t>
      </w:r>
      <w:r w:rsidR="001937C9">
        <w:t>’</w:t>
      </w:r>
      <w:r w:rsidRPr="00D849C0">
        <w:t>agriculture, par exemple</w:t>
      </w:r>
      <w:r w:rsidR="003D2662" w:rsidRPr="00D849C0">
        <w:t xml:space="preserve"> lorsqu</w:t>
      </w:r>
      <w:r w:rsidR="001937C9">
        <w:t>’</w:t>
      </w:r>
      <w:r w:rsidR="003D2662" w:rsidRPr="00D849C0">
        <w:t xml:space="preserve">il </w:t>
      </w:r>
      <w:r w:rsidR="000E05F0" w:rsidRPr="00D849C0">
        <w:t>permet</w:t>
      </w:r>
      <w:r w:rsidR="003D2662" w:rsidRPr="00D849C0">
        <w:t xml:space="preserve"> d</w:t>
      </w:r>
      <w:r w:rsidR="001937C9">
        <w:t>’</w:t>
      </w:r>
      <w:r w:rsidR="003D2662" w:rsidRPr="00D849C0">
        <w:t xml:space="preserve">améliorer </w:t>
      </w:r>
      <w:r w:rsidR="00E11BF0" w:rsidRPr="00D849C0">
        <w:t xml:space="preserve">une certaine variété de riz en lui conférant une résistance susceptible de </w:t>
      </w:r>
      <w:r w:rsidR="00EE79AB" w:rsidRPr="00D849C0">
        <w:t>contribuer à la subsistance de communautés entières d</w:t>
      </w:r>
      <w:r w:rsidR="000E05F0" w:rsidRPr="00D849C0">
        <w:t xml:space="preserve">e </w:t>
      </w:r>
      <w:r w:rsidR="00EE79AB" w:rsidRPr="00D849C0">
        <w:t>régions moins développées</w:t>
      </w:r>
      <w:r w:rsidR="00F33691" w:rsidRPr="00D849C0">
        <w:t xml:space="preserve"> aux conditions agricoles très défavorables.</w:t>
      </w:r>
      <w:r w:rsidR="008C1B50" w:rsidRPr="00D849C0">
        <w:t xml:space="preserve">  Le génie génétique peut également avoir d</w:t>
      </w:r>
      <w:r w:rsidR="001937C9">
        <w:t>’</w:t>
      </w:r>
      <w:r w:rsidR="008C1B50" w:rsidRPr="00D849C0">
        <w:t>autres incidences en matière d</w:t>
      </w:r>
      <w:r w:rsidR="001937C9">
        <w:t>’</w:t>
      </w:r>
      <w:r w:rsidR="008C1B50" w:rsidRPr="00D849C0">
        <w:t>agriculture, telles que</w:t>
      </w:r>
      <w:r w:rsidR="00F33691" w:rsidRPr="00D849C0">
        <w:t xml:space="preserve"> </w:t>
      </w:r>
      <w:r w:rsidR="008C1B50" w:rsidRPr="00D849C0">
        <w:t>l</w:t>
      </w:r>
      <w:r w:rsidR="001937C9">
        <w:t>’</w:t>
      </w:r>
      <w:r w:rsidR="008C1B50" w:rsidRPr="00D849C0">
        <w:t>augmentation de la</w:t>
      </w:r>
      <w:r w:rsidR="00EE3CDF">
        <w:t> </w:t>
      </w:r>
      <w:r w:rsidR="008C1B50" w:rsidRPr="00D849C0">
        <w:t>productivité des récoltes,</w:t>
      </w:r>
      <w:r w:rsidR="008E43B7" w:rsidRPr="00D849C0">
        <w:t xml:space="preserve"> une meilleure protection des récoltes, des améliorations en matière de transformation alimentaire, de valeur nutritionnelle ou de saveur, ainsi que </w:t>
      </w:r>
      <w:r w:rsidR="0035758A" w:rsidRPr="00D849C0">
        <w:t>de</w:t>
      </w:r>
      <w:r w:rsidR="008E43B7" w:rsidRPr="00D849C0">
        <w:t>s avantages environnementaux comme la réduction de l</w:t>
      </w:r>
      <w:r w:rsidR="001937C9">
        <w:t>’</w:t>
      </w:r>
      <w:r w:rsidR="008E43B7" w:rsidRPr="00D849C0">
        <w:t>utilisation de pesticides</w:t>
      </w:r>
      <w:r w:rsidR="0035758A" w:rsidRPr="00D849C0">
        <w:t xml:space="preserve"> </w:t>
      </w:r>
      <w:r w:rsidR="00612F99" w:rsidRPr="00D849C0">
        <w:t>dans la culture d</w:t>
      </w:r>
      <w:r w:rsidR="00866DDE" w:rsidRPr="00D849C0">
        <w:t>es variétés résistantes à certains parasites</w:t>
      </w:r>
      <w:r w:rsidR="00A26A13" w:rsidRPr="00D849C0">
        <w:rPr>
          <w:vertAlign w:val="superscript"/>
        </w:rPr>
        <w:footnoteReference w:id="20"/>
      </w:r>
      <w:r w:rsidR="00866DDE" w:rsidRPr="00D849C0">
        <w:t>.</w:t>
      </w:r>
    </w:p>
    <w:p w:rsidR="00A26A13" w:rsidRPr="00D849C0" w:rsidRDefault="000B153B" w:rsidP="00EE3CDF">
      <w:pPr>
        <w:pStyle w:val="ONUMFS"/>
        <w:ind w:right="-143"/>
      </w:pPr>
      <w:r w:rsidRPr="00D849C0">
        <w:t>Le progrès de la recherche en matière de biotechnologie et de ses résultats – par exemple, augmenter la résistance d</w:t>
      </w:r>
      <w:r w:rsidR="001937C9">
        <w:t>’</w:t>
      </w:r>
      <w:r w:rsidRPr="00D849C0">
        <w:t>une plante à la sécheresse ou aux insectes nuisibles ou permettre la</w:t>
      </w:r>
      <w:r w:rsidR="00EE3CDF">
        <w:t> </w:t>
      </w:r>
      <w:r w:rsidRPr="00D849C0">
        <w:t>reproduction d</w:t>
      </w:r>
      <w:r w:rsidR="001937C9">
        <w:t>’</w:t>
      </w:r>
      <w:r w:rsidRPr="00D849C0">
        <w:t>une plante par une méthode biotechnologique – requiert par conséquent un équilibre entre deux</w:t>
      </w:r>
      <w:r w:rsidR="005D43EC">
        <w:t> </w:t>
      </w:r>
      <w:r w:rsidRPr="00D849C0">
        <w:t>intérêts distincts</w:t>
      </w:r>
      <w:r w:rsidR="005D43EC">
        <w:t> </w:t>
      </w:r>
      <w:r w:rsidRPr="00D849C0">
        <w:t>:</w:t>
      </w:r>
      <w:r w:rsidR="00151FC2" w:rsidRPr="00D849C0">
        <w:t xml:space="preserve"> d</w:t>
      </w:r>
      <w:r w:rsidR="001937C9">
        <w:t>’</w:t>
      </w:r>
      <w:r w:rsidR="00151FC2" w:rsidRPr="00D849C0">
        <w:t>un côté, celui de la personne à l</w:t>
      </w:r>
      <w:r w:rsidR="001937C9">
        <w:t>’</w:t>
      </w:r>
      <w:r w:rsidR="00151FC2" w:rsidRPr="00D849C0">
        <w:t>origine d</w:t>
      </w:r>
      <w:r w:rsidR="001937C9">
        <w:t>’</w:t>
      </w:r>
      <w:r w:rsidR="00151FC2" w:rsidRPr="00D849C0">
        <w:t xml:space="preserve">une solution </w:t>
      </w:r>
      <w:r w:rsidR="00151FC2" w:rsidRPr="00D849C0">
        <w:lastRenderedPageBreak/>
        <w:t>innovante fondée sur la recherche et l</w:t>
      </w:r>
      <w:r w:rsidR="001937C9">
        <w:t>’</w:t>
      </w:r>
      <w:r w:rsidR="00151FC2" w:rsidRPr="00D849C0">
        <w:t>investissement, et de l</w:t>
      </w:r>
      <w:r w:rsidR="001937C9">
        <w:t>’</w:t>
      </w:r>
      <w:r w:rsidR="00151FC2" w:rsidRPr="00D849C0">
        <w:t>autre, l</w:t>
      </w:r>
      <w:r w:rsidR="001937C9">
        <w:t>’</w:t>
      </w:r>
      <w:r w:rsidR="00151FC2" w:rsidRPr="00D849C0">
        <w:t>accès des agriculteurs à ces</w:t>
      </w:r>
      <w:r w:rsidR="001C4D69">
        <w:t> </w:t>
      </w:r>
      <w:r w:rsidR="00151FC2" w:rsidRPr="00D849C0">
        <w:t>nouvelles technologies.</w:t>
      </w:r>
    </w:p>
    <w:p w:rsidR="00A26A13" w:rsidRPr="00D849C0" w:rsidRDefault="0057586F" w:rsidP="00BE251C">
      <w:pPr>
        <w:pStyle w:val="ONUMFS"/>
      </w:pPr>
      <w:r w:rsidRPr="00D849C0">
        <w:t xml:space="preserve">Le cadre juridique international fournit en cette matière des éléments de flexibilité destinés </w:t>
      </w:r>
      <w:r w:rsidR="00FD5DA8" w:rsidRPr="00D849C0">
        <w:t>à permettre à chaque pays d</w:t>
      </w:r>
      <w:r w:rsidR="001937C9">
        <w:t>’</w:t>
      </w:r>
      <w:r w:rsidR="00FD5DA8" w:rsidRPr="00D849C0">
        <w:t>adopter la solution la plus adaptée à ses intérêts nationaux.</w:t>
      </w:r>
    </w:p>
    <w:p w:rsidR="00A26A13" w:rsidRPr="00D849C0" w:rsidRDefault="00BD2732" w:rsidP="00BD2732">
      <w:pPr>
        <w:pStyle w:val="Heading2"/>
      </w:pPr>
      <w:bookmarkStart w:id="7" w:name="_Toc387060460"/>
      <w:r w:rsidRPr="00D849C0">
        <w:t>B.</w:t>
      </w:r>
      <w:r w:rsidRPr="00D849C0">
        <w:tab/>
      </w:r>
      <w:r w:rsidR="00FD5DA8" w:rsidRPr="00D849C0">
        <w:t>Le cadre juridique international</w:t>
      </w:r>
      <w:bookmarkEnd w:id="7"/>
    </w:p>
    <w:p w:rsidR="00A26A13" w:rsidRPr="00D849C0" w:rsidRDefault="00A26A13" w:rsidP="00A83989">
      <w:pPr>
        <w:rPr>
          <w:i/>
          <w:iCs/>
          <w:szCs w:val="22"/>
        </w:rPr>
      </w:pPr>
    </w:p>
    <w:p w:rsidR="005841D2" w:rsidRPr="00D849C0" w:rsidRDefault="00E73A6A" w:rsidP="001C4D69">
      <w:pPr>
        <w:pStyle w:val="ONUMFS"/>
      </w:pPr>
      <w:r w:rsidRPr="00D849C0">
        <w:t>L</w:t>
      </w:r>
      <w:r w:rsidR="001937C9">
        <w:t>’</w:t>
      </w:r>
      <w:r w:rsidRPr="00D849C0">
        <w:t>Accord sur</w:t>
      </w:r>
      <w:r w:rsidR="001937C9" w:rsidRPr="00D849C0">
        <w:t xml:space="preserve"> les</w:t>
      </w:r>
      <w:r w:rsidR="001937C9">
        <w:t> </w:t>
      </w:r>
      <w:r w:rsidR="001937C9" w:rsidRPr="00D849C0">
        <w:t>ADP</w:t>
      </w:r>
      <w:r w:rsidRPr="00D849C0">
        <w:t xml:space="preserve">IC </w:t>
      </w:r>
      <w:r w:rsidR="005841D2" w:rsidRPr="00D849C0">
        <w:t>(</w:t>
      </w:r>
      <w:r w:rsidRPr="00D849C0">
        <w:t>a</w:t>
      </w:r>
      <w:r w:rsidR="005841D2" w:rsidRPr="00D849C0">
        <w:t>rticle</w:t>
      </w:r>
      <w:r w:rsidR="005D43EC">
        <w:t> </w:t>
      </w:r>
      <w:r w:rsidR="005841D2" w:rsidRPr="00D849C0">
        <w:t>27.3</w:t>
      </w:r>
      <w:r w:rsidRPr="00D849C0">
        <w:t>)</w:t>
      </w:r>
      <w:r w:rsidR="005841D2" w:rsidRPr="00D849C0">
        <w:t>b)),</w:t>
      </w:r>
      <w:r w:rsidR="00CF6FD8" w:rsidRPr="00D849C0">
        <w:t xml:space="preserve"> qui établit des normes minimales de protection à</w:t>
      </w:r>
      <w:r w:rsidR="005D43EC">
        <w:t> </w:t>
      </w:r>
      <w:r w:rsidR="00CF6FD8" w:rsidRPr="00D849C0">
        <w:t>l</w:t>
      </w:r>
      <w:r w:rsidR="001937C9">
        <w:t>’</w:t>
      </w:r>
      <w:r w:rsidR="00CF6FD8" w:rsidRPr="00D849C0">
        <w:t xml:space="preserve">égard des inventions, indique également que les Membres </w:t>
      </w:r>
      <w:r w:rsidR="0025789B" w:rsidRPr="00D849C0">
        <w:t>peuvent exclure de la brevetabilité les végétaux et les animaux ainsi que les procédés essentiellement biologiques d</w:t>
      </w:r>
      <w:r w:rsidR="001937C9">
        <w:t>’</w:t>
      </w:r>
      <w:r w:rsidR="0025789B" w:rsidRPr="00D849C0">
        <w:t xml:space="preserve">obtention de ces derniers.  </w:t>
      </w:r>
      <w:r w:rsidR="00E9307C" w:rsidRPr="00D849C0">
        <w:t>Il est à souligner que les micro</w:t>
      </w:r>
      <w:r w:rsidR="001937C9">
        <w:t>-</w:t>
      </w:r>
      <w:r w:rsidR="00E9307C" w:rsidRPr="00D849C0">
        <w:t>organismes</w:t>
      </w:r>
      <w:r w:rsidR="005841D2" w:rsidRPr="00D849C0">
        <w:t xml:space="preserve"> </w:t>
      </w:r>
      <w:r w:rsidR="00E9307C" w:rsidRPr="00D849C0">
        <w:t>et les procédés</w:t>
      </w:r>
      <w:r w:rsidR="00EA62B5" w:rsidRPr="00D849C0">
        <w:t xml:space="preserve"> non</w:t>
      </w:r>
      <w:r w:rsidR="001C4D69">
        <w:t> </w:t>
      </w:r>
      <w:r w:rsidR="00EA62B5" w:rsidRPr="00D849C0">
        <w:t>biologiques et microbiologiques ne font pas partie de cette exclusion, et doivent donc</w:t>
      </w:r>
      <w:r w:rsidR="00A8379D" w:rsidRPr="00D849C0">
        <w:t xml:space="preserve"> pouvoir faire l</w:t>
      </w:r>
      <w:r w:rsidR="001937C9">
        <w:t>’</w:t>
      </w:r>
      <w:r w:rsidR="00A8379D" w:rsidRPr="00D849C0">
        <w:t>objet d</w:t>
      </w:r>
      <w:r w:rsidR="001937C9">
        <w:t>’</w:t>
      </w:r>
      <w:r w:rsidR="00A8379D" w:rsidRPr="00D849C0">
        <w:t>un brevet</w:t>
      </w:r>
      <w:r w:rsidR="00EA62B5" w:rsidRPr="00D849C0">
        <w:t>.</w:t>
      </w:r>
      <w:r w:rsidR="00A8379D" w:rsidRPr="00D849C0">
        <w:t xml:space="preserve"> </w:t>
      </w:r>
      <w:r w:rsidR="005D43EC">
        <w:t xml:space="preserve"> </w:t>
      </w:r>
      <w:r w:rsidR="00A8379D" w:rsidRPr="00D849C0">
        <w:t>Il est en revanche établi dans cette disposition que les</w:t>
      </w:r>
      <w:r w:rsidR="001C4D69">
        <w:t> </w:t>
      </w:r>
      <w:r w:rsidR="00A8379D" w:rsidRPr="00D849C0">
        <w:t xml:space="preserve">Membres doivent prévoir la protection des variétés végétales – </w:t>
      </w:r>
      <w:r w:rsidR="00872157" w:rsidRPr="00D849C0">
        <w:t xml:space="preserve">que ce soit par des brevets, par un système </w:t>
      </w:r>
      <w:r w:rsidR="00872157" w:rsidRPr="001C4D69">
        <w:rPr>
          <w:i/>
        </w:rPr>
        <w:t>sui</w:t>
      </w:r>
      <w:r w:rsidR="005D43EC" w:rsidRPr="001C4D69">
        <w:rPr>
          <w:i/>
        </w:rPr>
        <w:t> </w:t>
      </w:r>
      <w:r w:rsidR="00872157" w:rsidRPr="001C4D69">
        <w:rPr>
          <w:i/>
        </w:rPr>
        <w:t>generis</w:t>
      </w:r>
      <w:r w:rsidR="00872157" w:rsidRPr="00D849C0">
        <w:t xml:space="preserve"> efficace ou par une combinaison des deux.</w:t>
      </w:r>
    </w:p>
    <w:p w:rsidR="00C046D1" w:rsidRPr="00D849C0" w:rsidRDefault="00334657" w:rsidP="001C4D69">
      <w:pPr>
        <w:pStyle w:val="ONUMFS"/>
      </w:pPr>
      <w:r w:rsidRPr="00D849C0">
        <w:t>Les micro</w:t>
      </w:r>
      <w:r w:rsidR="001937C9">
        <w:t>-</w:t>
      </w:r>
      <w:r w:rsidRPr="00D849C0">
        <w:t>organismes ont fait l</w:t>
      </w:r>
      <w:r w:rsidR="001937C9">
        <w:t>’</w:t>
      </w:r>
      <w:r w:rsidRPr="00D849C0">
        <w:t>objet</w:t>
      </w:r>
      <w:r w:rsidR="00FB6DCD" w:rsidRPr="00D849C0">
        <w:t xml:space="preserve"> jusqu</w:t>
      </w:r>
      <w:r w:rsidR="001937C9">
        <w:t>’</w:t>
      </w:r>
      <w:r w:rsidR="00FB6DCD" w:rsidRPr="00D849C0">
        <w:t>à présent</w:t>
      </w:r>
      <w:r w:rsidRPr="00D849C0">
        <w:t xml:space="preserve"> d</w:t>
      </w:r>
      <w:r w:rsidR="001937C9">
        <w:t>’</w:t>
      </w:r>
      <w:r w:rsidRPr="00D849C0">
        <w:t>un plus g</w:t>
      </w:r>
      <w:r w:rsidR="007B14E7">
        <w:t>rand nombre de dépôts de brevet</w:t>
      </w:r>
      <w:r w:rsidRPr="00D849C0">
        <w:t xml:space="preserve"> que les végétaux</w:t>
      </w:r>
      <w:r w:rsidR="00FB6DCD" w:rsidRPr="00D849C0">
        <w:t>, parce que les techniques du génie génétique ont d</w:t>
      </w:r>
      <w:r w:rsidR="001937C9">
        <w:t>’</w:t>
      </w:r>
      <w:r w:rsidR="00FB6DCD" w:rsidRPr="00D849C0">
        <w:t xml:space="preserve">abord été utilisées sur des organismes unicellulaires.  </w:t>
      </w:r>
      <w:r w:rsidR="009D1312" w:rsidRPr="00D849C0">
        <w:t>L</w:t>
      </w:r>
      <w:r w:rsidR="001937C9">
        <w:t>’</w:t>
      </w:r>
      <w:r w:rsidR="009D1312" w:rsidRPr="00D849C0">
        <w:t>évolution de la technologie s</w:t>
      </w:r>
      <w:r w:rsidR="001937C9">
        <w:t>’</w:t>
      </w:r>
      <w:r w:rsidR="009D1312" w:rsidRPr="00D849C0">
        <w:t>accompagnera d</w:t>
      </w:r>
      <w:r w:rsidR="001937C9">
        <w:t>’</w:t>
      </w:r>
      <w:r w:rsidR="009D1312" w:rsidRPr="00D849C0">
        <w:t>une augmentation du nombre d</w:t>
      </w:r>
      <w:r w:rsidR="001937C9">
        <w:t>’</w:t>
      </w:r>
      <w:r w:rsidR="009D1312" w:rsidRPr="00D849C0">
        <w:t>inventions relatives à des formes de vie multicellulaires et à des</w:t>
      </w:r>
      <w:r w:rsidR="001C4D69">
        <w:t> </w:t>
      </w:r>
      <w:r w:rsidR="009D1312" w:rsidRPr="00D849C0">
        <w:t>plantes génétiquement modifiées</w:t>
      </w:r>
      <w:r w:rsidR="003E3B7A" w:rsidRPr="00D849C0">
        <w:rPr>
          <w:rStyle w:val="FootnoteReference"/>
          <w:szCs w:val="22"/>
        </w:rPr>
        <w:footnoteReference w:id="21"/>
      </w:r>
      <w:r w:rsidR="00FB6DCD" w:rsidRPr="00D849C0">
        <w:t>.</w:t>
      </w:r>
    </w:p>
    <w:p w:rsidR="00A26A13" w:rsidRPr="00D849C0" w:rsidRDefault="007F0702" w:rsidP="001C4D69">
      <w:pPr>
        <w:pStyle w:val="ONUMFS"/>
      </w:pPr>
      <w:r w:rsidRPr="00D849C0">
        <w:t>Bien que les végétaux soient exclus de la brevetabilité dans plusieurs pays, la portée de l</w:t>
      </w:r>
      <w:r w:rsidR="001937C9">
        <w:t>’</w:t>
      </w:r>
      <w:r w:rsidRPr="00D849C0">
        <w:t xml:space="preserve">exclusion varie </w:t>
      </w:r>
      <w:r w:rsidR="000104C3" w:rsidRPr="00D849C0">
        <w:t>selon les systèmes juridiques nationaux.  Les plantes peuvent être non</w:t>
      </w:r>
      <w:r w:rsidR="005D43EC">
        <w:t> </w:t>
      </w:r>
      <w:r w:rsidR="000104C3" w:rsidRPr="00D849C0">
        <w:t>brevetables en tant que produits, alors que les cellules et les gènes de plantes sont susceptibles de protection au titre des brevets.</w:t>
      </w:r>
      <w:r w:rsidR="003600DD" w:rsidRPr="00D849C0">
        <w:t xml:space="preserve">  </w:t>
      </w:r>
      <w:r w:rsidR="0070549B" w:rsidRPr="00D849C0">
        <w:t>Par conséquent, la question de l</w:t>
      </w:r>
      <w:r w:rsidR="001937C9">
        <w:t>’</w:t>
      </w:r>
      <w:r w:rsidR="0070549B" w:rsidRPr="00D849C0">
        <w:t>exclusion de la brevetabilité des végétaux n</w:t>
      </w:r>
      <w:r w:rsidR="001937C9">
        <w:t>’</w:t>
      </w:r>
      <w:r w:rsidR="0070549B" w:rsidRPr="00D849C0">
        <w:t>est pas limitée aux plantes elles</w:t>
      </w:r>
      <w:r w:rsidR="001937C9">
        <w:t>-</w:t>
      </w:r>
      <w:r w:rsidR="0070549B" w:rsidRPr="00D849C0">
        <w:t xml:space="preserve">mêmes, mais concerne également leurs parties subcellulaires, notamment les cellules et les gènes, </w:t>
      </w:r>
      <w:r w:rsidR="0047105A" w:rsidRPr="00D849C0">
        <w:t>ainsi que les procédés d</w:t>
      </w:r>
      <w:r w:rsidR="001937C9">
        <w:t>’</w:t>
      </w:r>
      <w:r w:rsidR="0047105A" w:rsidRPr="00D849C0">
        <w:t>obtention végétale.</w:t>
      </w:r>
    </w:p>
    <w:p w:rsidR="00A26A13" w:rsidRPr="00D849C0" w:rsidRDefault="007F489D" w:rsidP="001C4D69">
      <w:pPr>
        <w:pStyle w:val="ONUMFS"/>
      </w:pPr>
      <w:r w:rsidRPr="00D849C0">
        <w:t>S</w:t>
      </w:r>
      <w:r w:rsidR="001937C9">
        <w:t>’</w:t>
      </w:r>
      <w:r w:rsidRPr="00D849C0">
        <w:t>agissant des procédés d</w:t>
      </w:r>
      <w:r w:rsidR="001937C9">
        <w:t>’</w:t>
      </w:r>
      <w:r w:rsidRPr="00D849C0">
        <w:t>obtention de végétaux ou d</w:t>
      </w:r>
      <w:r w:rsidR="001937C9">
        <w:t>’</w:t>
      </w:r>
      <w:r w:rsidRPr="00D849C0">
        <w:t>animaux, l</w:t>
      </w:r>
      <w:r w:rsidR="001937C9">
        <w:t>’</w:t>
      </w:r>
      <w:r w:rsidRPr="00D849C0">
        <w:t>exclusion s</w:t>
      </w:r>
      <w:r w:rsidR="001937C9">
        <w:t>’</w:t>
      </w:r>
      <w:r w:rsidRPr="00D849C0">
        <w:t xml:space="preserve">applique uniquement aux </w:t>
      </w:r>
      <w:r w:rsidR="00A26A13" w:rsidRPr="00D849C0">
        <w:t>“</w:t>
      </w:r>
      <w:r w:rsidRPr="00D849C0">
        <w:t>procédés essentiellement biologiques d</w:t>
      </w:r>
      <w:r w:rsidR="001937C9">
        <w:t>’</w:t>
      </w:r>
      <w:r w:rsidRPr="00D849C0">
        <w:t>obtention de végétaux ou d</w:t>
      </w:r>
      <w:r w:rsidR="001937C9">
        <w:t>’</w:t>
      </w:r>
      <w:r w:rsidRPr="00D849C0">
        <w:t>animaux</w:t>
      </w:r>
      <w:r w:rsidR="00A26A13" w:rsidRPr="00D849C0">
        <w:t>”</w:t>
      </w:r>
      <w:r w:rsidRPr="00D849C0">
        <w:t xml:space="preserve">.  </w:t>
      </w:r>
      <w:r w:rsidR="00C626E1" w:rsidRPr="00D849C0">
        <w:t>C</w:t>
      </w:r>
      <w:r w:rsidR="00966D50" w:rsidRPr="00D849C0">
        <w:t>ela concerne</w:t>
      </w:r>
      <w:r w:rsidR="00C626E1" w:rsidRPr="00D849C0">
        <w:t xml:space="preserve"> en particulier</w:t>
      </w:r>
      <w:r w:rsidR="00966D50" w:rsidRPr="00D849C0">
        <w:t xml:space="preserve"> les végétaux obtenus à l</w:t>
      </w:r>
      <w:r w:rsidR="001937C9">
        <w:t>’</w:t>
      </w:r>
      <w:r w:rsidR="00966D50" w:rsidRPr="00D849C0">
        <w:t>aide de méthodes de sélection conventionnelles</w:t>
      </w:r>
      <w:r w:rsidR="00A26A13" w:rsidRPr="00D849C0">
        <w:rPr>
          <w:vertAlign w:val="superscript"/>
        </w:rPr>
        <w:footnoteReference w:id="22"/>
      </w:r>
      <w:r w:rsidR="00FB53CB" w:rsidRPr="00D849C0">
        <w:t>.</w:t>
      </w:r>
      <w:r w:rsidR="00A26A13" w:rsidRPr="00D849C0">
        <w:t xml:space="preserve">  </w:t>
      </w:r>
      <w:r w:rsidR="00C626E1" w:rsidRPr="00D849C0">
        <w:t>L</w:t>
      </w:r>
      <w:r w:rsidR="001937C9">
        <w:t>’</w:t>
      </w:r>
      <w:r w:rsidR="00C626E1" w:rsidRPr="00D849C0">
        <w:t>exclusion ne s</w:t>
      </w:r>
      <w:r w:rsidR="001937C9">
        <w:t>’</w:t>
      </w:r>
      <w:r w:rsidR="00C626E1" w:rsidRPr="00D849C0">
        <w:t xml:space="preserve">applique pas aux procédés non biologiques et microbiologiques, </w:t>
      </w:r>
      <w:r w:rsidR="00675CA7" w:rsidRPr="00D849C0">
        <w:t>ce qui recouvre les variétés végétales produites par des méthodes biotechnologiques telles que l</w:t>
      </w:r>
      <w:r w:rsidR="001937C9">
        <w:t>’</w:t>
      </w:r>
      <w:r w:rsidR="00675CA7" w:rsidRPr="00D849C0">
        <w:t>insertion d</w:t>
      </w:r>
      <w:r w:rsidR="001937C9">
        <w:t>’</w:t>
      </w:r>
      <w:r w:rsidR="00675CA7" w:rsidRPr="00D849C0">
        <w:t>un gène particulier et d</w:t>
      </w:r>
      <w:r w:rsidR="001937C9">
        <w:t>’</w:t>
      </w:r>
      <w:r w:rsidR="00675CA7" w:rsidRPr="00D849C0">
        <w:t>autres formes de manipulation génétique.</w:t>
      </w:r>
      <w:r w:rsidR="005657CB" w:rsidRPr="00D849C0">
        <w:t xml:space="preserve">  L</w:t>
      </w:r>
      <w:r w:rsidR="001937C9">
        <w:t>’</w:t>
      </w:r>
      <w:r w:rsidR="005657CB" w:rsidRPr="00D849C0">
        <w:t>Accord sur</w:t>
      </w:r>
      <w:r w:rsidR="001937C9" w:rsidRPr="00D849C0">
        <w:t xml:space="preserve"> les</w:t>
      </w:r>
      <w:r w:rsidR="001937C9">
        <w:t> </w:t>
      </w:r>
      <w:r w:rsidR="001937C9" w:rsidRPr="00D849C0">
        <w:t>ADP</w:t>
      </w:r>
      <w:r w:rsidR="005657CB" w:rsidRPr="00D849C0">
        <w:t>IC ne précise pas la signification de l</w:t>
      </w:r>
      <w:r w:rsidR="001937C9">
        <w:t>’</w:t>
      </w:r>
      <w:r w:rsidR="005657CB" w:rsidRPr="00D849C0">
        <w:t xml:space="preserve">expression </w:t>
      </w:r>
      <w:r w:rsidR="0027544E" w:rsidRPr="00D849C0">
        <w:t>“</w:t>
      </w:r>
      <w:r w:rsidR="005657CB" w:rsidRPr="00D849C0">
        <w:t>essentiellement biologique</w:t>
      </w:r>
      <w:r w:rsidR="00A26A13" w:rsidRPr="00D849C0">
        <w:t xml:space="preserve">” </w:t>
      </w:r>
      <w:r w:rsidR="005657CB" w:rsidRPr="00D849C0">
        <w:t xml:space="preserve">à cet égard.  </w:t>
      </w:r>
      <w:r w:rsidR="006310FC" w:rsidRPr="00D849C0">
        <w:t>Il s</w:t>
      </w:r>
      <w:r w:rsidR="001937C9">
        <w:t>’</w:t>
      </w:r>
      <w:r w:rsidR="006310FC" w:rsidRPr="00D849C0">
        <w:t>agit là d</w:t>
      </w:r>
      <w:r w:rsidR="001937C9">
        <w:t>’</w:t>
      </w:r>
      <w:r w:rsidR="006310FC" w:rsidRPr="00D849C0">
        <w:t xml:space="preserve">un exemple </w:t>
      </w:r>
      <w:r w:rsidR="0004276C" w:rsidRPr="00D849C0">
        <w:t>d</w:t>
      </w:r>
      <w:r w:rsidR="001937C9">
        <w:t>’</w:t>
      </w:r>
      <w:r w:rsidR="0004276C" w:rsidRPr="00D849C0">
        <w:t>élément</w:t>
      </w:r>
      <w:r w:rsidR="006310FC" w:rsidRPr="00D849C0">
        <w:t xml:space="preserve"> de flexibilité</w:t>
      </w:r>
      <w:r w:rsidR="0004276C" w:rsidRPr="00D849C0">
        <w:t xml:space="preserve"> </w:t>
      </w:r>
      <w:r w:rsidR="009462D5" w:rsidRPr="00D849C0">
        <w:t>prévu</w:t>
      </w:r>
      <w:r w:rsidR="006A5BBA" w:rsidRPr="00D849C0">
        <w:t xml:space="preserve"> par un traité multilatéral dont la mise en œuvre nationale ou régionale</w:t>
      </w:r>
      <w:r w:rsidR="0004276C" w:rsidRPr="00D849C0">
        <w:t xml:space="preserve"> </w:t>
      </w:r>
      <w:r w:rsidR="006A5BBA" w:rsidRPr="00D849C0">
        <w:t>s</w:t>
      </w:r>
      <w:r w:rsidR="001937C9">
        <w:t>’</w:t>
      </w:r>
      <w:r w:rsidR="006A5BBA" w:rsidRPr="00D849C0">
        <w:t>effectue</w:t>
      </w:r>
      <w:r w:rsidR="009462D5" w:rsidRPr="00D849C0">
        <w:t xml:space="preserve"> par le biais de dispositions lég</w:t>
      </w:r>
      <w:r w:rsidR="00FB3E5B" w:rsidRPr="00D849C0">
        <w:t>islative</w:t>
      </w:r>
      <w:r w:rsidR="009462D5" w:rsidRPr="00D849C0">
        <w:t>s</w:t>
      </w:r>
      <w:r w:rsidR="00745AB5" w:rsidRPr="00D849C0">
        <w:rPr>
          <w:rStyle w:val="FootnoteReference"/>
          <w:szCs w:val="22"/>
        </w:rPr>
        <w:footnoteReference w:id="23"/>
      </w:r>
      <w:r w:rsidR="009462D5" w:rsidRPr="00D849C0">
        <w:t>.</w:t>
      </w:r>
    </w:p>
    <w:p w:rsidR="00A26A13" w:rsidRPr="00D849C0" w:rsidRDefault="008057B3" w:rsidP="00BD2732">
      <w:pPr>
        <w:pStyle w:val="Heading2"/>
      </w:pPr>
      <w:bookmarkStart w:id="8" w:name="_Toc387060461"/>
      <w:r w:rsidRPr="00D849C0">
        <w:lastRenderedPageBreak/>
        <w:t>C</w:t>
      </w:r>
      <w:r w:rsidR="00F53205" w:rsidRPr="00D849C0">
        <w:t>.</w:t>
      </w:r>
      <w:r w:rsidR="00F53205" w:rsidRPr="00D849C0">
        <w:tab/>
      </w:r>
      <w:r w:rsidR="00AB7388" w:rsidRPr="00D849C0">
        <w:t>Mise en œuvre nationale et régionale</w:t>
      </w:r>
      <w:bookmarkEnd w:id="8"/>
    </w:p>
    <w:p w:rsidR="00CD78ED" w:rsidRPr="00D849C0" w:rsidRDefault="00CD78ED" w:rsidP="00A83989">
      <w:pPr>
        <w:rPr>
          <w:szCs w:val="22"/>
        </w:rPr>
      </w:pPr>
    </w:p>
    <w:p w:rsidR="00A26A13" w:rsidRPr="00D849C0" w:rsidRDefault="00DF2E6F" w:rsidP="00340706">
      <w:pPr>
        <w:pStyle w:val="ONUMFS"/>
      </w:pPr>
      <w:r w:rsidRPr="00D849C0">
        <w:t xml:space="preserve">La législation internationale reconnaît actuellement aux gouvernements la liberté de décider </w:t>
      </w:r>
      <w:r w:rsidR="00C108C0" w:rsidRPr="00D849C0">
        <w:t>d</w:t>
      </w:r>
      <w:r w:rsidR="001937C9">
        <w:t>’</w:t>
      </w:r>
      <w:r w:rsidR="00C108C0" w:rsidRPr="00D849C0">
        <w:t>accorder ou non</w:t>
      </w:r>
      <w:r w:rsidR="00B04B4E" w:rsidRPr="00D849C0">
        <w:t xml:space="preserve"> sur leur territoire</w:t>
      </w:r>
      <w:r w:rsidR="00C108C0" w:rsidRPr="00D849C0">
        <w:t xml:space="preserve"> des brevets sur les végétaux.  Ils doivent cependant prévoir la protection par brevet des micro</w:t>
      </w:r>
      <w:r w:rsidR="001937C9">
        <w:t>-</w:t>
      </w:r>
      <w:r w:rsidR="00C108C0" w:rsidRPr="00D849C0">
        <w:t>organismes</w:t>
      </w:r>
      <w:r w:rsidR="001F580F" w:rsidRPr="00D849C0">
        <w:t xml:space="preserve"> et celle des nouvelles variétés végétales par un système </w:t>
      </w:r>
      <w:r w:rsidR="001F580F" w:rsidRPr="00340706">
        <w:rPr>
          <w:i/>
        </w:rPr>
        <w:t>sui</w:t>
      </w:r>
      <w:r w:rsidR="005D43EC" w:rsidRPr="00340706">
        <w:rPr>
          <w:i/>
        </w:rPr>
        <w:t> </w:t>
      </w:r>
      <w:r w:rsidR="001F580F" w:rsidRPr="00340706">
        <w:rPr>
          <w:i/>
        </w:rPr>
        <w:t>generis</w:t>
      </w:r>
      <w:r w:rsidR="001F580F" w:rsidRPr="00D849C0">
        <w:t>, un système de brevets</w:t>
      </w:r>
      <w:r w:rsidR="00773E19" w:rsidRPr="00D849C0">
        <w:t xml:space="preserve"> ou une combinaison des deux.</w:t>
      </w:r>
    </w:p>
    <w:p w:rsidR="00A26A13" w:rsidRPr="00D849C0" w:rsidRDefault="00773E19" w:rsidP="00340706">
      <w:pPr>
        <w:pStyle w:val="ONUMFS"/>
        <w:rPr>
          <w:i/>
        </w:rPr>
      </w:pPr>
      <w:r w:rsidRPr="00D849C0">
        <w:t>L</w:t>
      </w:r>
      <w:r w:rsidR="001937C9">
        <w:t>’</w:t>
      </w:r>
      <w:r w:rsidRPr="00D849C0">
        <w:t xml:space="preserve">élément de flexibilité examiné ici </w:t>
      </w:r>
      <w:r w:rsidR="00FE5669" w:rsidRPr="00D849C0">
        <w:t>porte sur la manière dont l</w:t>
      </w:r>
      <w:r w:rsidR="001937C9">
        <w:t>’</w:t>
      </w:r>
      <w:r w:rsidR="00FE5669" w:rsidRPr="00D849C0">
        <w:t>article</w:t>
      </w:r>
      <w:r w:rsidR="005D43EC">
        <w:t> </w:t>
      </w:r>
      <w:r w:rsidR="00FE5669" w:rsidRPr="00D849C0">
        <w:t>27.3)b) de l</w:t>
      </w:r>
      <w:r w:rsidR="001937C9">
        <w:t>’</w:t>
      </w:r>
      <w:r w:rsidR="00FE5669" w:rsidRPr="00D849C0">
        <w:t>Accord sur</w:t>
      </w:r>
      <w:r w:rsidR="001937C9" w:rsidRPr="00D849C0">
        <w:t xml:space="preserve"> les</w:t>
      </w:r>
      <w:r w:rsidR="001937C9">
        <w:t> </w:t>
      </w:r>
      <w:r w:rsidR="001937C9" w:rsidRPr="00D849C0">
        <w:t>ADP</w:t>
      </w:r>
      <w:r w:rsidR="00FE5669" w:rsidRPr="00D849C0">
        <w:t>IC</w:t>
      </w:r>
      <w:r w:rsidR="002726C0" w:rsidRPr="00D849C0">
        <w:t xml:space="preserve"> a été mis en œuvre </w:t>
      </w:r>
      <w:r w:rsidR="00FE5669" w:rsidRPr="00D849C0">
        <w:t xml:space="preserve">– </w:t>
      </w:r>
      <w:r w:rsidR="002726C0" w:rsidRPr="00D849C0">
        <w:t>spécifiquement en ce qui concerne la question de la brevetabilité des végétaux – dans les lois sur les brevets des États membres</w:t>
      </w:r>
      <w:r w:rsidR="00021AE0" w:rsidRPr="00D849C0">
        <w:rPr>
          <w:rStyle w:val="FootnoteReference"/>
          <w:szCs w:val="22"/>
        </w:rPr>
        <w:footnoteReference w:id="24"/>
      </w:r>
      <w:r w:rsidR="002726C0" w:rsidRPr="00D849C0">
        <w:t>.</w:t>
      </w:r>
      <w:r w:rsidR="00B34C40" w:rsidRPr="00D849C0">
        <w:t xml:space="preserve">  Différentes </w:t>
      </w:r>
      <w:r w:rsidR="00782211" w:rsidRPr="00D849C0">
        <w:t>formules peuvent être recensées :</w:t>
      </w:r>
      <w:r w:rsidR="00B34C40" w:rsidRPr="00D849C0">
        <w:t xml:space="preserve"> </w:t>
      </w:r>
      <w:r w:rsidR="00782211" w:rsidRPr="00D849C0">
        <w:t>a)</w:t>
      </w:r>
      <w:r w:rsidR="005D43EC">
        <w:t> </w:t>
      </w:r>
      <w:r w:rsidR="006119A0" w:rsidRPr="00D849C0">
        <w:t>exclusion de la brevetabilité des végétaux</w:t>
      </w:r>
      <w:r w:rsidR="00340706">
        <w:t xml:space="preserve">;  </w:t>
      </w:r>
      <w:r w:rsidR="006119A0" w:rsidRPr="00D849C0">
        <w:t>b)</w:t>
      </w:r>
      <w:r w:rsidR="005D43EC">
        <w:t> </w:t>
      </w:r>
      <w:r w:rsidR="006119A0" w:rsidRPr="00D849C0">
        <w:t>exclusion de la brevetabilité des variétés végétales</w:t>
      </w:r>
      <w:r w:rsidR="00340706">
        <w:t xml:space="preserve">; </w:t>
      </w:r>
      <w:r w:rsidR="006119A0" w:rsidRPr="00D849C0">
        <w:t xml:space="preserve"> c)</w:t>
      </w:r>
      <w:r w:rsidR="005D43EC">
        <w:t> </w:t>
      </w:r>
      <w:r w:rsidR="006119A0" w:rsidRPr="00D849C0">
        <w:t>exclusion de la brevetabilité des végétaux et des</w:t>
      </w:r>
      <w:r w:rsidR="00340706">
        <w:t> </w:t>
      </w:r>
      <w:r w:rsidR="006119A0" w:rsidRPr="00D849C0">
        <w:t>variétés végétales</w:t>
      </w:r>
      <w:r w:rsidR="00340706">
        <w:t xml:space="preserve">; </w:t>
      </w:r>
      <w:r w:rsidR="006119A0" w:rsidRPr="00D849C0">
        <w:t xml:space="preserve"> e)</w:t>
      </w:r>
      <w:r w:rsidR="005D43EC">
        <w:t> </w:t>
      </w:r>
      <w:r w:rsidR="006119A0" w:rsidRPr="00D849C0">
        <w:t>reconnaissance de la brevetabilité des végétaux</w:t>
      </w:r>
      <w:r w:rsidR="00340706">
        <w:t xml:space="preserve">; </w:t>
      </w:r>
      <w:r w:rsidR="006119A0" w:rsidRPr="00D849C0">
        <w:t xml:space="preserve"> et e)</w:t>
      </w:r>
      <w:r w:rsidR="005D43EC">
        <w:t> </w:t>
      </w:r>
      <w:r w:rsidR="006119A0" w:rsidRPr="00D849C0">
        <w:t>exclusion ou reconnaissance de la brevetabilité</w:t>
      </w:r>
      <w:r w:rsidR="00A26A13" w:rsidRPr="00D849C0">
        <w:t xml:space="preserve"> </w:t>
      </w:r>
      <w:r w:rsidR="006119A0" w:rsidRPr="00D849C0">
        <w:t xml:space="preserve">des procédés essentiellement biologiques </w:t>
      </w:r>
      <w:r w:rsidR="00C71D78" w:rsidRPr="00D849C0">
        <w:t>d</w:t>
      </w:r>
      <w:r w:rsidR="001937C9">
        <w:t>’</w:t>
      </w:r>
      <w:r w:rsidR="00C71D78" w:rsidRPr="00D849C0">
        <w:t>obtention de végétaux.</w:t>
      </w:r>
    </w:p>
    <w:p w:rsidR="00A26A13" w:rsidRPr="00D849C0" w:rsidRDefault="00A26A13" w:rsidP="00BD2732">
      <w:pPr>
        <w:pStyle w:val="Heading3"/>
      </w:pPr>
      <w:bookmarkStart w:id="9" w:name="_Toc387060462"/>
      <w:r w:rsidRPr="00D849C0">
        <w:t>E</w:t>
      </w:r>
      <w:r w:rsidR="00272046" w:rsidRPr="00D849C0">
        <w:t>xclusion de la brevetabilité des végétaux</w:t>
      </w:r>
      <w:bookmarkEnd w:id="9"/>
    </w:p>
    <w:p w:rsidR="00A26A13" w:rsidRPr="00D849C0" w:rsidRDefault="00A26A13" w:rsidP="007E7FC5">
      <w:pPr>
        <w:ind w:left="567"/>
        <w:rPr>
          <w:szCs w:val="22"/>
        </w:rPr>
      </w:pPr>
    </w:p>
    <w:p w:rsidR="004C3107" w:rsidRPr="00D849C0" w:rsidRDefault="00787DBC" w:rsidP="00597F3A">
      <w:pPr>
        <w:pStyle w:val="ONUMFS"/>
      </w:pPr>
      <w:r w:rsidRPr="00D849C0">
        <w:t>Un certain nombre de pays ont adopté des dispositions législatives excluant les végétaux de la protection par brevet (par exemple</w:t>
      </w:r>
      <w:r w:rsidR="00BB4B6F" w:rsidRPr="00D849C0">
        <w:t>,</w:t>
      </w:r>
      <w:r w:rsidRPr="00D849C0">
        <w:t xml:space="preserve"> en ce qui concerne les pays andins,</w:t>
      </w:r>
      <w:r w:rsidR="00841532" w:rsidRPr="00D849C0">
        <w:t xml:space="preserve"> l</w:t>
      </w:r>
      <w:r w:rsidR="001937C9">
        <w:t>’</w:t>
      </w:r>
      <w:r w:rsidR="00841532" w:rsidRPr="00D849C0">
        <w:t>alinéa</w:t>
      </w:r>
      <w:r w:rsidR="005D43EC">
        <w:t> </w:t>
      </w:r>
      <w:r w:rsidR="00841532" w:rsidRPr="00D849C0">
        <w:t>c) de l</w:t>
      </w:r>
      <w:r w:rsidR="001937C9">
        <w:t>’</w:t>
      </w:r>
      <w:r w:rsidR="00841532" w:rsidRPr="00D849C0">
        <w:t>article</w:t>
      </w:r>
      <w:r w:rsidR="005D43EC">
        <w:t> </w:t>
      </w:r>
      <w:r w:rsidR="00841532" w:rsidRPr="00D849C0">
        <w:t>20 de la décision 486 de</w:t>
      </w:r>
      <w:r w:rsidR="005D43EC">
        <w:t> </w:t>
      </w:r>
      <w:r w:rsidR="00841532" w:rsidRPr="00D849C0">
        <w:t>2000)</w:t>
      </w:r>
      <w:r w:rsidR="00A26A13" w:rsidRPr="00D849C0">
        <w:rPr>
          <w:vertAlign w:val="superscript"/>
        </w:rPr>
        <w:footnoteReference w:id="25"/>
      </w:r>
      <w:r w:rsidR="00C674A9" w:rsidRPr="00D849C0">
        <w:t>, tandis que dans d</w:t>
      </w:r>
      <w:r w:rsidR="001937C9">
        <w:t>’</w:t>
      </w:r>
      <w:r w:rsidR="00C674A9" w:rsidRPr="00D849C0">
        <w:t>autres, la législation sur les brevets ne prévoit pas expressément l</w:t>
      </w:r>
      <w:r w:rsidR="001937C9">
        <w:t>’</w:t>
      </w:r>
      <w:r w:rsidR="00C674A9" w:rsidRPr="00D849C0">
        <w:t xml:space="preserve">exclusion.  </w:t>
      </w:r>
      <w:r w:rsidR="00ED25F3" w:rsidRPr="00D849C0">
        <w:t>Lorsque les lois ne contiennent pas de dispositions spécifiques, il est fait appel aux tribunaux</w:t>
      </w:r>
      <w:r w:rsidR="00C921D6" w:rsidRPr="00D849C0">
        <w:t xml:space="preserve"> pour éclairer la question.  Par exemple, la Cour suprême du Canada a statué, s</w:t>
      </w:r>
      <w:r w:rsidR="001937C9">
        <w:t>’</w:t>
      </w:r>
      <w:r w:rsidR="00C921D6" w:rsidRPr="00D849C0">
        <w:t>agissant de la portée de l</w:t>
      </w:r>
      <w:r w:rsidR="001937C9">
        <w:t>’</w:t>
      </w:r>
      <w:r w:rsidR="00C921D6" w:rsidRPr="00D849C0">
        <w:t>exclusion de la brevetabilité</w:t>
      </w:r>
      <w:r w:rsidR="001D537A" w:rsidRPr="00D849C0">
        <w:t xml:space="preserve"> des </w:t>
      </w:r>
      <w:r w:rsidR="0000111E" w:rsidRPr="00D849C0">
        <w:t xml:space="preserve">végétaux, que les formes de vie supérieures </w:t>
      </w:r>
      <w:r w:rsidR="004E7344" w:rsidRPr="00D849C0">
        <w:t>ne relèvent pas</w:t>
      </w:r>
      <w:r w:rsidR="00675A5C" w:rsidRPr="00D849C0">
        <w:t xml:space="preserve"> de la définition </w:t>
      </w:r>
      <w:r w:rsidR="004E7344" w:rsidRPr="00D849C0">
        <w:t xml:space="preserve">du mot </w:t>
      </w:r>
      <w:r w:rsidR="005D43EC">
        <w:t>“</w:t>
      </w:r>
      <w:r w:rsidR="004E7344" w:rsidRPr="00D849C0">
        <w:t>invention</w:t>
      </w:r>
      <w:r w:rsidR="005D43EC">
        <w:t>”</w:t>
      </w:r>
      <w:r w:rsidR="00675A5C" w:rsidRPr="00D849C0">
        <w:t xml:space="preserve"> </w:t>
      </w:r>
      <w:r w:rsidR="00B04B4E">
        <w:t>énonc</w:t>
      </w:r>
      <w:r w:rsidR="00597F3A">
        <w:t>ée par la l</w:t>
      </w:r>
      <w:r w:rsidR="00675A5C" w:rsidRPr="00D849C0">
        <w:t xml:space="preserve">oi sur les brevets du Canada </w:t>
      </w:r>
      <w:r w:rsidR="004C3107" w:rsidRPr="00D849C0">
        <w:t>(</w:t>
      </w:r>
      <w:r w:rsidR="004C3107" w:rsidRPr="00D849C0">
        <w:rPr>
          <w:i/>
        </w:rPr>
        <w:t xml:space="preserve">Harvard </w:t>
      </w:r>
      <w:proofErr w:type="spellStart"/>
      <w:r w:rsidR="004C3107" w:rsidRPr="00D849C0">
        <w:rPr>
          <w:i/>
        </w:rPr>
        <w:t>College</w:t>
      </w:r>
      <w:proofErr w:type="spellEnd"/>
      <w:r w:rsidR="004C3107" w:rsidRPr="00D849C0">
        <w:rPr>
          <w:i/>
        </w:rPr>
        <w:t xml:space="preserve"> </w:t>
      </w:r>
      <w:r w:rsidR="001D537A" w:rsidRPr="0028236C">
        <w:t>c</w:t>
      </w:r>
      <w:r w:rsidR="004C3107" w:rsidRPr="0028236C">
        <w:t>.</w:t>
      </w:r>
      <w:r w:rsidR="005D43EC">
        <w:rPr>
          <w:i/>
        </w:rPr>
        <w:t> </w:t>
      </w:r>
      <w:r w:rsidR="004C3107" w:rsidRPr="00D849C0">
        <w:rPr>
          <w:i/>
        </w:rPr>
        <w:t>Canada</w:t>
      </w:r>
      <w:r w:rsidR="004C3107" w:rsidRPr="00D849C0">
        <w:t xml:space="preserve"> (</w:t>
      </w:r>
      <w:r w:rsidR="001D537A" w:rsidRPr="00D849C0">
        <w:t>Commissaire aux</w:t>
      </w:r>
      <w:r w:rsidR="00597F3A">
        <w:t> </w:t>
      </w:r>
      <w:r w:rsidR="001D537A" w:rsidRPr="00D849C0">
        <w:t>brevets</w:t>
      </w:r>
      <w:r w:rsidR="004C3107" w:rsidRPr="00D849C0">
        <w:t xml:space="preserve">) [2002] 4 </w:t>
      </w:r>
      <w:r w:rsidR="00C921D6" w:rsidRPr="00D849C0">
        <w:t>R.C.S.</w:t>
      </w:r>
      <w:r w:rsidR="004C3107" w:rsidRPr="00D849C0">
        <w:t xml:space="preserve"> 45).  </w:t>
      </w:r>
      <w:r w:rsidR="009B6031" w:rsidRPr="00D849C0">
        <w:t>La Cour suprême du Canada a toutefois conclu</w:t>
      </w:r>
      <w:r w:rsidR="00B21C5A" w:rsidRPr="00D849C0">
        <w:t xml:space="preserve"> dans l</w:t>
      </w:r>
      <w:r w:rsidR="001937C9">
        <w:t>’</w:t>
      </w:r>
      <w:r w:rsidR="00B21C5A" w:rsidRPr="00D849C0">
        <w:t xml:space="preserve">affaire </w:t>
      </w:r>
      <w:r w:rsidR="00B21C5A" w:rsidRPr="00D849C0">
        <w:rPr>
          <w:bCs/>
          <w:i/>
          <w:iCs/>
        </w:rPr>
        <w:t xml:space="preserve">Monsanto Canada Inc. </w:t>
      </w:r>
      <w:r w:rsidR="00B21C5A" w:rsidRPr="0028236C">
        <w:rPr>
          <w:bCs/>
          <w:iCs/>
        </w:rPr>
        <w:t>c.</w:t>
      </w:r>
      <w:r w:rsidR="005D43EC">
        <w:rPr>
          <w:bCs/>
          <w:i/>
          <w:iCs/>
        </w:rPr>
        <w:t> </w:t>
      </w:r>
      <w:proofErr w:type="spellStart"/>
      <w:r w:rsidR="00B21C5A" w:rsidRPr="00D849C0">
        <w:rPr>
          <w:bCs/>
          <w:i/>
          <w:iCs/>
        </w:rPr>
        <w:t>Schmeiser</w:t>
      </w:r>
      <w:proofErr w:type="spellEnd"/>
      <w:r w:rsidR="00B21C5A" w:rsidRPr="00D849C0">
        <w:rPr>
          <w:bCs/>
          <w:i/>
          <w:iCs/>
          <w:vertAlign w:val="superscript"/>
        </w:rPr>
        <w:footnoteReference w:id="26"/>
      </w:r>
      <w:r w:rsidR="00B21C5A" w:rsidRPr="00D849C0">
        <w:t xml:space="preserve"> </w:t>
      </w:r>
      <w:r w:rsidR="009B6031" w:rsidRPr="00D849C0">
        <w:t>à la brevetabilité des gènes</w:t>
      </w:r>
      <w:r w:rsidR="00B21C5A" w:rsidRPr="00D849C0">
        <w:t xml:space="preserve"> et des cellules de plantes génétiquement modifiées</w:t>
      </w:r>
      <w:r w:rsidR="004C3107" w:rsidRPr="00D849C0">
        <w:rPr>
          <w:vertAlign w:val="superscript"/>
        </w:rPr>
        <w:footnoteReference w:id="27"/>
      </w:r>
      <w:r w:rsidR="00B21C5A" w:rsidRPr="00D849C0">
        <w:t>.</w:t>
      </w:r>
    </w:p>
    <w:p w:rsidR="00A26A13" w:rsidRPr="00D849C0" w:rsidRDefault="00A26A13" w:rsidP="00BD2732">
      <w:pPr>
        <w:pStyle w:val="Heading3"/>
      </w:pPr>
      <w:bookmarkStart w:id="10" w:name="_Toc387060463"/>
      <w:r w:rsidRPr="00D849C0">
        <w:t>E</w:t>
      </w:r>
      <w:r w:rsidR="00272046" w:rsidRPr="00D849C0">
        <w:t>xclusion de la brevetabilité des variétés végétales</w:t>
      </w:r>
      <w:bookmarkEnd w:id="10"/>
    </w:p>
    <w:p w:rsidR="00A26A13" w:rsidRPr="00D849C0" w:rsidRDefault="00A26A13" w:rsidP="00A83989">
      <w:pPr>
        <w:rPr>
          <w:szCs w:val="22"/>
        </w:rPr>
      </w:pPr>
    </w:p>
    <w:p w:rsidR="00A26A13" w:rsidRPr="00D849C0" w:rsidRDefault="00CB2CD6" w:rsidP="0085177C">
      <w:pPr>
        <w:pStyle w:val="ONUMFS"/>
      </w:pPr>
      <w:r w:rsidRPr="00D849C0">
        <w:t>La protection par brevet des variétés végétales est exclue par la législation d</w:t>
      </w:r>
      <w:r w:rsidR="001937C9">
        <w:t>’</w:t>
      </w:r>
      <w:r w:rsidRPr="00D849C0">
        <w:t>un certain nombre de pays, notamment la Chine</w:t>
      </w:r>
      <w:r w:rsidR="00454E35" w:rsidRPr="00D849C0">
        <w:rPr>
          <w:vertAlign w:val="superscript"/>
        </w:rPr>
        <w:footnoteReference w:id="28"/>
      </w:r>
      <w:r w:rsidR="002800E1" w:rsidRPr="00D849C0">
        <w:t xml:space="preserve"> </w:t>
      </w:r>
      <w:r w:rsidRPr="00D849C0">
        <w:t>et le</w:t>
      </w:r>
      <w:r w:rsidR="00454E35" w:rsidRPr="00D849C0">
        <w:t xml:space="preserve"> </w:t>
      </w:r>
      <w:r w:rsidR="00A26A13" w:rsidRPr="00D849C0">
        <w:t>Kenya</w:t>
      </w:r>
      <w:r w:rsidR="00A26A13" w:rsidRPr="00D849C0">
        <w:rPr>
          <w:vertAlign w:val="superscript"/>
        </w:rPr>
        <w:footnoteReference w:id="29"/>
      </w:r>
      <w:r w:rsidRPr="00D849C0">
        <w:t>.</w:t>
      </w:r>
      <w:r w:rsidR="001A43C9" w:rsidRPr="00D849C0">
        <w:t xml:space="preserve">  </w:t>
      </w:r>
      <w:r w:rsidR="00B81C99" w:rsidRPr="00D849C0">
        <w:t>L</w:t>
      </w:r>
      <w:r w:rsidR="001937C9">
        <w:t>’</w:t>
      </w:r>
      <w:r w:rsidR="00B81C99" w:rsidRPr="00D849C0">
        <w:t>Office des brevets de la Chine (</w:t>
      </w:r>
      <w:r w:rsidR="00504593" w:rsidRPr="00D849C0">
        <w:t>S</w:t>
      </w:r>
      <w:r w:rsidR="00454E35" w:rsidRPr="00D849C0">
        <w:t>IPO)</w:t>
      </w:r>
      <w:r w:rsidR="00A26A13" w:rsidRPr="00D849C0">
        <w:t xml:space="preserve"> </w:t>
      </w:r>
      <w:r w:rsidR="00B81C99" w:rsidRPr="00D849C0">
        <w:t>a publié</w:t>
      </w:r>
      <w:r w:rsidR="002E1E23" w:rsidRPr="00D849C0">
        <w:t xml:space="preserve"> des </w:t>
      </w:r>
      <w:r w:rsidR="00B07F9B" w:rsidRPr="00D849C0">
        <w:t>directives</w:t>
      </w:r>
      <w:r w:rsidR="002E1E23" w:rsidRPr="00D849C0">
        <w:t xml:space="preserve"> </w:t>
      </w:r>
      <w:r w:rsidR="00F95E83" w:rsidRPr="00D849C0">
        <w:t>établissant que les plantes transgéniques</w:t>
      </w:r>
      <w:r w:rsidR="008E4315" w:rsidRPr="00D849C0">
        <w:rPr>
          <w:rStyle w:val="FootnoteReference"/>
          <w:szCs w:val="22"/>
        </w:rPr>
        <w:footnoteReference w:id="30"/>
      </w:r>
      <w:r w:rsidR="00F95E83" w:rsidRPr="00D849C0">
        <w:t xml:space="preserve"> obtenues par des méthodes biologiques telles que </w:t>
      </w:r>
      <w:r w:rsidR="00950BFC" w:rsidRPr="00D849C0">
        <w:t>les technologies de recombinaison de l</w:t>
      </w:r>
      <w:r w:rsidR="001937C9">
        <w:t>’</w:t>
      </w:r>
      <w:r w:rsidR="00950BFC" w:rsidRPr="00D849C0">
        <w:t xml:space="preserve">ADN relèvent de la catégorie des </w:t>
      </w:r>
      <w:r w:rsidR="00B24D86" w:rsidRPr="00D849C0">
        <w:lastRenderedPageBreak/>
        <w:t>“</w:t>
      </w:r>
      <w:r w:rsidR="00950BFC" w:rsidRPr="00D849C0">
        <w:t>variétés végétales</w:t>
      </w:r>
      <w:r w:rsidR="00B24D86" w:rsidRPr="00D849C0">
        <w:t>”</w:t>
      </w:r>
      <w:r w:rsidR="00932126" w:rsidRPr="00D849C0">
        <w:t xml:space="preserve">.  </w:t>
      </w:r>
      <w:r w:rsidR="00A30885" w:rsidRPr="00D849C0">
        <w:t>Conséquemment, en vertu des dispositions de l</w:t>
      </w:r>
      <w:r w:rsidR="001937C9">
        <w:t>’</w:t>
      </w:r>
      <w:r w:rsidR="00A30885" w:rsidRPr="00D849C0">
        <w:t>article</w:t>
      </w:r>
      <w:r w:rsidR="005D43EC">
        <w:t> </w:t>
      </w:r>
      <w:r w:rsidR="008E4315" w:rsidRPr="00D849C0">
        <w:t>25.1</w:t>
      </w:r>
      <w:r w:rsidR="00A30885" w:rsidRPr="00D849C0">
        <w:t>)</w:t>
      </w:r>
      <w:r w:rsidR="008E4315" w:rsidRPr="00D849C0">
        <w:t xml:space="preserve">4), </w:t>
      </w:r>
      <w:r w:rsidR="004769CF">
        <w:t>aucun droit de brevet</w:t>
      </w:r>
      <w:r w:rsidR="00A30885" w:rsidRPr="00D849C0">
        <w:t xml:space="preserve"> ne peut être conféré à leur égard</w:t>
      </w:r>
      <w:r w:rsidR="00A26A13" w:rsidRPr="00D849C0">
        <w:rPr>
          <w:vertAlign w:val="superscript"/>
        </w:rPr>
        <w:footnoteReference w:id="31"/>
      </w:r>
      <w:r w:rsidR="00A30885" w:rsidRPr="00D849C0">
        <w:t>.</w:t>
      </w:r>
    </w:p>
    <w:p w:rsidR="008E4315" w:rsidRPr="00D849C0" w:rsidRDefault="005A21A1" w:rsidP="004B7D83">
      <w:pPr>
        <w:pStyle w:val="ONUMFS"/>
      </w:pPr>
      <w:r w:rsidRPr="00D849C0">
        <w:t>Dans d</w:t>
      </w:r>
      <w:r w:rsidR="001937C9">
        <w:t>’</w:t>
      </w:r>
      <w:r w:rsidRPr="00D849C0">
        <w:t>autres pays, l</w:t>
      </w:r>
      <w:r w:rsidR="001937C9">
        <w:t>’</w:t>
      </w:r>
      <w:r w:rsidRPr="00D849C0">
        <w:t>exclusion des variétés végétales n</w:t>
      </w:r>
      <w:r w:rsidR="001937C9">
        <w:t>’</w:t>
      </w:r>
      <w:r w:rsidR="007A63C2" w:rsidRPr="00D849C0">
        <w:t>implique</w:t>
      </w:r>
      <w:r w:rsidRPr="00D849C0">
        <w:t xml:space="preserve"> pas celle des végétaux</w:t>
      </w:r>
      <w:r w:rsidR="007A63C2" w:rsidRPr="00D849C0">
        <w:t>, et est au contraire interprétée comme ouvrant la possibilité d</w:t>
      </w:r>
      <w:r w:rsidR="001937C9">
        <w:t>’</w:t>
      </w:r>
      <w:r w:rsidR="007A63C2" w:rsidRPr="00D849C0">
        <w:t xml:space="preserve">accorder la protection par brevet aux végétaux.  </w:t>
      </w:r>
      <w:r w:rsidR="00406C5C" w:rsidRPr="00D849C0">
        <w:t>C</w:t>
      </w:r>
      <w:r w:rsidR="001937C9">
        <w:t>’</w:t>
      </w:r>
      <w:r w:rsidR="00406C5C" w:rsidRPr="00D849C0">
        <w:t>est le cas dans la plupart des pays européens</w:t>
      </w:r>
      <w:r w:rsidR="008E4315" w:rsidRPr="00D849C0">
        <w:rPr>
          <w:rStyle w:val="FootnoteReference"/>
          <w:szCs w:val="22"/>
        </w:rPr>
        <w:footnoteReference w:id="32"/>
      </w:r>
      <w:r w:rsidR="00406C5C" w:rsidRPr="00D849C0">
        <w:t>;</w:t>
      </w:r>
      <w:r w:rsidR="00041803" w:rsidRPr="00D849C0">
        <w:t xml:space="preserve"> </w:t>
      </w:r>
      <w:r w:rsidR="00A26A13" w:rsidRPr="00D849C0">
        <w:t xml:space="preserve"> </w:t>
      </w:r>
      <w:r w:rsidR="00406C5C" w:rsidRPr="00D849C0">
        <w:t>tant</w:t>
      </w:r>
      <w:r w:rsidR="001937C9" w:rsidRPr="00D849C0">
        <w:t xml:space="preserve"> la</w:t>
      </w:r>
      <w:r w:rsidR="001937C9">
        <w:t> </w:t>
      </w:r>
      <w:r w:rsidR="001937C9" w:rsidRPr="00D849C0">
        <w:t>CBE</w:t>
      </w:r>
      <w:r w:rsidR="00406C5C" w:rsidRPr="00D849C0">
        <w:t xml:space="preserve"> que les directives</w:t>
      </w:r>
      <w:r w:rsidR="000C27FF" w:rsidRPr="00D849C0">
        <w:t xml:space="preserve"> de l</w:t>
      </w:r>
      <w:r w:rsidR="001937C9">
        <w:t>’</w:t>
      </w:r>
      <w:r w:rsidR="000C27FF" w:rsidRPr="00D849C0">
        <w:t xml:space="preserve">Union européenne sur les inventions biotechnologiques </w:t>
      </w:r>
      <w:proofErr w:type="gramStart"/>
      <w:r w:rsidR="000C27FF" w:rsidRPr="00D849C0">
        <w:t>prévoient</w:t>
      </w:r>
      <w:proofErr w:type="gramEnd"/>
      <w:r w:rsidR="000C27FF" w:rsidRPr="00D849C0">
        <w:t xml:space="preserve"> que les végétaux sont brevetables si la faisabilité technique de l</w:t>
      </w:r>
      <w:r w:rsidR="001937C9">
        <w:t>’</w:t>
      </w:r>
      <w:r w:rsidR="000C27FF" w:rsidRPr="00D849C0">
        <w:t>invention n</w:t>
      </w:r>
      <w:r w:rsidR="001937C9">
        <w:t>’</w:t>
      </w:r>
      <w:r w:rsidR="000C27FF" w:rsidRPr="00D849C0">
        <w:t>est pas limitée à une variété végétale déterminée</w:t>
      </w:r>
      <w:r w:rsidR="00A26A13" w:rsidRPr="00D849C0">
        <w:t xml:space="preserve">. </w:t>
      </w:r>
      <w:r w:rsidR="008E4315" w:rsidRPr="00D849C0">
        <w:t xml:space="preserve"> </w:t>
      </w:r>
      <w:r w:rsidR="000C27FF" w:rsidRPr="00D849C0">
        <w:t>En d</w:t>
      </w:r>
      <w:r w:rsidR="001937C9">
        <w:t>’</w:t>
      </w:r>
      <w:r w:rsidR="000C27FF" w:rsidRPr="00D849C0">
        <w:t xml:space="preserve">autres termes, </w:t>
      </w:r>
      <w:r w:rsidR="009514D0" w:rsidRPr="00D849C0">
        <w:t>un brevet peut être accordé si l</w:t>
      </w:r>
      <w:r w:rsidR="001937C9">
        <w:t>’</w:t>
      </w:r>
      <w:r w:rsidR="009514D0" w:rsidRPr="00D849C0">
        <w:t xml:space="preserve">invention peut être exécutée sur une pluralité de végétaux.  </w:t>
      </w:r>
      <w:r w:rsidR="004517B0" w:rsidRPr="00D849C0">
        <w:t>À cet égard, la Grande Chambre de recours de l</w:t>
      </w:r>
      <w:r w:rsidR="001937C9">
        <w:t>’</w:t>
      </w:r>
      <w:r w:rsidR="004517B0" w:rsidRPr="00D849C0">
        <w:t>OEB (GCR) a décidé dans l</w:t>
      </w:r>
      <w:r w:rsidR="001937C9">
        <w:t>’</w:t>
      </w:r>
      <w:r w:rsidR="004517B0" w:rsidRPr="00D849C0">
        <w:t>affaire</w:t>
      </w:r>
      <w:r w:rsidR="0085177C">
        <w:t> G </w:t>
      </w:r>
      <w:r w:rsidR="004517B0" w:rsidRPr="00D849C0">
        <w:t>1/98 que les végétaux sont en principe brevetables si l</w:t>
      </w:r>
      <w:r w:rsidR="001937C9">
        <w:t>’</w:t>
      </w:r>
      <w:r w:rsidR="004517B0" w:rsidRPr="00D849C0">
        <w:t>enseignement technique de l</w:t>
      </w:r>
      <w:r w:rsidR="001937C9">
        <w:t>’</w:t>
      </w:r>
      <w:r w:rsidR="004517B0" w:rsidRPr="00D849C0">
        <w:t>invention n</w:t>
      </w:r>
      <w:r w:rsidR="001937C9">
        <w:t>’</w:t>
      </w:r>
      <w:r w:rsidR="004517B0" w:rsidRPr="00D849C0">
        <w:t>est pas limité à une ou plusieurs variété(s) végétale(s) donnée(s)</w:t>
      </w:r>
      <w:r w:rsidR="008E4315" w:rsidRPr="00D849C0">
        <w:rPr>
          <w:vertAlign w:val="superscript"/>
        </w:rPr>
        <w:footnoteReference w:id="33"/>
      </w:r>
      <w:r w:rsidR="004517B0" w:rsidRPr="00D849C0">
        <w:t>.</w:t>
      </w:r>
    </w:p>
    <w:p w:rsidR="00CF7259" w:rsidRPr="00D849C0" w:rsidRDefault="007A235A" w:rsidP="004B7D83">
      <w:pPr>
        <w:pStyle w:val="ONUMFS"/>
      </w:pPr>
      <w:r w:rsidRPr="00D849C0">
        <w:t xml:space="preserve">Dans le domaine des végétaux, la plupart des demandes de brevet concernent des plantes génétiquement modifiées et </w:t>
      </w:r>
      <w:r w:rsidR="00181ED7" w:rsidRPr="00D849C0">
        <w:t>se rap</w:t>
      </w:r>
      <w:r w:rsidRPr="00D849C0">
        <w:t xml:space="preserve">portent généralement </w:t>
      </w:r>
      <w:r w:rsidR="00181ED7" w:rsidRPr="00D849C0">
        <w:t>à</w:t>
      </w:r>
      <w:r w:rsidRPr="00D849C0">
        <w:t xml:space="preserve"> des caractéristiques telles que</w:t>
      </w:r>
      <w:r w:rsidR="00181ED7" w:rsidRPr="00D849C0">
        <w:t xml:space="preserve"> l</w:t>
      </w:r>
      <w:r w:rsidR="001937C9">
        <w:t>’</w:t>
      </w:r>
      <w:r w:rsidR="00181ED7" w:rsidRPr="00D849C0">
        <w:t>augmentation des rendements, l</w:t>
      </w:r>
      <w:r w:rsidR="001937C9">
        <w:t>’</w:t>
      </w:r>
      <w:r w:rsidR="00181ED7" w:rsidRPr="00D849C0">
        <w:t>amélioration de la valeur nutritionnelle ou la résistance à la sécheresse et aux organismes nuisibles.  Cependant, le droit des brevets n</w:t>
      </w:r>
      <w:r w:rsidR="001937C9">
        <w:t>’</w:t>
      </w:r>
      <w:r w:rsidR="00181ED7" w:rsidRPr="00D849C0">
        <w:t>exige pas qu</w:t>
      </w:r>
      <w:r w:rsidR="001937C9">
        <w:t>’</w:t>
      </w:r>
      <w:r w:rsidR="00181ED7" w:rsidRPr="00D849C0">
        <w:t>un</w:t>
      </w:r>
      <w:r w:rsidR="0085177C">
        <w:t> </w:t>
      </w:r>
      <w:r w:rsidR="00181ED7" w:rsidRPr="00D849C0">
        <w:t>végétal ait été modifié à l</w:t>
      </w:r>
      <w:r w:rsidR="001937C9">
        <w:t>’</w:t>
      </w:r>
      <w:r w:rsidR="00181ED7" w:rsidRPr="00D849C0">
        <w:t xml:space="preserve">aide de techniques du génie génétique pour être brevetable. </w:t>
      </w:r>
      <w:r w:rsidR="005D43EC">
        <w:t xml:space="preserve"> </w:t>
      </w:r>
      <w:r w:rsidR="00181ED7" w:rsidRPr="00D849C0">
        <w:t>Ces dernières années, l</w:t>
      </w:r>
      <w:r w:rsidR="001937C9">
        <w:t>’</w:t>
      </w:r>
      <w:r w:rsidR="00181ED7" w:rsidRPr="00D849C0">
        <w:t>OEB a également reçu un certain nombre de demandes de brevet concernant des végétaux obtenus par de nouvelles techniques, telles que la sélection assistée par marqueurs</w:t>
      </w:r>
      <w:r w:rsidR="00CF7259" w:rsidRPr="00D849C0">
        <w:rPr>
          <w:rStyle w:val="FootnoteReference"/>
          <w:szCs w:val="22"/>
        </w:rPr>
        <w:footnoteReference w:id="34"/>
      </w:r>
      <w:r w:rsidR="00181ED7" w:rsidRPr="00D849C0">
        <w:t>.</w:t>
      </w:r>
      <w:r w:rsidR="007709ED" w:rsidRPr="00D849C0">
        <w:t xml:space="preserve">  Le Parlement européen a adopté entre</w:t>
      </w:r>
      <w:r w:rsidR="001937C9">
        <w:t>-</w:t>
      </w:r>
      <w:r w:rsidR="007709ED" w:rsidRPr="00D849C0">
        <w:t>temps une résolution</w:t>
      </w:r>
      <w:r w:rsidR="00CF7259" w:rsidRPr="00D849C0">
        <w:rPr>
          <w:rStyle w:val="FootnoteReference"/>
        </w:rPr>
        <w:footnoteReference w:id="35"/>
      </w:r>
      <w:r w:rsidR="00CF7259" w:rsidRPr="00D849C0">
        <w:t xml:space="preserve"> </w:t>
      </w:r>
      <w:r w:rsidR="00EE299D" w:rsidRPr="00D849C0">
        <w:t>invitant l</w:t>
      </w:r>
      <w:r w:rsidR="001937C9">
        <w:t>’</w:t>
      </w:r>
      <w:r w:rsidR="00EE299D" w:rsidRPr="00D849C0">
        <w:t>OEB à exclure également de la brevetabilité les produits dérivés de l</w:t>
      </w:r>
      <w:r w:rsidR="001937C9">
        <w:t>’</w:t>
      </w:r>
      <w:r w:rsidR="00EE299D" w:rsidRPr="00D849C0">
        <w:t>obtention classique et toutes les techniques classiques d</w:t>
      </w:r>
      <w:r w:rsidR="001937C9">
        <w:t>’</w:t>
      </w:r>
      <w:r w:rsidR="00EE299D" w:rsidRPr="00D849C0">
        <w:t>obtention, y</w:t>
      </w:r>
      <w:r w:rsidR="005D43EC">
        <w:t> </w:t>
      </w:r>
      <w:r w:rsidR="00EE299D" w:rsidRPr="00D849C0">
        <w:t>compris la reproduction faisant appel à des marqueurs et à des procédés de reproduction avancés (reproduction SMART ou de précision) et le matériel génétique utilisé pour l</w:t>
      </w:r>
      <w:r w:rsidR="001937C9">
        <w:t>’</w:t>
      </w:r>
      <w:r w:rsidR="00EE299D" w:rsidRPr="00D849C0">
        <w:t>obtention classique</w:t>
      </w:r>
    </w:p>
    <w:p w:rsidR="00A26A13" w:rsidRPr="00D849C0" w:rsidRDefault="00BE62E1" w:rsidP="004B7D83">
      <w:pPr>
        <w:pStyle w:val="ONUMFS"/>
      </w:pPr>
      <w:r w:rsidRPr="00D849C0">
        <w:t>Le Japon e</w:t>
      </w:r>
      <w:r w:rsidR="00E843C9">
        <w:t>s</w:t>
      </w:r>
      <w:r w:rsidRPr="00D849C0">
        <w:t>t un autre exemple de pays dans lequel les brevets sur les végétaux sont autorisés.  La législation nationale japonaise ne contient aucune disposition relative aux végétaux ou aux variétés végétales,</w:t>
      </w:r>
      <w:r w:rsidR="00354779" w:rsidRPr="00D849C0">
        <w:t xml:space="preserve"> qui sont par conséquent brevetables dans la mesure où l</w:t>
      </w:r>
      <w:r w:rsidR="001937C9">
        <w:t>’</w:t>
      </w:r>
      <w:r w:rsidR="00354779" w:rsidRPr="00D849C0">
        <w:t>invention répond aux critères de nouveauté, d</w:t>
      </w:r>
      <w:r w:rsidR="001937C9">
        <w:t>’</w:t>
      </w:r>
      <w:r w:rsidR="00354779" w:rsidRPr="00D849C0">
        <w:t>application industrielle</w:t>
      </w:r>
      <w:r w:rsidR="00262FF0" w:rsidRPr="00D849C0">
        <w:rPr>
          <w:rStyle w:val="FootnoteReference"/>
          <w:szCs w:val="22"/>
        </w:rPr>
        <w:footnoteReference w:id="36"/>
      </w:r>
      <w:r w:rsidR="00354779" w:rsidRPr="00D849C0">
        <w:t xml:space="preserve"> et d</w:t>
      </w:r>
      <w:r w:rsidR="001937C9">
        <w:t>’</w:t>
      </w:r>
      <w:r w:rsidR="00354779" w:rsidRPr="00D849C0">
        <w:t>activité inventive</w:t>
      </w:r>
      <w:r w:rsidR="00262FF0" w:rsidRPr="00D849C0">
        <w:rPr>
          <w:rStyle w:val="FootnoteReference"/>
          <w:szCs w:val="22"/>
        </w:rPr>
        <w:footnoteReference w:id="37"/>
      </w:r>
      <w:r w:rsidR="00A26A13" w:rsidRPr="00D849C0">
        <w:t xml:space="preserve"> </w:t>
      </w:r>
      <w:r w:rsidR="00103926" w:rsidRPr="00D849C0">
        <w:t>et fait l</w:t>
      </w:r>
      <w:r w:rsidR="001937C9">
        <w:t>’</w:t>
      </w:r>
      <w:r w:rsidR="00103926" w:rsidRPr="00D849C0">
        <w:t>objet d</w:t>
      </w:r>
      <w:r w:rsidR="001937C9">
        <w:t>’</w:t>
      </w:r>
      <w:r w:rsidR="00103926" w:rsidRPr="00D849C0">
        <w:t>une divulgation adéquate</w:t>
      </w:r>
      <w:r w:rsidR="00A26A13" w:rsidRPr="00D849C0">
        <w:t>.</w:t>
      </w:r>
      <w:r w:rsidR="00BC041A" w:rsidRPr="00D849C0">
        <w:t xml:space="preserve"> </w:t>
      </w:r>
      <w:r w:rsidR="005D43EC">
        <w:t xml:space="preserve"> </w:t>
      </w:r>
      <w:r w:rsidR="00BC041A" w:rsidRPr="00D849C0">
        <w:t>L</w:t>
      </w:r>
      <w:r w:rsidR="001937C9">
        <w:t>’</w:t>
      </w:r>
      <w:r w:rsidR="00BC041A" w:rsidRPr="00D849C0">
        <w:t xml:space="preserve">Office japonais des brevets a adopté des </w:t>
      </w:r>
      <w:r w:rsidR="00B07F9B" w:rsidRPr="00D849C0">
        <w:t>directives</w:t>
      </w:r>
      <w:r w:rsidR="00BC041A" w:rsidRPr="00D849C0">
        <w:t xml:space="preserve"> </w:t>
      </w:r>
      <w:r w:rsidR="00BC041A" w:rsidRPr="00D849C0">
        <w:lastRenderedPageBreak/>
        <w:t>pour les inventions de domaines particuliers tels que le génie génétique et certains types d</w:t>
      </w:r>
      <w:r w:rsidR="001937C9">
        <w:t>’</w:t>
      </w:r>
      <w:r w:rsidR="00BC041A" w:rsidRPr="00D849C0">
        <w:t>inventions biologiques</w:t>
      </w:r>
      <w:r w:rsidR="00A26A13" w:rsidRPr="00D849C0">
        <w:rPr>
          <w:vertAlign w:val="superscript"/>
        </w:rPr>
        <w:footnoteReference w:id="38"/>
      </w:r>
      <w:r w:rsidR="00BC041A" w:rsidRPr="00D849C0">
        <w:t>.</w:t>
      </w:r>
    </w:p>
    <w:p w:rsidR="00A26A13" w:rsidRPr="00D849C0" w:rsidRDefault="00307D63" w:rsidP="00BD2732">
      <w:pPr>
        <w:pStyle w:val="Heading3"/>
      </w:pPr>
      <w:bookmarkStart w:id="11" w:name="_Toc387060464"/>
      <w:r w:rsidRPr="00D849C0">
        <w:t>E</w:t>
      </w:r>
      <w:r w:rsidR="00272046" w:rsidRPr="00D849C0">
        <w:t>xclusion de la brevetabilité des végétaux et des variétés végétales</w:t>
      </w:r>
      <w:bookmarkEnd w:id="11"/>
    </w:p>
    <w:p w:rsidR="00007A87" w:rsidRPr="00D849C0" w:rsidRDefault="00007A87" w:rsidP="00007A87">
      <w:pPr>
        <w:rPr>
          <w:szCs w:val="22"/>
        </w:rPr>
      </w:pPr>
    </w:p>
    <w:p w:rsidR="00A26A13" w:rsidRPr="00D849C0" w:rsidRDefault="007C351C" w:rsidP="0085177C">
      <w:pPr>
        <w:pStyle w:val="ONUMFS"/>
      </w:pPr>
      <w:r w:rsidRPr="00D849C0">
        <w:t xml:space="preserve">Dans un certain nombre de pays, les végétaux et les variétés végétales sont expressément exclus </w:t>
      </w:r>
      <w:r w:rsidR="00530ACE" w:rsidRPr="00D849C0">
        <w:t>de la protection par brevet</w:t>
      </w:r>
      <w:r w:rsidR="00B80196" w:rsidRPr="00D849C0">
        <w:rPr>
          <w:rStyle w:val="FootnoteReference"/>
          <w:szCs w:val="22"/>
        </w:rPr>
        <w:footnoteReference w:id="39"/>
      </w:r>
      <w:r w:rsidR="00530ACE" w:rsidRPr="00D849C0">
        <w:t xml:space="preserve">.  </w:t>
      </w:r>
      <w:r w:rsidR="00A77EDF" w:rsidRPr="00D849C0">
        <w:t>Le fait de souligner ainsi que l</w:t>
      </w:r>
      <w:r w:rsidR="001937C9">
        <w:t>’</w:t>
      </w:r>
      <w:r w:rsidR="00A77EDF" w:rsidRPr="00D849C0">
        <w:t>exclusion de la brevetabilité s</w:t>
      </w:r>
      <w:r w:rsidR="001937C9">
        <w:t>’</w:t>
      </w:r>
      <w:r w:rsidR="00A77EDF" w:rsidRPr="00D849C0">
        <w:t>applique dans les deux</w:t>
      </w:r>
      <w:r w:rsidR="005D43EC">
        <w:t> </w:t>
      </w:r>
      <w:r w:rsidR="00A77EDF" w:rsidRPr="00D849C0">
        <w:t>cas relève d</w:t>
      </w:r>
      <w:r w:rsidR="001937C9">
        <w:t>’</w:t>
      </w:r>
      <w:r w:rsidR="00A77EDF" w:rsidRPr="00D849C0">
        <w:t>un choix politique, mais n</w:t>
      </w:r>
      <w:r w:rsidR="001937C9">
        <w:t>’</w:t>
      </w:r>
      <w:r w:rsidR="00A77EDF" w:rsidRPr="00D849C0">
        <w:t>ajoute rien, d</w:t>
      </w:r>
      <w:r w:rsidR="001937C9">
        <w:t>’</w:t>
      </w:r>
      <w:r w:rsidR="00A77EDF" w:rsidRPr="00D849C0">
        <w:t>un</w:t>
      </w:r>
      <w:r w:rsidR="0085177C">
        <w:t> </w:t>
      </w:r>
      <w:r w:rsidR="00A77EDF" w:rsidRPr="00D849C0">
        <w:t>point de vue technique, en ce qui concerne l</w:t>
      </w:r>
      <w:r w:rsidR="001937C9">
        <w:t>’</w:t>
      </w:r>
      <w:r w:rsidR="00A77EDF" w:rsidRPr="00D849C0">
        <w:t xml:space="preserve">exclusion des végétaux, dans la mesure </w:t>
      </w:r>
      <w:r w:rsidR="00CA0D32" w:rsidRPr="00D849C0">
        <w:t>où</w:t>
      </w:r>
      <w:r w:rsidR="00A77EDF" w:rsidRPr="00D849C0">
        <w:t xml:space="preserve"> il est clair qu</w:t>
      </w:r>
      <w:r w:rsidR="001937C9">
        <w:t>’</w:t>
      </w:r>
      <w:r w:rsidR="00A77EDF" w:rsidRPr="00D849C0">
        <w:t>en excluant ces derniers, on exclut également les variétés végétales (voir les définitions aux paragraphes</w:t>
      </w:r>
      <w:r w:rsidR="005D43EC">
        <w:t> </w:t>
      </w:r>
      <w:r w:rsidR="00A77EDF" w:rsidRPr="00D849C0">
        <w:t>9 et 10).</w:t>
      </w:r>
    </w:p>
    <w:p w:rsidR="00A26A13" w:rsidRPr="00D849C0" w:rsidRDefault="00272046" w:rsidP="00BD2732">
      <w:pPr>
        <w:pStyle w:val="Heading3"/>
      </w:pPr>
      <w:bookmarkStart w:id="12" w:name="_Toc387060465"/>
      <w:r w:rsidRPr="00D849C0">
        <w:t>Reconnaissance de la brevetabilité des végétaux</w:t>
      </w:r>
      <w:bookmarkEnd w:id="12"/>
    </w:p>
    <w:p w:rsidR="00A26A13" w:rsidRPr="00D849C0" w:rsidRDefault="00A26A13" w:rsidP="00307D63">
      <w:pPr>
        <w:ind w:left="1134" w:hanging="567"/>
        <w:rPr>
          <w:szCs w:val="22"/>
        </w:rPr>
      </w:pPr>
    </w:p>
    <w:p w:rsidR="00A26A13" w:rsidRPr="00D849C0" w:rsidRDefault="006F3BCF" w:rsidP="0085177C">
      <w:pPr>
        <w:pStyle w:val="ONUMFS"/>
      </w:pPr>
      <w:r w:rsidRPr="00D849C0">
        <w:t>Certains pays ont choisi de reconnaître la brevetabilité des végétaux,</w:t>
      </w:r>
      <w:r w:rsidR="003661ED" w:rsidRPr="00D849C0">
        <w:t xml:space="preserve"> </w:t>
      </w:r>
      <w:r w:rsidR="00722E3B" w:rsidRPr="00D849C0">
        <w:t>ce qui est le cas dans les pays d</w:t>
      </w:r>
      <w:r w:rsidR="001937C9">
        <w:t>’</w:t>
      </w:r>
      <w:r w:rsidR="00722E3B" w:rsidRPr="00D849C0">
        <w:t>Europe, comme on l</w:t>
      </w:r>
      <w:r w:rsidR="001937C9">
        <w:t>’</w:t>
      </w:r>
      <w:r w:rsidR="00722E3B" w:rsidRPr="00D849C0">
        <w:t xml:space="preserve">a vu au </w:t>
      </w:r>
      <w:r w:rsidR="00251E77">
        <w:t>a</w:t>
      </w:r>
      <w:r w:rsidR="00722E3B" w:rsidRPr="00D849C0">
        <w:t>) ci</w:t>
      </w:r>
      <w:r w:rsidR="001937C9">
        <w:t>-</w:t>
      </w:r>
      <w:r w:rsidR="00722E3B" w:rsidRPr="00D849C0">
        <w:t xml:space="preserve">dessus.  </w:t>
      </w:r>
      <w:r w:rsidR="00BA702A" w:rsidRPr="00D849C0">
        <w:t>Les États</w:t>
      </w:r>
      <w:r w:rsidR="001937C9">
        <w:t>-</w:t>
      </w:r>
      <w:r w:rsidR="00BA702A" w:rsidRPr="00D849C0">
        <w:t>Unis d</w:t>
      </w:r>
      <w:r w:rsidR="001937C9">
        <w:t>’</w:t>
      </w:r>
      <w:r w:rsidR="00BA702A" w:rsidRPr="00D849C0">
        <w:t>Amérique ne prévoient pas d</w:t>
      </w:r>
      <w:r w:rsidR="001937C9">
        <w:t>’</w:t>
      </w:r>
      <w:r w:rsidR="00BA702A" w:rsidRPr="00D849C0">
        <w:t>exclusion expresse en ce qui concerne la brevetabilité d</w:t>
      </w:r>
      <w:r w:rsidR="001937C9">
        <w:t>’</w:t>
      </w:r>
      <w:r w:rsidR="00BA702A" w:rsidRPr="00D849C0">
        <w:t xml:space="preserve">organismes vivants.  </w:t>
      </w:r>
      <w:r w:rsidR="009D354C" w:rsidRPr="00D849C0">
        <w:t>De fait, plusieurs formes de protection sont disponibles aux États</w:t>
      </w:r>
      <w:r w:rsidR="001937C9">
        <w:t>-</w:t>
      </w:r>
      <w:r w:rsidR="009D354C" w:rsidRPr="00D849C0">
        <w:t>Unis d</w:t>
      </w:r>
      <w:r w:rsidR="001937C9">
        <w:t>’</w:t>
      </w:r>
      <w:r w:rsidR="009D354C" w:rsidRPr="00D849C0">
        <w:t xml:space="preserve">Amérique pour les végétaux.  </w:t>
      </w:r>
      <w:r w:rsidR="009269B3" w:rsidRPr="00D849C0">
        <w:t>Un brevet peut être conféré à q</w:t>
      </w:r>
      <w:r w:rsidR="0043717B" w:rsidRPr="00D849C0">
        <w:t>uiconque invente ou découvre et reproduit asexuellement une variété de plante distinctive et nouvelle autre qu</w:t>
      </w:r>
      <w:r w:rsidR="001937C9">
        <w:t>’</w:t>
      </w:r>
      <w:r w:rsidR="0043717B" w:rsidRPr="00D849C0">
        <w:t>une plante multipliée par tubercules ou qu</w:t>
      </w:r>
      <w:r w:rsidR="001937C9">
        <w:t>’</w:t>
      </w:r>
      <w:r w:rsidR="0043717B" w:rsidRPr="00D849C0">
        <w:t>une plante trouvée à l</w:t>
      </w:r>
      <w:r w:rsidR="001937C9">
        <w:t>’</w:t>
      </w:r>
      <w:r w:rsidR="0043717B" w:rsidRPr="00D849C0">
        <w:t>état sauvage</w:t>
      </w:r>
      <w:r w:rsidR="00A26A13" w:rsidRPr="00D849C0">
        <w:t>.</w:t>
      </w:r>
      <w:r w:rsidR="00307D63" w:rsidRPr="00D849C0">
        <w:t xml:space="preserve"> </w:t>
      </w:r>
      <w:r w:rsidR="00A26A13" w:rsidRPr="00D849C0">
        <w:t xml:space="preserve"> </w:t>
      </w:r>
      <w:r w:rsidR="009D354C" w:rsidRPr="00D849C0">
        <w:t>Les végétaux peuvent être protégés par le biais d</w:t>
      </w:r>
      <w:r w:rsidR="001937C9">
        <w:t>’</w:t>
      </w:r>
      <w:r w:rsidR="009D354C" w:rsidRPr="00D849C0">
        <w:t>un brevet d</w:t>
      </w:r>
      <w:r w:rsidR="001937C9">
        <w:t>’</w:t>
      </w:r>
      <w:r w:rsidR="009D354C" w:rsidRPr="00D849C0">
        <w:t xml:space="preserve">utilité </w:t>
      </w:r>
      <w:r w:rsidR="0085177C">
        <w:t>(35 U.S.C. </w:t>
      </w:r>
      <w:r w:rsidR="00A26A13" w:rsidRPr="00D849C0">
        <w:t>§</w:t>
      </w:r>
      <w:r w:rsidR="00A656B1">
        <w:t> </w:t>
      </w:r>
      <w:r w:rsidR="00A26A13" w:rsidRPr="00D849C0">
        <w:t xml:space="preserve">101), </w:t>
      </w:r>
      <w:r w:rsidR="009D354C" w:rsidRPr="00D849C0">
        <w:t>d</w:t>
      </w:r>
      <w:r w:rsidR="001937C9">
        <w:t>’</w:t>
      </w:r>
      <w:r w:rsidR="009D354C" w:rsidRPr="00D849C0">
        <w:t xml:space="preserve">un brevet de plante </w:t>
      </w:r>
      <w:r w:rsidR="00A26A13" w:rsidRPr="00D849C0">
        <w:t>(35</w:t>
      </w:r>
      <w:r w:rsidR="0085177C">
        <w:t> U.S.C. </w:t>
      </w:r>
      <w:r w:rsidR="00A26A13" w:rsidRPr="00D849C0">
        <w:t>§</w:t>
      </w:r>
      <w:r w:rsidR="00A656B1">
        <w:t> </w:t>
      </w:r>
      <w:r w:rsidR="00A26A13" w:rsidRPr="00D849C0">
        <w:t xml:space="preserve">161) </w:t>
      </w:r>
      <w:r w:rsidR="00837621" w:rsidRPr="00D849C0">
        <w:t>ou d</w:t>
      </w:r>
      <w:r w:rsidR="001937C9">
        <w:t>’</w:t>
      </w:r>
      <w:r w:rsidR="00837621" w:rsidRPr="00D849C0">
        <w:t>un</w:t>
      </w:r>
      <w:r w:rsidR="0085177C">
        <w:t> </w:t>
      </w:r>
      <w:r w:rsidR="00837621" w:rsidRPr="00D849C0">
        <w:t>certificat d</w:t>
      </w:r>
      <w:r w:rsidR="001937C9">
        <w:t>’</w:t>
      </w:r>
      <w:r w:rsidR="00837621" w:rsidRPr="00D849C0">
        <w:t xml:space="preserve">obtention végétale </w:t>
      </w:r>
      <w:r w:rsidR="00A26A13" w:rsidRPr="00D849C0">
        <w:t>(7</w:t>
      </w:r>
      <w:r w:rsidR="0085177C">
        <w:t> </w:t>
      </w:r>
      <w:r w:rsidR="00A26A13" w:rsidRPr="00D849C0">
        <w:t>U.S.C.</w:t>
      </w:r>
      <w:r w:rsidR="0085177C">
        <w:t> </w:t>
      </w:r>
      <w:r w:rsidR="00A656B1">
        <w:t>§ </w:t>
      </w:r>
      <w:r w:rsidR="00A26A13" w:rsidRPr="00D849C0">
        <w:t>2321).</w:t>
      </w:r>
    </w:p>
    <w:p w:rsidR="00A26A13" w:rsidRPr="00D849C0" w:rsidRDefault="00DB4148" w:rsidP="0085177C">
      <w:pPr>
        <w:pStyle w:val="ONUMFS"/>
      </w:pPr>
      <w:r w:rsidRPr="00D849C0">
        <w:t>L</w:t>
      </w:r>
      <w:r w:rsidR="001937C9">
        <w:t>’</w:t>
      </w:r>
      <w:r w:rsidRPr="00D849C0">
        <w:t>Office des brevets et des marques des États–Unis d</w:t>
      </w:r>
      <w:r w:rsidR="001937C9">
        <w:t>’</w:t>
      </w:r>
      <w:r w:rsidRPr="00D849C0">
        <w:t>Amérique</w:t>
      </w:r>
      <w:r w:rsidR="00B14230" w:rsidRPr="00D849C0">
        <w:t xml:space="preserve"> (USPTO) </w:t>
      </w:r>
      <w:r w:rsidR="00896FB7" w:rsidRPr="00D849C0">
        <w:t xml:space="preserve">interprète le mot </w:t>
      </w:r>
      <w:r w:rsidR="00A26A13" w:rsidRPr="00D849C0">
        <w:t>“plant</w:t>
      </w:r>
      <w:r w:rsidR="00896FB7" w:rsidRPr="00D849C0">
        <w:t>e</w:t>
      </w:r>
      <w:r w:rsidR="00A26A13" w:rsidRPr="00D849C0">
        <w:t xml:space="preserve">” </w:t>
      </w:r>
      <w:r w:rsidR="00CD49F0" w:rsidRPr="00D849C0">
        <w:t xml:space="preserve">au sens ordinaire, </w:t>
      </w:r>
      <w:r w:rsidR="00346C05" w:rsidRPr="00D849C0">
        <w:t>ce qui exclut les bactéries et</w:t>
      </w:r>
      <w:r w:rsidR="004920D1" w:rsidRPr="00D849C0">
        <w:t xml:space="preserve"> le matériel de multiplication asexuée proprement dit</w:t>
      </w:r>
      <w:r w:rsidR="00A26A13" w:rsidRPr="00D849C0">
        <w:rPr>
          <w:vertAlign w:val="superscript"/>
        </w:rPr>
        <w:footnoteReference w:id="40"/>
      </w:r>
      <w:r w:rsidR="004920D1" w:rsidRPr="00D849C0">
        <w:t>.</w:t>
      </w:r>
      <w:r w:rsidR="00307D63" w:rsidRPr="00936EF8">
        <w:t xml:space="preserve"> </w:t>
      </w:r>
      <w:r w:rsidR="007A310B" w:rsidRPr="00D849C0">
        <w:t xml:space="preserve"> </w:t>
      </w:r>
      <w:r w:rsidR="00614B5B" w:rsidRPr="00D849C0">
        <w:t>Repren</w:t>
      </w:r>
      <w:r w:rsidR="004920D1" w:rsidRPr="00D849C0">
        <w:t>ant la voie tracée par l</w:t>
      </w:r>
      <w:r w:rsidR="001937C9">
        <w:t>’</w:t>
      </w:r>
      <w:r w:rsidR="004920D1" w:rsidRPr="00D849C0">
        <w:t>arrêt de la Cour suprême dans l</w:t>
      </w:r>
      <w:r w:rsidR="001937C9">
        <w:t>’</w:t>
      </w:r>
      <w:r w:rsidR="004920D1" w:rsidRPr="00D849C0">
        <w:t>affaire</w:t>
      </w:r>
      <w:r w:rsidR="00A26A13" w:rsidRPr="00D849C0">
        <w:t xml:space="preserve"> </w:t>
      </w:r>
      <w:proofErr w:type="spellStart"/>
      <w:r w:rsidR="00B14230" w:rsidRPr="00D849C0">
        <w:rPr>
          <w:i/>
        </w:rPr>
        <w:t>Diamond</w:t>
      </w:r>
      <w:proofErr w:type="spellEnd"/>
      <w:r w:rsidR="00B14230" w:rsidRPr="00D849C0">
        <w:rPr>
          <w:i/>
        </w:rPr>
        <w:t xml:space="preserve"> </w:t>
      </w:r>
      <w:r w:rsidR="004920D1" w:rsidRPr="0028236C">
        <w:t>c</w:t>
      </w:r>
      <w:r w:rsidR="00B14230" w:rsidRPr="0028236C">
        <w:t>.</w:t>
      </w:r>
      <w:r w:rsidR="005D43EC">
        <w:rPr>
          <w:i/>
        </w:rPr>
        <w:t> </w:t>
      </w:r>
      <w:proofErr w:type="spellStart"/>
      <w:r w:rsidR="00B14230" w:rsidRPr="00D849C0">
        <w:rPr>
          <w:i/>
        </w:rPr>
        <w:t>Chakrabarty</w:t>
      </w:r>
      <w:proofErr w:type="spellEnd"/>
      <w:r w:rsidR="00B14230" w:rsidRPr="00D849C0">
        <w:rPr>
          <w:vertAlign w:val="superscript"/>
        </w:rPr>
        <w:footnoteReference w:id="41"/>
      </w:r>
      <w:r w:rsidR="004920D1" w:rsidRPr="00D849C0">
        <w:t xml:space="preserve">, </w:t>
      </w:r>
      <w:r w:rsidR="00D3012A" w:rsidRPr="00D849C0">
        <w:t xml:space="preserve">les </w:t>
      </w:r>
      <w:r w:rsidR="00B07F9B" w:rsidRPr="00D849C0">
        <w:t>directives d</w:t>
      </w:r>
      <w:r w:rsidR="001937C9">
        <w:t>’</w:t>
      </w:r>
      <w:r w:rsidR="00B07F9B" w:rsidRPr="00D849C0">
        <w:t>examen des brevets</w:t>
      </w:r>
      <w:r w:rsidR="00D3012A" w:rsidRPr="00D849C0">
        <w:t xml:space="preserve"> </w:t>
      </w:r>
      <w:r w:rsidR="00B07F9B" w:rsidRPr="00D849C0">
        <w:t>de l</w:t>
      </w:r>
      <w:r w:rsidR="001937C9">
        <w:t>’</w:t>
      </w:r>
      <w:r w:rsidR="00B07F9B" w:rsidRPr="00D849C0">
        <w:t>USPTO précisent :</w:t>
      </w:r>
      <w:r w:rsidR="00A26A13" w:rsidRPr="00D849C0">
        <w:t xml:space="preserve"> “</w:t>
      </w:r>
      <w:r w:rsidR="007E575E" w:rsidRPr="00D849C0">
        <w:t>Il</w:t>
      </w:r>
      <w:r w:rsidR="00CB31F0">
        <w:t> </w:t>
      </w:r>
      <w:r w:rsidR="007E575E" w:rsidRPr="00D849C0">
        <w:t>ressort clairement de l</w:t>
      </w:r>
      <w:r w:rsidR="001937C9">
        <w:t>’</w:t>
      </w:r>
      <w:r w:rsidR="007E575E" w:rsidRPr="00D849C0">
        <w:t>arrêt et de l</w:t>
      </w:r>
      <w:r w:rsidR="001937C9">
        <w:t>’</w:t>
      </w:r>
      <w:r w:rsidR="007E575E" w:rsidRPr="00D849C0">
        <w:t xml:space="preserve">opinion de la Cour suprême que la question de savoir si une invention inclut ou non de la matière vivante est sans incidence sur celle de la brevetabilité.  </w:t>
      </w:r>
      <w:r w:rsidR="009305E9" w:rsidRPr="00D849C0">
        <w:t>Le critère établi par la Cour</w:t>
      </w:r>
      <w:r w:rsidR="00960BCE" w:rsidRPr="00D849C0">
        <w:t xml:space="preserve"> aux fins d</w:t>
      </w:r>
      <w:r w:rsidR="001937C9">
        <w:t>’</w:t>
      </w:r>
      <w:r w:rsidR="00960BCE" w:rsidRPr="00D849C0">
        <w:t xml:space="preserve">appréciation de la </w:t>
      </w:r>
      <w:r w:rsidR="009305E9" w:rsidRPr="00D849C0">
        <w:t>brevetabilité dans ce domaine</w:t>
      </w:r>
      <w:r w:rsidR="00960BCE" w:rsidRPr="00D849C0">
        <w:t xml:space="preserve"> est celui de savoir si la matière vivante </w:t>
      </w:r>
      <w:r w:rsidR="00861D24" w:rsidRPr="00D849C0">
        <w:t>résulte</w:t>
      </w:r>
      <w:r w:rsidR="00960BCE" w:rsidRPr="00D849C0">
        <w:t xml:space="preserve"> d</w:t>
      </w:r>
      <w:r w:rsidR="001937C9">
        <w:t>’</w:t>
      </w:r>
      <w:r w:rsidR="00960BCE" w:rsidRPr="00D849C0">
        <w:t>une intervention humaine</w:t>
      </w:r>
      <w:r w:rsidR="00A26A13" w:rsidRPr="00D849C0">
        <w:t>”</w:t>
      </w:r>
      <w:r w:rsidR="00A26A13" w:rsidRPr="00D849C0">
        <w:rPr>
          <w:vertAlign w:val="superscript"/>
        </w:rPr>
        <w:footnoteReference w:id="42"/>
      </w:r>
      <w:r w:rsidR="00960BCE" w:rsidRPr="00D849C0">
        <w:t>.</w:t>
      </w:r>
    </w:p>
    <w:p w:rsidR="00A26A13" w:rsidRPr="00D849C0" w:rsidRDefault="0064581C" w:rsidP="0085177C">
      <w:pPr>
        <w:pStyle w:val="ONUMFS"/>
      </w:pPr>
      <w:r w:rsidRPr="00D849C0">
        <w:t xml:space="preserve">Une autre décision de justice est également prise en ligne de compte dans les directives, </w:t>
      </w:r>
      <w:r w:rsidR="001937C9">
        <w:t>à savoir</w:t>
      </w:r>
      <w:r w:rsidRPr="00D849C0">
        <w:t xml:space="preserve"> l</w:t>
      </w:r>
      <w:r w:rsidR="001937C9">
        <w:t>’</w:t>
      </w:r>
      <w:r w:rsidRPr="00D849C0">
        <w:t>arrêt rendu dans l</w:t>
      </w:r>
      <w:r w:rsidR="001937C9">
        <w:t>’</w:t>
      </w:r>
      <w:r w:rsidRPr="00D849C0">
        <w:t xml:space="preserve">affaire </w:t>
      </w:r>
      <w:r w:rsidR="002A75C8">
        <w:rPr>
          <w:i/>
        </w:rPr>
        <w:t>J.E.M. </w:t>
      </w:r>
      <w:r w:rsidR="00A26A13" w:rsidRPr="00D849C0">
        <w:rPr>
          <w:i/>
        </w:rPr>
        <w:t xml:space="preserve">Ag </w:t>
      </w:r>
      <w:proofErr w:type="spellStart"/>
      <w:r w:rsidR="00A26A13" w:rsidRPr="00D849C0">
        <w:rPr>
          <w:i/>
        </w:rPr>
        <w:t>Supply</w:t>
      </w:r>
      <w:proofErr w:type="spellEnd"/>
      <w:r w:rsidR="00A26A13" w:rsidRPr="00D849C0">
        <w:rPr>
          <w:i/>
        </w:rPr>
        <w:t xml:space="preserve">, Inc. </w:t>
      </w:r>
      <w:r w:rsidRPr="0028236C">
        <w:t>c</w:t>
      </w:r>
      <w:r w:rsidR="00A26A13" w:rsidRPr="0028236C">
        <w:t>.</w:t>
      </w:r>
      <w:r w:rsidR="005D43EC">
        <w:rPr>
          <w:i/>
        </w:rPr>
        <w:t> </w:t>
      </w:r>
      <w:r w:rsidR="00A26A13" w:rsidRPr="00D849C0">
        <w:rPr>
          <w:i/>
        </w:rPr>
        <w:t>Pi</w:t>
      </w:r>
      <w:r w:rsidR="00B14230" w:rsidRPr="00D849C0">
        <w:rPr>
          <w:i/>
        </w:rPr>
        <w:t>oneer Hi</w:t>
      </w:r>
      <w:r w:rsidR="001937C9">
        <w:rPr>
          <w:i/>
        </w:rPr>
        <w:t>-</w:t>
      </w:r>
      <w:r w:rsidR="00B14230" w:rsidRPr="00D849C0">
        <w:rPr>
          <w:i/>
        </w:rPr>
        <w:t xml:space="preserve">Bred </w:t>
      </w:r>
      <w:proofErr w:type="spellStart"/>
      <w:r w:rsidR="00B14230" w:rsidRPr="00D849C0">
        <w:rPr>
          <w:i/>
        </w:rPr>
        <w:t>Int</w:t>
      </w:r>
      <w:r w:rsidR="001937C9">
        <w:rPr>
          <w:i/>
        </w:rPr>
        <w:t>’</w:t>
      </w:r>
      <w:r w:rsidR="00B14230" w:rsidRPr="00D849C0">
        <w:rPr>
          <w:i/>
        </w:rPr>
        <w:t>l</w:t>
      </w:r>
      <w:proofErr w:type="spellEnd"/>
      <w:r w:rsidR="00B14230" w:rsidRPr="00D849C0">
        <w:rPr>
          <w:i/>
        </w:rPr>
        <w:t>, Inc</w:t>
      </w:r>
      <w:r w:rsidR="00B14230" w:rsidRPr="00D849C0">
        <w:t xml:space="preserve">.  </w:t>
      </w:r>
      <w:r w:rsidRPr="00D849C0">
        <w:t xml:space="preserve">Les directives soulignent à cet égard que </w:t>
      </w:r>
      <w:r w:rsidR="00A26A13" w:rsidRPr="00D849C0">
        <w:t>“</w:t>
      </w:r>
      <w:r w:rsidR="0057724F" w:rsidRPr="00D849C0">
        <w:t>s</w:t>
      </w:r>
      <w:r w:rsidR="001937C9">
        <w:t>’</w:t>
      </w:r>
      <w:r w:rsidR="0057724F" w:rsidRPr="00D849C0">
        <w:t>agissant de végétaux en tant qu</w:t>
      </w:r>
      <w:r w:rsidR="001937C9">
        <w:t>’</w:t>
      </w:r>
      <w:r w:rsidR="0057724F" w:rsidRPr="00D849C0">
        <w:t>objets de protection, la</w:t>
      </w:r>
      <w:r w:rsidR="002A75C8">
        <w:t> </w:t>
      </w:r>
      <w:r w:rsidR="0057724F" w:rsidRPr="00D849C0">
        <w:t xml:space="preserve">Cour suprême a statué que les nouvelles obtentions végétales </w:t>
      </w:r>
      <w:r w:rsidR="000244B5" w:rsidRPr="00D849C0">
        <w:t xml:space="preserve">font partie des objets brevetables </w:t>
      </w:r>
      <w:r w:rsidR="00F0161F" w:rsidRPr="00D849C0">
        <w:t>en vertu de l</w:t>
      </w:r>
      <w:r w:rsidR="001937C9">
        <w:t>’</w:t>
      </w:r>
      <w:r w:rsidR="00F0161F" w:rsidRPr="00D849C0">
        <w:t>article</w:t>
      </w:r>
      <w:r w:rsidR="005D43EC">
        <w:t> </w:t>
      </w:r>
      <w:r w:rsidR="00F0161F" w:rsidRPr="00D849C0">
        <w:t>101 du titre</w:t>
      </w:r>
      <w:r w:rsidR="005D43EC">
        <w:t> </w:t>
      </w:r>
      <w:r w:rsidR="00F0161F" w:rsidRPr="00D849C0">
        <w:t>35 du Code des États</w:t>
      </w:r>
      <w:r w:rsidR="001937C9">
        <w:t>-</w:t>
      </w:r>
      <w:r w:rsidR="00F0161F" w:rsidRPr="00D849C0">
        <w:t>Unis d</w:t>
      </w:r>
      <w:r w:rsidR="001937C9">
        <w:t>’</w:t>
      </w:r>
      <w:r w:rsidR="00F0161F" w:rsidRPr="00D849C0">
        <w:t xml:space="preserve">Amérique, </w:t>
      </w:r>
      <w:r w:rsidR="000244B5" w:rsidRPr="00D849C0">
        <w:t>même si les végétaux peuvent également bénéficier de la protection</w:t>
      </w:r>
      <w:r w:rsidR="00B72725" w:rsidRPr="00D849C0">
        <w:t xml:space="preserve"> </w:t>
      </w:r>
      <w:r w:rsidR="009A55C6" w:rsidRPr="00D849C0">
        <w:t>e</w:t>
      </w:r>
      <w:r w:rsidR="002A75C8">
        <w:t>n vertu de la l</w:t>
      </w:r>
      <w:r w:rsidRPr="00D849C0">
        <w:t>oi sur l</w:t>
      </w:r>
      <w:r w:rsidR="002A75C8">
        <w:t>es brevets de plantes et de la l</w:t>
      </w:r>
      <w:r w:rsidRPr="00D849C0">
        <w:t xml:space="preserve">oi </w:t>
      </w:r>
      <w:r w:rsidR="00F0161F" w:rsidRPr="00D849C0">
        <w:t xml:space="preserve">sur la protection des obtentions végétales </w:t>
      </w:r>
      <w:r w:rsidR="002A75C8">
        <w:t>(7 U.S.C. 2321 et. </w:t>
      </w:r>
      <w:proofErr w:type="spellStart"/>
      <w:r w:rsidR="000244B5" w:rsidRPr="00D849C0">
        <w:t>seq</w:t>
      </w:r>
      <w:proofErr w:type="spellEnd"/>
      <w:r w:rsidR="000244B5" w:rsidRPr="00D849C0">
        <w:t>.)</w:t>
      </w:r>
      <w:r w:rsidR="00B72725" w:rsidRPr="00D849C0">
        <w:t xml:space="preserve"> […] Dans son analyse de l</w:t>
      </w:r>
      <w:r w:rsidR="001937C9">
        <w:t>’</w:t>
      </w:r>
      <w:r w:rsidR="002A75C8">
        <w:t>historique de la l</w:t>
      </w:r>
      <w:r w:rsidR="00B72725" w:rsidRPr="00D849C0">
        <w:t>oi sur les brevets de plantes de</w:t>
      </w:r>
      <w:r w:rsidR="005D43EC">
        <w:t> </w:t>
      </w:r>
      <w:r w:rsidR="00B72725" w:rsidRPr="00D849C0">
        <w:t>1930, la Cour a déclaré</w:t>
      </w:r>
      <w:r w:rsidR="005D43EC">
        <w:t> :</w:t>
      </w:r>
      <w:r w:rsidR="0028236C">
        <w:t xml:space="preserve"> </w:t>
      </w:r>
      <w:r w:rsidR="00F76051" w:rsidRPr="003A6DF9">
        <w:rPr>
          <w:color w:val="000000"/>
          <w:szCs w:val="22"/>
          <w:lang w:val="fr-FR"/>
        </w:rPr>
        <w:t>“</w:t>
      </w:r>
      <w:r w:rsidR="006B447D" w:rsidRPr="00D849C0">
        <w:t>En</w:t>
      </w:r>
      <w:r w:rsidR="00F76051">
        <w:t> </w:t>
      </w:r>
      <w:r w:rsidR="0028236C">
        <w:t>promulguant la l</w:t>
      </w:r>
      <w:r w:rsidR="006B447D" w:rsidRPr="00D849C0">
        <w:t>oi sur les brevets de plantes, le Congrès a tenu compte de ces deux</w:t>
      </w:r>
      <w:r w:rsidR="005D43EC">
        <w:t> </w:t>
      </w:r>
      <w:r w:rsidR="006B447D" w:rsidRPr="00D849C0">
        <w:t>préoccupations [</w:t>
      </w:r>
      <w:r w:rsidR="009A55C6" w:rsidRPr="00D849C0">
        <w:t xml:space="preserve">celle </w:t>
      </w:r>
      <w:r w:rsidR="006B447D" w:rsidRPr="00D849C0">
        <w:t xml:space="preserve">selon laquelle les plantes, même celles </w:t>
      </w:r>
      <w:r w:rsidR="009A55C6" w:rsidRPr="00D849C0">
        <w:t>obtenues à l</w:t>
      </w:r>
      <w:r w:rsidR="001937C9">
        <w:t>’</w:t>
      </w:r>
      <w:r w:rsidR="009A55C6" w:rsidRPr="00D849C0">
        <w:t>aide de moyens artificiels, étaient des produits de la nature au regard de la législation sur les brevets et celle selon laquelle les plantes ne se prêtaient pas à la description écrite</w:t>
      </w:r>
      <w:r w:rsidR="00A26A13" w:rsidRPr="00D849C0">
        <w:t>].</w:t>
      </w:r>
      <w:r w:rsidR="00307D63" w:rsidRPr="00D849C0">
        <w:t xml:space="preserve"> </w:t>
      </w:r>
      <w:r w:rsidR="00A26A13" w:rsidRPr="00D849C0">
        <w:t xml:space="preserve"> </w:t>
      </w:r>
      <w:r w:rsidR="007503B2" w:rsidRPr="00D849C0">
        <w:t xml:space="preserve">Il a expliqué en détail sa conviction </w:t>
      </w:r>
      <w:r w:rsidR="00094C19" w:rsidRPr="00D849C0">
        <w:t>que le travail</w:t>
      </w:r>
      <w:r w:rsidR="00A560EA" w:rsidRPr="00D849C0">
        <w:t xml:space="preserve"> </w:t>
      </w:r>
      <w:r w:rsidR="001937C9">
        <w:t>‘</w:t>
      </w:r>
      <w:r w:rsidR="00A560EA" w:rsidRPr="00D849C0">
        <w:t>d</w:t>
      </w:r>
      <w:r w:rsidR="001937C9">
        <w:t>’</w:t>
      </w:r>
      <w:r w:rsidR="00A560EA" w:rsidRPr="00D849C0">
        <w:t>aide à la nature</w:t>
      </w:r>
      <w:r w:rsidR="001937C9">
        <w:t>’</w:t>
      </w:r>
      <w:r w:rsidR="00094C19" w:rsidRPr="00D849C0">
        <w:t xml:space="preserve"> de l</w:t>
      </w:r>
      <w:r w:rsidR="001937C9">
        <w:t>’</w:t>
      </w:r>
      <w:r w:rsidR="00094C19" w:rsidRPr="00D849C0">
        <w:t>obtenteur</w:t>
      </w:r>
      <w:r w:rsidR="00A26A13" w:rsidRPr="00D849C0">
        <w:t xml:space="preserve"> </w:t>
      </w:r>
      <w:r w:rsidR="00094C19" w:rsidRPr="00D849C0">
        <w:t>constituait une invention brevetable</w:t>
      </w:r>
      <w:r w:rsidR="00A26A13" w:rsidRPr="00D849C0">
        <w:t>”</w:t>
      </w:r>
      <w:r w:rsidR="0028236C">
        <w:t>.</w:t>
      </w:r>
    </w:p>
    <w:p w:rsidR="00A26A13" w:rsidRPr="00D849C0" w:rsidRDefault="00A26A13" w:rsidP="00BD2732">
      <w:pPr>
        <w:pStyle w:val="Heading3"/>
      </w:pPr>
      <w:bookmarkStart w:id="13" w:name="_Toc387060466"/>
      <w:r w:rsidRPr="00D849C0">
        <w:lastRenderedPageBreak/>
        <w:t>E</w:t>
      </w:r>
      <w:r w:rsidR="00272046" w:rsidRPr="00D849C0">
        <w:t>xclusion de la brevetabilité des procédés essentiellement biologiques d</w:t>
      </w:r>
      <w:r w:rsidR="001937C9">
        <w:t>’</w:t>
      </w:r>
      <w:r w:rsidR="00272046" w:rsidRPr="00D849C0">
        <w:t>obtention de végétaux</w:t>
      </w:r>
      <w:bookmarkEnd w:id="13"/>
    </w:p>
    <w:p w:rsidR="00D76E09" w:rsidRPr="00D849C0" w:rsidRDefault="00D76E09" w:rsidP="00307D63">
      <w:pPr>
        <w:ind w:left="1134" w:hanging="567"/>
        <w:rPr>
          <w:szCs w:val="22"/>
        </w:rPr>
      </w:pPr>
    </w:p>
    <w:p w:rsidR="00D76E09" w:rsidRPr="00D849C0" w:rsidRDefault="0057594F" w:rsidP="00F76051">
      <w:pPr>
        <w:pStyle w:val="ONUMFS"/>
      </w:pPr>
      <w:r w:rsidRPr="00D849C0">
        <w:t>L</w:t>
      </w:r>
      <w:r w:rsidR="001937C9">
        <w:t>’</w:t>
      </w:r>
      <w:r w:rsidRPr="00D849C0">
        <w:t>exclusion</w:t>
      </w:r>
      <w:r w:rsidR="000454C4" w:rsidRPr="00D849C0">
        <w:t xml:space="preserve"> de la protection par brevet</w:t>
      </w:r>
      <w:r w:rsidRPr="00D849C0">
        <w:t xml:space="preserve"> des </w:t>
      </w:r>
      <w:r w:rsidR="00665C88" w:rsidRPr="00D849C0">
        <w:t>“</w:t>
      </w:r>
      <w:r w:rsidRPr="00D849C0">
        <w:t>procédés essentiellement biologiques d</w:t>
      </w:r>
      <w:r w:rsidR="001937C9">
        <w:t>’</w:t>
      </w:r>
      <w:r w:rsidRPr="00D849C0">
        <w:t>obtention de végétaux et d</w:t>
      </w:r>
      <w:r w:rsidR="001937C9">
        <w:t>’</w:t>
      </w:r>
      <w:r w:rsidRPr="00D849C0">
        <w:t>animaux</w:t>
      </w:r>
      <w:r w:rsidR="00665C88" w:rsidRPr="00D849C0">
        <w:t xml:space="preserve">” </w:t>
      </w:r>
      <w:r w:rsidRPr="00D849C0">
        <w:t>a pour but d</w:t>
      </w:r>
      <w:r w:rsidR="001937C9">
        <w:t>’</w:t>
      </w:r>
      <w:r w:rsidRPr="00D849C0">
        <w:t>empêcher</w:t>
      </w:r>
      <w:r w:rsidR="00D42D6B" w:rsidRPr="00D849C0">
        <w:t xml:space="preserve"> la création de monopoles sur des</w:t>
      </w:r>
      <w:r w:rsidR="00F76051">
        <w:t> </w:t>
      </w:r>
      <w:r w:rsidR="007D6478" w:rsidRPr="00D849C0">
        <w:t>processus de reproduction naturels ou des procédés non techniques</w:t>
      </w:r>
      <w:r w:rsidR="00EF2F7A" w:rsidRPr="00D849C0">
        <w:t xml:space="preserve"> </w:t>
      </w:r>
      <w:r w:rsidR="00D76E09" w:rsidRPr="00D849C0">
        <w:t>(</w:t>
      </w:r>
      <w:r w:rsidR="00167F96" w:rsidRPr="00D849C0">
        <w:t>pratiques de sélection</w:t>
      </w:r>
      <w:r w:rsidR="00C20BB3" w:rsidRPr="00D849C0">
        <w:t>)</w:t>
      </w:r>
      <w:r w:rsidR="00D76E09" w:rsidRPr="00D849C0">
        <w:rPr>
          <w:vertAlign w:val="superscript"/>
        </w:rPr>
        <w:footnoteReference w:id="43"/>
      </w:r>
      <w:r w:rsidR="0013705E" w:rsidRPr="00D849C0">
        <w:t>.</w:t>
      </w:r>
    </w:p>
    <w:p w:rsidR="00A26A13" w:rsidRPr="00D849C0" w:rsidRDefault="009A33B7" w:rsidP="00F76051">
      <w:pPr>
        <w:pStyle w:val="ONUMFS"/>
      </w:pPr>
      <w:r w:rsidRPr="00D849C0">
        <w:t>Dans certains pays, il n</w:t>
      </w:r>
      <w:r w:rsidR="001937C9">
        <w:t>’</w:t>
      </w:r>
      <w:r w:rsidRPr="00D849C0">
        <w:t>est pas permis de détenir un brevet sur des procédés essentiellement biologiques d</w:t>
      </w:r>
      <w:r w:rsidR="001937C9">
        <w:t>’</w:t>
      </w:r>
      <w:r w:rsidRPr="00D849C0">
        <w:t>obtention de végétaux et animaux.  Le Brésil, par exemple, considère qu</w:t>
      </w:r>
      <w:r w:rsidR="001937C9">
        <w:t>’</w:t>
      </w:r>
      <w:r w:rsidR="0013705E" w:rsidRPr="00D849C0">
        <w:t>ils</w:t>
      </w:r>
      <w:r w:rsidRPr="00D849C0">
        <w:t xml:space="preserve"> ne constituent pas des inventions.  </w:t>
      </w:r>
      <w:r w:rsidR="00DB41D7" w:rsidRPr="00D849C0">
        <w:t>L</w:t>
      </w:r>
      <w:r w:rsidR="001937C9">
        <w:t>’</w:t>
      </w:r>
      <w:r w:rsidR="0040277C" w:rsidRPr="00D849C0">
        <w:t>Institut national de la propriété industrielle du Brésil (</w:t>
      </w:r>
      <w:proofErr w:type="spellStart"/>
      <w:r w:rsidR="0040277C" w:rsidRPr="00D849C0">
        <w:t>Instituto</w:t>
      </w:r>
      <w:proofErr w:type="spellEnd"/>
      <w:r w:rsidR="0040277C" w:rsidRPr="00D849C0">
        <w:t xml:space="preserve"> </w:t>
      </w:r>
      <w:proofErr w:type="spellStart"/>
      <w:r w:rsidR="0040277C" w:rsidRPr="00D849C0">
        <w:t>Nacional</w:t>
      </w:r>
      <w:proofErr w:type="spellEnd"/>
      <w:r w:rsidR="0040277C" w:rsidRPr="00D849C0">
        <w:t xml:space="preserve"> da </w:t>
      </w:r>
      <w:proofErr w:type="spellStart"/>
      <w:r w:rsidR="0040277C" w:rsidRPr="00D849C0">
        <w:t>Propriedade</w:t>
      </w:r>
      <w:proofErr w:type="spellEnd"/>
      <w:r w:rsidR="0040277C" w:rsidRPr="00D849C0">
        <w:t xml:space="preserve"> </w:t>
      </w:r>
      <w:proofErr w:type="spellStart"/>
      <w:r w:rsidR="0040277C" w:rsidRPr="00D849C0">
        <w:t>Industrial</w:t>
      </w:r>
      <w:proofErr w:type="spellEnd"/>
      <w:r w:rsidR="0040277C" w:rsidRPr="00D849C0">
        <w:t xml:space="preserve"> (INPI)) définit dans ses directives la</w:t>
      </w:r>
      <w:r w:rsidR="00F76051">
        <w:t> </w:t>
      </w:r>
      <w:r w:rsidR="00DB41D7" w:rsidRPr="00D849C0">
        <w:t xml:space="preserve">notion de </w:t>
      </w:r>
      <w:r w:rsidR="00A26A13" w:rsidRPr="00D849C0">
        <w:t>“</w:t>
      </w:r>
      <w:r w:rsidR="0040277C" w:rsidRPr="00D849C0">
        <w:t>procédé biologique naturel</w:t>
      </w:r>
      <w:r w:rsidR="00A26A13" w:rsidRPr="00D849C0">
        <w:t>”</w:t>
      </w:r>
      <w:r w:rsidR="0040277C" w:rsidRPr="00D849C0">
        <w:t xml:space="preserve"> </w:t>
      </w:r>
      <w:r w:rsidR="00960F2A" w:rsidRPr="00D849C0">
        <w:t xml:space="preserve">comme suit : </w:t>
      </w:r>
      <w:r w:rsidR="00A26A13" w:rsidRPr="00D849C0">
        <w:t>“</w:t>
      </w:r>
      <w:r w:rsidR="00CE31F1" w:rsidRPr="00D849C0">
        <w:t>tout procédé qui ne fait pas appel à des</w:t>
      </w:r>
      <w:r w:rsidR="00F76051">
        <w:t> </w:t>
      </w:r>
      <w:r w:rsidR="00CE31F1" w:rsidRPr="00D849C0">
        <w:t>moyens artificiels pour obtenir des produits organiques ou qui</w:t>
      </w:r>
      <w:r w:rsidR="00B93EE9" w:rsidRPr="00D849C0">
        <w:t>, même s</w:t>
      </w:r>
      <w:r w:rsidR="001937C9">
        <w:t>’</w:t>
      </w:r>
      <w:r w:rsidR="00B93EE9" w:rsidRPr="00D849C0">
        <w:t>il est fait appel à un</w:t>
      </w:r>
      <w:r w:rsidR="00F76051">
        <w:t> </w:t>
      </w:r>
      <w:r w:rsidR="00B93EE9" w:rsidRPr="00D849C0">
        <w:t xml:space="preserve">moyen artificiel, </w:t>
      </w:r>
      <w:r w:rsidR="008178CD" w:rsidRPr="00D849C0">
        <w:t>se déroulerait selon toute probabilité dans la nature sans l</w:t>
      </w:r>
      <w:r w:rsidR="001937C9">
        <w:t>’</w:t>
      </w:r>
      <w:r w:rsidR="008178CD" w:rsidRPr="00D849C0">
        <w:t xml:space="preserve">intervention humaine, </w:t>
      </w:r>
      <w:r w:rsidR="00427C86" w:rsidRPr="00D849C0">
        <w:t>entièrement constitué de phénomènes naturels, par exemple un procédé de pollinisation</w:t>
      </w:r>
      <w:r w:rsidR="00A87275" w:rsidRPr="00D849C0">
        <w:t xml:space="preserve"> dans lequel un coton</w:t>
      </w:r>
      <w:r w:rsidR="001937C9">
        <w:t>-</w:t>
      </w:r>
      <w:r w:rsidR="00A87275" w:rsidRPr="00D849C0">
        <w:t xml:space="preserve">tige est utilisé pour transporter </w:t>
      </w:r>
      <w:r w:rsidR="004D3508" w:rsidRPr="00D849C0">
        <w:t>le</w:t>
      </w:r>
      <w:r w:rsidR="00A87275" w:rsidRPr="00D849C0">
        <w:t xml:space="preserve"> pollen d</w:t>
      </w:r>
      <w:r w:rsidR="001937C9">
        <w:t>’</w:t>
      </w:r>
      <w:r w:rsidR="00A87275" w:rsidRPr="00D849C0">
        <w:t>une plante vers une autre.  Dans un tel cas, l</w:t>
      </w:r>
      <w:r w:rsidR="001937C9">
        <w:t>’</w:t>
      </w:r>
      <w:r w:rsidR="00A87275" w:rsidRPr="00D849C0">
        <w:t>utilisation d</w:t>
      </w:r>
      <w:r w:rsidR="001937C9">
        <w:t>’</w:t>
      </w:r>
      <w:r w:rsidR="00A87275" w:rsidRPr="00D849C0">
        <w:t>un moyen artificiel (le coton</w:t>
      </w:r>
      <w:r w:rsidR="001937C9">
        <w:t>-</w:t>
      </w:r>
      <w:r w:rsidR="00A87275" w:rsidRPr="00D849C0">
        <w:t>tige) ne fait qu</w:t>
      </w:r>
      <w:r w:rsidR="001937C9">
        <w:t>’</w:t>
      </w:r>
      <w:r w:rsidR="00A87275" w:rsidRPr="00D849C0">
        <w:t xml:space="preserve">accélérer ou limiter </w:t>
      </w:r>
      <w:r w:rsidR="00136F86" w:rsidRPr="00D849C0">
        <w:t>quelque chose</w:t>
      </w:r>
      <w:r w:rsidR="00A87275" w:rsidRPr="00D849C0">
        <w:t xml:space="preserve"> qui se produirait naturellement</w:t>
      </w:r>
      <w:r w:rsidR="00A26A13" w:rsidRPr="00D849C0">
        <w:t>”</w:t>
      </w:r>
      <w:r w:rsidR="00A26A13" w:rsidRPr="00D849C0">
        <w:rPr>
          <w:vertAlign w:val="superscript"/>
        </w:rPr>
        <w:footnoteReference w:id="44"/>
      </w:r>
      <w:r w:rsidR="000454C4">
        <w:t>.</w:t>
      </w:r>
    </w:p>
    <w:p w:rsidR="00A26A13" w:rsidRPr="00D849C0" w:rsidRDefault="002A4DB7" w:rsidP="00F76051">
      <w:pPr>
        <w:pStyle w:val="ONUMFS"/>
      </w:pPr>
      <w:r w:rsidRPr="00D849C0">
        <w:t>En Europe, l</w:t>
      </w:r>
      <w:r w:rsidR="001937C9">
        <w:t>’</w:t>
      </w:r>
      <w:r w:rsidRPr="00D849C0">
        <w:t>exclusion de la brevetabilité s</w:t>
      </w:r>
      <w:r w:rsidR="001937C9">
        <w:t>’</w:t>
      </w:r>
      <w:r w:rsidRPr="00D849C0">
        <w:t>applique, en vertu de l</w:t>
      </w:r>
      <w:r w:rsidR="001937C9">
        <w:t>’</w:t>
      </w:r>
      <w:r w:rsidRPr="00D849C0">
        <w:t>article</w:t>
      </w:r>
      <w:r w:rsidR="005D43EC">
        <w:t> </w:t>
      </w:r>
      <w:r w:rsidRPr="00D849C0">
        <w:t>53.b) de</w:t>
      </w:r>
      <w:r w:rsidR="001937C9" w:rsidRPr="00D849C0">
        <w:t xml:space="preserve"> la</w:t>
      </w:r>
      <w:r w:rsidR="001937C9">
        <w:t> </w:t>
      </w:r>
      <w:r w:rsidR="001937C9" w:rsidRPr="00D849C0">
        <w:t>CBE</w:t>
      </w:r>
      <w:r w:rsidRPr="00D849C0">
        <w:t>, aux procédés essentiellement biologiques ainsi qu</w:t>
      </w:r>
      <w:r w:rsidR="001937C9">
        <w:t>’</w:t>
      </w:r>
      <w:r w:rsidRPr="00D849C0">
        <w:t>aux procédés non microbiologiques d</w:t>
      </w:r>
      <w:r w:rsidR="001937C9">
        <w:t>’</w:t>
      </w:r>
      <w:r w:rsidRPr="00D849C0">
        <w:t>obtention de végétaux ou d</w:t>
      </w:r>
      <w:r w:rsidR="001937C9">
        <w:t>’</w:t>
      </w:r>
      <w:r w:rsidRPr="00D849C0">
        <w:t xml:space="preserve">animaux qui sont essentiellement biologiques. </w:t>
      </w:r>
      <w:r w:rsidR="00D643F7" w:rsidRPr="00D849C0">
        <w:t xml:space="preserve"> Les r</w:t>
      </w:r>
      <w:r w:rsidR="00F76051">
        <w:t>écentes décisions de la Grande C</w:t>
      </w:r>
      <w:r w:rsidR="00D643F7" w:rsidRPr="00D849C0">
        <w:t>hambre de recours de l</w:t>
      </w:r>
      <w:r w:rsidR="001937C9">
        <w:t>’</w:t>
      </w:r>
      <w:r w:rsidR="00D643F7" w:rsidRPr="00D849C0">
        <w:t xml:space="preserve">Office européen des brevets (GCR) </w:t>
      </w:r>
      <w:r w:rsidR="00136F86" w:rsidRPr="00D849C0">
        <w:t>concernant la protection par brevet de procédés essentiellement biologiques d</w:t>
      </w:r>
      <w:r w:rsidR="001937C9">
        <w:t>’</w:t>
      </w:r>
      <w:r w:rsidR="00136F86" w:rsidRPr="00D849C0">
        <w:t>obtention de végéta</w:t>
      </w:r>
      <w:r w:rsidR="00F76051">
        <w:t>ux et animaux dans les affaires G </w:t>
      </w:r>
      <w:r w:rsidR="00A26A13" w:rsidRPr="00D849C0">
        <w:t>0002/07</w:t>
      </w:r>
      <w:r w:rsidR="00A26A13" w:rsidRPr="00D849C0">
        <w:rPr>
          <w:vertAlign w:val="superscript"/>
        </w:rPr>
        <w:footnoteReference w:id="45"/>
      </w:r>
      <w:r w:rsidR="00A26A13" w:rsidRPr="00D849C0">
        <w:t xml:space="preserve"> </w:t>
      </w:r>
      <w:r w:rsidR="00136F86" w:rsidRPr="00D849C0">
        <w:t>et</w:t>
      </w:r>
      <w:r w:rsidR="00A26A13" w:rsidRPr="00D849C0">
        <w:t xml:space="preserve"> G</w:t>
      </w:r>
      <w:r w:rsidR="00F76051">
        <w:t> </w:t>
      </w:r>
      <w:r w:rsidR="00A26A13" w:rsidRPr="00D849C0">
        <w:t>1/08</w:t>
      </w:r>
      <w:r w:rsidR="00A26A13" w:rsidRPr="00D849C0">
        <w:rPr>
          <w:vertAlign w:val="superscript"/>
        </w:rPr>
        <w:footnoteReference w:id="46"/>
      </w:r>
      <w:r w:rsidR="00136F86" w:rsidRPr="00D849C0">
        <w:t xml:space="preserve"> </w:t>
      </w:r>
      <w:r w:rsidR="00AC4713" w:rsidRPr="00D849C0">
        <w:t xml:space="preserve">ont éclairé quelque peu la question et peuvent être résumées de la manière suivante.  </w:t>
      </w:r>
      <w:r w:rsidR="00820AD6" w:rsidRPr="00D849C0">
        <w:t xml:space="preserve">Les méthodes de sélection traditionnelle de végétaux ne constituent pas un procédé technique et sont par conséquent exclues de la brevetabilité;  </w:t>
      </w:r>
      <w:r w:rsidR="005314F7" w:rsidRPr="00D849C0">
        <w:t xml:space="preserve">les procédés non microbiologiques de croisement par voie sexuée de génomes complets de végétaux seront considérés comme </w:t>
      </w:r>
      <w:r w:rsidR="007829D4" w:rsidRPr="00D849C0">
        <w:t>“</w:t>
      </w:r>
      <w:r w:rsidR="005314F7" w:rsidRPr="00D849C0">
        <w:t>essentiellement biologiques</w:t>
      </w:r>
      <w:r w:rsidR="007829D4" w:rsidRPr="00D849C0">
        <w:t>”</w:t>
      </w:r>
      <w:r w:rsidR="00F553F0" w:rsidRPr="00D849C0">
        <w:t>;</w:t>
      </w:r>
      <w:r w:rsidR="005314F7" w:rsidRPr="00D849C0">
        <w:t xml:space="preserve">  </w:t>
      </w:r>
      <w:r w:rsidR="00E24353" w:rsidRPr="00D849C0">
        <w:t>l</w:t>
      </w:r>
      <w:r w:rsidR="001937C9">
        <w:t>’</w:t>
      </w:r>
      <w:r w:rsidR="00E24353" w:rsidRPr="00D849C0">
        <w:t>existence d</w:t>
      </w:r>
      <w:r w:rsidR="001937C9">
        <w:t>’</w:t>
      </w:r>
      <w:r w:rsidR="00E24353" w:rsidRPr="00D849C0">
        <w:t>une étape supplémentaire de nature technique servant à permettre ou faciliter le</w:t>
      </w:r>
      <w:r w:rsidR="00FE604C">
        <w:t> </w:t>
      </w:r>
      <w:r w:rsidR="00E24353" w:rsidRPr="00D849C0">
        <w:t xml:space="preserve">déroulement des étapes de croisement par voie sexuée de végétaux ou de sélection ultérieure de la descendance </w:t>
      </w:r>
      <w:r w:rsidR="003F6A60" w:rsidRPr="00D849C0">
        <w:t>ne permet pas d</w:t>
      </w:r>
      <w:r w:rsidR="001937C9">
        <w:t>’</w:t>
      </w:r>
      <w:r w:rsidR="003F6A60" w:rsidRPr="00D849C0">
        <w:t>éviter l</w:t>
      </w:r>
      <w:r w:rsidR="001937C9">
        <w:t>’</w:t>
      </w:r>
      <w:r w:rsidR="003F6A60" w:rsidRPr="00D849C0">
        <w:t xml:space="preserve">exclusion de la brevetabilité.  </w:t>
      </w:r>
      <w:r w:rsidR="00EC58B9" w:rsidRPr="00D849C0">
        <w:t>En</w:t>
      </w:r>
      <w:r w:rsidR="00FE604C">
        <w:t> </w:t>
      </w:r>
      <w:r w:rsidR="00EC58B9" w:rsidRPr="00D849C0">
        <w:t>revanche, un procédé ajoutant au moins une étape technique à celles de croisement par voie sexuée et de sélection pourrait être brevetable.</w:t>
      </w:r>
    </w:p>
    <w:p w:rsidR="004254FC" w:rsidRDefault="004254FC">
      <w:r>
        <w:br w:type="page"/>
      </w:r>
    </w:p>
    <w:p w:rsidR="001937C9" w:rsidRDefault="0045208A" w:rsidP="00F76051">
      <w:pPr>
        <w:pStyle w:val="ONUMFS"/>
      </w:pPr>
      <w:r w:rsidRPr="00D849C0">
        <w:lastRenderedPageBreak/>
        <w:t>Les</w:t>
      </w:r>
      <w:r w:rsidR="00A26A13" w:rsidRPr="00D849C0">
        <w:rPr>
          <w:i/>
        </w:rPr>
        <w:t xml:space="preserve"> </w:t>
      </w:r>
      <w:r w:rsidR="00D11E93" w:rsidRPr="00D849C0">
        <w:rPr>
          <w:i/>
        </w:rPr>
        <w:t>Directives relatives à l</w:t>
      </w:r>
      <w:r w:rsidR="001937C9">
        <w:rPr>
          <w:i/>
        </w:rPr>
        <w:t>’</w:t>
      </w:r>
      <w:r w:rsidR="00D11E93" w:rsidRPr="00D849C0">
        <w:rPr>
          <w:i/>
        </w:rPr>
        <w:t>examen pratiqué à l</w:t>
      </w:r>
      <w:r w:rsidR="001937C9">
        <w:rPr>
          <w:i/>
        </w:rPr>
        <w:t>’</w:t>
      </w:r>
      <w:r w:rsidR="00D11E93" w:rsidRPr="00D849C0">
        <w:rPr>
          <w:i/>
        </w:rPr>
        <w:t xml:space="preserve">Office européen des brevets Office </w:t>
      </w:r>
      <w:r w:rsidR="00A26A13" w:rsidRPr="00D849C0">
        <w:t>(</w:t>
      </w:r>
      <w:r w:rsidR="001937C9" w:rsidRPr="00D849C0">
        <w:t>juin</w:t>
      </w:r>
      <w:r w:rsidR="001937C9">
        <w:t> </w:t>
      </w:r>
      <w:r w:rsidR="001937C9" w:rsidRPr="00D849C0">
        <w:t>20</w:t>
      </w:r>
      <w:r w:rsidR="00A26A13" w:rsidRPr="00D849C0">
        <w:t>12)</w:t>
      </w:r>
      <w:r w:rsidR="00D903D5" w:rsidRPr="00D849C0">
        <w:rPr>
          <w:rStyle w:val="FootnoteReference"/>
          <w:szCs w:val="22"/>
        </w:rPr>
        <w:footnoteReference w:id="47"/>
      </w:r>
      <w:r w:rsidR="00A26A13" w:rsidRPr="00D849C0">
        <w:t xml:space="preserve"> </w:t>
      </w:r>
      <w:r w:rsidR="007829D4" w:rsidRPr="00D849C0">
        <w:t>clarif</w:t>
      </w:r>
      <w:r w:rsidRPr="00D849C0">
        <w:t>ient la dist</w:t>
      </w:r>
      <w:r w:rsidR="00A26A13" w:rsidRPr="00D849C0">
        <w:t xml:space="preserve">inction </w:t>
      </w:r>
      <w:r w:rsidRPr="00D849C0">
        <w:t xml:space="preserve">entre </w:t>
      </w:r>
      <w:r w:rsidR="00FA35CA" w:rsidRPr="00D849C0">
        <w:t>les</w:t>
      </w:r>
      <w:r w:rsidRPr="00D849C0">
        <w:t xml:space="preserve"> procédé</w:t>
      </w:r>
      <w:r w:rsidR="00FA35CA" w:rsidRPr="00D849C0">
        <w:t>s</w:t>
      </w:r>
      <w:r w:rsidRPr="00D849C0">
        <w:t xml:space="preserve"> essentiellement biologique</w:t>
      </w:r>
      <w:r w:rsidR="00FA35CA" w:rsidRPr="00D849C0">
        <w:t>s</w:t>
      </w:r>
      <w:r w:rsidRPr="00D849C0">
        <w:t xml:space="preserve"> (</w:t>
      </w:r>
      <w:r w:rsidR="001763C0" w:rsidRPr="00D849C0">
        <w:t>pour l</w:t>
      </w:r>
      <w:r w:rsidR="001937C9">
        <w:t>’</w:t>
      </w:r>
      <w:r w:rsidR="001763C0" w:rsidRPr="00D849C0">
        <w:t>obtention de végétaux</w:t>
      </w:r>
      <w:r w:rsidRPr="00D849C0">
        <w:t>)</w:t>
      </w:r>
      <w:r w:rsidRPr="00D849C0">
        <w:rPr>
          <w:rStyle w:val="FootnoteReference"/>
          <w:szCs w:val="22"/>
        </w:rPr>
        <w:footnoteReference w:id="48"/>
      </w:r>
      <w:r w:rsidR="001763C0" w:rsidRPr="00D849C0">
        <w:t xml:space="preserve">, qui </w:t>
      </w:r>
      <w:r w:rsidR="00FA35CA" w:rsidRPr="00D849C0">
        <w:t>sont</w:t>
      </w:r>
      <w:r w:rsidR="001763C0" w:rsidRPr="00D849C0">
        <w:t xml:space="preserve"> exclu</w:t>
      </w:r>
      <w:r w:rsidR="00FA35CA" w:rsidRPr="00D849C0">
        <w:t>s</w:t>
      </w:r>
      <w:r w:rsidR="001763C0" w:rsidRPr="00D849C0">
        <w:t xml:space="preserve"> de la brevetabilité, et </w:t>
      </w:r>
      <w:r w:rsidR="00FA35CA" w:rsidRPr="00D849C0">
        <w:t>les</w:t>
      </w:r>
      <w:r w:rsidR="001763C0" w:rsidRPr="00D849C0">
        <w:t xml:space="preserve"> procédé</w:t>
      </w:r>
      <w:r w:rsidR="00FA35CA" w:rsidRPr="00D849C0">
        <w:t>s</w:t>
      </w:r>
      <w:r w:rsidR="001763C0" w:rsidRPr="00D849C0">
        <w:t xml:space="preserve"> microbiologique</w:t>
      </w:r>
      <w:r w:rsidR="00FA35CA" w:rsidRPr="00D849C0">
        <w:t>s</w:t>
      </w:r>
      <w:r w:rsidR="001763C0" w:rsidRPr="00D849C0">
        <w:t xml:space="preserve">, qui </w:t>
      </w:r>
      <w:r w:rsidR="00FA35CA" w:rsidRPr="00D849C0">
        <w:t>son</w:t>
      </w:r>
      <w:r w:rsidR="001763C0" w:rsidRPr="00D849C0">
        <w:t>t brevetable</w:t>
      </w:r>
      <w:r w:rsidR="00FA35CA" w:rsidRPr="00D849C0">
        <w:t>s</w:t>
      </w:r>
      <w:r w:rsidR="00D76E09" w:rsidRPr="00D849C0">
        <w:rPr>
          <w:rStyle w:val="FootnoteReference"/>
          <w:szCs w:val="22"/>
        </w:rPr>
        <w:footnoteReference w:id="49"/>
      </w:r>
      <w:r w:rsidR="001763C0" w:rsidRPr="00D849C0">
        <w:t>.</w:t>
      </w:r>
    </w:p>
    <w:p w:rsidR="00A26A13" w:rsidRPr="00D849C0" w:rsidRDefault="0057202D" w:rsidP="00FE604C">
      <w:pPr>
        <w:pStyle w:val="ONUMFS"/>
      </w:pPr>
      <w:r w:rsidRPr="00D849C0">
        <w:t>L</w:t>
      </w:r>
      <w:r w:rsidR="001937C9">
        <w:t>’</w:t>
      </w:r>
      <w:r w:rsidRPr="00D849C0">
        <w:t>Inde est un autre pays dans lequel les procédés essentiellement biologiques d</w:t>
      </w:r>
      <w:r w:rsidR="001937C9">
        <w:t>’</w:t>
      </w:r>
      <w:r w:rsidRPr="00D849C0">
        <w:t>obtention de végétaux sont exclus de la protection par brevet</w:t>
      </w:r>
      <w:r w:rsidR="00A26A13" w:rsidRPr="00D849C0">
        <w:rPr>
          <w:vertAlign w:val="superscript"/>
        </w:rPr>
        <w:footnoteReference w:id="50"/>
      </w:r>
      <w:r w:rsidRPr="00D849C0">
        <w:t>.</w:t>
      </w:r>
      <w:r w:rsidR="009140F7" w:rsidRPr="00D849C0">
        <w:t xml:space="preserve">  </w:t>
      </w:r>
      <w:r w:rsidR="00C842FE" w:rsidRPr="00D849C0">
        <w:t>Aucune définition de l</w:t>
      </w:r>
      <w:r w:rsidR="00347BC0" w:rsidRPr="00D849C0">
        <w:t>a notion de “procédé essentiellement biologique” ne</w:t>
      </w:r>
      <w:r w:rsidR="00C842FE" w:rsidRPr="00D849C0">
        <w:t xml:space="preserve"> figure</w:t>
      </w:r>
      <w:r w:rsidR="00347BC0" w:rsidRPr="00D849C0">
        <w:t xml:space="preserve"> </w:t>
      </w:r>
      <w:r w:rsidR="00C842FE" w:rsidRPr="00D849C0">
        <w:t>cependant</w:t>
      </w:r>
      <w:r w:rsidR="00347BC0" w:rsidRPr="00D849C0">
        <w:t xml:space="preserve"> dans sa législation.  </w:t>
      </w:r>
      <w:r w:rsidR="00C842FE" w:rsidRPr="00D849C0">
        <w:t>Une décis</w:t>
      </w:r>
      <w:r w:rsidR="00CA7E15">
        <w:t>ion prononcée par la Haute C</w:t>
      </w:r>
      <w:r w:rsidR="00C842FE" w:rsidRPr="00D849C0">
        <w:t>our de Calcutta dans l</w:t>
      </w:r>
      <w:r w:rsidR="001937C9">
        <w:t>’</w:t>
      </w:r>
      <w:r w:rsidR="00C842FE" w:rsidRPr="00D849C0">
        <w:t xml:space="preserve">affaire </w:t>
      </w:r>
      <w:proofErr w:type="spellStart"/>
      <w:r w:rsidR="00A26A13" w:rsidRPr="00D849C0">
        <w:rPr>
          <w:i/>
        </w:rPr>
        <w:t>Dimminaco</w:t>
      </w:r>
      <w:proofErr w:type="spellEnd"/>
      <w:r w:rsidR="00A26A13" w:rsidRPr="00D849C0">
        <w:rPr>
          <w:i/>
        </w:rPr>
        <w:t xml:space="preserve"> AG </w:t>
      </w:r>
      <w:r w:rsidR="00C842FE" w:rsidRPr="0028236C">
        <w:t>c</w:t>
      </w:r>
      <w:r w:rsidR="00A26A13" w:rsidRPr="0028236C">
        <w:t>.</w:t>
      </w:r>
      <w:r w:rsidR="005D43EC">
        <w:rPr>
          <w:i/>
        </w:rPr>
        <w:t> </w:t>
      </w:r>
      <w:r w:rsidR="00A26A13" w:rsidRPr="00D849C0">
        <w:rPr>
          <w:i/>
        </w:rPr>
        <w:t xml:space="preserve">Controller of Patents and Designs </w:t>
      </w:r>
      <w:r w:rsidR="00A26A13" w:rsidRPr="00D849C0">
        <w:t>(2002)</w:t>
      </w:r>
      <w:r w:rsidR="00A26A13" w:rsidRPr="00D849C0">
        <w:rPr>
          <w:vertAlign w:val="superscript"/>
        </w:rPr>
        <w:footnoteReference w:id="51"/>
      </w:r>
      <w:r w:rsidR="00D56836" w:rsidRPr="00D849C0">
        <w:t xml:space="preserve"> pourrait fournir une orientation à cet égard.  </w:t>
      </w:r>
      <w:r w:rsidR="0028236C">
        <w:t>La Haute C</w:t>
      </w:r>
      <w:r w:rsidR="006F6DCF" w:rsidRPr="00D849C0">
        <w:t>our de Calcutta avait en effet</w:t>
      </w:r>
      <w:r w:rsidR="00D83774" w:rsidRPr="00D849C0">
        <w:t xml:space="preserve"> conclu à la brevetabilité d</w:t>
      </w:r>
      <w:r w:rsidR="001937C9">
        <w:t>’</w:t>
      </w:r>
      <w:r w:rsidR="00D83774" w:rsidRPr="00D849C0">
        <w:t>un procédé pour l</w:t>
      </w:r>
      <w:r w:rsidR="001937C9">
        <w:t>’</w:t>
      </w:r>
      <w:r w:rsidR="00D83774" w:rsidRPr="00D849C0">
        <w:t>élaboration d</w:t>
      </w:r>
      <w:r w:rsidR="001937C9">
        <w:t>’</w:t>
      </w:r>
      <w:r w:rsidR="00D83774" w:rsidRPr="00D849C0">
        <w:t>un vaccin vivant contre la bursite, une maladie infectieuse des volailles</w:t>
      </w:r>
      <w:r w:rsidR="00D76E09" w:rsidRPr="00D849C0">
        <w:rPr>
          <w:rStyle w:val="FootnoteReference"/>
          <w:szCs w:val="22"/>
        </w:rPr>
        <w:footnoteReference w:id="52"/>
      </w:r>
      <w:r w:rsidR="00D83774" w:rsidRPr="00D849C0">
        <w:t>.</w:t>
      </w:r>
      <w:r w:rsidR="00D76E09" w:rsidRPr="00D849C0">
        <w:t xml:space="preserve"> </w:t>
      </w:r>
      <w:r w:rsidR="00A26A13" w:rsidRPr="00D849C0">
        <w:t xml:space="preserve"> </w:t>
      </w:r>
      <w:r w:rsidR="00F427C9" w:rsidRPr="00D849C0">
        <w:t>Cet arrêt revêt une grande importance</w:t>
      </w:r>
      <w:r w:rsidR="008F3A9A">
        <w:t>,</w:t>
      </w:r>
      <w:r w:rsidR="00F427C9" w:rsidRPr="00D849C0">
        <w:t xml:space="preserve"> en ce</w:t>
      </w:r>
      <w:r w:rsidR="00FE604C">
        <w:t> </w:t>
      </w:r>
      <w:r w:rsidR="00F427C9" w:rsidRPr="00D849C0">
        <w:t>sens qu</w:t>
      </w:r>
      <w:r w:rsidR="001937C9">
        <w:t>’</w:t>
      </w:r>
      <w:r w:rsidR="00F427C9" w:rsidRPr="00D849C0">
        <w:t xml:space="preserve">il marque </w:t>
      </w:r>
      <w:r w:rsidR="00A26A13" w:rsidRPr="00D849C0">
        <w:t>“</w:t>
      </w:r>
      <w:r w:rsidR="00F427C9" w:rsidRPr="00D849C0">
        <w:t>le premier cas de l</w:t>
      </w:r>
      <w:r w:rsidR="001937C9">
        <w:t>’</w:t>
      </w:r>
      <w:r w:rsidR="00F427C9" w:rsidRPr="00D849C0">
        <w:t>histoire du système des brevets de l</w:t>
      </w:r>
      <w:r w:rsidR="001937C9">
        <w:t>’</w:t>
      </w:r>
      <w:r w:rsidR="00F427C9" w:rsidRPr="00D849C0">
        <w:t>Inde dans lequel l</w:t>
      </w:r>
      <w:r w:rsidR="001937C9">
        <w:t>’</w:t>
      </w:r>
      <w:r w:rsidR="00F427C9" w:rsidRPr="00D849C0">
        <w:t>octroi d</w:t>
      </w:r>
      <w:r w:rsidR="001937C9">
        <w:t>’</w:t>
      </w:r>
      <w:r w:rsidR="00F427C9" w:rsidRPr="00D849C0">
        <w:t>un brevet sur un procédé d</w:t>
      </w:r>
      <w:r w:rsidR="001937C9">
        <w:t>’</w:t>
      </w:r>
      <w:r w:rsidR="00F427C9" w:rsidRPr="00D849C0">
        <w:t>obtention d</w:t>
      </w:r>
      <w:r w:rsidR="001937C9">
        <w:t>’</w:t>
      </w:r>
      <w:r w:rsidR="00F427C9" w:rsidRPr="00D849C0">
        <w:t>un produit contenant des organismes vivants</w:t>
      </w:r>
      <w:r w:rsidR="00AD5D09" w:rsidRPr="00D849C0">
        <w:t xml:space="preserve"> a été considéré comme fondé</w:t>
      </w:r>
      <w:r w:rsidR="00A26A13" w:rsidRPr="00D849C0">
        <w:t>”</w:t>
      </w:r>
      <w:r w:rsidR="00A26A13" w:rsidRPr="00D849C0">
        <w:rPr>
          <w:vertAlign w:val="superscript"/>
        </w:rPr>
        <w:footnoteReference w:id="53"/>
      </w:r>
      <w:r w:rsidR="00AD5D09" w:rsidRPr="00D849C0">
        <w:t>.</w:t>
      </w:r>
    </w:p>
    <w:p w:rsidR="00A26A13" w:rsidRDefault="00726F33" w:rsidP="00FE604C">
      <w:pPr>
        <w:pStyle w:val="ONUMFS"/>
        <w:spacing w:after="0"/>
      </w:pPr>
      <w:r w:rsidRPr="00D849C0">
        <w:t>Cette décision est alignée sur la position, entre autres, des États</w:t>
      </w:r>
      <w:r w:rsidR="001937C9">
        <w:t>-</w:t>
      </w:r>
      <w:r w:rsidRPr="00D849C0">
        <w:t>Unis d</w:t>
      </w:r>
      <w:r w:rsidR="001937C9">
        <w:t>’</w:t>
      </w:r>
      <w:r w:rsidRPr="00D849C0">
        <w:t>Amérique, des</w:t>
      </w:r>
      <w:r w:rsidR="00FE604C">
        <w:t> </w:t>
      </w:r>
      <w:r w:rsidRPr="00D849C0">
        <w:t>États membres de l</w:t>
      </w:r>
      <w:r w:rsidR="001937C9">
        <w:t>’</w:t>
      </w:r>
      <w:r w:rsidRPr="00D849C0">
        <w:t xml:space="preserve">Union européenne et du Japon, </w:t>
      </w:r>
      <w:r w:rsidR="002413A2" w:rsidRPr="00D849C0">
        <w:t>où les procédés biotechnologiques sont globalement brevetables, que le produit final soit vivant ou inanimé.</w:t>
      </w:r>
    </w:p>
    <w:p w:rsidR="00FE604C" w:rsidRPr="00D849C0" w:rsidRDefault="00FE604C" w:rsidP="00FE604C">
      <w:pPr>
        <w:pStyle w:val="ONUMFS"/>
        <w:numPr>
          <w:ilvl w:val="0"/>
          <w:numId w:val="0"/>
        </w:numPr>
        <w:spacing w:after="0"/>
      </w:pPr>
    </w:p>
    <w:p w:rsidR="00C66D7A" w:rsidRDefault="00C66D7A">
      <w:pPr>
        <w:rPr>
          <w:b/>
          <w:bCs/>
          <w:caps/>
          <w:kern w:val="32"/>
          <w:szCs w:val="32"/>
        </w:rPr>
      </w:pPr>
      <w:r>
        <w:br w:type="page"/>
      </w:r>
    </w:p>
    <w:p w:rsidR="00E65C5E" w:rsidRPr="00D849C0" w:rsidRDefault="00E65C5E" w:rsidP="00BD2732">
      <w:pPr>
        <w:pStyle w:val="Heading1"/>
      </w:pPr>
      <w:bookmarkStart w:id="14" w:name="_Toc387060467"/>
      <w:r w:rsidRPr="00D849C0">
        <w:lastRenderedPageBreak/>
        <w:t>III.</w:t>
      </w:r>
      <w:r w:rsidR="00CE7D25" w:rsidRPr="00D849C0">
        <w:tab/>
      </w:r>
      <w:r w:rsidR="00C12DEB" w:rsidRPr="00D849C0">
        <w:t>éléments de flexibilité en rapport avec la brevetabilité, ou l</w:t>
      </w:r>
      <w:r w:rsidR="001937C9">
        <w:t>’</w:t>
      </w:r>
      <w:r w:rsidR="00C12DEB" w:rsidRPr="00D849C0">
        <w:t>exclusion de la brevetabilité, des inventions relatives à des</w:t>
      </w:r>
      <w:r w:rsidR="00C3645D">
        <w:t> </w:t>
      </w:r>
      <w:r w:rsidR="00C12DEB" w:rsidRPr="00D849C0">
        <w:t>logiciels</w:t>
      </w:r>
      <w:bookmarkEnd w:id="14"/>
    </w:p>
    <w:p w:rsidR="00B60A19" w:rsidRPr="00D849C0" w:rsidRDefault="008057B3" w:rsidP="00BD2732">
      <w:pPr>
        <w:pStyle w:val="Heading2"/>
      </w:pPr>
      <w:bookmarkStart w:id="15" w:name="_Toc387060468"/>
      <w:r w:rsidRPr="00D849C0">
        <w:t>A</w:t>
      </w:r>
      <w:r w:rsidR="00466650" w:rsidRPr="00D849C0">
        <w:t>.</w:t>
      </w:r>
      <w:r w:rsidR="00466650" w:rsidRPr="00D849C0">
        <w:tab/>
      </w:r>
      <w:r w:rsidR="00B60A19" w:rsidRPr="00D849C0">
        <w:t>Introduction</w:t>
      </w:r>
      <w:bookmarkEnd w:id="15"/>
    </w:p>
    <w:p w:rsidR="00B60A19" w:rsidRPr="00D849C0" w:rsidRDefault="00B60A19" w:rsidP="00A83989">
      <w:pPr>
        <w:pStyle w:val="ListParagraph"/>
        <w:ind w:left="0"/>
        <w:rPr>
          <w:szCs w:val="22"/>
        </w:rPr>
      </w:pPr>
    </w:p>
    <w:p w:rsidR="00E65C5E" w:rsidRPr="00D849C0" w:rsidRDefault="00742BF3" w:rsidP="00075269">
      <w:pPr>
        <w:pStyle w:val="ONUMFS"/>
      </w:pPr>
      <w:r w:rsidRPr="00D849C0">
        <w:t>La question de savoir</w:t>
      </w:r>
      <w:r w:rsidR="00EA392F" w:rsidRPr="00D849C0">
        <w:t xml:space="preserve"> s</w:t>
      </w:r>
      <w:r w:rsidR="001937C9">
        <w:t>’</w:t>
      </w:r>
      <w:r w:rsidR="00EA392F" w:rsidRPr="00D849C0">
        <w:t xml:space="preserve">il </w:t>
      </w:r>
      <w:r w:rsidR="0052662E">
        <w:t>est possible ou non</w:t>
      </w:r>
      <w:r w:rsidR="00EA392F" w:rsidRPr="00D849C0">
        <w:t xml:space="preserve"> d</w:t>
      </w:r>
      <w:r w:rsidR="001937C9">
        <w:t>’</w:t>
      </w:r>
      <w:r w:rsidR="00EA392F" w:rsidRPr="00D849C0">
        <w:t xml:space="preserve">accorder la protection par brevet </w:t>
      </w:r>
      <w:r w:rsidRPr="00D849C0">
        <w:t>à une invention relative à un logiciel</w:t>
      </w:r>
      <w:r w:rsidR="00EA392F" w:rsidRPr="00D849C0">
        <w:t>, que l</w:t>
      </w:r>
      <w:r w:rsidR="001937C9">
        <w:t>’</w:t>
      </w:r>
      <w:r w:rsidR="00EA392F" w:rsidRPr="00D849C0">
        <w:t>on pourrait définir comme étant une invention contenant des “programmes d</w:t>
      </w:r>
      <w:r w:rsidR="001937C9">
        <w:t>’</w:t>
      </w:r>
      <w:r w:rsidR="00EA392F" w:rsidRPr="00D849C0">
        <w:t xml:space="preserve">ordinateur” ou des “logiciels”, </w:t>
      </w:r>
      <w:r w:rsidR="00B24AD4" w:rsidRPr="00D849C0">
        <w:t>en totalité ou en partie</w:t>
      </w:r>
      <w:r w:rsidR="00E65C5E" w:rsidRPr="00D849C0">
        <w:rPr>
          <w:vertAlign w:val="superscript"/>
        </w:rPr>
        <w:footnoteReference w:id="54"/>
      </w:r>
      <w:r w:rsidR="004C0CBB" w:rsidRPr="00D849C0">
        <w:t>, a été</w:t>
      </w:r>
      <w:r w:rsidR="00592718" w:rsidRPr="00D849C0">
        <w:t xml:space="preserve"> source d</w:t>
      </w:r>
      <w:r w:rsidR="001937C9">
        <w:t>’</w:t>
      </w:r>
      <w:r w:rsidR="00592718" w:rsidRPr="00D849C0">
        <w:t>intérêt et de débat politique</w:t>
      </w:r>
      <w:r w:rsidR="004C0CBB" w:rsidRPr="00D849C0">
        <w:t xml:space="preserve"> dans le monde entier</w:t>
      </w:r>
      <w:r w:rsidR="00E65C5E" w:rsidRPr="00D849C0">
        <w:rPr>
          <w:vertAlign w:val="superscript"/>
        </w:rPr>
        <w:footnoteReference w:id="55"/>
      </w:r>
      <w:r w:rsidR="004C0CBB" w:rsidRPr="00D849C0">
        <w:t>.</w:t>
      </w:r>
      <w:r w:rsidR="00592718" w:rsidRPr="00D849C0">
        <w:t xml:space="preserve">  </w:t>
      </w:r>
      <w:r w:rsidR="00D164A1" w:rsidRPr="00D849C0">
        <w:t>Les difficultés auxquelles se heurtent les</w:t>
      </w:r>
      <w:r w:rsidR="00CB19BC">
        <w:t> </w:t>
      </w:r>
      <w:r w:rsidR="00D164A1" w:rsidRPr="00D849C0">
        <w:t>inventions relatives à des logiciels tiennent en partie au fait qu</w:t>
      </w:r>
      <w:r w:rsidR="001937C9">
        <w:t>’</w:t>
      </w:r>
      <w:r w:rsidR="00D164A1" w:rsidRPr="00D849C0">
        <w:t>un programme d</w:t>
      </w:r>
      <w:r w:rsidR="001937C9">
        <w:t>’</w:t>
      </w:r>
      <w:r w:rsidR="00D164A1" w:rsidRPr="00D849C0">
        <w:t xml:space="preserve">ordinateur ressemble beaucoup </w:t>
      </w:r>
      <w:r w:rsidR="008958DC" w:rsidRPr="00D849C0">
        <w:t>à une méthode mathématique ou à un algorithme</w:t>
      </w:r>
      <w:r w:rsidR="0009224E" w:rsidRPr="00D849C0">
        <w:t>, ou encore, peut être considéré comme un proc</w:t>
      </w:r>
      <w:r w:rsidR="00812125" w:rsidRPr="00D849C0">
        <w:t xml:space="preserve">édé </w:t>
      </w:r>
      <w:r w:rsidR="0009224E" w:rsidRPr="00D849C0">
        <w:t>mental ou un</w:t>
      </w:r>
      <w:r w:rsidR="00812125" w:rsidRPr="00D849C0">
        <w:t xml:space="preserve"> concept</w:t>
      </w:r>
      <w:r w:rsidR="0009224E" w:rsidRPr="00D849C0">
        <w:t xml:space="preserve"> abstrait</w:t>
      </w:r>
      <w:r w:rsidR="00812125" w:rsidRPr="00D849C0">
        <w:t xml:space="preserve">, </w:t>
      </w:r>
      <w:r w:rsidR="00443E6A" w:rsidRPr="00D849C0">
        <w:t xml:space="preserve">lesquels </w:t>
      </w:r>
      <w:r w:rsidR="001B36EB" w:rsidRPr="00D849C0">
        <w:t>constituent</w:t>
      </w:r>
      <w:r w:rsidR="00443E6A" w:rsidRPr="00D849C0">
        <w:t xml:space="preserve"> tous deux</w:t>
      </w:r>
      <w:r w:rsidR="00CB19BC">
        <w:t xml:space="preserve"> </w:t>
      </w:r>
      <w:r w:rsidR="001B36EB" w:rsidRPr="00D849C0">
        <w:t>des</w:t>
      </w:r>
      <w:r w:rsidR="00CB19BC">
        <w:t> </w:t>
      </w:r>
      <w:r w:rsidR="001B36EB" w:rsidRPr="00D849C0">
        <w:t xml:space="preserve">matières </w:t>
      </w:r>
      <w:r w:rsidR="00036D3C" w:rsidRPr="00D849C0">
        <w:t xml:space="preserve">généralement </w:t>
      </w:r>
      <w:r w:rsidR="00443E6A" w:rsidRPr="00D849C0">
        <w:t>exclu</w:t>
      </w:r>
      <w:r w:rsidR="001B36EB" w:rsidRPr="00D849C0">
        <w:t>e</w:t>
      </w:r>
      <w:r w:rsidR="00443E6A" w:rsidRPr="00D849C0">
        <w:t>s de la protection par brevet</w:t>
      </w:r>
      <w:r w:rsidR="00E65C5E" w:rsidRPr="00D849C0">
        <w:rPr>
          <w:vertAlign w:val="superscript"/>
        </w:rPr>
        <w:footnoteReference w:id="56"/>
      </w:r>
      <w:r w:rsidR="001B36EB" w:rsidRPr="00D849C0">
        <w:t>.</w:t>
      </w:r>
      <w:r w:rsidR="0047235A" w:rsidRPr="00D849C0">
        <w:t xml:space="preserve">  Une autre raison fréquemment avancée par les </w:t>
      </w:r>
      <w:r w:rsidR="00331043" w:rsidRPr="00D849C0">
        <w:t>décideurs</w:t>
      </w:r>
      <w:r w:rsidR="00346215" w:rsidRPr="00D849C0">
        <w:t xml:space="preserve"> est qu</w:t>
      </w:r>
      <w:r w:rsidR="001937C9">
        <w:t>’</w:t>
      </w:r>
      <w:r w:rsidR="00346215" w:rsidRPr="00D849C0">
        <w:t>un programme d</w:t>
      </w:r>
      <w:r w:rsidR="001937C9">
        <w:t>’</w:t>
      </w:r>
      <w:r w:rsidR="00346215" w:rsidRPr="00D849C0">
        <w:t>ordinateur n</w:t>
      </w:r>
      <w:r w:rsidR="001937C9">
        <w:t>’</w:t>
      </w:r>
      <w:r w:rsidR="00346215" w:rsidRPr="00D849C0">
        <w:t xml:space="preserve">est pas une </w:t>
      </w:r>
      <w:r w:rsidR="003D7DAE" w:rsidRPr="00D849C0">
        <w:t>“</w:t>
      </w:r>
      <w:r w:rsidR="00E65C5E" w:rsidRPr="00D849C0">
        <w:t>invention</w:t>
      </w:r>
      <w:r w:rsidR="003D7DAE" w:rsidRPr="00D849C0">
        <w:t>”</w:t>
      </w:r>
      <w:r w:rsidR="00E65C5E" w:rsidRPr="00D849C0">
        <w:t xml:space="preserve"> </w:t>
      </w:r>
      <w:r w:rsidR="00346215" w:rsidRPr="00D849C0">
        <w:t>au sens du droit, parce qu</w:t>
      </w:r>
      <w:r w:rsidR="001937C9">
        <w:t>’</w:t>
      </w:r>
      <w:r w:rsidR="00346215" w:rsidRPr="00D849C0">
        <w:t xml:space="preserve">il </w:t>
      </w:r>
      <w:r w:rsidR="00286407" w:rsidRPr="00D849C0">
        <w:t>n</w:t>
      </w:r>
      <w:r w:rsidR="001937C9">
        <w:t>’</w:t>
      </w:r>
      <w:r w:rsidR="00346215" w:rsidRPr="00D849C0">
        <w:t xml:space="preserve">entre dans aucune des catégories </w:t>
      </w:r>
      <w:r w:rsidR="00286407" w:rsidRPr="00D849C0">
        <w:t>définies à cet égard par les textes législatifs</w:t>
      </w:r>
      <w:r w:rsidR="00E65C5E" w:rsidRPr="00D849C0">
        <w:rPr>
          <w:vertAlign w:val="superscript"/>
        </w:rPr>
        <w:footnoteReference w:id="57"/>
      </w:r>
      <w:r w:rsidR="00E65C5E" w:rsidRPr="00D849C0">
        <w:t xml:space="preserve"> </w:t>
      </w:r>
      <w:r w:rsidR="00027B52" w:rsidRPr="00D849C0">
        <w:t>ou parce qu</w:t>
      </w:r>
      <w:r w:rsidR="001937C9">
        <w:t>’</w:t>
      </w:r>
      <w:r w:rsidR="00027B52" w:rsidRPr="00D849C0">
        <w:t xml:space="preserve">il </w:t>
      </w:r>
      <w:r w:rsidR="0052662E">
        <w:t>est dépourvu</w:t>
      </w:r>
      <w:r w:rsidR="00B8205F" w:rsidRPr="00D849C0">
        <w:t xml:space="preserve"> de caractère technique</w:t>
      </w:r>
      <w:r w:rsidR="00E65C5E" w:rsidRPr="00D849C0">
        <w:rPr>
          <w:vertAlign w:val="superscript"/>
        </w:rPr>
        <w:footnoteReference w:id="58"/>
      </w:r>
      <w:r w:rsidR="00027B52" w:rsidRPr="00D849C0">
        <w:t>.</w:t>
      </w:r>
    </w:p>
    <w:p w:rsidR="00E65C5E" w:rsidRPr="00D849C0" w:rsidRDefault="001E39A3" w:rsidP="00075269">
      <w:pPr>
        <w:pStyle w:val="ONUMFS"/>
      </w:pPr>
      <w:r w:rsidRPr="00D849C0">
        <w:t>Cette situation a toutefois changé graduellement, à mesure du développement de l</w:t>
      </w:r>
      <w:r w:rsidR="001937C9">
        <w:t>’</w:t>
      </w:r>
      <w:r w:rsidRPr="00D849C0">
        <w:t>informatique et de la croissance de l</w:t>
      </w:r>
      <w:r w:rsidR="001937C9">
        <w:t>’</w:t>
      </w:r>
      <w:r w:rsidRPr="00D849C0">
        <w:t>industrie des logiciels.</w:t>
      </w:r>
      <w:r w:rsidR="00A04AEE" w:rsidRPr="00D849C0">
        <w:t xml:space="preserve">  De nombreux pays ont élargi l</w:t>
      </w:r>
      <w:r w:rsidR="0052662E">
        <w:t>e</w:t>
      </w:r>
      <w:r w:rsidR="00CB19BC">
        <w:t> </w:t>
      </w:r>
      <w:r w:rsidR="0052662E">
        <w:t xml:space="preserve">champ de la brevetabilité </w:t>
      </w:r>
      <w:r w:rsidR="00A04AEE" w:rsidRPr="00D849C0">
        <w:t>dans ce domaine en réponse à l</w:t>
      </w:r>
      <w:r w:rsidR="001937C9">
        <w:t>’</w:t>
      </w:r>
      <w:r w:rsidR="00A04AEE" w:rsidRPr="00D849C0">
        <w:t>augmentation de l</w:t>
      </w:r>
      <w:r w:rsidR="001937C9">
        <w:t>’</w:t>
      </w:r>
      <w:r w:rsidR="00A04AEE" w:rsidRPr="00D849C0">
        <w:t xml:space="preserve">importance économique des </w:t>
      </w:r>
      <w:r w:rsidR="006C7BD8" w:rsidRPr="00D849C0">
        <w:t>programmes d</w:t>
      </w:r>
      <w:r w:rsidR="001937C9">
        <w:t>’</w:t>
      </w:r>
      <w:r w:rsidR="006C7BD8" w:rsidRPr="00D849C0">
        <w:t>ordinateur</w:t>
      </w:r>
      <w:r w:rsidR="00A04AEE" w:rsidRPr="00D849C0">
        <w:t xml:space="preserve"> et aux efforts de l</w:t>
      </w:r>
      <w:r w:rsidR="001937C9">
        <w:t>’</w:t>
      </w:r>
      <w:r w:rsidR="00A04AEE" w:rsidRPr="00D849C0">
        <w:t xml:space="preserve">industrie pour obtenir la protection par brevet </w:t>
      </w:r>
      <w:r w:rsidR="00206982" w:rsidRPr="00D849C0">
        <w:t>d</w:t>
      </w:r>
      <w:r w:rsidR="001937C9">
        <w:t>’</w:t>
      </w:r>
      <w:r w:rsidR="00206982" w:rsidRPr="00D849C0">
        <w:t>inventions relatives</w:t>
      </w:r>
      <w:r w:rsidR="00A04AEE" w:rsidRPr="00D849C0">
        <w:t xml:space="preserve"> à des logiciels, en clarifiant ou en modifiant</w:t>
      </w:r>
      <w:r w:rsidR="00206982" w:rsidRPr="00D849C0">
        <w:t xml:space="preserve"> les conditions qu</w:t>
      </w:r>
      <w:r w:rsidR="00E6465F" w:rsidRPr="00D849C0">
        <w:t>e ces dernières</w:t>
      </w:r>
      <w:r w:rsidR="00206982" w:rsidRPr="00D849C0">
        <w:t xml:space="preserve"> devaient remplir pour </w:t>
      </w:r>
      <w:r w:rsidR="00F61804" w:rsidRPr="00D849C0">
        <w:t>constituer</w:t>
      </w:r>
      <w:r w:rsidR="00E7741B" w:rsidRPr="00D849C0">
        <w:t xml:space="preserve"> des </w:t>
      </w:r>
      <w:r w:rsidR="003D7DAE" w:rsidRPr="00D849C0">
        <w:t>“</w:t>
      </w:r>
      <w:r w:rsidR="00E65C5E" w:rsidRPr="00D849C0">
        <w:t>invention</w:t>
      </w:r>
      <w:r w:rsidR="00E7741B" w:rsidRPr="00D849C0">
        <w:t>s</w:t>
      </w:r>
      <w:r w:rsidR="003D7DAE" w:rsidRPr="00D849C0">
        <w:t>”</w:t>
      </w:r>
      <w:r w:rsidR="00E65C5E" w:rsidRPr="00D849C0">
        <w:t xml:space="preserve">.  </w:t>
      </w:r>
      <w:r w:rsidR="00894764" w:rsidRPr="00D849C0">
        <w:t>Ces changements</w:t>
      </w:r>
      <w:r w:rsidR="0033344D" w:rsidRPr="00D849C0">
        <w:t xml:space="preserve"> diffèrent d</w:t>
      </w:r>
      <w:r w:rsidR="001937C9">
        <w:t>’</w:t>
      </w:r>
      <w:r w:rsidR="0033344D" w:rsidRPr="00D849C0">
        <w:t>un pays à l</w:t>
      </w:r>
      <w:r w:rsidR="001937C9">
        <w:t>’</w:t>
      </w:r>
      <w:r w:rsidR="0033344D" w:rsidRPr="00D849C0">
        <w:t>autre</w:t>
      </w:r>
      <w:r w:rsidR="0033344D" w:rsidRPr="00D849C0">
        <w:rPr>
          <w:vertAlign w:val="superscript"/>
        </w:rPr>
        <w:footnoteReference w:id="59"/>
      </w:r>
      <w:r w:rsidR="0033344D" w:rsidRPr="00D849C0">
        <w:t xml:space="preserve">, dans la mesure où ils se sont </w:t>
      </w:r>
      <w:r w:rsidR="00894764" w:rsidRPr="00D849C0">
        <w:t>effectués de manière indépendante en fonction de la jurisprudence ou des directives administratives de cha</w:t>
      </w:r>
      <w:r w:rsidR="0033344D" w:rsidRPr="00D849C0">
        <w:t>cun</w:t>
      </w:r>
      <w:r w:rsidR="00E65C5E" w:rsidRPr="00D849C0">
        <w:rPr>
          <w:vertAlign w:val="superscript"/>
        </w:rPr>
        <w:footnoteReference w:id="60"/>
      </w:r>
      <w:r w:rsidR="009D26E8" w:rsidRPr="00D849C0">
        <w:t>.</w:t>
      </w:r>
    </w:p>
    <w:p w:rsidR="00B60A19" w:rsidRPr="00D849C0" w:rsidRDefault="00B540BD" w:rsidP="00075269">
      <w:pPr>
        <w:pStyle w:val="ONUMFS"/>
      </w:pPr>
      <w:r w:rsidRPr="00D849C0">
        <w:t xml:space="preserve">Les </w:t>
      </w:r>
      <w:r w:rsidR="006C4924" w:rsidRPr="00D849C0">
        <w:t xml:space="preserve">partisans de la brevetabilité des inventions relatives à des logiciels </w:t>
      </w:r>
      <w:r w:rsidR="003A15E5" w:rsidRPr="00D849C0">
        <w:t>estiment</w:t>
      </w:r>
      <w:r w:rsidR="006C4924" w:rsidRPr="00D849C0">
        <w:t xml:space="preserve"> </w:t>
      </w:r>
      <w:r w:rsidR="004958CA" w:rsidRPr="00D849C0">
        <w:t>qu</w:t>
      </w:r>
      <w:r w:rsidR="001937C9">
        <w:t>’</w:t>
      </w:r>
      <w:r w:rsidR="004958CA" w:rsidRPr="00D849C0">
        <w:t xml:space="preserve">il est inadéquat de protéger les </w:t>
      </w:r>
      <w:r w:rsidR="006C7BD8" w:rsidRPr="00D849C0">
        <w:t>programmes d</w:t>
      </w:r>
      <w:r w:rsidR="001937C9">
        <w:t>’</w:t>
      </w:r>
      <w:r w:rsidR="006C7BD8" w:rsidRPr="00D849C0">
        <w:t>ordinateur</w:t>
      </w:r>
      <w:r w:rsidR="004958CA" w:rsidRPr="00D849C0">
        <w:t xml:space="preserve"> par le droit d</w:t>
      </w:r>
      <w:r w:rsidR="001937C9">
        <w:t>’</w:t>
      </w:r>
      <w:r w:rsidR="004958CA" w:rsidRPr="00D849C0">
        <w:t>auteur ou au titre des secrets d</w:t>
      </w:r>
      <w:r w:rsidR="001937C9">
        <w:t>’</w:t>
      </w:r>
      <w:r w:rsidR="004958CA" w:rsidRPr="00D849C0">
        <w:t>affaires</w:t>
      </w:r>
      <w:r w:rsidR="00577A90">
        <w:t>,</w:t>
      </w:r>
      <w:r w:rsidR="004958CA" w:rsidRPr="00D849C0">
        <w:t xml:space="preserve"> et que les inventions relatives à des logiciels devraient être brevetables</w:t>
      </w:r>
      <w:r w:rsidR="003A15E5" w:rsidRPr="00D849C0">
        <w:t>,</w:t>
      </w:r>
      <w:r w:rsidR="004958CA" w:rsidRPr="00D849C0">
        <w:t xml:space="preserve"> afin de </w:t>
      </w:r>
      <w:r w:rsidR="004958CA" w:rsidRPr="00D849C0">
        <w:lastRenderedPageBreak/>
        <w:t xml:space="preserve">favoriser </w:t>
      </w:r>
      <w:r w:rsidR="003A15E5" w:rsidRPr="00D849C0">
        <w:t>le progrès dans l</w:t>
      </w:r>
      <w:r w:rsidR="001937C9">
        <w:t>’</w:t>
      </w:r>
      <w:r w:rsidR="003A15E5" w:rsidRPr="00D849C0">
        <w:t>industrie des logiciels</w:t>
      </w:r>
      <w:r w:rsidR="00B60A19" w:rsidRPr="00D849C0">
        <w:rPr>
          <w:vertAlign w:val="superscript"/>
        </w:rPr>
        <w:footnoteReference w:id="61"/>
      </w:r>
      <w:r w:rsidR="003A15E5" w:rsidRPr="00D849C0">
        <w:t>.</w:t>
      </w:r>
      <w:r w:rsidR="00B60A19" w:rsidRPr="00D849C0">
        <w:t xml:space="preserve">  </w:t>
      </w:r>
      <w:r w:rsidR="001C4BDF" w:rsidRPr="00D849C0">
        <w:t>D</w:t>
      </w:r>
      <w:r w:rsidR="001937C9">
        <w:t>’</w:t>
      </w:r>
      <w:r w:rsidR="001C4BDF" w:rsidRPr="00D849C0">
        <w:t>autres font également valoir que</w:t>
      </w:r>
      <w:r w:rsidR="005C7F17" w:rsidRPr="00D849C0">
        <w:t xml:space="preserve"> le fait de détenir des brevets sur des inventions logicielles pourrait permettre aux petites et moyennes entreprises (PME) de mieux </w:t>
      </w:r>
      <w:r w:rsidR="00577A90">
        <w:t xml:space="preserve">éviter que </w:t>
      </w:r>
      <w:r w:rsidR="005C7F17" w:rsidRPr="00D849C0">
        <w:t>leurs concurrents plus importants</w:t>
      </w:r>
      <w:r w:rsidR="00C77ED8" w:rsidRPr="00D849C0">
        <w:t xml:space="preserve"> </w:t>
      </w:r>
      <w:r w:rsidR="00577A90">
        <w:t>ne</w:t>
      </w:r>
      <w:r w:rsidR="00C77ED8" w:rsidRPr="00D849C0">
        <w:t xml:space="preserve"> </w:t>
      </w:r>
      <w:r w:rsidR="006900D7">
        <w:t>tirent profit de</w:t>
      </w:r>
      <w:r w:rsidR="00C77ED8" w:rsidRPr="00D849C0">
        <w:t xml:space="preserve"> leurs innovations ou d</w:t>
      </w:r>
      <w:r w:rsidR="001937C9">
        <w:t>’</w:t>
      </w:r>
      <w:r w:rsidR="00C77ED8" w:rsidRPr="00D849C0">
        <w:t>attirer des investissements de capital</w:t>
      </w:r>
      <w:r w:rsidR="001937C9">
        <w:t>-</w:t>
      </w:r>
      <w:r w:rsidR="00C77ED8" w:rsidRPr="00D849C0">
        <w:t>risque</w:t>
      </w:r>
      <w:r w:rsidR="00B60A19" w:rsidRPr="00D849C0">
        <w:rPr>
          <w:vertAlign w:val="superscript"/>
        </w:rPr>
        <w:footnoteReference w:id="62"/>
      </w:r>
      <w:r w:rsidR="00B509EC" w:rsidRPr="00D849C0">
        <w:t>.</w:t>
      </w:r>
    </w:p>
    <w:p w:rsidR="00B60A19" w:rsidRPr="00D849C0" w:rsidRDefault="00D946FC" w:rsidP="00075269">
      <w:pPr>
        <w:pStyle w:val="ONUMFS"/>
      </w:pPr>
      <w:r w:rsidRPr="00D849C0">
        <w:t xml:space="preserve">Les opposants </w:t>
      </w:r>
      <w:r w:rsidR="00DF43DB" w:rsidRPr="00D849C0">
        <w:t>répond</w:t>
      </w:r>
      <w:r w:rsidR="006F529F" w:rsidRPr="00D849C0">
        <w:t>ent qu</w:t>
      </w:r>
      <w:r w:rsidR="001937C9">
        <w:t>’</w:t>
      </w:r>
      <w:r w:rsidR="006F529F" w:rsidRPr="00D849C0">
        <w:t>il existe</w:t>
      </w:r>
      <w:r w:rsidR="00916F03">
        <w:t>,</w:t>
      </w:r>
      <w:r w:rsidR="006F529F" w:rsidRPr="00D849C0">
        <w:t xml:space="preserve"> dans l</w:t>
      </w:r>
      <w:r w:rsidR="001937C9">
        <w:t>’</w:t>
      </w:r>
      <w:r w:rsidR="006F529F" w:rsidRPr="00D849C0">
        <w:t>industrie des logiciels</w:t>
      </w:r>
      <w:r w:rsidR="004C6837" w:rsidRPr="00D849C0">
        <w:t>, dans laquelle on peut constater d</w:t>
      </w:r>
      <w:r w:rsidR="001937C9">
        <w:t>’</w:t>
      </w:r>
      <w:r w:rsidR="004C6837" w:rsidRPr="00D849C0">
        <w:t xml:space="preserve">importants </w:t>
      </w:r>
      <w:r w:rsidR="004C6837" w:rsidRPr="00D849C0">
        <w:rPr>
          <w:i/>
        </w:rPr>
        <w:t>effets de réseau</w:t>
      </w:r>
      <w:r w:rsidR="004C6837" w:rsidRPr="00D849C0">
        <w:t>,</w:t>
      </w:r>
      <w:r w:rsidR="006F529F" w:rsidRPr="00D849C0">
        <w:t xml:space="preserve"> une tendance naturelle à la création de monopoles en raison d</w:t>
      </w:r>
      <w:r w:rsidR="001937C9">
        <w:t>’</w:t>
      </w:r>
      <w:r w:rsidR="006F529F" w:rsidRPr="00D849C0">
        <w:t>un besoin de standardisation</w:t>
      </w:r>
      <w:r w:rsidR="004C6837" w:rsidRPr="00D849C0">
        <w:t>, et que les brevets peuvent intensifier ces effets de réseau, en réduisant du même coup la concurrence</w:t>
      </w:r>
      <w:r w:rsidR="00B60A19" w:rsidRPr="00D849C0">
        <w:rPr>
          <w:vertAlign w:val="superscript"/>
        </w:rPr>
        <w:footnoteReference w:id="63"/>
      </w:r>
      <w:r w:rsidR="004C6837" w:rsidRPr="00D849C0">
        <w:t>.</w:t>
      </w:r>
      <w:r w:rsidR="00446B2E" w:rsidRPr="00D849C0">
        <w:t xml:space="preserve">  </w:t>
      </w:r>
      <w:r w:rsidR="00DF43DB" w:rsidRPr="00D849C0">
        <w:t>Certains opposants reconnaissent toutefois que les inventeurs pourraient s</w:t>
      </w:r>
      <w:r w:rsidR="001937C9">
        <w:t>’</w:t>
      </w:r>
      <w:r w:rsidR="00DF43DB" w:rsidRPr="00D849C0">
        <w:t xml:space="preserve">abstenir de breveter leurs inventions parce que les brevets pourraient empêcher le développement de ces </w:t>
      </w:r>
      <w:r w:rsidR="00446B2E" w:rsidRPr="00D849C0">
        <w:t>“</w:t>
      </w:r>
      <w:r w:rsidR="00DF43DB" w:rsidRPr="00D849C0">
        <w:t>réseaux</w:t>
      </w:r>
      <w:r w:rsidR="00446B2E" w:rsidRPr="00D849C0">
        <w:t>”</w:t>
      </w:r>
      <w:r w:rsidR="00DF43DB" w:rsidRPr="00D849C0">
        <w:t xml:space="preserve"> si lucratifs</w:t>
      </w:r>
      <w:r w:rsidR="00446B2E" w:rsidRPr="00D849C0">
        <w:t>.</w:t>
      </w:r>
      <w:r w:rsidR="00DF43DB" w:rsidRPr="00D849C0">
        <w:t xml:space="preserve">  </w:t>
      </w:r>
      <w:r w:rsidR="00C353B0" w:rsidRPr="00D849C0">
        <w:t>D</w:t>
      </w:r>
      <w:r w:rsidR="001937C9">
        <w:t>’</w:t>
      </w:r>
      <w:r w:rsidR="00C353B0" w:rsidRPr="00D849C0">
        <w:t>autres avancent que la protection par brevet des inventions relatives à des logiciels</w:t>
      </w:r>
      <w:r w:rsidR="001156AE" w:rsidRPr="00D849C0">
        <w:t xml:space="preserve"> pourrait entraîner des conséquences négatives pour</w:t>
      </w:r>
      <w:r w:rsidR="001937C9" w:rsidRPr="00D849C0">
        <w:t xml:space="preserve"> les</w:t>
      </w:r>
      <w:r w:rsidR="001937C9">
        <w:t> </w:t>
      </w:r>
      <w:r w:rsidR="001937C9" w:rsidRPr="00D849C0">
        <w:t>PME</w:t>
      </w:r>
      <w:r w:rsidR="001156AE" w:rsidRPr="00D849C0">
        <w:t xml:space="preserve"> et les concepteurs de logiciels libres, dont les produits innovants sont souvent conçus d</w:t>
      </w:r>
      <w:r w:rsidR="001937C9">
        <w:t>’</w:t>
      </w:r>
      <w:r w:rsidR="001156AE" w:rsidRPr="00D849C0">
        <w:t xml:space="preserve">une manière telle que </w:t>
      </w:r>
      <w:r w:rsidR="000B1189" w:rsidRPr="00D849C0">
        <w:t>la mise en place de systèmes administratifs coûteux en temps et en argent constituerait pour eux un obstacle à la commercialisation</w:t>
      </w:r>
      <w:r w:rsidR="00B60A19" w:rsidRPr="00D849C0">
        <w:rPr>
          <w:vertAlign w:val="superscript"/>
        </w:rPr>
        <w:footnoteReference w:id="64"/>
      </w:r>
      <w:r w:rsidR="000B1189" w:rsidRPr="00D849C0">
        <w:t>.</w:t>
      </w:r>
      <w:r w:rsidR="00B60A19" w:rsidRPr="00D849C0">
        <w:t xml:space="preserve"> </w:t>
      </w:r>
      <w:r w:rsidR="00F7138C" w:rsidRPr="00D849C0">
        <w:t xml:space="preserve"> Le manque de ressources des offices de </w:t>
      </w:r>
      <w:r w:rsidR="005D43EC" w:rsidRPr="00D849C0">
        <w:t>brevet</w:t>
      </w:r>
      <w:r w:rsidR="005D43EC">
        <w:t>s</w:t>
      </w:r>
      <w:r w:rsidR="00F7138C" w:rsidRPr="00D849C0">
        <w:t xml:space="preserve"> pour examiner les inventions relatives à des logiciels</w:t>
      </w:r>
      <w:r w:rsidR="009C14BC" w:rsidRPr="00D849C0">
        <w:t xml:space="preserve"> et</w:t>
      </w:r>
      <w:r w:rsidR="002943C7" w:rsidRPr="00D849C0">
        <w:t xml:space="preserve"> les limitations </w:t>
      </w:r>
      <w:r w:rsidR="00DC5164" w:rsidRPr="00D849C0">
        <w:t xml:space="preserve">concernant les </w:t>
      </w:r>
      <w:r w:rsidR="002943C7" w:rsidRPr="00D849C0">
        <w:t>éléments de</w:t>
      </w:r>
      <w:r w:rsidR="009C14BC" w:rsidRPr="00D849C0">
        <w:t xml:space="preserve"> l</w:t>
      </w:r>
      <w:r w:rsidR="001937C9">
        <w:t>’</w:t>
      </w:r>
      <w:r w:rsidR="009C14BC" w:rsidRPr="00D849C0">
        <w:t>état de la technique (</w:t>
      </w:r>
      <w:r w:rsidR="00DC5164" w:rsidRPr="00D849C0">
        <w:t>par exemple des produits ou des programmes impossibles à trouver par</w:t>
      </w:r>
      <w:r w:rsidR="00852D50" w:rsidRPr="00D849C0">
        <w:t xml:space="preserve"> les méthodes conventionnelles de recherche d</w:t>
      </w:r>
      <w:r w:rsidR="001937C9">
        <w:t>’</w:t>
      </w:r>
      <w:r w:rsidR="00852D50" w:rsidRPr="00D849C0">
        <w:t>antériorités) ont également été invoqués</w:t>
      </w:r>
      <w:r w:rsidR="00984A1D" w:rsidRPr="00D849C0">
        <w:t xml:space="preserve"> </w:t>
      </w:r>
      <w:r w:rsidR="00924243" w:rsidRPr="00D849C0">
        <w:t>à l</w:t>
      </w:r>
      <w:r w:rsidR="001937C9">
        <w:t>’</w:t>
      </w:r>
      <w:r w:rsidR="00924243" w:rsidRPr="00D849C0">
        <w:t>appui de la thèse des opposants à la protection par brevet des logiciels</w:t>
      </w:r>
      <w:r w:rsidR="00B60A19" w:rsidRPr="00D849C0">
        <w:rPr>
          <w:vertAlign w:val="superscript"/>
        </w:rPr>
        <w:footnoteReference w:id="65"/>
      </w:r>
      <w:r w:rsidR="00924243" w:rsidRPr="00D849C0">
        <w:t>.</w:t>
      </w:r>
    </w:p>
    <w:p w:rsidR="00E65C5E" w:rsidRPr="00D849C0" w:rsidRDefault="008057B3" w:rsidP="00BD2732">
      <w:pPr>
        <w:pStyle w:val="Heading2"/>
      </w:pPr>
      <w:bookmarkStart w:id="16" w:name="_Toc387060469"/>
      <w:r w:rsidRPr="00D849C0">
        <w:t>B</w:t>
      </w:r>
      <w:r w:rsidR="00162F8A" w:rsidRPr="00D849C0">
        <w:t>.</w:t>
      </w:r>
      <w:r w:rsidR="00162F8A" w:rsidRPr="00D849C0">
        <w:tab/>
      </w:r>
      <w:r w:rsidR="006C7BD8" w:rsidRPr="00D849C0">
        <w:t>Le cadre juridique international</w:t>
      </w:r>
      <w:bookmarkEnd w:id="16"/>
    </w:p>
    <w:p w:rsidR="00E65C5E" w:rsidRPr="00D849C0" w:rsidRDefault="00E65C5E" w:rsidP="00A83989">
      <w:pPr>
        <w:rPr>
          <w:szCs w:val="22"/>
        </w:rPr>
      </w:pPr>
    </w:p>
    <w:p w:rsidR="00E65C5E" w:rsidRPr="00D849C0" w:rsidRDefault="0042763A" w:rsidP="00916F03">
      <w:pPr>
        <w:pStyle w:val="ONUMFS"/>
      </w:pPr>
      <w:r w:rsidRPr="00D849C0">
        <w:t>L</w:t>
      </w:r>
      <w:r w:rsidR="001937C9">
        <w:t>’</w:t>
      </w:r>
      <w:r w:rsidR="00CA7E15">
        <w:t>A</w:t>
      </w:r>
      <w:r w:rsidRPr="00D849C0">
        <w:t>ccord sur</w:t>
      </w:r>
      <w:r w:rsidR="001937C9" w:rsidRPr="00D849C0">
        <w:t xml:space="preserve"> les</w:t>
      </w:r>
      <w:r w:rsidR="001937C9">
        <w:t> </w:t>
      </w:r>
      <w:r w:rsidR="001937C9" w:rsidRPr="00D849C0">
        <w:t>ADP</w:t>
      </w:r>
      <w:r w:rsidRPr="00D849C0">
        <w:t>IC ne contient aucune disposition concernant</w:t>
      </w:r>
      <w:r w:rsidR="00791A07" w:rsidRPr="00D849C0">
        <w:t xml:space="preserve"> spécifique</w:t>
      </w:r>
      <w:r w:rsidR="00791A07">
        <w:t>ment</w:t>
      </w:r>
      <w:r w:rsidRPr="00D849C0">
        <w:t xml:space="preserve"> la brevetabilité des inventions relatives à des logiciels, </w:t>
      </w:r>
      <w:r w:rsidR="000E52B8">
        <w:t xml:space="preserve">bien </w:t>
      </w:r>
      <w:r w:rsidRPr="00D849C0">
        <w:t>qu</w:t>
      </w:r>
      <w:r w:rsidR="001937C9">
        <w:t>’</w:t>
      </w:r>
      <w:r w:rsidRPr="00D849C0">
        <w:t>il soit précisé dans son article</w:t>
      </w:r>
      <w:r w:rsidR="005D43EC">
        <w:t> </w:t>
      </w:r>
      <w:r w:rsidRPr="00D849C0">
        <w:t>10.1 que les États membres ont l</w:t>
      </w:r>
      <w:r w:rsidR="001937C9">
        <w:t>’</w:t>
      </w:r>
      <w:r w:rsidRPr="00D849C0">
        <w:t>obligation</w:t>
      </w:r>
      <w:r w:rsidR="00DD0483" w:rsidRPr="00D849C0">
        <w:t xml:space="preserve"> de protéger les programmes d</w:t>
      </w:r>
      <w:r w:rsidR="001937C9">
        <w:t>’</w:t>
      </w:r>
      <w:r w:rsidR="00DD0483" w:rsidRPr="00D849C0">
        <w:t>ordinateur en vertu du droit d</w:t>
      </w:r>
      <w:r w:rsidR="001937C9">
        <w:t>’</w:t>
      </w:r>
      <w:r w:rsidR="00DD0483" w:rsidRPr="00D849C0">
        <w:t>auteur</w:t>
      </w:r>
      <w:r w:rsidR="00E65C5E" w:rsidRPr="00D849C0">
        <w:rPr>
          <w:vertAlign w:val="superscript"/>
        </w:rPr>
        <w:footnoteReference w:id="66"/>
      </w:r>
      <w:r w:rsidR="00DD0483" w:rsidRPr="00D849C0">
        <w:t>.</w:t>
      </w:r>
      <w:r w:rsidR="00E65C5E" w:rsidRPr="00D849C0">
        <w:t xml:space="preserve">  </w:t>
      </w:r>
      <w:r w:rsidR="00DD0483" w:rsidRPr="00D849C0">
        <w:t>L</w:t>
      </w:r>
      <w:r w:rsidR="001937C9">
        <w:t>’</w:t>
      </w:r>
      <w:r w:rsidR="00DD0483" w:rsidRPr="00D849C0">
        <w:t>a</w:t>
      </w:r>
      <w:r w:rsidR="00E65C5E" w:rsidRPr="00D849C0">
        <w:t>rticle</w:t>
      </w:r>
      <w:r w:rsidR="005D43EC">
        <w:t> </w:t>
      </w:r>
      <w:r w:rsidR="00E65C5E" w:rsidRPr="00D849C0">
        <w:t>27</w:t>
      </w:r>
      <w:r w:rsidR="00A3638B" w:rsidRPr="00D849C0">
        <w:t>.</w:t>
      </w:r>
      <w:r w:rsidR="00E65C5E" w:rsidRPr="00D849C0">
        <w:t>1</w:t>
      </w:r>
      <w:r w:rsidR="00DD0483" w:rsidRPr="00D849C0">
        <w:t>) de l</w:t>
      </w:r>
      <w:r w:rsidR="001937C9">
        <w:t>’</w:t>
      </w:r>
      <w:r w:rsidR="00DD0483" w:rsidRPr="00D849C0">
        <w:t>Accord sur</w:t>
      </w:r>
      <w:r w:rsidR="001937C9" w:rsidRPr="00D849C0">
        <w:t xml:space="preserve"> les</w:t>
      </w:r>
      <w:r w:rsidR="001937C9">
        <w:t> </w:t>
      </w:r>
      <w:r w:rsidR="001937C9" w:rsidRPr="00D849C0">
        <w:t>ADP</w:t>
      </w:r>
      <w:r w:rsidR="00DD0483" w:rsidRPr="00D849C0">
        <w:t>IC établit le principe général de la brevetabilité des inventions, et ses articles</w:t>
      </w:r>
      <w:r w:rsidR="005D43EC">
        <w:t> </w:t>
      </w:r>
      <w:r w:rsidR="00E65C5E" w:rsidRPr="00D849C0">
        <w:t>27</w:t>
      </w:r>
      <w:r w:rsidR="00A3638B" w:rsidRPr="00D849C0">
        <w:t>.</w:t>
      </w:r>
      <w:r w:rsidR="00E65C5E" w:rsidRPr="00D849C0">
        <w:t>2</w:t>
      </w:r>
      <w:r w:rsidR="00DD0483" w:rsidRPr="00D849C0">
        <w:t>) et</w:t>
      </w:r>
      <w:r w:rsidR="00E65C5E" w:rsidRPr="00D849C0">
        <w:t xml:space="preserve"> </w:t>
      </w:r>
      <w:r w:rsidR="00A3638B" w:rsidRPr="00D849C0">
        <w:t>27.</w:t>
      </w:r>
      <w:r w:rsidR="00E65C5E" w:rsidRPr="00D849C0">
        <w:t>3</w:t>
      </w:r>
      <w:r w:rsidR="00DD0483" w:rsidRPr="00D849C0">
        <w:t>)</w:t>
      </w:r>
      <w:r w:rsidR="00E65C5E" w:rsidRPr="00D849C0">
        <w:t xml:space="preserve"> </w:t>
      </w:r>
      <w:r w:rsidR="00DD0483" w:rsidRPr="00D849C0">
        <w:t>prévoient certaines possibilités d</w:t>
      </w:r>
      <w:r w:rsidR="001937C9">
        <w:t>’</w:t>
      </w:r>
      <w:r w:rsidR="00DD0483" w:rsidRPr="00D849C0">
        <w:t>exclusion de la brevetabilité.</w:t>
      </w:r>
    </w:p>
    <w:p w:rsidR="001937C9" w:rsidRDefault="00D4016C" w:rsidP="00916F03">
      <w:pPr>
        <w:pStyle w:val="ONUMFS"/>
      </w:pPr>
      <w:r w:rsidRPr="00D849C0">
        <w:t>La question a été soulevée de savoir si l</w:t>
      </w:r>
      <w:r w:rsidR="001937C9">
        <w:t>’</w:t>
      </w:r>
      <w:r w:rsidRPr="00D849C0">
        <w:t>exclusion de la brevetabilité des programmes d</w:t>
      </w:r>
      <w:r w:rsidR="001937C9">
        <w:t>’</w:t>
      </w:r>
      <w:r w:rsidRPr="00D849C0">
        <w:t>ordinateur allait ou non à l</w:t>
      </w:r>
      <w:r w:rsidR="001937C9">
        <w:t>’</w:t>
      </w:r>
      <w:r w:rsidRPr="00D849C0">
        <w:t>encontre de l</w:t>
      </w:r>
      <w:r w:rsidR="001937C9">
        <w:t>’</w:t>
      </w:r>
      <w:r w:rsidRPr="00D849C0">
        <w:t>article</w:t>
      </w:r>
      <w:r w:rsidR="005D43EC">
        <w:t> </w:t>
      </w:r>
      <w:r w:rsidRPr="00D849C0">
        <w:t>27 de l</w:t>
      </w:r>
      <w:r w:rsidR="001937C9">
        <w:t>’</w:t>
      </w:r>
      <w:r w:rsidRPr="00D849C0">
        <w:t>Accord sur</w:t>
      </w:r>
      <w:r w:rsidR="001937C9" w:rsidRPr="00D849C0">
        <w:t xml:space="preserve"> les</w:t>
      </w:r>
      <w:r w:rsidR="001937C9">
        <w:t> </w:t>
      </w:r>
      <w:r w:rsidR="001937C9" w:rsidRPr="00D849C0">
        <w:t>ADP</w:t>
      </w:r>
      <w:r w:rsidRPr="00D849C0">
        <w:t>IC.  Selon certains,</w:t>
      </w:r>
      <w:r w:rsidR="00AC7973" w:rsidRPr="00D849C0">
        <w:t xml:space="preserve"> chacun des</w:t>
      </w:r>
      <w:r w:rsidR="006303C4" w:rsidRPr="00D849C0">
        <w:t xml:space="preserve"> </w:t>
      </w:r>
      <w:r w:rsidR="00AC7973" w:rsidRPr="00D849C0">
        <w:t xml:space="preserve">Membres doit accorder la protection par brevet aux </w:t>
      </w:r>
      <w:r w:rsidR="006303C4" w:rsidRPr="00D849C0">
        <w:t>inventions relatives à des logiciels, parce que l</w:t>
      </w:r>
      <w:r w:rsidR="001937C9">
        <w:t>’</w:t>
      </w:r>
      <w:r w:rsidR="006303C4" w:rsidRPr="00D849C0">
        <w:t>article</w:t>
      </w:r>
      <w:r w:rsidR="005D43EC">
        <w:t> </w:t>
      </w:r>
      <w:r w:rsidR="006303C4" w:rsidRPr="00D849C0">
        <w:t>27.1) de l</w:t>
      </w:r>
      <w:r w:rsidR="001937C9">
        <w:t>’</w:t>
      </w:r>
      <w:r w:rsidR="006303C4" w:rsidRPr="00D849C0">
        <w:t>Accord sur</w:t>
      </w:r>
      <w:r w:rsidR="001937C9" w:rsidRPr="00D849C0">
        <w:t xml:space="preserve"> les</w:t>
      </w:r>
      <w:r w:rsidR="001937C9">
        <w:t> </w:t>
      </w:r>
      <w:r w:rsidR="001937C9" w:rsidRPr="00D849C0">
        <w:t>ADP</w:t>
      </w:r>
      <w:r w:rsidR="006303C4" w:rsidRPr="00D849C0">
        <w:t xml:space="preserve">IC </w:t>
      </w:r>
      <w:r w:rsidR="00AC7973" w:rsidRPr="00D849C0">
        <w:t>prévoit qu</w:t>
      </w:r>
      <w:r w:rsidR="001937C9">
        <w:t>’</w:t>
      </w:r>
      <w:r w:rsidR="00AC7973" w:rsidRPr="00D849C0">
        <w:t xml:space="preserve">un brevet doit pouvoir être obtenu dans tous les États membres </w:t>
      </w:r>
      <w:r w:rsidR="00E65C5E" w:rsidRPr="00D849C0">
        <w:t>“</w:t>
      </w:r>
      <w:r w:rsidR="00AC7973" w:rsidRPr="00D849C0">
        <w:t>pour toute invention dans tous les domaines technologiques</w:t>
      </w:r>
      <w:r w:rsidR="00E65C5E" w:rsidRPr="00D849C0">
        <w:t>”</w:t>
      </w:r>
      <w:r w:rsidR="00AC7973" w:rsidRPr="00D849C0">
        <w:t xml:space="preserve"> </w:t>
      </w:r>
      <w:r w:rsidR="00A31C98" w:rsidRPr="00D849C0">
        <w:t>et que l</w:t>
      </w:r>
      <w:r w:rsidR="001937C9">
        <w:t>’</w:t>
      </w:r>
      <w:r w:rsidR="00A31C98" w:rsidRPr="00D849C0">
        <w:t>on peut soutenir qu</w:t>
      </w:r>
      <w:r w:rsidR="001937C9">
        <w:t>’</w:t>
      </w:r>
      <w:r w:rsidR="00C11B6A" w:rsidRPr="00D849C0">
        <w:t>un</w:t>
      </w:r>
      <w:r w:rsidR="00A31C98" w:rsidRPr="00D849C0">
        <w:t xml:space="preserve"> logiciel constitue une </w:t>
      </w:r>
      <w:r w:rsidR="00E65C5E" w:rsidRPr="00D849C0">
        <w:t>“</w:t>
      </w:r>
      <w:r w:rsidR="002D2535" w:rsidRPr="00D849C0">
        <w:t>i</w:t>
      </w:r>
      <w:r w:rsidR="00E65C5E" w:rsidRPr="00D849C0">
        <w:t xml:space="preserve">nvention” </w:t>
      </w:r>
      <w:r w:rsidR="00A31C98" w:rsidRPr="00D849C0">
        <w:t xml:space="preserve">dans un </w:t>
      </w:r>
      <w:r w:rsidR="00E65C5E" w:rsidRPr="00D849C0">
        <w:t>“</w:t>
      </w:r>
      <w:r w:rsidR="00A31C98" w:rsidRPr="00D849C0">
        <w:t>domaine technologique</w:t>
      </w:r>
      <w:r w:rsidR="00E65C5E" w:rsidRPr="00D849C0">
        <w:t xml:space="preserve">” </w:t>
      </w:r>
      <w:r w:rsidR="00B71121" w:rsidRPr="00D849C0">
        <w:t>et n</w:t>
      </w:r>
      <w:r w:rsidR="001937C9">
        <w:t>’</w:t>
      </w:r>
      <w:r w:rsidR="00B71121" w:rsidRPr="00D849C0">
        <w:t>est exclu de la brevetabilité ni par l</w:t>
      </w:r>
      <w:r w:rsidR="001937C9">
        <w:t>’</w:t>
      </w:r>
      <w:r w:rsidR="00B71121" w:rsidRPr="00D849C0">
        <w:t>article</w:t>
      </w:r>
      <w:r w:rsidR="005D43EC">
        <w:t> </w:t>
      </w:r>
      <w:r w:rsidR="00E65C5E" w:rsidRPr="00D849C0">
        <w:t>27</w:t>
      </w:r>
      <w:r w:rsidR="0026583B" w:rsidRPr="00D849C0">
        <w:t>.</w:t>
      </w:r>
      <w:r w:rsidR="00E65C5E" w:rsidRPr="00D849C0">
        <w:t>2</w:t>
      </w:r>
      <w:r w:rsidR="00B71121" w:rsidRPr="00D849C0">
        <w:t>) ni par</w:t>
      </w:r>
      <w:r w:rsidR="00E65C5E" w:rsidRPr="00D849C0">
        <w:t xml:space="preserve"> </w:t>
      </w:r>
      <w:r w:rsidR="00B71121" w:rsidRPr="00D849C0">
        <w:t>l</w:t>
      </w:r>
      <w:r w:rsidR="001937C9">
        <w:t>’</w:t>
      </w:r>
      <w:r w:rsidR="00B71121" w:rsidRPr="00D849C0">
        <w:t>article</w:t>
      </w:r>
      <w:r w:rsidR="005D43EC">
        <w:t> </w:t>
      </w:r>
      <w:r w:rsidR="0026583B" w:rsidRPr="00D849C0">
        <w:t>27.</w:t>
      </w:r>
      <w:r w:rsidR="00E65C5E" w:rsidRPr="00D849C0">
        <w:t>3</w:t>
      </w:r>
      <w:r w:rsidR="00E65C5E" w:rsidRPr="00D849C0">
        <w:rPr>
          <w:vertAlign w:val="superscript"/>
        </w:rPr>
        <w:footnoteReference w:id="67"/>
      </w:r>
      <w:r w:rsidR="00B71121" w:rsidRPr="00D849C0">
        <w:t>.</w:t>
      </w:r>
      <w:r w:rsidR="0020366A" w:rsidRPr="00D849C0">
        <w:t xml:space="preserve">  </w:t>
      </w:r>
      <w:r w:rsidR="00D86E42" w:rsidRPr="00D849C0">
        <w:t>D</w:t>
      </w:r>
      <w:r w:rsidR="001937C9">
        <w:t>’</w:t>
      </w:r>
      <w:r w:rsidR="00D86E42" w:rsidRPr="00D849C0">
        <w:t>autres auteurs sont en désaccord</w:t>
      </w:r>
      <w:r w:rsidR="00E65C5E" w:rsidRPr="00D849C0">
        <w:rPr>
          <w:vertAlign w:val="superscript"/>
        </w:rPr>
        <w:footnoteReference w:id="68"/>
      </w:r>
      <w:r w:rsidR="00D86E42" w:rsidRPr="00D849C0">
        <w:t xml:space="preserve">, </w:t>
      </w:r>
      <w:r w:rsidR="00231C59" w:rsidRPr="00D849C0">
        <w:t>objectant que l</w:t>
      </w:r>
      <w:r w:rsidR="001937C9">
        <w:t>’</w:t>
      </w:r>
      <w:r w:rsidR="00231C59" w:rsidRPr="00D849C0">
        <w:t>Accord sur</w:t>
      </w:r>
      <w:r w:rsidR="001937C9" w:rsidRPr="00D849C0">
        <w:t xml:space="preserve"> les</w:t>
      </w:r>
      <w:r w:rsidR="001937C9">
        <w:t> </w:t>
      </w:r>
      <w:r w:rsidR="001937C9" w:rsidRPr="00D849C0">
        <w:t>ADP</w:t>
      </w:r>
      <w:r w:rsidR="00231C59" w:rsidRPr="00D849C0">
        <w:t xml:space="preserve">IC laisse sans réponse la question du </w:t>
      </w:r>
      <w:r w:rsidR="00E65C5E" w:rsidRPr="00D849C0">
        <w:t>“</w:t>
      </w:r>
      <w:r w:rsidR="00231C59" w:rsidRPr="00D849C0">
        <w:t>simple logiciel</w:t>
      </w:r>
      <w:r w:rsidR="00E65C5E" w:rsidRPr="00D849C0">
        <w:t xml:space="preserve">” </w:t>
      </w:r>
      <w:r w:rsidR="00A15DA2" w:rsidRPr="00D849C0">
        <w:t xml:space="preserve">et permet donc aux </w:t>
      </w:r>
      <w:r w:rsidR="00FE16FA" w:rsidRPr="00D849C0">
        <w:t>Memb</w:t>
      </w:r>
      <w:r w:rsidR="00A15DA2" w:rsidRPr="00D849C0">
        <w:t xml:space="preserve">res de légiférer en </w:t>
      </w:r>
      <w:r w:rsidR="00A15DA2" w:rsidRPr="00D849C0">
        <w:lastRenderedPageBreak/>
        <w:t>cette matière de la manière qu</w:t>
      </w:r>
      <w:r w:rsidR="001937C9">
        <w:t>’</w:t>
      </w:r>
      <w:r w:rsidR="00A15DA2" w:rsidRPr="00D849C0">
        <w:t>ils jugent appropriée</w:t>
      </w:r>
      <w:r w:rsidR="00E65C5E" w:rsidRPr="00D849C0">
        <w:rPr>
          <w:vertAlign w:val="superscript"/>
        </w:rPr>
        <w:footnoteReference w:id="69"/>
      </w:r>
      <w:r w:rsidR="00A15DA2" w:rsidRPr="00D849C0">
        <w:t>.</w:t>
      </w:r>
      <w:r w:rsidR="00E65C5E" w:rsidRPr="00D849C0">
        <w:t xml:space="preserve"> </w:t>
      </w:r>
      <w:r w:rsidR="00FE48CE" w:rsidRPr="00D849C0">
        <w:t xml:space="preserve"> D</w:t>
      </w:r>
      <w:r w:rsidR="001937C9">
        <w:t>’</w:t>
      </w:r>
      <w:r w:rsidR="00FE48CE" w:rsidRPr="00D849C0">
        <w:t>autres encore, interprétant l</w:t>
      </w:r>
      <w:r w:rsidR="001937C9">
        <w:t>’</w:t>
      </w:r>
      <w:r w:rsidR="00FE48CE" w:rsidRPr="00D849C0">
        <w:t>article</w:t>
      </w:r>
      <w:r w:rsidR="005D43EC">
        <w:t> </w:t>
      </w:r>
      <w:r w:rsidR="00FE48CE" w:rsidRPr="00D849C0">
        <w:t>27.1</w:t>
      </w:r>
      <w:r w:rsidR="00E73305" w:rsidRPr="00D849C0">
        <w:t>)</w:t>
      </w:r>
      <w:r w:rsidR="00FE48CE" w:rsidRPr="00D849C0">
        <w:t xml:space="preserve"> </w:t>
      </w:r>
      <w:r w:rsidR="00E73305" w:rsidRPr="00D849C0">
        <w:t>au regard d</w:t>
      </w:r>
      <w:r w:rsidR="001937C9">
        <w:t>’</w:t>
      </w:r>
      <w:r w:rsidR="00E73305" w:rsidRPr="00D849C0">
        <w:t>autres dispositions de l</w:t>
      </w:r>
      <w:r w:rsidR="001937C9">
        <w:t>’</w:t>
      </w:r>
      <w:r w:rsidR="00E73305" w:rsidRPr="00D849C0">
        <w:t>Accord sur</w:t>
      </w:r>
      <w:r w:rsidR="001937C9" w:rsidRPr="00D849C0">
        <w:t xml:space="preserve"> les</w:t>
      </w:r>
      <w:r w:rsidR="001937C9">
        <w:t> </w:t>
      </w:r>
      <w:r w:rsidR="001937C9" w:rsidRPr="00D849C0">
        <w:t>ADP</w:t>
      </w:r>
      <w:r w:rsidR="00E73305" w:rsidRPr="00D849C0">
        <w:t>IC selon la Convention de</w:t>
      </w:r>
      <w:r w:rsidR="004D5DF5">
        <w:t> </w:t>
      </w:r>
      <w:r w:rsidR="00E73305" w:rsidRPr="00D849C0">
        <w:t>Vienne sur le droit des traités,</w:t>
      </w:r>
      <w:r w:rsidR="00FE48CE" w:rsidRPr="00D849C0">
        <w:t xml:space="preserve"> concluent </w:t>
      </w:r>
      <w:r w:rsidR="00E73305" w:rsidRPr="00D849C0">
        <w:t>à l</w:t>
      </w:r>
      <w:r w:rsidR="001937C9">
        <w:t>’</w:t>
      </w:r>
      <w:r w:rsidR="00E73305" w:rsidRPr="00D849C0">
        <w:t>absence de fondement clair et défini pour déterminer que l</w:t>
      </w:r>
      <w:r w:rsidR="001937C9">
        <w:t>’</w:t>
      </w:r>
      <w:r w:rsidR="00E73305" w:rsidRPr="00D849C0">
        <w:t>article</w:t>
      </w:r>
      <w:r w:rsidR="005D43EC">
        <w:t> </w:t>
      </w:r>
      <w:r w:rsidR="00E73305" w:rsidRPr="00D849C0">
        <w:t>27.1) de l</w:t>
      </w:r>
      <w:r w:rsidR="001937C9">
        <w:t>’</w:t>
      </w:r>
      <w:r w:rsidR="00E73305" w:rsidRPr="00D849C0">
        <w:t>Accord sur</w:t>
      </w:r>
      <w:r w:rsidR="001937C9" w:rsidRPr="00D849C0">
        <w:t xml:space="preserve"> les</w:t>
      </w:r>
      <w:r w:rsidR="001937C9">
        <w:t> </w:t>
      </w:r>
      <w:r w:rsidR="001937C9" w:rsidRPr="00D849C0">
        <w:t>ADP</w:t>
      </w:r>
      <w:r w:rsidR="00E73305" w:rsidRPr="00D849C0">
        <w:t>IC</w:t>
      </w:r>
      <w:r w:rsidR="00996C96" w:rsidRPr="00D849C0">
        <w:t xml:space="preserve"> limite la liberté de décision des Membres </w:t>
      </w:r>
      <w:r w:rsidR="00D74D3F" w:rsidRPr="00D849C0">
        <w:t>concernant le niveau d</w:t>
      </w:r>
      <w:r w:rsidR="00996C96" w:rsidRPr="00D849C0">
        <w:t xml:space="preserve">e protection </w:t>
      </w:r>
      <w:r w:rsidR="00D74D3F" w:rsidRPr="00D849C0">
        <w:t>des inventions relatives à des logiciels</w:t>
      </w:r>
      <w:r w:rsidR="00230119" w:rsidRPr="00D849C0">
        <w:t>, d</w:t>
      </w:r>
      <w:r w:rsidR="001937C9">
        <w:t>’</w:t>
      </w:r>
      <w:r w:rsidR="00230119" w:rsidRPr="00D849C0">
        <w:t>où il</w:t>
      </w:r>
      <w:r w:rsidR="004D5DF5">
        <w:t> </w:t>
      </w:r>
      <w:r w:rsidR="00230119" w:rsidRPr="00D849C0">
        <w:t xml:space="preserve">découle </w:t>
      </w:r>
      <w:r w:rsidR="0001713E" w:rsidRPr="00D849C0">
        <w:t>que les législations nationales ne sont pas liées par l</w:t>
      </w:r>
      <w:r w:rsidR="001937C9">
        <w:t>’</w:t>
      </w:r>
      <w:r w:rsidR="0001713E" w:rsidRPr="00D849C0">
        <w:t>Accord sur</w:t>
      </w:r>
      <w:r w:rsidR="001937C9" w:rsidRPr="00D849C0">
        <w:t xml:space="preserve"> les</w:t>
      </w:r>
      <w:r w:rsidR="001937C9">
        <w:t> </w:t>
      </w:r>
      <w:r w:rsidR="001937C9" w:rsidRPr="00D849C0">
        <w:t>ADP</w:t>
      </w:r>
      <w:r w:rsidR="0001713E" w:rsidRPr="00D849C0">
        <w:t>IC à cet</w:t>
      </w:r>
      <w:r w:rsidR="004D5DF5">
        <w:t> </w:t>
      </w:r>
      <w:r w:rsidR="0001713E" w:rsidRPr="00D849C0">
        <w:t>égard</w:t>
      </w:r>
      <w:r w:rsidR="00E65C5E" w:rsidRPr="00D849C0">
        <w:rPr>
          <w:vertAlign w:val="superscript"/>
        </w:rPr>
        <w:footnoteReference w:id="70"/>
      </w:r>
      <w:r w:rsidR="00230119" w:rsidRPr="00D849C0">
        <w:t>.</w:t>
      </w:r>
    </w:p>
    <w:p w:rsidR="00E65C5E" w:rsidRPr="00D849C0" w:rsidRDefault="00587DBF" w:rsidP="004D5DF5">
      <w:pPr>
        <w:pStyle w:val="ONUMFS"/>
      </w:pPr>
      <w:r w:rsidRPr="00D849C0">
        <w:t>Compte tenu des éléments ex</w:t>
      </w:r>
      <w:r w:rsidR="00AB5A8A" w:rsidRPr="00D849C0">
        <w:t>amin</w:t>
      </w:r>
      <w:r w:rsidRPr="00D849C0">
        <w:t>és ci</w:t>
      </w:r>
      <w:r w:rsidR="001937C9">
        <w:t>-</w:t>
      </w:r>
      <w:r w:rsidRPr="00D849C0">
        <w:t>dessus et du fait qu</w:t>
      </w:r>
      <w:r w:rsidR="001937C9">
        <w:t>’</w:t>
      </w:r>
      <w:r w:rsidRPr="00D849C0">
        <w:t>aucun différend n</w:t>
      </w:r>
      <w:r w:rsidR="001937C9">
        <w:t>’</w:t>
      </w:r>
      <w:r w:rsidRPr="00D849C0">
        <w:t>a été porté devant l</w:t>
      </w:r>
      <w:r w:rsidR="001937C9">
        <w:t>’</w:t>
      </w:r>
      <w:r w:rsidRPr="00D849C0">
        <w:t xml:space="preserve">OMC sur la question – </w:t>
      </w:r>
      <w:r w:rsidR="004C238F" w:rsidRPr="00D849C0">
        <w:t xml:space="preserve">malgré </w:t>
      </w:r>
      <w:r w:rsidRPr="00D849C0">
        <w:t xml:space="preserve">que </w:t>
      </w:r>
      <w:r w:rsidR="00900503" w:rsidRPr="00D849C0">
        <w:t>les programmes d</w:t>
      </w:r>
      <w:r w:rsidR="001937C9">
        <w:t>’</w:t>
      </w:r>
      <w:r w:rsidR="00900503" w:rsidRPr="00D849C0">
        <w:t xml:space="preserve">ordinateur </w:t>
      </w:r>
      <w:r w:rsidR="001F44E3" w:rsidRPr="00D849C0">
        <w:t xml:space="preserve">ne </w:t>
      </w:r>
      <w:r w:rsidR="0090407C" w:rsidRPr="00D849C0">
        <w:t xml:space="preserve">soient pas </w:t>
      </w:r>
      <w:r w:rsidR="001F44E3" w:rsidRPr="00D849C0">
        <w:t xml:space="preserve">brevetables </w:t>
      </w:r>
      <w:r w:rsidR="0090407C" w:rsidRPr="00D849C0">
        <w:t xml:space="preserve">aux yeux de </w:t>
      </w:r>
      <w:r w:rsidR="00900503" w:rsidRPr="00D849C0">
        <w:t>la législation de plusieurs Membres</w:t>
      </w:r>
      <w:r w:rsidR="001F44E3" w:rsidRPr="00D849C0">
        <w:t xml:space="preserve"> –, il semble</w:t>
      </w:r>
      <w:r w:rsidR="00AB5A8A" w:rsidRPr="00D849C0">
        <w:t xml:space="preserve"> qu</w:t>
      </w:r>
      <w:r w:rsidR="000D0127" w:rsidRPr="00D849C0">
        <w:t xml:space="preserve">e </w:t>
      </w:r>
      <w:r w:rsidR="001F44E3" w:rsidRPr="00D849C0">
        <w:t>l</w:t>
      </w:r>
      <w:r w:rsidR="001937C9">
        <w:t>’</w:t>
      </w:r>
      <w:r w:rsidR="001F44E3" w:rsidRPr="00D849C0">
        <w:t>exclusion de la</w:t>
      </w:r>
      <w:r w:rsidR="004D5DF5">
        <w:t> </w:t>
      </w:r>
      <w:r w:rsidR="001F44E3" w:rsidRPr="00D849C0">
        <w:t>brevetabilité des inventions relatives à des logiciels</w:t>
      </w:r>
      <w:r w:rsidR="000D0127" w:rsidRPr="00D849C0">
        <w:t xml:space="preserve"> soit considérée par un certain nombre de Membres</w:t>
      </w:r>
      <w:r w:rsidR="001F44E3" w:rsidRPr="00D849C0">
        <w:t xml:space="preserve"> </w:t>
      </w:r>
      <w:r w:rsidR="004C238F" w:rsidRPr="00D849C0">
        <w:t xml:space="preserve">comme compatible </w:t>
      </w:r>
      <w:r w:rsidR="00AB5A8A" w:rsidRPr="00D849C0">
        <w:t>avec les dispositions de l</w:t>
      </w:r>
      <w:r w:rsidR="001937C9">
        <w:t>’</w:t>
      </w:r>
      <w:r w:rsidR="00AB5A8A" w:rsidRPr="00D849C0">
        <w:t>article</w:t>
      </w:r>
      <w:r w:rsidR="005D43EC">
        <w:t> </w:t>
      </w:r>
      <w:r w:rsidR="00AB5A8A" w:rsidRPr="00D849C0">
        <w:t>27 de l</w:t>
      </w:r>
      <w:r w:rsidR="001937C9">
        <w:t>’</w:t>
      </w:r>
      <w:r w:rsidR="00AB5A8A" w:rsidRPr="00D849C0">
        <w:t>Accord sur</w:t>
      </w:r>
      <w:r w:rsidR="001937C9" w:rsidRPr="00D849C0">
        <w:t xml:space="preserve"> les</w:t>
      </w:r>
      <w:r w:rsidR="001937C9">
        <w:t> </w:t>
      </w:r>
      <w:r w:rsidR="001937C9" w:rsidRPr="00D849C0">
        <w:t>ADP</w:t>
      </w:r>
      <w:r w:rsidR="00AB5A8A" w:rsidRPr="00D849C0">
        <w:t>IC.</w:t>
      </w:r>
    </w:p>
    <w:p w:rsidR="00E65C5E" w:rsidRPr="00D849C0" w:rsidRDefault="008057B3" w:rsidP="00BD2732">
      <w:pPr>
        <w:pStyle w:val="Heading2"/>
      </w:pPr>
      <w:bookmarkStart w:id="17" w:name="_Toc387060470"/>
      <w:r w:rsidRPr="00D849C0">
        <w:t>C</w:t>
      </w:r>
      <w:r w:rsidR="00162F8A" w:rsidRPr="00D849C0">
        <w:t>.</w:t>
      </w:r>
      <w:r w:rsidR="00162F8A" w:rsidRPr="00D849C0">
        <w:tab/>
      </w:r>
      <w:r w:rsidR="00E73348" w:rsidRPr="00D849C0">
        <w:t>Mise en œuvre nationale</w:t>
      </w:r>
      <w:bookmarkEnd w:id="17"/>
    </w:p>
    <w:p w:rsidR="00E65C5E" w:rsidRPr="00D849C0" w:rsidRDefault="00E65C5E" w:rsidP="00A83989">
      <w:pPr>
        <w:rPr>
          <w:szCs w:val="22"/>
        </w:rPr>
      </w:pPr>
    </w:p>
    <w:p w:rsidR="000976E8" w:rsidRPr="00D849C0" w:rsidRDefault="00056F96" w:rsidP="0030434C">
      <w:pPr>
        <w:pStyle w:val="ONUMFS"/>
      </w:pPr>
      <w:r w:rsidRPr="00D849C0">
        <w:t>Les législations nationales des États membres peuvent être classées en gros dans l</w:t>
      </w:r>
      <w:r w:rsidR="001937C9">
        <w:t>’</w:t>
      </w:r>
      <w:r w:rsidRPr="00D849C0">
        <w:t>une des trois</w:t>
      </w:r>
      <w:r w:rsidR="005D43EC">
        <w:t> </w:t>
      </w:r>
      <w:r w:rsidRPr="00D849C0">
        <w:t xml:space="preserve">catégories suivantes : </w:t>
      </w:r>
      <w:r w:rsidR="00E65C5E" w:rsidRPr="00D849C0">
        <w:t>a)</w:t>
      </w:r>
      <w:r w:rsidR="005D43EC">
        <w:t> </w:t>
      </w:r>
      <w:r w:rsidR="009A14FE" w:rsidRPr="00D849C0">
        <w:t>exclusion expresse de la brevetabilité des programmes d</w:t>
      </w:r>
      <w:r w:rsidR="001937C9">
        <w:t>’</w:t>
      </w:r>
      <w:r w:rsidR="009A14FE" w:rsidRPr="00D849C0">
        <w:t>ordinateur</w:t>
      </w:r>
      <w:r w:rsidR="00E65C5E" w:rsidRPr="00D849C0">
        <w:rPr>
          <w:vertAlign w:val="superscript"/>
        </w:rPr>
        <w:footnoteReference w:id="71"/>
      </w:r>
      <w:r w:rsidR="00B42936" w:rsidRPr="00D849C0">
        <w:t>,</w:t>
      </w:r>
      <w:r w:rsidR="00152A8E" w:rsidRPr="00D849C0">
        <w:t xml:space="preserve"> </w:t>
      </w:r>
      <w:r w:rsidR="00E65C5E" w:rsidRPr="00D849C0">
        <w:t>b)</w:t>
      </w:r>
      <w:r w:rsidR="005D43EC">
        <w:t> </w:t>
      </w:r>
      <w:r w:rsidR="009A14FE" w:rsidRPr="00D849C0">
        <w:t>autorisation expresse de la brevetabilité des programmes d</w:t>
      </w:r>
      <w:r w:rsidR="001937C9">
        <w:t>’</w:t>
      </w:r>
      <w:r w:rsidR="009A14FE" w:rsidRPr="00D849C0">
        <w:t>ordinateur</w:t>
      </w:r>
      <w:r w:rsidR="00E65C5E" w:rsidRPr="00D849C0">
        <w:rPr>
          <w:vertAlign w:val="superscript"/>
        </w:rPr>
        <w:footnoteReference w:id="72"/>
      </w:r>
      <w:r w:rsidR="00E65C5E" w:rsidRPr="00D849C0">
        <w:t xml:space="preserve"> </w:t>
      </w:r>
      <w:r w:rsidR="009A14FE" w:rsidRPr="00D849C0">
        <w:t>et</w:t>
      </w:r>
      <w:r w:rsidR="00E65C5E" w:rsidRPr="00D849C0">
        <w:t xml:space="preserve"> c)</w:t>
      </w:r>
      <w:r w:rsidR="005D43EC">
        <w:t> </w:t>
      </w:r>
      <w:r w:rsidR="009A14FE" w:rsidRPr="00D849C0">
        <w:t>absence de dispositions particulières concernant la brevetabilité des programmes d</w:t>
      </w:r>
      <w:r w:rsidR="001937C9">
        <w:t>’</w:t>
      </w:r>
      <w:r w:rsidR="009A14FE" w:rsidRPr="00D849C0">
        <w:t>ordinateur</w:t>
      </w:r>
      <w:r w:rsidR="00E65C5E" w:rsidRPr="00D849C0">
        <w:rPr>
          <w:vertAlign w:val="superscript"/>
        </w:rPr>
        <w:footnoteReference w:id="73"/>
      </w:r>
      <w:r w:rsidR="00B42936" w:rsidRPr="00D849C0">
        <w:t>.</w:t>
      </w:r>
    </w:p>
    <w:p w:rsidR="000976E8" w:rsidRPr="00D849C0" w:rsidRDefault="00DB0EE0" w:rsidP="0030434C">
      <w:pPr>
        <w:pStyle w:val="ONUMFS"/>
      </w:pPr>
      <w:r w:rsidRPr="00D849C0">
        <w:t>L</w:t>
      </w:r>
      <w:r w:rsidR="00001221" w:rsidRPr="00D849C0">
        <w:t>a clarification d</w:t>
      </w:r>
      <w:r w:rsidRPr="00D849C0">
        <w:t>es critères concrets d</w:t>
      </w:r>
      <w:r w:rsidR="001937C9">
        <w:t>’</w:t>
      </w:r>
      <w:r w:rsidRPr="00D849C0">
        <w:t xml:space="preserve">appréciation de la brevetabilité </w:t>
      </w:r>
      <w:r w:rsidR="00001221" w:rsidRPr="00D849C0">
        <w:t xml:space="preserve">relevant habituellement des tribunaux et des offices de propriété intellectuelle, la jurisprudence et les directives administratives </w:t>
      </w:r>
      <w:r w:rsidR="00C35083" w:rsidRPr="00D849C0">
        <w:t>qu</w:t>
      </w:r>
      <w:r w:rsidR="001937C9">
        <w:t>’</w:t>
      </w:r>
      <w:r w:rsidR="00C35083" w:rsidRPr="00D849C0">
        <w:t xml:space="preserve">elle inspire </w:t>
      </w:r>
      <w:r w:rsidR="0083588B" w:rsidRPr="00D849C0">
        <w:t xml:space="preserve">ont également joué un rôle important à cet égard en ce qui concerne les inventions relatives à des logiciels.  </w:t>
      </w:r>
      <w:r w:rsidR="00B50385" w:rsidRPr="00D849C0">
        <w:t xml:space="preserve">Des pays ayant </w:t>
      </w:r>
      <w:r w:rsidR="00556266" w:rsidRPr="00D849C0">
        <w:t>des</w:t>
      </w:r>
      <w:r w:rsidR="00B50385" w:rsidRPr="00D849C0">
        <w:t xml:space="preserve"> système</w:t>
      </w:r>
      <w:r w:rsidR="00556266" w:rsidRPr="00D849C0">
        <w:t>s</w:t>
      </w:r>
      <w:r w:rsidR="00B50385" w:rsidRPr="00D849C0">
        <w:t xml:space="preserve"> juridique</w:t>
      </w:r>
      <w:r w:rsidR="00556266" w:rsidRPr="00D849C0">
        <w:t>s</w:t>
      </w:r>
      <w:r w:rsidR="00B50385" w:rsidRPr="00D849C0">
        <w:t xml:space="preserve"> similaire</w:t>
      </w:r>
      <w:r w:rsidR="00556266" w:rsidRPr="00D849C0">
        <w:t>s</w:t>
      </w:r>
      <w:r w:rsidR="00B50385" w:rsidRPr="00D849C0">
        <w:t xml:space="preserve"> peuvent d</w:t>
      </w:r>
      <w:r w:rsidR="001937C9">
        <w:t>’</w:t>
      </w:r>
      <w:r w:rsidR="00B50385" w:rsidRPr="00D849C0">
        <w:t>ailleurs se fonder sur des critères différents pour apprécier la brevetabilité des inventions relatives à des logiciels</w:t>
      </w:r>
      <w:r w:rsidR="000976E8" w:rsidRPr="00D849C0">
        <w:rPr>
          <w:vertAlign w:val="superscript"/>
        </w:rPr>
        <w:footnoteReference w:id="74"/>
      </w:r>
      <w:r w:rsidR="003321C8" w:rsidRPr="00D849C0">
        <w:t>.</w:t>
      </w:r>
    </w:p>
    <w:p w:rsidR="000976E8" w:rsidRPr="00D849C0" w:rsidRDefault="000976E8" w:rsidP="00A83989">
      <w:pPr>
        <w:rPr>
          <w:szCs w:val="22"/>
        </w:rPr>
      </w:pPr>
    </w:p>
    <w:p w:rsidR="000976E8" w:rsidRPr="00D849C0" w:rsidRDefault="00556266" w:rsidP="00BD2732">
      <w:pPr>
        <w:pStyle w:val="Heading3"/>
        <w:numPr>
          <w:ilvl w:val="0"/>
          <w:numId w:val="34"/>
        </w:numPr>
        <w:ind w:left="1134" w:hanging="567"/>
      </w:pPr>
      <w:bookmarkStart w:id="18" w:name="_Toc387060471"/>
      <w:r w:rsidRPr="00D849C0">
        <w:lastRenderedPageBreak/>
        <w:t>Exclusion expresse</w:t>
      </w:r>
      <w:bookmarkEnd w:id="18"/>
    </w:p>
    <w:p w:rsidR="00007A87" w:rsidRPr="00D849C0" w:rsidRDefault="00007A87" w:rsidP="00007A87">
      <w:pPr>
        <w:rPr>
          <w:szCs w:val="22"/>
        </w:rPr>
      </w:pPr>
    </w:p>
    <w:p w:rsidR="00E65C5E" w:rsidRPr="00D849C0" w:rsidRDefault="003D474F" w:rsidP="0030434C">
      <w:pPr>
        <w:pStyle w:val="ONUMFS"/>
      </w:pPr>
      <w:r w:rsidRPr="00D849C0">
        <w:t>Les formulations législatives d</w:t>
      </w:r>
      <w:r w:rsidR="001937C9">
        <w:t>’</w:t>
      </w:r>
      <w:r w:rsidRPr="00D849C0">
        <w:t>exclusion peuvent donner lieu à un classement supplémentaire selon qu</w:t>
      </w:r>
      <w:r w:rsidR="001937C9">
        <w:t>’</w:t>
      </w:r>
      <w:r w:rsidRPr="00D849C0">
        <w:t xml:space="preserve">elles utilisent ou non le qualificatif </w:t>
      </w:r>
      <w:r w:rsidR="00E65C5E" w:rsidRPr="00D849C0">
        <w:t>“</w:t>
      </w:r>
      <w:r w:rsidRPr="00D849C0">
        <w:t>en tant que tel</w:t>
      </w:r>
      <w:r w:rsidR="00E65C5E" w:rsidRPr="00D849C0">
        <w:t>” (o</w:t>
      </w:r>
      <w:r w:rsidRPr="00D849C0">
        <w:t>u</w:t>
      </w:r>
      <w:r w:rsidR="00E65C5E" w:rsidRPr="00D849C0">
        <w:t xml:space="preserve"> “</w:t>
      </w:r>
      <w:r w:rsidR="00AF6E27" w:rsidRPr="00D849C0">
        <w:t>en soi</w:t>
      </w:r>
      <w:r w:rsidR="00E65C5E" w:rsidRPr="00D849C0">
        <w:t>”)</w:t>
      </w:r>
      <w:r w:rsidR="00E65C5E" w:rsidRPr="00D849C0">
        <w:rPr>
          <w:vertAlign w:val="superscript"/>
        </w:rPr>
        <w:footnoteReference w:id="75"/>
      </w:r>
      <w:proofErr w:type="gramStart"/>
      <w:r w:rsidR="000976E8" w:rsidRPr="00D849C0">
        <w:rPr>
          <w:vertAlign w:val="superscript"/>
        </w:rPr>
        <w:t>,</w:t>
      </w:r>
      <w:r w:rsidR="0030434C">
        <w:rPr>
          <w:vertAlign w:val="superscript"/>
        </w:rPr>
        <w:t xml:space="preserve"> </w:t>
      </w:r>
      <w:r w:rsidR="00E65C5E" w:rsidRPr="00D849C0">
        <w:rPr>
          <w:vertAlign w:val="superscript"/>
        </w:rPr>
        <w:footnoteReference w:id="76"/>
      </w:r>
      <w:r w:rsidR="001B4A0C" w:rsidRPr="00D849C0">
        <w:t>.</w:t>
      </w:r>
      <w:proofErr w:type="gramEnd"/>
    </w:p>
    <w:p w:rsidR="00CA33CB" w:rsidRPr="00D849C0" w:rsidRDefault="00F13205" w:rsidP="0030434C">
      <w:pPr>
        <w:pStyle w:val="ONUMFS"/>
      </w:pPr>
      <w:r w:rsidRPr="00D849C0">
        <w:t>Un premier type de législation prévoit qu</w:t>
      </w:r>
      <w:r w:rsidR="001937C9">
        <w:t>’</w:t>
      </w:r>
      <w:r w:rsidRPr="00D849C0">
        <w:t>un programme d</w:t>
      </w:r>
      <w:r w:rsidR="001937C9">
        <w:t>’</w:t>
      </w:r>
      <w:r w:rsidRPr="00D849C0">
        <w:t xml:space="preserve">ordinateur </w:t>
      </w:r>
      <w:r w:rsidRPr="00D849C0">
        <w:rPr>
          <w:i/>
        </w:rPr>
        <w:t>en tant que tel</w:t>
      </w:r>
      <w:r w:rsidRPr="00D849C0">
        <w:t xml:space="preserve"> (</w:t>
      </w:r>
      <w:r w:rsidR="00AF6E27" w:rsidRPr="00D849C0">
        <w:rPr>
          <w:i/>
        </w:rPr>
        <w:t>en</w:t>
      </w:r>
      <w:r w:rsidR="0030434C">
        <w:rPr>
          <w:i/>
        </w:rPr>
        <w:t> </w:t>
      </w:r>
      <w:r w:rsidR="00AF6E27" w:rsidRPr="00D849C0">
        <w:rPr>
          <w:i/>
        </w:rPr>
        <w:t>soi</w:t>
      </w:r>
      <w:r w:rsidR="00C23A37">
        <w:rPr>
          <w:i/>
        </w:rPr>
        <w:t xml:space="preserve"> </w:t>
      </w:r>
      <w:r w:rsidR="00C23A37" w:rsidRPr="00C23A37">
        <w:t>ou</w:t>
      </w:r>
      <w:r w:rsidR="00C23A37">
        <w:rPr>
          <w:i/>
        </w:rPr>
        <w:t xml:space="preserve"> en lui</w:t>
      </w:r>
      <w:r w:rsidR="001937C9">
        <w:rPr>
          <w:i/>
        </w:rPr>
        <w:t>-</w:t>
      </w:r>
      <w:r w:rsidR="00C23A37">
        <w:rPr>
          <w:i/>
        </w:rPr>
        <w:t>même</w:t>
      </w:r>
      <w:r w:rsidRPr="00D849C0">
        <w:t>, pris isolément) ne constitue pas un objet brevetable,</w:t>
      </w:r>
      <w:r w:rsidR="008C1D85" w:rsidRPr="00D849C0">
        <w:t xml:space="preserve"> tandis qu</w:t>
      </w:r>
      <w:r w:rsidR="001937C9">
        <w:t>’</w:t>
      </w:r>
      <w:r w:rsidR="008C1D85" w:rsidRPr="00D849C0">
        <w:t xml:space="preserve">une invention relative à un logiciel </w:t>
      </w:r>
      <w:r w:rsidR="00C721AA" w:rsidRPr="00D849C0">
        <w:t>considérée dans son ensemble</w:t>
      </w:r>
      <w:r w:rsidR="008C1D85" w:rsidRPr="00D849C0">
        <w:t xml:space="preserve"> et non comme un programme d</w:t>
      </w:r>
      <w:r w:rsidR="001937C9">
        <w:t>’</w:t>
      </w:r>
      <w:r w:rsidR="008C1D85" w:rsidRPr="00D849C0">
        <w:t xml:space="preserve">ordinateur </w:t>
      </w:r>
      <w:r w:rsidR="008C1D85" w:rsidRPr="00D849C0">
        <w:rPr>
          <w:i/>
        </w:rPr>
        <w:t>en tant que tel</w:t>
      </w:r>
      <w:r w:rsidR="008C1D85" w:rsidRPr="00D849C0">
        <w:t xml:space="preserve"> peut bénéficier de la protection par brevet. </w:t>
      </w:r>
      <w:r w:rsidR="009D3325" w:rsidRPr="00D849C0">
        <w:t xml:space="preserve"> L</w:t>
      </w:r>
      <w:r w:rsidR="001937C9">
        <w:t>’</w:t>
      </w:r>
      <w:r w:rsidR="009D3325" w:rsidRPr="00D849C0">
        <w:t>interprétation de l</w:t>
      </w:r>
      <w:r w:rsidR="001937C9">
        <w:t>’</w:t>
      </w:r>
      <w:r w:rsidR="009D3325" w:rsidRPr="00D849C0">
        <w:t>expression “en tant que tel”</w:t>
      </w:r>
      <w:r w:rsidR="008C1D85" w:rsidRPr="00D849C0">
        <w:t xml:space="preserve"> </w:t>
      </w:r>
      <w:r w:rsidR="009D3325" w:rsidRPr="00D849C0">
        <w:t xml:space="preserve">dans un texte législatif est par conséquent </w:t>
      </w:r>
      <w:r w:rsidR="00232EE8" w:rsidRPr="00D849C0">
        <w:t>essentielle pour déterminer si une invention revendiquée est brevetable ou non.</w:t>
      </w:r>
    </w:p>
    <w:p w:rsidR="00E65C5E" w:rsidRPr="00D849C0" w:rsidRDefault="00BD5F05" w:rsidP="0030434C">
      <w:pPr>
        <w:pStyle w:val="ONUMFS"/>
      </w:pPr>
      <w:r w:rsidRPr="00D849C0">
        <w:t>En vertu de</w:t>
      </w:r>
      <w:r w:rsidR="001937C9" w:rsidRPr="00D849C0">
        <w:t xml:space="preserve"> la</w:t>
      </w:r>
      <w:r w:rsidR="001937C9">
        <w:t> </w:t>
      </w:r>
      <w:r w:rsidR="001937C9" w:rsidRPr="00D849C0">
        <w:t>CBE</w:t>
      </w:r>
      <w:r w:rsidRPr="00D849C0">
        <w:t xml:space="preserve">, </w:t>
      </w:r>
      <w:r w:rsidR="00540579" w:rsidRPr="00D849C0">
        <w:t>laquelle précise que les programmes d</w:t>
      </w:r>
      <w:r w:rsidR="001937C9">
        <w:t>’</w:t>
      </w:r>
      <w:r w:rsidR="00540579" w:rsidRPr="00D849C0">
        <w:t xml:space="preserve">ordinateur </w:t>
      </w:r>
      <w:r w:rsidR="00540579" w:rsidRPr="00D849C0">
        <w:rPr>
          <w:i/>
        </w:rPr>
        <w:t>en tant que tels</w:t>
      </w:r>
      <w:r w:rsidR="00540579" w:rsidRPr="00D849C0">
        <w:t xml:space="preserve"> </w:t>
      </w:r>
      <w:r w:rsidR="00DE7C2A" w:rsidRPr="00D849C0">
        <w:t>sont</w:t>
      </w:r>
      <w:r w:rsidR="00540579" w:rsidRPr="00D849C0">
        <w:t xml:space="preserve"> exclus de la brevetabilité</w:t>
      </w:r>
      <w:r w:rsidR="00E65C5E" w:rsidRPr="00D849C0">
        <w:rPr>
          <w:vertAlign w:val="superscript"/>
        </w:rPr>
        <w:footnoteReference w:id="77"/>
      </w:r>
      <w:r w:rsidR="00540579" w:rsidRPr="00D849C0">
        <w:t xml:space="preserve">, </w:t>
      </w:r>
      <w:r w:rsidR="00DF104B" w:rsidRPr="00D849C0">
        <w:t>le critère à apprécier pour</w:t>
      </w:r>
      <w:r w:rsidR="0037163C" w:rsidRPr="00D849C0">
        <w:t xml:space="preserve"> déterminer si l</w:t>
      </w:r>
      <w:r w:rsidR="001937C9">
        <w:t>’</w:t>
      </w:r>
      <w:r w:rsidR="0037163C" w:rsidRPr="00D849C0">
        <w:t xml:space="preserve">objet </w:t>
      </w:r>
      <w:r w:rsidR="00CA0D32" w:rsidRPr="00D849C0">
        <w:t>revendiqué</w:t>
      </w:r>
      <w:r w:rsidR="0030434C">
        <w:br/>
      </w:r>
      <w:r w:rsidR="0037163C" w:rsidRPr="00D849C0">
        <w:t xml:space="preserve">– </w:t>
      </w:r>
      <w:r w:rsidR="00C721AA" w:rsidRPr="00D849C0">
        <w:t>considéré dans son ensemble</w:t>
      </w:r>
      <w:r w:rsidR="0037163C" w:rsidRPr="00D849C0">
        <w:t xml:space="preserve"> – peut être breveté </w:t>
      </w:r>
      <w:r w:rsidR="004355A9" w:rsidRPr="00D849C0">
        <w:t xml:space="preserve">est celui du </w:t>
      </w:r>
      <w:r w:rsidR="004355A9" w:rsidRPr="00D849C0">
        <w:rPr>
          <w:i/>
        </w:rPr>
        <w:t>caractère technique</w:t>
      </w:r>
      <w:r w:rsidR="00E65C5E" w:rsidRPr="00D849C0">
        <w:rPr>
          <w:vertAlign w:val="superscript"/>
        </w:rPr>
        <w:footnoteReference w:id="78"/>
      </w:r>
      <w:r w:rsidR="00B347D7" w:rsidRPr="00D849C0">
        <w:t>.</w:t>
      </w:r>
      <w:r w:rsidR="00E65C5E" w:rsidRPr="00D849C0">
        <w:t xml:space="preserve"> </w:t>
      </w:r>
      <w:r w:rsidR="00B347D7" w:rsidRPr="00D849C0">
        <w:t xml:space="preserve"> Les</w:t>
      </w:r>
      <w:r w:rsidR="0030434C">
        <w:t> </w:t>
      </w:r>
      <w:r w:rsidR="00B347D7" w:rsidRPr="00D849C0">
        <w:t xml:space="preserve">inventions relatives à des logiciels sont évaluées de la même manière, et </w:t>
      </w:r>
      <w:r w:rsidR="0047722F" w:rsidRPr="00D849C0">
        <w:t xml:space="preserve">sont </w:t>
      </w:r>
      <w:r w:rsidR="008A2115" w:rsidRPr="00D849C0">
        <w:t xml:space="preserve">donc </w:t>
      </w:r>
      <w:r w:rsidR="0047722F" w:rsidRPr="00D849C0">
        <w:t>considérées comme brevetables si elles présentent un caractère technique</w:t>
      </w:r>
      <w:r w:rsidR="00E65C5E" w:rsidRPr="00D849C0">
        <w:rPr>
          <w:vertAlign w:val="superscript"/>
        </w:rPr>
        <w:footnoteReference w:id="79"/>
      </w:r>
      <w:r w:rsidR="0047722F" w:rsidRPr="00D849C0">
        <w:t>.</w:t>
      </w:r>
      <w:r w:rsidR="00B30AC8" w:rsidRPr="00D849C0">
        <w:t xml:space="preserve"> </w:t>
      </w:r>
      <w:r w:rsidR="008E1232" w:rsidRPr="00D849C0">
        <w:t xml:space="preserve"> </w:t>
      </w:r>
      <w:r w:rsidR="00B30AC8" w:rsidRPr="00D849C0">
        <w:t xml:space="preserve">Depuis la décision </w:t>
      </w:r>
      <w:r w:rsidR="00E65C5E" w:rsidRPr="00D849C0">
        <w:rPr>
          <w:i/>
        </w:rPr>
        <w:t>Hitachi</w:t>
      </w:r>
      <w:r w:rsidR="00E65C5E" w:rsidRPr="00D849C0">
        <w:t xml:space="preserve"> (T</w:t>
      </w:r>
      <w:r w:rsidR="008E1232" w:rsidRPr="00D849C0">
        <w:t> </w:t>
      </w:r>
      <w:r w:rsidR="00E65C5E" w:rsidRPr="00D849C0">
        <w:t>258/03)</w:t>
      </w:r>
      <w:r w:rsidR="00E65C5E" w:rsidRPr="00D849C0">
        <w:rPr>
          <w:vertAlign w:val="superscript"/>
        </w:rPr>
        <w:footnoteReference w:id="80"/>
      </w:r>
      <w:r w:rsidR="00B30AC8" w:rsidRPr="00D849C0">
        <w:t>, un objet revendiqué définissant ou utilisant des moyens techniques constitue une invention au sens de l</w:t>
      </w:r>
      <w:r w:rsidR="001937C9">
        <w:t>’</w:t>
      </w:r>
      <w:r w:rsidR="00B30AC8" w:rsidRPr="00D849C0">
        <w:t>article</w:t>
      </w:r>
      <w:r w:rsidR="005D43EC">
        <w:t> </w:t>
      </w:r>
      <w:r w:rsidR="00B30AC8" w:rsidRPr="00D849C0">
        <w:t>52.1</w:t>
      </w:r>
      <w:r w:rsidR="00B30AC8" w:rsidRPr="00D849C0">
        <w:rPr>
          <w:vertAlign w:val="superscript"/>
        </w:rPr>
        <w:footnoteReference w:id="81"/>
      </w:r>
      <w:r w:rsidR="00E65C5E" w:rsidRPr="00D849C0">
        <w:t xml:space="preserve"> </w:t>
      </w:r>
      <w:r w:rsidR="00C23A37">
        <w:t>(</w:t>
      </w:r>
      <w:r w:rsidR="006A7CA6" w:rsidRPr="00D849C0">
        <w:t xml:space="preserve">voir les décisions T 424/03 et T 258/03, confirmées </w:t>
      </w:r>
      <w:r w:rsidR="008A2115" w:rsidRPr="00D849C0">
        <w:t>dans</w:t>
      </w:r>
      <w:r w:rsidR="006A7CA6" w:rsidRPr="00D849C0">
        <w:t xml:space="preserve"> la décision G 3/08). </w:t>
      </w:r>
      <w:r w:rsidR="00072FF0" w:rsidRPr="00D849C0">
        <w:t xml:space="preserve"> </w:t>
      </w:r>
      <w:r w:rsidR="00434DC5" w:rsidRPr="00D849C0">
        <w:t>De plus, l</w:t>
      </w:r>
      <w:r w:rsidR="001937C9">
        <w:t>’</w:t>
      </w:r>
      <w:r w:rsidR="00434DC5" w:rsidRPr="00D849C0">
        <w:t>inclusion dans une revendication d</w:t>
      </w:r>
      <w:r w:rsidR="001937C9">
        <w:t>’</w:t>
      </w:r>
      <w:r w:rsidR="00434DC5" w:rsidRPr="00D849C0">
        <w:t>un</w:t>
      </w:r>
      <w:r w:rsidR="00745366">
        <w:t> </w:t>
      </w:r>
      <w:r w:rsidR="00434DC5" w:rsidRPr="00D849C0">
        <w:t>ordinateur, d</w:t>
      </w:r>
      <w:r w:rsidR="001937C9">
        <w:t>’</w:t>
      </w:r>
      <w:r w:rsidR="00434DC5" w:rsidRPr="00D849C0">
        <w:t>un réseau informatique ou d</w:t>
      </w:r>
      <w:r w:rsidR="001937C9">
        <w:t>’</w:t>
      </w:r>
      <w:r w:rsidR="00434DC5" w:rsidRPr="00D849C0">
        <w:t>un support lisible comportant un programme confère un caractère technique à l</w:t>
      </w:r>
      <w:r w:rsidR="001937C9">
        <w:t>’</w:t>
      </w:r>
      <w:r w:rsidR="00434DC5" w:rsidRPr="00D849C0">
        <w:t>objet revendiqué</w:t>
      </w:r>
      <w:r w:rsidR="00E65C5E" w:rsidRPr="00D849C0">
        <w:rPr>
          <w:vertAlign w:val="superscript"/>
        </w:rPr>
        <w:footnoteReference w:id="82"/>
      </w:r>
      <w:r w:rsidR="00434DC5" w:rsidRPr="00D849C0">
        <w:t>.</w:t>
      </w:r>
      <w:r w:rsidR="005D1A55" w:rsidRPr="00D849C0">
        <w:t xml:space="preserve"> </w:t>
      </w:r>
      <w:r w:rsidR="008A2115" w:rsidRPr="00D849C0">
        <w:t xml:space="preserve"> Ces pratiques semblent avoir été confirmées en substance</w:t>
      </w:r>
      <w:r w:rsidR="00453DFB" w:rsidRPr="00D849C0">
        <w:t xml:space="preserve"> en</w:t>
      </w:r>
      <w:r w:rsidR="005D43EC">
        <w:t> </w:t>
      </w:r>
      <w:r w:rsidR="00453DFB" w:rsidRPr="00D849C0">
        <w:t>2010,</w:t>
      </w:r>
      <w:r w:rsidR="008A2115" w:rsidRPr="00D849C0">
        <w:t xml:space="preserve"> par la décision G 3/08 de la Gran</w:t>
      </w:r>
      <w:r w:rsidR="000E52B8">
        <w:t>de C</w:t>
      </w:r>
      <w:r w:rsidR="008A2115" w:rsidRPr="00D849C0">
        <w:t>hambre de recours de l</w:t>
      </w:r>
      <w:r w:rsidR="001937C9">
        <w:t>’</w:t>
      </w:r>
      <w:r w:rsidR="008A2115" w:rsidRPr="00D849C0">
        <w:t>OEB</w:t>
      </w:r>
      <w:r w:rsidR="00E65C5E" w:rsidRPr="00D849C0">
        <w:rPr>
          <w:vertAlign w:val="superscript"/>
        </w:rPr>
        <w:footnoteReference w:id="83"/>
      </w:r>
      <w:r w:rsidR="008A2115" w:rsidRPr="00D849C0">
        <w:t>.</w:t>
      </w:r>
    </w:p>
    <w:p w:rsidR="00E65C5E" w:rsidRPr="00D849C0" w:rsidRDefault="00F32D25" w:rsidP="0030434C">
      <w:pPr>
        <w:pStyle w:val="ONUMFS"/>
      </w:pPr>
      <w:r w:rsidRPr="00D849C0">
        <w:t>Le Royaume</w:t>
      </w:r>
      <w:r w:rsidR="001937C9">
        <w:t>-</w:t>
      </w:r>
      <w:r w:rsidRPr="00D849C0">
        <w:t>Uni, dont les dispositions législatives concernant la brevetabilité des inventions relatives à des logiciels sont presque identiques</w:t>
      </w:r>
      <w:r w:rsidR="00660A59" w:rsidRPr="00D849C0">
        <w:t xml:space="preserve"> à celles de</w:t>
      </w:r>
      <w:r w:rsidR="001937C9" w:rsidRPr="00D849C0">
        <w:t xml:space="preserve"> la</w:t>
      </w:r>
      <w:r w:rsidR="001937C9">
        <w:t> </w:t>
      </w:r>
      <w:r w:rsidR="001937C9" w:rsidRPr="00D849C0">
        <w:t>CBE</w:t>
      </w:r>
      <w:r w:rsidR="00660A59" w:rsidRPr="00D849C0">
        <w:t>, a adopté, en</w:t>
      </w:r>
      <w:r w:rsidR="007638BE">
        <w:t> </w:t>
      </w:r>
      <w:r w:rsidR="00660A59" w:rsidRPr="00D849C0">
        <w:t>revanche, une approche différente</w:t>
      </w:r>
      <w:r w:rsidR="005D43EC">
        <w:t> </w:t>
      </w:r>
      <w:r w:rsidR="00660A59" w:rsidRPr="00D849C0">
        <w:t xml:space="preserve">: celle dite de la </w:t>
      </w:r>
      <w:r w:rsidR="00E65C5E" w:rsidRPr="00D849C0">
        <w:t>“</w:t>
      </w:r>
      <w:r w:rsidR="00660A59" w:rsidRPr="00D849C0">
        <w:t>contribution technique</w:t>
      </w:r>
      <w:r w:rsidR="00E65C5E" w:rsidRPr="00D849C0">
        <w:t>”</w:t>
      </w:r>
      <w:r w:rsidR="00E65C5E" w:rsidRPr="00D849C0">
        <w:rPr>
          <w:vertAlign w:val="superscript"/>
        </w:rPr>
        <w:footnoteReference w:id="84"/>
      </w:r>
      <w:r w:rsidR="00660A59" w:rsidRPr="00D849C0">
        <w:t>.</w:t>
      </w:r>
      <w:r w:rsidR="005142CD" w:rsidRPr="00D849C0">
        <w:t xml:space="preserve">  </w:t>
      </w:r>
      <w:r w:rsidR="005D54AD" w:rsidRPr="00D849C0">
        <w:t>La</w:t>
      </w:r>
      <w:r w:rsidR="007638BE">
        <w:t> </w:t>
      </w:r>
      <w:r w:rsidR="005D54AD" w:rsidRPr="00D849C0">
        <w:t>jurisprudence a confirmé</w:t>
      </w:r>
      <w:r w:rsidR="007D0D48" w:rsidRPr="00D849C0">
        <w:t xml:space="preserve"> l</w:t>
      </w:r>
      <w:r w:rsidR="001937C9">
        <w:t>’</w:t>
      </w:r>
      <w:r w:rsidR="007D0D48" w:rsidRPr="00D849C0">
        <w:t>application d</w:t>
      </w:r>
      <w:r w:rsidR="001937C9">
        <w:t>’</w:t>
      </w:r>
      <w:r w:rsidR="007D0D48" w:rsidRPr="00D849C0">
        <w:t xml:space="preserve">un </w:t>
      </w:r>
      <w:r w:rsidR="00C8707C" w:rsidRPr="00D849C0">
        <w:t>“</w:t>
      </w:r>
      <w:r w:rsidR="007D0D48" w:rsidRPr="00D849C0">
        <w:t>test en quatre</w:t>
      </w:r>
      <w:r w:rsidR="005D43EC">
        <w:t> </w:t>
      </w:r>
      <w:r w:rsidR="007D0D48" w:rsidRPr="00D849C0">
        <w:t>étapes</w:t>
      </w:r>
      <w:r w:rsidR="00C8707C" w:rsidRPr="00D849C0">
        <w:t>”</w:t>
      </w:r>
      <w:r w:rsidR="004D6181" w:rsidRPr="00D849C0">
        <w:rPr>
          <w:rStyle w:val="FootnoteReference"/>
          <w:szCs w:val="22"/>
        </w:rPr>
        <w:footnoteReference w:id="85"/>
      </w:r>
      <w:r w:rsidR="00E65C5E" w:rsidRPr="00D849C0">
        <w:t xml:space="preserve"> </w:t>
      </w:r>
      <w:r w:rsidR="00F60DDF" w:rsidRPr="00D849C0">
        <w:t xml:space="preserve">à cette approche dans </w:t>
      </w:r>
      <w:r w:rsidR="00F60DDF" w:rsidRPr="00D849C0">
        <w:lastRenderedPageBreak/>
        <w:t xml:space="preserve">les décisions </w:t>
      </w:r>
      <w:proofErr w:type="spellStart"/>
      <w:r w:rsidR="00E65C5E" w:rsidRPr="00D849C0">
        <w:rPr>
          <w:i/>
        </w:rPr>
        <w:t>Aerotel</w:t>
      </w:r>
      <w:proofErr w:type="spellEnd"/>
      <w:r w:rsidR="00E65C5E" w:rsidRPr="00D849C0">
        <w:rPr>
          <w:vertAlign w:val="superscript"/>
        </w:rPr>
        <w:footnoteReference w:id="86"/>
      </w:r>
      <w:r w:rsidR="00E65C5E" w:rsidRPr="00D849C0">
        <w:t xml:space="preserve"> </w:t>
      </w:r>
      <w:r w:rsidR="00F60DDF" w:rsidRPr="00D849C0">
        <w:t>et</w:t>
      </w:r>
      <w:r w:rsidR="00E65C5E" w:rsidRPr="00D849C0">
        <w:t xml:space="preserve"> </w:t>
      </w:r>
      <w:proofErr w:type="spellStart"/>
      <w:r w:rsidR="00E65C5E" w:rsidRPr="00D849C0">
        <w:rPr>
          <w:i/>
        </w:rPr>
        <w:t>Symbian</w:t>
      </w:r>
      <w:proofErr w:type="spellEnd"/>
      <w:r w:rsidR="00E65C5E" w:rsidRPr="00D849C0">
        <w:rPr>
          <w:vertAlign w:val="superscript"/>
        </w:rPr>
        <w:footnoteReference w:id="87"/>
      </w:r>
      <w:r w:rsidR="00F60DDF" w:rsidRPr="00D849C0">
        <w:t xml:space="preserve">.  </w:t>
      </w:r>
      <w:r w:rsidR="00E100A5" w:rsidRPr="00D849C0">
        <w:t>Par conséquent, un programme permettant à un ordinateur de fonctionner plus rapidement ou d</w:t>
      </w:r>
      <w:r w:rsidR="001937C9">
        <w:t>’</w:t>
      </w:r>
      <w:r w:rsidR="00E100A5" w:rsidRPr="00D849C0">
        <w:t>une manière plus fiable peut être considéré comme apportant une contribution technique (et comme brevetable), même si l</w:t>
      </w:r>
      <w:r w:rsidR="001937C9">
        <w:t>’</w:t>
      </w:r>
      <w:r w:rsidR="00E100A5" w:rsidRPr="00D849C0">
        <w:t xml:space="preserve">invention </w:t>
      </w:r>
      <w:r w:rsidR="00594CFA">
        <w:t xml:space="preserve">remédie </w:t>
      </w:r>
      <w:r w:rsidR="00E100A5" w:rsidRPr="00D849C0">
        <w:t>s</w:t>
      </w:r>
      <w:r w:rsidR="00594CFA">
        <w:t>imple</w:t>
      </w:r>
      <w:r w:rsidR="00E100A5" w:rsidRPr="00D849C0">
        <w:t>ment</w:t>
      </w:r>
      <w:r w:rsidR="00594CFA">
        <w:t xml:space="preserve"> à</w:t>
      </w:r>
      <w:r w:rsidR="00E100A5" w:rsidRPr="00D849C0">
        <w:t xml:space="preserve"> un problème de programmation</w:t>
      </w:r>
      <w:r w:rsidR="00E65C5E" w:rsidRPr="00D849C0">
        <w:rPr>
          <w:vertAlign w:val="superscript"/>
        </w:rPr>
        <w:footnoteReference w:id="88"/>
      </w:r>
      <w:r w:rsidR="00E100A5" w:rsidRPr="00D849C0">
        <w:t>.</w:t>
      </w:r>
    </w:p>
    <w:p w:rsidR="00E65C5E" w:rsidRPr="00D849C0" w:rsidRDefault="00A754F1" w:rsidP="007638BE">
      <w:pPr>
        <w:pStyle w:val="ONUMFS"/>
      </w:pPr>
      <w:r w:rsidRPr="00D849C0">
        <w:t>L</w:t>
      </w:r>
      <w:r w:rsidR="001937C9">
        <w:t>’</w:t>
      </w:r>
      <w:r w:rsidRPr="00D849C0">
        <w:t>Inde, dont la législation exclut également la brevetabilité des programmes d</w:t>
      </w:r>
      <w:r w:rsidR="001937C9">
        <w:t>’</w:t>
      </w:r>
      <w:r w:rsidRPr="00D849C0">
        <w:t xml:space="preserve">ordinateur </w:t>
      </w:r>
      <w:r w:rsidRPr="00D849C0">
        <w:rPr>
          <w:i/>
        </w:rPr>
        <w:t xml:space="preserve">en </w:t>
      </w:r>
      <w:r w:rsidR="00380FFF" w:rsidRPr="00D849C0">
        <w:rPr>
          <w:i/>
        </w:rPr>
        <w:t>tant que tels</w:t>
      </w:r>
      <w:r w:rsidRPr="00D849C0">
        <w:t>, semble toutefois</w:t>
      </w:r>
      <w:r w:rsidR="006F6089" w:rsidRPr="00D849C0">
        <w:t xml:space="preserve"> reconnaître qu</w:t>
      </w:r>
      <w:r w:rsidR="001937C9">
        <w:t>’</w:t>
      </w:r>
      <w:r w:rsidR="006F6089" w:rsidRPr="00D849C0">
        <w:t>une combinaison avec un matériel quelconque est brevetable</w:t>
      </w:r>
      <w:r w:rsidR="00E65C5E" w:rsidRPr="00D849C0">
        <w:rPr>
          <w:vertAlign w:val="superscript"/>
        </w:rPr>
        <w:footnoteReference w:id="89"/>
      </w:r>
      <w:r w:rsidR="006F6089" w:rsidRPr="00D849C0">
        <w:t>.</w:t>
      </w:r>
      <w:r w:rsidR="00E65C5E" w:rsidRPr="00D849C0">
        <w:t xml:space="preserve">  </w:t>
      </w:r>
      <w:r w:rsidR="00A6424C" w:rsidRPr="00D849C0">
        <w:t>Les directives de ce pays prévoient en effet qu</w:t>
      </w:r>
      <w:r w:rsidR="001937C9">
        <w:t>’</w:t>
      </w:r>
      <w:r w:rsidR="00A6424C" w:rsidRPr="00D849C0">
        <w:t>une revendication portant sur une méthode doit comporter une limitation relative à un matériel ou à une machine</w:t>
      </w:r>
      <w:r w:rsidR="00E65C5E" w:rsidRPr="00D849C0">
        <w:rPr>
          <w:vertAlign w:val="superscript"/>
        </w:rPr>
        <w:footnoteReference w:id="90"/>
      </w:r>
      <w:r w:rsidR="00E65C5E" w:rsidRPr="00D849C0">
        <w:t xml:space="preserve"> </w:t>
      </w:r>
      <w:r w:rsidR="00A6424C" w:rsidRPr="00D849C0">
        <w:t>et que les revendications portant sur des programmes d</w:t>
      </w:r>
      <w:r w:rsidR="001937C9">
        <w:t>’</w:t>
      </w:r>
      <w:r w:rsidR="00A6424C" w:rsidRPr="00D849C0">
        <w:t>ordinateur associés à un matériel afin de permettre à ce dernier de remplir une certaine fonction</w:t>
      </w:r>
      <w:r w:rsidR="006D22A3" w:rsidRPr="00D849C0">
        <w:t xml:space="preserve"> sont susceptibles d</w:t>
      </w:r>
      <w:r w:rsidR="001937C9">
        <w:t>’</w:t>
      </w:r>
      <w:r w:rsidR="006D22A3" w:rsidRPr="00D849C0">
        <w:t xml:space="preserve">être </w:t>
      </w:r>
      <w:r w:rsidR="00A6424C" w:rsidRPr="00D849C0">
        <w:t>brevetables</w:t>
      </w:r>
      <w:r w:rsidR="00E65C5E" w:rsidRPr="00D849C0">
        <w:rPr>
          <w:vertAlign w:val="superscript"/>
        </w:rPr>
        <w:footnoteReference w:id="91"/>
      </w:r>
      <w:r w:rsidR="006D22A3" w:rsidRPr="00D849C0">
        <w:t xml:space="preserve">.  Une invention composée </w:t>
      </w:r>
      <w:r w:rsidR="00933122" w:rsidRPr="00D849C0">
        <w:t>d</w:t>
      </w:r>
      <w:r w:rsidR="001937C9">
        <w:t>’</w:t>
      </w:r>
      <w:r w:rsidR="00933122" w:rsidRPr="00D849C0">
        <w:t>un matériel accompagné d</w:t>
      </w:r>
      <w:r w:rsidR="001937C9">
        <w:t>’</w:t>
      </w:r>
      <w:r w:rsidR="00933122" w:rsidRPr="00D849C0">
        <w:t>un logiciel ou d</w:t>
      </w:r>
      <w:r w:rsidR="001937C9">
        <w:t>’</w:t>
      </w:r>
      <w:r w:rsidR="00933122" w:rsidRPr="00D849C0">
        <w:t>un programme d</w:t>
      </w:r>
      <w:r w:rsidR="001937C9">
        <w:t>’</w:t>
      </w:r>
      <w:r w:rsidR="00933122" w:rsidRPr="00D849C0">
        <w:t>ordinateur</w:t>
      </w:r>
      <w:r w:rsidR="00B80A8D" w:rsidRPr="00D849C0">
        <w:t xml:space="preserve">, </w:t>
      </w:r>
      <w:r w:rsidR="00933122" w:rsidRPr="00D849C0">
        <w:t>telle qu</w:t>
      </w:r>
      <w:r w:rsidR="001937C9">
        <w:t>’</w:t>
      </w:r>
      <w:r w:rsidR="00933122" w:rsidRPr="00D849C0">
        <w:t xml:space="preserve">un </w:t>
      </w:r>
      <w:r w:rsidR="00B80A8D" w:rsidRPr="00D849C0">
        <w:t>système embarqué, peut être considérée comme brevetable</w:t>
      </w:r>
      <w:r w:rsidR="00E65C5E" w:rsidRPr="00D849C0">
        <w:rPr>
          <w:vertAlign w:val="superscript"/>
        </w:rPr>
        <w:footnoteReference w:id="92"/>
      </w:r>
      <w:r w:rsidR="00B80A8D" w:rsidRPr="00D849C0">
        <w:t>,</w:t>
      </w:r>
      <w:r w:rsidR="00E65C5E" w:rsidRPr="00D849C0">
        <w:t xml:space="preserve"> </w:t>
      </w:r>
      <w:r w:rsidR="00B80A8D" w:rsidRPr="00D849C0">
        <w:t>alors qu</w:t>
      </w:r>
      <w:r w:rsidR="001937C9">
        <w:t>’</w:t>
      </w:r>
      <w:r w:rsidR="00B80A8D" w:rsidRPr="00D849C0">
        <w:t xml:space="preserve">une revendication </w:t>
      </w:r>
      <w:r w:rsidR="00380FFF" w:rsidRPr="00D849C0">
        <w:t>portant sur un programme d</w:t>
      </w:r>
      <w:r w:rsidR="001937C9">
        <w:t>’</w:t>
      </w:r>
      <w:r w:rsidR="00380FFF" w:rsidRPr="00D849C0">
        <w:t xml:space="preserve">ordinateur </w:t>
      </w:r>
      <w:r w:rsidR="00380FFF" w:rsidRPr="00D849C0">
        <w:rPr>
          <w:i/>
        </w:rPr>
        <w:t>en tant que tel</w:t>
      </w:r>
      <w:r w:rsidR="00380FFF" w:rsidRPr="00D849C0">
        <w:t xml:space="preserve"> ou</w:t>
      </w:r>
      <w:r w:rsidR="006716DA" w:rsidRPr="00D849C0">
        <w:t xml:space="preserve"> un programme d</w:t>
      </w:r>
      <w:r w:rsidR="001937C9">
        <w:t>’</w:t>
      </w:r>
      <w:r w:rsidR="006716DA" w:rsidRPr="00D849C0">
        <w:t>ordinateur en tant que produit ne l</w:t>
      </w:r>
      <w:r w:rsidR="001937C9">
        <w:t>’</w:t>
      </w:r>
      <w:r w:rsidR="006716DA" w:rsidRPr="00D849C0">
        <w:t>est pas</w:t>
      </w:r>
      <w:r w:rsidR="00E65C5E" w:rsidRPr="00D849C0">
        <w:rPr>
          <w:vertAlign w:val="superscript"/>
        </w:rPr>
        <w:footnoteReference w:id="93"/>
      </w:r>
      <w:r w:rsidR="006D22A3" w:rsidRPr="00D849C0">
        <w:t>.</w:t>
      </w:r>
    </w:p>
    <w:p w:rsidR="00E65C5E" w:rsidRPr="00D849C0" w:rsidRDefault="00F50F38" w:rsidP="007638BE">
      <w:pPr>
        <w:pStyle w:val="ONUMFS"/>
      </w:pPr>
      <w:r w:rsidRPr="00D849C0">
        <w:t>La Nouvelle</w:t>
      </w:r>
      <w:r w:rsidR="001937C9">
        <w:t>-</w:t>
      </w:r>
      <w:r w:rsidRPr="00D849C0">
        <w:t>Zélande a adopté récemment une nouvelle loi sur les brevets</w:t>
      </w:r>
      <w:r w:rsidR="00005184" w:rsidRPr="00D849C0">
        <w:rPr>
          <w:rStyle w:val="FootnoteReference"/>
        </w:rPr>
        <w:footnoteReference w:id="94"/>
      </w:r>
      <w:r w:rsidR="00005184" w:rsidRPr="00D849C0">
        <w:t xml:space="preserve"> </w:t>
      </w:r>
      <w:r w:rsidRPr="00D849C0">
        <w:t>en vertu de laquelle les logiciels en tant que tels ne sont pas considérés comme des inventions.</w:t>
      </w:r>
      <w:r w:rsidR="0080246F" w:rsidRPr="00D849C0">
        <w:t xml:space="preserve"> </w:t>
      </w:r>
      <w:r w:rsidR="005D43EC">
        <w:t xml:space="preserve"> </w:t>
      </w:r>
      <w:r w:rsidR="0080246F" w:rsidRPr="00D849C0">
        <w:t xml:space="preserve">Il a été précisé </w:t>
      </w:r>
      <w:r w:rsidR="00A076C6" w:rsidRPr="00D849C0">
        <w:t>que</w:t>
      </w:r>
      <w:r w:rsidR="00236213" w:rsidRPr="00D849C0">
        <w:t xml:space="preserve"> </w:t>
      </w:r>
      <w:r w:rsidR="008855E8" w:rsidRPr="00D849C0">
        <w:t>“</w:t>
      </w:r>
      <w:r w:rsidR="00236213" w:rsidRPr="00D849C0">
        <w:t>plutôt que d</w:t>
      </w:r>
      <w:r w:rsidR="001937C9">
        <w:t>’</w:t>
      </w:r>
      <w:r w:rsidR="00236213" w:rsidRPr="00D849C0">
        <w:t>exclure les programmes d</w:t>
      </w:r>
      <w:r w:rsidR="001937C9">
        <w:t>’</w:t>
      </w:r>
      <w:r w:rsidR="00236213" w:rsidRPr="00D849C0">
        <w:t>ordinateur de la possibilité de constituer des</w:t>
      </w:r>
      <w:r w:rsidR="007638BE">
        <w:t> </w:t>
      </w:r>
      <w:r w:rsidR="00236213" w:rsidRPr="00D849C0">
        <w:t xml:space="preserve">inventions brevetables, la nouvelle clause 10A </w:t>
      </w:r>
      <w:r w:rsidR="0080246F" w:rsidRPr="00D849C0">
        <w:t>clarifie</w:t>
      </w:r>
      <w:r w:rsidR="00236213" w:rsidRPr="00D849C0">
        <w:t xml:space="preserve"> qu</w:t>
      </w:r>
      <w:r w:rsidR="001937C9">
        <w:t>’</w:t>
      </w:r>
      <w:r w:rsidR="00236213" w:rsidRPr="00D849C0">
        <w:t>un programme d</w:t>
      </w:r>
      <w:r w:rsidR="001937C9">
        <w:t>’</w:t>
      </w:r>
      <w:r w:rsidR="00236213" w:rsidRPr="00D849C0">
        <w:t>ordinateur n</w:t>
      </w:r>
      <w:r w:rsidR="001937C9">
        <w:t>’</w:t>
      </w:r>
      <w:r w:rsidR="00236213" w:rsidRPr="00D849C0">
        <w:t>est ni une invention ni un mode de fabrication au</w:t>
      </w:r>
      <w:r w:rsidR="00FB35E6" w:rsidRPr="00D849C0">
        <w:t>x fins</w:t>
      </w:r>
      <w:r w:rsidR="00236213" w:rsidRPr="00D849C0">
        <w:t xml:space="preserve"> </w:t>
      </w:r>
      <w:r w:rsidR="00FB35E6" w:rsidRPr="00D849C0">
        <w:t>d</w:t>
      </w:r>
      <w:r w:rsidR="00DC411D" w:rsidRPr="00D849C0">
        <w:t>e</w:t>
      </w:r>
      <w:r w:rsidR="00236213" w:rsidRPr="00D849C0">
        <w:t xml:space="preserve"> la loi (</w:t>
      </w:r>
      <w:r w:rsidR="00FB35E6" w:rsidRPr="00D849C0">
        <w:t>et que cela</w:t>
      </w:r>
      <w:r w:rsidR="00DC411D" w:rsidRPr="00D849C0">
        <w:t xml:space="preserve"> n</w:t>
      </w:r>
      <w:r w:rsidR="001937C9">
        <w:t>’</w:t>
      </w:r>
      <w:r w:rsidR="00DC411D" w:rsidRPr="00D849C0">
        <w:t xml:space="preserve">empêche aucun objet de constituer une invention ou un mode de fabrication, sauf </w:t>
      </w:r>
      <w:r w:rsidR="007574E3" w:rsidRPr="00D849C0">
        <w:t>lorsqu</w:t>
      </w:r>
      <w:r w:rsidR="00BF10FB" w:rsidRPr="00D849C0">
        <w:t>e le</w:t>
      </w:r>
      <w:r w:rsidR="00DC411D" w:rsidRPr="00D849C0">
        <w:t xml:space="preserve"> brevet ou </w:t>
      </w:r>
      <w:r w:rsidR="00BF10FB" w:rsidRPr="00D849C0">
        <w:t>la</w:t>
      </w:r>
      <w:r w:rsidR="00DC411D" w:rsidRPr="00D849C0">
        <w:t xml:space="preserve"> demande se rapporte à un programme d</w:t>
      </w:r>
      <w:r w:rsidR="001937C9">
        <w:t>’</w:t>
      </w:r>
      <w:r w:rsidR="00DC411D" w:rsidRPr="00D849C0">
        <w:t>ordinateur en tant que tel)</w:t>
      </w:r>
      <w:r w:rsidR="00E65C5E" w:rsidRPr="00D849C0">
        <w:t>”</w:t>
      </w:r>
      <w:r w:rsidR="00E65C5E" w:rsidRPr="00D849C0">
        <w:rPr>
          <w:vertAlign w:val="superscript"/>
        </w:rPr>
        <w:footnoteReference w:id="95"/>
      </w:r>
      <w:r w:rsidR="006D22A3" w:rsidRPr="00D849C0">
        <w:t>.</w:t>
      </w:r>
    </w:p>
    <w:p w:rsidR="00E65C5E" w:rsidRPr="00D849C0" w:rsidRDefault="007574E3" w:rsidP="007638BE">
      <w:pPr>
        <w:pStyle w:val="ONUMFS"/>
      </w:pPr>
      <w:r w:rsidRPr="00D849C0">
        <w:t>La loi sur les brevets des Philippines</w:t>
      </w:r>
      <w:r w:rsidR="00BF10FB" w:rsidRPr="00D849C0">
        <w:t xml:space="preserve"> n</w:t>
      </w:r>
      <w:r w:rsidR="001937C9">
        <w:t>’</w:t>
      </w:r>
      <w:r w:rsidR="00BF10FB" w:rsidRPr="00D849C0">
        <w:t>utilise pas l</w:t>
      </w:r>
      <w:r w:rsidR="001937C9">
        <w:t>’</w:t>
      </w:r>
      <w:r w:rsidR="00BF10FB" w:rsidRPr="00D849C0">
        <w:t xml:space="preserve">expression </w:t>
      </w:r>
      <w:r w:rsidR="000E52B8">
        <w:rPr>
          <w:i/>
        </w:rPr>
        <w:t>en tant que tel</w:t>
      </w:r>
      <w:r w:rsidR="00BF10FB" w:rsidRPr="00D849C0">
        <w:t xml:space="preserve"> spécifiquement à</w:t>
      </w:r>
      <w:r w:rsidR="005D43EC">
        <w:t> </w:t>
      </w:r>
      <w:r w:rsidR="00BF10FB" w:rsidRPr="00D849C0">
        <w:t>l</w:t>
      </w:r>
      <w:r w:rsidR="001937C9">
        <w:t>’</w:t>
      </w:r>
      <w:r w:rsidR="00BF10FB" w:rsidRPr="00D849C0">
        <w:t>égard des programmes d</w:t>
      </w:r>
      <w:r w:rsidR="001937C9">
        <w:t>’</w:t>
      </w:r>
      <w:r w:rsidR="00BF10FB" w:rsidRPr="00D849C0">
        <w:t>ordinateur.  Les directives</w:t>
      </w:r>
      <w:r w:rsidR="00BF10FB" w:rsidRPr="00D849C0">
        <w:rPr>
          <w:vertAlign w:val="superscript"/>
        </w:rPr>
        <w:footnoteReference w:id="96"/>
      </w:r>
      <w:r w:rsidR="00BF10FB" w:rsidRPr="00D849C0">
        <w:t xml:space="preserve"> précisent toutefois</w:t>
      </w:r>
      <w:r w:rsidR="006401E9" w:rsidRPr="00D849C0">
        <w:t xml:space="preserve"> que toute exclusion de la brevetabilité, y</w:t>
      </w:r>
      <w:r w:rsidR="005D43EC">
        <w:t> </w:t>
      </w:r>
      <w:r w:rsidR="006401E9" w:rsidRPr="00D849C0">
        <w:t>compris celle des programmes d</w:t>
      </w:r>
      <w:r w:rsidR="001937C9">
        <w:t>’</w:t>
      </w:r>
      <w:r w:rsidR="006401E9" w:rsidRPr="00D849C0">
        <w:t>ordinateur, ne s</w:t>
      </w:r>
      <w:r w:rsidR="001937C9">
        <w:t>’</w:t>
      </w:r>
      <w:r w:rsidR="006401E9" w:rsidRPr="00D849C0">
        <w:t>applique, d</w:t>
      </w:r>
      <w:r w:rsidR="001937C9">
        <w:t>’</w:t>
      </w:r>
      <w:r w:rsidR="006401E9" w:rsidRPr="00D849C0">
        <w:t xml:space="preserve">une manière générale, que dans la mesure où la demande se rapporte à un objet exclu </w:t>
      </w:r>
      <w:r w:rsidR="006401E9" w:rsidRPr="00D849C0">
        <w:rPr>
          <w:i/>
        </w:rPr>
        <w:t>en</w:t>
      </w:r>
      <w:r w:rsidR="007638BE">
        <w:rPr>
          <w:i/>
        </w:rPr>
        <w:t> </w:t>
      </w:r>
      <w:r w:rsidR="006401E9" w:rsidRPr="00D849C0">
        <w:rPr>
          <w:i/>
        </w:rPr>
        <w:t>tant que tel</w:t>
      </w:r>
      <w:r w:rsidR="00E65C5E" w:rsidRPr="00D849C0">
        <w:rPr>
          <w:vertAlign w:val="superscript"/>
        </w:rPr>
        <w:footnoteReference w:id="97"/>
      </w:r>
      <w:r w:rsidR="006401E9" w:rsidRPr="00D849C0">
        <w:t>.</w:t>
      </w:r>
      <w:r w:rsidR="00FF2973" w:rsidRPr="00D849C0">
        <w:t xml:space="preserve"> </w:t>
      </w:r>
      <w:r w:rsidR="00E65C5E" w:rsidRPr="00D849C0">
        <w:t xml:space="preserve"> </w:t>
      </w:r>
      <w:r w:rsidR="002C7A99" w:rsidRPr="00D849C0">
        <w:t>Cela correspond en substance à la pratique des pays dont les lois excluent les logiciels d</w:t>
      </w:r>
      <w:r w:rsidR="001937C9">
        <w:t>’</w:t>
      </w:r>
      <w:r w:rsidR="002C7A99" w:rsidRPr="00D849C0">
        <w:t>ordinateur en tant que tels.</w:t>
      </w:r>
    </w:p>
    <w:p w:rsidR="00E65C5E" w:rsidRPr="00D849C0" w:rsidRDefault="003D474F" w:rsidP="00BD2732">
      <w:pPr>
        <w:pStyle w:val="Heading3"/>
      </w:pPr>
      <w:bookmarkStart w:id="19" w:name="_Toc387060472"/>
      <w:r w:rsidRPr="00D849C0">
        <w:t>Inclusion expresse</w:t>
      </w:r>
      <w:bookmarkEnd w:id="19"/>
    </w:p>
    <w:p w:rsidR="005F13F4" w:rsidRPr="00D849C0" w:rsidRDefault="005F13F4" w:rsidP="00007A87">
      <w:pPr>
        <w:rPr>
          <w:szCs w:val="22"/>
        </w:rPr>
      </w:pPr>
    </w:p>
    <w:p w:rsidR="00E65C5E" w:rsidRPr="00D849C0" w:rsidRDefault="00EF48EE" w:rsidP="007638BE">
      <w:pPr>
        <w:pStyle w:val="ONUMFS"/>
      </w:pPr>
      <w:r w:rsidRPr="00D849C0">
        <w:t>La loi sur les brevets du Japon désigne expressément les programmes d</w:t>
      </w:r>
      <w:r w:rsidR="001937C9">
        <w:t>’</w:t>
      </w:r>
      <w:r w:rsidRPr="00D849C0">
        <w:t>ordinateur comme des objets brevetables</w:t>
      </w:r>
      <w:r w:rsidR="00E65C5E" w:rsidRPr="00D849C0">
        <w:rPr>
          <w:vertAlign w:val="superscript"/>
        </w:rPr>
        <w:footnoteReference w:id="98"/>
      </w:r>
      <w:r w:rsidRPr="00D849C0">
        <w:t>.</w:t>
      </w:r>
      <w:r w:rsidR="00E65C5E" w:rsidRPr="00D849C0">
        <w:t xml:space="preserve">  </w:t>
      </w:r>
      <w:r w:rsidRPr="00D849C0">
        <w:t>Elle définit l</w:t>
      </w:r>
      <w:r w:rsidR="001937C9">
        <w:t>’</w:t>
      </w:r>
      <w:r w:rsidRPr="00D849C0">
        <w:t xml:space="preserve">invention </w:t>
      </w:r>
      <w:r w:rsidR="00CB09C7" w:rsidRPr="00D849C0">
        <w:t xml:space="preserve">comme étant </w:t>
      </w:r>
      <w:r w:rsidR="005D43EC">
        <w:t>“</w:t>
      </w:r>
      <w:r w:rsidR="00CB09C7" w:rsidRPr="00D849C0">
        <w:t>une création hautement perfectionnée découlant d</w:t>
      </w:r>
      <w:r w:rsidR="001937C9">
        <w:t>’</w:t>
      </w:r>
      <w:r w:rsidR="00CB09C7" w:rsidRPr="00D849C0">
        <w:t>idées techniques mettant en œuvre les lois de la nature</w:t>
      </w:r>
      <w:r w:rsidR="00E65C5E" w:rsidRPr="00D849C0">
        <w:t>”</w:t>
      </w:r>
      <w:r w:rsidR="00E65C5E" w:rsidRPr="00D849C0">
        <w:rPr>
          <w:vertAlign w:val="superscript"/>
        </w:rPr>
        <w:footnoteReference w:id="99"/>
      </w:r>
      <w:r w:rsidR="00CB09C7" w:rsidRPr="00D849C0">
        <w:t>.</w:t>
      </w:r>
      <w:r w:rsidR="00783071" w:rsidRPr="00D849C0">
        <w:t xml:space="preserve">  </w:t>
      </w:r>
      <w:r w:rsidR="00CB09C7" w:rsidRPr="00D849C0">
        <w:t>Cela signifie que seul un programme d</w:t>
      </w:r>
      <w:r w:rsidR="001937C9">
        <w:t>’</w:t>
      </w:r>
      <w:r w:rsidR="00CB09C7" w:rsidRPr="00D849C0">
        <w:t xml:space="preserve">ordinateur pouvant être considéré comme une </w:t>
      </w:r>
      <w:r w:rsidR="00E65C5E" w:rsidRPr="00D849C0">
        <w:t>“</w:t>
      </w:r>
      <w:r w:rsidR="00CB09C7" w:rsidRPr="00D849C0">
        <w:t>création découlant d</w:t>
      </w:r>
      <w:r w:rsidR="001937C9">
        <w:t>’</w:t>
      </w:r>
      <w:r w:rsidR="00CB09C7" w:rsidRPr="00D849C0">
        <w:t>idées techniques mettant en œuvre les lois de la nature</w:t>
      </w:r>
      <w:r w:rsidR="00E65C5E" w:rsidRPr="00D849C0">
        <w:t xml:space="preserve">” </w:t>
      </w:r>
      <w:r w:rsidR="00BE2CF7" w:rsidRPr="00D849C0">
        <w:t>a droit à la protection par brevet</w:t>
      </w:r>
      <w:r w:rsidR="00E65C5E" w:rsidRPr="00D849C0">
        <w:t>.</w:t>
      </w:r>
      <w:r w:rsidR="00107CCE" w:rsidRPr="00D849C0">
        <w:t xml:space="preserve"> </w:t>
      </w:r>
      <w:r w:rsidR="005F13F4" w:rsidRPr="00D849C0">
        <w:t xml:space="preserve"> </w:t>
      </w:r>
      <w:r w:rsidR="00BE2CF7" w:rsidRPr="00D849C0">
        <w:t>Les directives</w:t>
      </w:r>
      <w:r w:rsidR="001937C9" w:rsidRPr="00D849C0">
        <w:t xml:space="preserve"> du</w:t>
      </w:r>
      <w:r w:rsidR="001937C9">
        <w:t> </w:t>
      </w:r>
      <w:r w:rsidR="001937C9" w:rsidRPr="00D849C0">
        <w:t>JPO</w:t>
      </w:r>
      <w:r w:rsidR="00E65C5E" w:rsidRPr="00D849C0">
        <w:rPr>
          <w:vertAlign w:val="superscript"/>
        </w:rPr>
        <w:footnoteReference w:id="100"/>
      </w:r>
      <w:r w:rsidR="00E65C5E" w:rsidRPr="00D849C0">
        <w:t xml:space="preserve"> </w:t>
      </w:r>
      <w:r w:rsidR="00BE2CF7" w:rsidRPr="00D849C0">
        <w:t xml:space="preserve">ajoutent que lorsque </w:t>
      </w:r>
      <w:r w:rsidR="00E65C5E" w:rsidRPr="00D849C0">
        <w:t>“</w:t>
      </w:r>
      <w:r w:rsidR="00BE2CF7" w:rsidRPr="00D849C0">
        <w:t>le traitement concret d</w:t>
      </w:r>
      <w:r w:rsidR="001937C9">
        <w:t>’</w:t>
      </w:r>
      <w:r w:rsidR="00BE2CF7" w:rsidRPr="00D849C0">
        <w:t>informations par un logiciel est réalisé à l</w:t>
      </w:r>
      <w:r w:rsidR="001937C9">
        <w:t>’</w:t>
      </w:r>
      <w:r w:rsidR="00BE2CF7" w:rsidRPr="00D849C0">
        <w:t>aide de ressources matérielles</w:t>
      </w:r>
      <w:r w:rsidR="00E65C5E" w:rsidRPr="00D849C0">
        <w:t>”</w:t>
      </w:r>
      <w:r w:rsidR="00BE2CF7" w:rsidRPr="00D849C0">
        <w:t xml:space="preserve">, ce logiciel est considéré comme </w:t>
      </w:r>
      <w:r w:rsidR="005D43EC">
        <w:lastRenderedPageBreak/>
        <w:t>“</w:t>
      </w:r>
      <w:r w:rsidR="00850958" w:rsidRPr="00D849C0">
        <w:t>une</w:t>
      </w:r>
      <w:r w:rsidR="00C24750">
        <w:t> </w:t>
      </w:r>
      <w:r w:rsidR="00850958" w:rsidRPr="00D849C0">
        <w:t>création d</w:t>
      </w:r>
      <w:r w:rsidR="001937C9">
        <w:t>’</w:t>
      </w:r>
      <w:r w:rsidR="00850958" w:rsidRPr="00D849C0">
        <w:t>idées techniques mettant en œuvre les lois de la nature</w:t>
      </w:r>
      <w:r w:rsidR="00E65C5E" w:rsidRPr="00D849C0">
        <w:t>”</w:t>
      </w:r>
      <w:r w:rsidR="00E65C5E" w:rsidRPr="00D849C0">
        <w:rPr>
          <w:vertAlign w:val="superscript"/>
        </w:rPr>
        <w:footnoteReference w:id="101"/>
      </w:r>
      <w:r w:rsidR="00263F2E" w:rsidRPr="00D849C0">
        <w:t>.</w:t>
      </w:r>
      <w:r w:rsidR="005D43EC">
        <w:t xml:space="preserve"> </w:t>
      </w:r>
      <w:r w:rsidR="00850958" w:rsidRPr="00D849C0">
        <w:t xml:space="preserve"> Autrement dit, lorsque le traitement d</w:t>
      </w:r>
      <w:r w:rsidR="001937C9">
        <w:t>’</w:t>
      </w:r>
      <w:r w:rsidR="00850958" w:rsidRPr="00D849C0">
        <w:t>informations par un logiciel (ou un programme d</w:t>
      </w:r>
      <w:r w:rsidR="001937C9">
        <w:t>’</w:t>
      </w:r>
      <w:r w:rsidR="00850958" w:rsidRPr="00D849C0">
        <w:t>ordinateur) n</w:t>
      </w:r>
      <w:r w:rsidR="001937C9">
        <w:t>’</w:t>
      </w:r>
      <w:r w:rsidR="00850958" w:rsidRPr="00D849C0">
        <w:t>est pas réalisé concrètement à l</w:t>
      </w:r>
      <w:r w:rsidR="001937C9">
        <w:t>’</w:t>
      </w:r>
      <w:r w:rsidR="00850958" w:rsidRPr="00D849C0">
        <w:t xml:space="preserve">aide de ressources matérielles, une invention relative à un logiciel ne peut pas prétendre à la protection par brevet.  </w:t>
      </w:r>
      <w:r w:rsidR="00DE32E9" w:rsidRPr="00D849C0">
        <w:t>La position de la directive</w:t>
      </w:r>
      <w:r w:rsidR="001937C9" w:rsidRPr="00D849C0">
        <w:t xml:space="preserve"> du</w:t>
      </w:r>
      <w:r w:rsidR="001937C9">
        <w:t> </w:t>
      </w:r>
      <w:r w:rsidR="001937C9" w:rsidRPr="00D849C0">
        <w:t>JPO</w:t>
      </w:r>
      <w:r w:rsidR="00DE32E9" w:rsidRPr="00D849C0">
        <w:t xml:space="preserve"> semble avoir reçu l</w:t>
      </w:r>
      <w:r w:rsidR="001937C9">
        <w:t>’</w:t>
      </w:r>
      <w:r w:rsidR="00DE32E9" w:rsidRPr="00D849C0">
        <w:t>appui des tribunaux, comme le démontrent les décisions prononcées par la suite</w:t>
      </w:r>
      <w:r w:rsidR="00E65C5E" w:rsidRPr="00D849C0">
        <w:rPr>
          <w:vertAlign w:val="superscript"/>
        </w:rPr>
        <w:footnoteReference w:id="102"/>
      </w:r>
      <w:r w:rsidR="00DE32E9" w:rsidRPr="00D849C0">
        <w:t>.</w:t>
      </w:r>
    </w:p>
    <w:p w:rsidR="00E65C5E" w:rsidRPr="00D849C0" w:rsidRDefault="007E579B" w:rsidP="00C24750">
      <w:pPr>
        <w:pStyle w:val="ONUMFS"/>
      </w:pPr>
      <w:r w:rsidRPr="00D849C0">
        <w:t>D</w:t>
      </w:r>
      <w:r w:rsidR="001937C9">
        <w:t>’</w:t>
      </w:r>
      <w:r w:rsidRPr="00D849C0">
        <w:t>autres pays ont récemment adopté des dispositions autorisant spécifiquement la</w:t>
      </w:r>
      <w:r w:rsidR="00C24750">
        <w:t> </w:t>
      </w:r>
      <w:r w:rsidRPr="00D849C0">
        <w:t xml:space="preserve">brevetabilité des logiciels, </w:t>
      </w:r>
      <w:r w:rsidR="001937C9">
        <w:t>à savoir</w:t>
      </w:r>
      <w:r w:rsidRPr="00D849C0">
        <w:t xml:space="preserve"> le Burundi, Oman et le Rwanda.  </w:t>
      </w:r>
      <w:r w:rsidR="00BE58E2" w:rsidRPr="00D849C0">
        <w:t>Compte tenu du peu de temps qui s</w:t>
      </w:r>
      <w:r w:rsidR="001937C9">
        <w:t>’</w:t>
      </w:r>
      <w:r w:rsidR="00BE58E2" w:rsidRPr="00D849C0">
        <w:t>est écoulé depuis, aucune information n</w:t>
      </w:r>
      <w:r w:rsidR="001937C9">
        <w:t>’</w:t>
      </w:r>
      <w:r w:rsidR="00BE58E2" w:rsidRPr="00D849C0">
        <w:t>est toutefois disponible en ce qui concerne la mise en œuvre pratique de ces lois.</w:t>
      </w:r>
    </w:p>
    <w:p w:rsidR="00E65C5E" w:rsidRPr="00D849C0" w:rsidRDefault="003D474F" w:rsidP="00BD2732">
      <w:pPr>
        <w:pStyle w:val="Heading3"/>
      </w:pPr>
      <w:bookmarkStart w:id="20" w:name="_Toc387060473"/>
      <w:r w:rsidRPr="00D849C0">
        <w:t>Absence de dispositions particulières</w:t>
      </w:r>
      <w:bookmarkEnd w:id="20"/>
    </w:p>
    <w:p w:rsidR="00D84CB6" w:rsidRPr="00D849C0" w:rsidRDefault="00D84CB6" w:rsidP="00007A87">
      <w:pPr>
        <w:rPr>
          <w:szCs w:val="22"/>
        </w:rPr>
      </w:pPr>
    </w:p>
    <w:p w:rsidR="00E65C5E" w:rsidRPr="00D849C0" w:rsidRDefault="000D5E5C" w:rsidP="00C24750">
      <w:pPr>
        <w:pStyle w:val="ONUMFS"/>
      </w:pPr>
      <w:r w:rsidRPr="00D849C0">
        <w:t>La législation des États</w:t>
      </w:r>
      <w:r w:rsidR="001937C9">
        <w:t>-</w:t>
      </w:r>
      <w:r w:rsidRPr="00D849C0">
        <w:t>Unis d</w:t>
      </w:r>
      <w:r w:rsidR="001937C9">
        <w:t>’</w:t>
      </w:r>
      <w:r w:rsidRPr="00D849C0">
        <w:t>Amérique ne définit pas explicitement la notion d</w:t>
      </w:r>
      <w:r w:rsidR="001937C9">
        <w:t>’</w:t>
      </w:r>
      <w:r w:rsidRPr="00D849C0">
        <w:t>invention</w:t>
      </w:r>
      <w:r w:rsidR="00550D2C" w:rsidRPr="00D849C0">
        <w:t xml:space="preserve"> et ne prévoit pas d</w:t>
      </w:r>
      <w:r w:rsidR="001937C9">
        <w:t>’</w:t>
      </w:r>
      <w:r w:rsidR="00550D2C" w:rsidRPr="00D849C0">
        <w:t xml:space="preserve">exclusions </w:t>
      </w:r>
      <w:r w:rsidR="00E66DA8" w:rsidRPr="00D849C0">
        <w:t xml:space="preserve">expresses </w:t>
      </w:r>
      <w:r w:rsidR="00843C70" w:rsidRPr="00D849C0">
        <w:t>à la</w:t>
      </w:r>
      <w:r w:rsidR="00E66DA8" w:rsidRPr="00D849C0">
        <w:t xml:space="preserve"> brevetabilité.  </w:t>
      </w:r>
      <w:r w:rsidR="00843C70" w:rsidRPr="00D849C0">
        <w:t>Trois</w:t>
      </w:r>
      <w:r w:rsidR="005D43EC">
        <w:t> </w:t>
      </w:r>
      <w:r w:rsidR="00843C70" w:rsidRPr="00D849C0">
        <w:t xml:space="preserve">exceptions ont été formulées dans la jurisprudence </w:t>
      </w:r>
      <w:r w:rsidR="007E6043" w:rsidRPr="00D849C0">
        <w:t>en ce qui concerne les</w:t>
      </w:r>
      <w:r w:rsidR="00E66DA8" w:rsidRPr="00D849C0">
        <w:t xml:space="preserve"> lois de la nature, les phénomènes naturels et les</w:t>
      </w:r>
      <w:r w:rsidR="00C24750">
        <w:t> </w:t>
      </w:r>
      <w:r w:rsidR="00E66DA8" w:rsidRPr="00D849C0">
        <w:t>idées abstraites</w:t>
      </w:r>
      <w:r w:rsidR="00E65C5E" w:rsidRPr="00D849C0">
        <w:rPr>
          <w:vertAlign w:val="superscript"/>
        </w:rPr>
        <w:footnoteReference w:id="103"/>
      </w:r>
      <w:r w:rsidR="00107CCE" w:rsidRPr="00D849C0">
        <w:t>,</w:t>
      </w:r>
      <w:r w:rsidR="00E65C5E" w:rsidRPr="00D849C0">
        <w:t xml:space="preserve"> </w:t>
      </w:r>
      <w:r w:rsidR="007E6043" w:rsidRPr="00D849C0">
        <w:t>qui ne sont donc pas brevetables, bien que leur mise en œuvre pratique puisse l</w:t>
      </w:r>
      <w:r w:rsidR="001937C9">
        <w:t>’</w:t>
      </w:r>
      <w:r w:rsidR="007E6043" w:rsidRPr="00D849C0">
        <w:t>être</w:t>
      </w:r>
      <w:r w:rsidR="00E65C5E" w:rsidRPr="00D849C0">
        <w:rPr>
          <w:vertAlign w:val="superscript"/>
        </w:rPr>
        <w:footnoteReference w:id="104"/>
      </w:r>
      <w:r w:rsidR="007E6043" w:rsidRPr="00D849C0">
        <w:t>.</w:t>
      </w:r>
    </w:p>
    <w:p w:rsidR="00D84CB6" w:rsidRPr="00D849C0" w:rsidRDefault="009E4B8B" w:rsidP="00C24750">
      <w:pPr>
        <w:pStyle w:val="ONUMFS"/>
      </w:pPr>
      <w:r w:rsidRPr="00D849C0">
        <w:t>L</w:t>
      </w:r>
      <w:r w:rsidR="001937C9">
        <w:t>’</w:t>
      </w:r>
      <w:r w:rsidR="00E65C5E" w:rsidRPr="00D849C0">
        <w:t xml:space="preserve">USPTO </w:t>
      </w:r>
      <w:r w:rsidRPr="00D849C0">
        <w:t xml:space="preserve">a délivré des brevets </w:t>
      </w:r>
      <w:r w:rsidR="00724F02" w:rsidRPr="00D849C0">
        <w:t>sur des inventions relatives à des logiciels</w:t>
      </w:r>
      <w:r w:rsidR="00E257B6" w:rsidRPr="00D849C0">
        <w:t>, lesquelles remplissaient toutefois certains critères.  L</w:t>
      </w:r>
      <w:r w:rsidR="001937C9">
        <w:t>’</w:t>
      </w:r>
      <w:r w:rsidR="008930EF" w:rsidRPr="00D849C0">
        <w:t>Office a établi, dans son</w:t>
      </w:r>
      <w:r w:rsidR="00E257B6" w:rsidRPr="00D849C0">
        <w:t xml:space="preserve"> </w:t>
      </w:r>
      <w:r w:rsidR="008930EF" w:rsidRPr="00D849C0">
        <w:t>m</w:t>
      </w:r>
      <w:r w:rsidRPr="00D849C0">
        <w:t xml:space="preserve">anuel </w:t>
      </w:r>
      <w:r w:rsidR="0013344A" w:rsidRPr="00D849C0">
        <w:t>de</w:t>
      </w:r>
      <w:r w:rsidRPr="00D849C0">
        <w:t xml:space="preserve"> procédure d</w:t>
      </w:r>
      <w:r w:rsidR="001937C9">
        <w:t>’</w:t>
      </w:r>
      <w:r w:rsidRPr="00D849C0">
        <w:t xml:space="preserve">examen des demandes de </w:t>
      </w:r>
      <w:r w:rsidR="005D43EC">
        <w:t>brevet</w:t>
      </w:r>
      <w:r w:rsidRPr="00D849C0">
        <w:t xml:space="preserve"> (MPEP)</w:t>
      </w:r>
      <w:r w:rsidR="00E65C5E" w:rsidRPr="00D849C0">
        <w:rPr>
          <w:vertAlign w:val="superscript"/>
        </w:rPr>
        <w:footnoteReference w:id="105"/>
      </w:r>
      <w:r w:rsidR="00E65C5E" w:rsidRPr="00D849C0">
        <w:t xml:space="preserve"> </w:t>
      </w:r>
      <w:r w:rsidR="008930EF" w:rsidRPr="00D849C0">
        <w:t>et dans deux</w:t>
      </w:r>
      <w:r w:rsidR="005D43EC">
        <w:t> </w:t>
      </w:r>
      <w:r w:rsidR="008930EF" w:rsidRPr="00D849C0">
        <w:t xml:space="preserve">mémorandums </w:t>
      </w:r>
      <w:r w:rsidR="00E9775C" w:rsidRPr="00D849C0">
        <w:t>provisoires</w:t>
      </w:r>
      <w:r w:rsidR="00E65C5E" w:rsidRPr="00D849C0">
        <w:rPr>
          <w:vertAlign w:val="superscript"/>
        </w:rPr>
        <w:footnoteReference w:id="106"/>
      </w:r>
      <w:r w:rsidR="00C24750">
        <w:t xml:space="preserve"> </w:t>
      </w:r>
      <w:r w:rsidR="00E65C5E" w:rsidRPr="00D849C0">
        <w:rPr>
          <w:vertAlign w:val="superscript"/>
        </w:rPr>
        <w:footnoteReference w:id="107"/>
      </w:r>
      <w:r w:rsidR="005D43EC" w:rsidRPr="00D849C0">
        <w:rPr>
          <w:vertAlign w:val="superscript"/>
        </w:rPr>
        <w:t>,</w:t>
      </w:r>
      <w:r w:rsidR="00E65C5E" w:rsidRPr="00D849C0">
        <w:t xml:space="preserve"> </w:t>
      </w:r>
      <w:r w:rsidR="008930EF" w:rsidRPr="00D849C0">
        <w:t>fondés sur des décisions de tribunaux</w:t>
      </w:r>
      <w:r w:rsidR="00207CB3" w:rsidRPr="00D849C0">
        <w:t>, une méthode systématique d</w:t>
      </w:r>
      <w:r w:rsidR="001937C9">
        <w:t>’</w:t>
      </w:r>
      <w:r w:rsidR="00207CB3" w:rsidRPr="00D849C0">
        <w:t>appréciation de la brevetabilité s</w:t>
      </w:r>
      <w:r w:rsidR="001937C9">
        <w:t>’</w:t>
      </w:r>
      <w:r w:rsidR="00207CB3" w:rsidRPr="00D849C0">
        <w:t xml:space="preserve">appliquant à toutes les inventions, sans </w:t>
      </w:r>
      <w:r w:rsidR="005E1260" w:rsidRPr="00D849C0">
        <w:t>prévoir</w:t>
      </w:r>
      <w:r w:rsidR="00207CB3" w:rsidRPr="00D849C0">
        <w:t xml:space="preserve"> de différence en ce qui concerne les inventions relatives à des logiciels.</w:t>
      </w:r>
      <w:r w:rsidR="00C634D8" w:rsidRPr="00D849C0">
        <w:t xml:space="preserve">  Deux</w:t>
      </w:r>
      <w:r w:rsidR="00C24750">
        <w:t xml:space="preserve"> </w:t>
      </w:r>
      <w:r w:rsidR="00C634D8" w:rsidRPr="00D849C0">
        <w:t>des considérations générales sont les suivantes : tout d</w:t>
      </w:r>
      <w:r w:rsidR="001937C9">
        <w:t>’</w:t>
      </w:r>
      <w:r w:rsidR="00C634D8" w:rsidRPr="00D849C0">
        <w:t xml:space="preserve">abord, </w:t>
      </w:r>
      <w:r w:rsidR="00044799" w:rsidRPr="00D849C0">
        <w:t>l</w:t>
      </w:r>
      <w:r w:rsidR="001937C9">
        <w:t>’</w:t>
      </w:r>
      <w:r w:rsidR="00044799" w:rsidRPr="00D849C0">
        <w:t>objet revendiqué doit entrer dans l</w:t>
      </w:r>
      <w:r w:rsidR="001937C9">
        <w:t>’</w:t>
      </w:r>
      <w:r w:rsidR="00044799" w:rsidRPr="00D849C0">
        <w:t>une des quatre</w:t>
      </w:r>
      <w:r w:rsidR="005D43EC">
        <w:t> </w:t>
      </w:r>
      <w:r w:rsidR="00044799" w:rsidRPr="00D849C0">
        <w:t>catégories prévues par la</w:t>
      </w:r>
      <w:r w:rsidR="00C24750">
        <w:t> </w:t>
      </w:r>
      <w:r w:rsidR="00044799" w:rsidRPr="00D849C0">
        <w:t>législation, ce qui signifie qu</w:t>
      </w:r>
      <w:r w:rsidR="001937C9">
        <w:t>’</w:t>
      </w:r>
      <w:r w:rsidR="00044799" w:rsidRPr="00D849C0">
        <w:t xml:space="preserve">il </w:t>
      </w:r>
      <w:r w:rsidR="00783487" w:rsidRPr="00D849C0">
        <w:t>doit être un procédé, une machine, un article fabriqué ou une</w:t>
      </w:r>
      <w:r w:rsidR="00C24750">
        <w:t> </w:t>
      </w:r>
      <w:r w:rsidR="00783487" w:rsidRPr="00D849C0">
        <w:t>composition de matières</w:t>
      </w:r>
      <w:r w:rsidR="00E65C5E" w:rsidRPr="00D849C0">
        <w:rPr>
          <w:vertAlign w:val="superscript"/>
        </w:rPr>
        <w:footnoteReference w:id="108"/>
      </w:r>
      <w:r w:rsidR="00783487" w:rsidRPr="00D849C0">
        <w:t xml:space="preserve">, et deuxièmement, </w:t>
      </w:r>
      <w:r w:rsidR="00E87E22" w:rsidRPr="00D849C0">
        <w:t>si une revendication couvre une exception reconnue par la jurisprudence telle que les idées abstraites, les lois de la nature ou les phénomènes naturels</w:t>
      </w:r>
      <w:r w:rsidR="00B50CD1" w:rsidRPr="00D849C0">
        <w:t xml:space="preserve"> (physiques), elle doit en constituer une application pratique particulière et ne pas en couvrir toutes les applications</w:t>
      </w:r>
      <w:r w:rsidR="00110CE0" w:rsidRPr="00D849C0">
        <w:t>.</w:t>
      </w:r>
      <w:r w:rsidR="00625A20" w:rsidRPr="00D849C0">
        <w:t xml:space="preserve">  Une revendication portant sur un procédé est soumise à un</w:t>
      </w:r>
      <w:r w:rsidR="00115C0C" w:rsidRPr="00D849C0">
        <w:t xml:space="preserve"> test</w:t>
      </w:r>
      <w:r w:rsidR="00625A20" w:rsidRPr="00D849C0">
        <w:t xml:space="preserve"> “multifactoriel”</w:t>
      </w:r>
      <w:r w:rsidR="0084231A" w:rsidRPr="00D849C0">
        <w:t xml:space="preserve"> appliqué à une version modifiée de l</w:t>
      </w:r>
      <w:r w:rsidR="001937C9">
        <w:t>’</w:t>
      </w:r>
      <w:r w:rsidR="0084231A" w:rsidRPr="00D849C0">
        <w:t>ancien</w:t>
      </w:r>
      <w:r w:rsidR="00115C0C" w:rsidRPr="00D849C0">
        <w:t xml:space="preserve"> test de la</w:t>
      </w:r>
      <w:r w:rsidR="0084231A" w:rsidRPr="00D849C0">
        <w:t xml:space="preserve"> </w:t>
      </w:r>
      <w:r w:rsidR="005D43EC">
        <w:t>“</w:t>
      </w:r>
      <w:r w:rsidR="0084231A" w:rsidRPr="00D849C0">
        <w:t>machine ou transformation</w:t>
      </w:r>
      <w:r w:rsidR="005D43EC">
        <w:t>”</w:t>
      </w:r>
      <w:r w:rsidR="00E65C5E" w:rsidRPr="00D849C0">
        <w:rPr>
          <w:vertAlign w:val="superscript"/>
        </w:rPr>
        <w:footnoteReference w:id="109"/>
      </w:r>
      <w:r w:rsidR="0084231A" w:rsidRPr="00D849C0">
        <w:t>.</w:t>
      </w:r>
      <w:r w:rsidR="00E65C5E" w:rsidRPr="00D849C0">
        <w:t xml:space="preserve">  </w:t>
      </w:r>
      <w:r w:rsidR="00115C0C" w:rsidRPr="00D849C0">
        <w:t>D</w:t>
      </w:r>
      <w:r w:rsidR="00BC2D1C" w:rsidRPr="00D849C0">
        <w:t>es directives spéciales ont été adoptées pour l</w:t>
      </w:r>
      <w:r w:rsidR="001937C9">
        <w:t>’</w:t>
      </w:r>
      <w:r w:rsidR="00BC2D1C" w:rsidRPr="00D849C0">
        <w:t>examen des inventions relatives à des ordinateurs</w:t>
      </w:r>
      <w:r w:rsidR="00034B58" w:rsidRPr="00D849C0">
        <w:rPr>
          <w:rStyle w:val="FootnoteReference"/>
          <w:szCs w:val="22"/>
        </w:rPr>
        <w:footnoteReference w:id="110"/>
      </w:r>
      <w:r w:rsidR="00E65C5E" w:rsidRPr="00D849C0">
        <w:t xml:space="preserve">.  </w:t>
      </w:r>
      <w:r w:rsidR="0033654D" w:rsidRPr="00D849C0">
        <w:t>Une distinction y est faite entre</w:t>
      </w:r>
      <w:r w:rsidR="00411223" w:rsidRPr="00D849C0">
        <w:t xml:space="preserve"> le </w:t>
      </w:r>
      <w:r w:rsidR="005D43EC">
        <w:t>“</w:t>
      </w:r>
      <w:r w:rsidR="00411223" w:rsidRPr="00D849C0">
        <w:t>matériel descriptif fonctionnel</w:t>
      </w:r>
      <w:r w:rsidR="005D43EC">
        <w:t>”</w:t>
      </w:r>
      <w:r w:rsidR="002C3F31" w:rsidRPr="00D849C0">
        <w:rPr>
          <w:rStyle w:val="FootnoteReference"/>
          <w:szCs w:val="22"/>
        </w:rPr>
        <w:footnoteReference w:id="111"/>
      </w:r>
      <w:r w:rsidR="00411223" w:rsidRPr="00D849C0">
        <w:t xml:space="preserve"> et le </w:t>
      </w:r>
      <w:r w:rsidR="005D43EC">
        <w:t>“</w:t>
      </w:r>
      <w:r w:rsidR="00411223" w:rsidRPr="00D849C0">
        <w:t>matériel descriptif non fonctionnel</w:t>
      </w:r>
      <w:r w:rsidR="005D43EC">
        <w:t>”</w:t>
      </w:r>
      <w:r w:rsidR="002C3F31" w:rsidRPr="00D849C0">
        <w:rPr>
          <w:rStyle w:val="FootnoteReference"/>
          <w:szCs w:val="22"/>
        </w:rPr>
        <w:footnoteReference w:id="112"/>
      </w:r>
      <w:r w:rsidR="00C8707C" w:rsidRPr="00D849C0">
        <w:t>.</w:t>
      </w:r>
    </w:p>
    <w:p w:rsidR="00E65C5E" w:rsidRPr="00D849C0" w:rsidRDefault="00520841" w:rsidP="00C24750">
      <w:pPr>
        <w:pStyle w:val="ONUMFS"/>
      </w:pPr>
      <w:r w:rsidRPr="00D849C0">
        <w:lastRenderedPageBreak/>
        <w:t>La jurisprudence des États</w:t>
      </w:r>
      <w:r w:rsidR="001937C9">
        <w:t>-</w:t>
      </w:r>
      <w:r w:rsidRPr="00D849C0">
        <w:t>Unis d</w:t>
      </w:r>
      <w:r w:rsidR="001937C9">
        <w:t>’</w:t>
      </w:r>
      <w:r w:rsidRPr="00D849C0">
        <w:t>Amérique reconnaît également la brevetabilité des logiciels, à condition qu</w:t>
      </w:r>
      <w:r w:rsidR="001937C9">
        <w:t>’</w:t>
      </w:r>
      <w:r w:rsidRPr="00D849C0">
        <w:t>ils ne constituent pas un simple principe scientifique ou théorème abstrait.</w:t>
      </w:r>
      <w:r w:rsidR="004D1FCB" w:rsidRPr="00D849C0">
        <w:t xml:space="preserve">  Par conséquent, alors qu</w:t>
      </w:r>
      <w:r w:rsidR="001937C9">
        <w:t>’</w:t>
      </w:r>
      <w:r w:rsidR="004D1FCB" w:rsidRPr="00D849C0">
        <w:t>un algorithme mathématique n</w:t>
      </w:r>
      <w:r w:rsidR="001937C9">
        <w:t>’</w:t>
      </w:r>
      <w:r w:rsidR="004D1FCB" w:rsidRPr="00D849C0">
        <w:t>est pas brevetable parce qu</w:t>
      </w:r>
      <w:r w:rsidR="001937C9">
        <w:t>’</w:t>
      </w:r>
      <w:r w:rsidR="004D1FCB" w:rsidRPr="00D849C0">
        <w:t>il</w:t>
      </w:r>
      <w:r w:rsidR="00F31298">
        <w:t> </w:t>
      </w:r>
      <w:r w:rsidR="004D1FCB" w:rsidRPr="00D849C0">
        <w:t>existe déjà dans la nature, son application pratique dans une circonstance particulière pourrait être considérée comme une invention.  En particulier, dans l</w:t>
      </w:r>
      <w:r w:rsidR="001937C9">
        <w:t>’</w:t>
      </w:r>
      <w:r w:rsidR="004D1FCB" w:rsidRPr="00D849C0">
        <w:t xml:space="preserve">affaire </w:t>
      </w:r>
      <w:proofErr w:type="spellStart"/>
      <w:r w:rsidR="00E65C5E" w:rsidRPr="00D849C0">
        <w:rPr>
          <w:i/>
        </w:rPr>
        <w:t>Diehr</w:t>
      </w:r>
      <w:proofErr w:type="spellEnd"/>
      <w:r w:rsidR="00E65C5E" w:rsidRPr="00D849C0">
        <w:t>,</w:t>
      </w:r>
      <w:r w:rsidR="009D3B4E" w:rsidRPr="00D849C0">
        <w:t xml:space="preserve"> </w:t>
      </w:r>
      <w:r w:rsidR="00CA0BFC" w:rsidRPr="00D849C0">
        <w:t>une</w:t>
      </w:r>
      <w:r w:rsidR="009D3B4E" w:rsidRPr="00D849C0">
        <w:t xml:space="preserve"> distinction a été </w:t>
      </w:r>
      <w:r w:rsidR="00CA0BFC" w:rsidRPr="00D849C0">
        <w:t>opérée</w:t>
      </w:r>
      <w:r w:rsidR="009D3B4E" w:rsidRPr="00D849C0">
        <w:t xml:space="preserve"> entre les idées abstraites telles que les formules mathématiques et leur application dans un procédé particulier</w:t>
      </w:r>
      <w:r w:rsidR="002A75E6" w:rsidRPr="00D849C0">
        <w:t xml:space="preserve"> à des fins déterminées</w:t>
      </w:r>
      <w:r w:rsidR="00CA0BFC" w:rsidRPr="00D849C0">
        <w:t>, ce dernier – ici la mise en œuvre d</w:t>
      </w:r>
      <w:r w:rsidR="001937C9">
        <w:t>’</w:t>
      </w:r>
      <w:r w:rsidR="00CA0BFC" w:rsidRPr="00D849C0">
        <w:t xml:space="preserve">une formule mathématique dans un procédé particulier à des fins déterminées – étant brevetable.  Cette distinction a été </w:t>
      </w:r>
      <w:r w:rsidR="004542CD" w:rsidRPr="00D849C0">
        <w:t>réaffirmée</w:t>
      </w:r>
      <w:r w:rsidR="00CA0BFC" w:rsidRPr="00D849C0">
        <w:t xml:space="preserve"> dans l</w:t>
      </w:r>
      <w:r w:rsidR="001937C9">
        <w:t>’</w:t>
      </w:r>
      <w:r w:rsidR="00CA0BFC" w:rsidRPr="00D849C0">
        <w:t xml:space="preserve">affaire </w:t>
      </w:r>
      <w:proofErr w:type="spellStart"/>
      <w:r w:rsidR="00E65C5E" w:rsidRPr="00D849C0">
        <w:rPr>
          <w:i/>
        </w:rPr>
        <w:t>Alappat</w:t>
      </w:r>
      <w:proofErr w:type="spellEnd"/>
      <w:r w:rsidR="00E65C5E" w:rsidRPr="00D849C0">
        <w:rPr>
          <w:vertAlign w:val="superscript"/>
        </w:rPr>
        <w:footnoteReference w:id="113"/>
      </w:r>
      <w:r w:rsidR="00E65C5E" w:rsidRPr="00D849C0">
        <w:t xml:space="preserve">. </w:t>
      </w:r>
      <w:r w:rsidR="00D84CB6" w:rsidRPr="00D849C0">
        <w:t xml:space="preserve"> </w:t>
      </w:r>
      <w:r w:rsidR="000D1C26" w:rsidRPr="00D849C0">
        <w:t>Les revendications de la</w:t>
      </w:r>
      <w:r w:rsidR="00F31298">
        <w:t> </w:t>
      </w:r>
      <w:r w:rsidR="000D1C26" w:rsidRPr="00D849C0">
        <w:t>société</w:t>
      </w:r>
      <w:r w:rsidR="004542CD" w:rsidRPr="00D849C0">
        <w:t xml:space="preserve"> </w:t>
      </w:r>
      <w:proofErr w:type="spellStart"/>
      <w:r w:rsidR="00E65C5E" w:rsidRPr="00D849C0">
        <w:t>Alappat</w:t>
      </w:r>
      <w:proofErr w:type="spellEnd"/>
      <w:r w:rsidR="004542CD" w:rsidRPr="00D849C0">
        <w:t xml:space="preserve"> </w:t>
      </w:r>
      <w:r w:rsidR="000D1C26" w:rsidRPr="00D849C0">
        <w:t xml:space="preserve">portaient sur un </w:t>
      </w:r>
      <w:r w:rsidR="005D43EC">
        <w:t>“</w:t>
      </w:r>
      <w:proofErr w:type="spellStart"/>
      <w:r w:rsidR="000D1C26" w:rsidRPr="00D849C0">
        <w:t>rastériseur</w:t>
      </w:r>
      <w:proofErr w:type="spellEnd"/>
      <w:r w:rsidR="005D43EC">
        <w:t>”</w:t>
      </w:r>
      <w:r w:rsidR="000D1C26" w:rsidRPr="00D849C0">
        <w:t xml:space="preserve">, utilisé dans un oscilloscope numérique </w:t>
      </w:r>
      <w:r w:rsidR="004E35AB" w:rsidRPr="00D849C0">
        <w:t>pour le traitement de données de forme d</w:t>
      </w:r>
      <w:r w:rsidR="001937C9">
        <w:t>’</w:t>
      </w:r>
      <w:r w:rsidR="004E35AB" w:rsidRPr="00D849C0">
        <w:t>ondes</w:t>
      </w:r>
      <w:r w:rsidR="00D80E52">
        <w:t>,</w:t>
      </w:r>
      <w:r w:rsidR="004E35AB" w:rsidRPr="00D849C0">
        <w:t xml:space="preserve"> préalablement à l</w:t>
      </w:r>
      <w:r w:rsidR="001937C9">
        <w:t>’</w:t>
      </w:r>
      <w:r w:rsidR="004E35AB" w:rsidRPr="00D849C0">
        <w:t>affichage de ces dernières sur l</w:t>
      </w:r>
      <w:r w:rsidR="001937C9">
        <w:t>’</w:t>
      </w:r>
      <w:r w:rsidR="004E35AB" w:rsidRPr="00D849C0">
        <w:t>écran dudit oscilloscope.  L</w:t>
      </w:r>
      <w:r w:rsidR="001937C9">
        <w:t>’</w:t>
      </w:r>
      <w:r w:rsidR="004E35AB" w:rsidRPr="00D849C0">
        <w:t>invention consistait</w:t>
      </w:r>
      <w:r w:rsidR="00CA2A0F" w:rsidRPr="00D849C0">
        <w:t xml:space="preserve"> dans l</w:t>
      </w:r>
      <w:r w:rsidR="001937C9">
        <w:t>’</w:t>
      </w:r>
      <w:r w:rsidR="00CA2A0F" w:rsidRPr="00D849C0">
        <w:t xml:space="preserve">architecture générale du </w:t>
      </w:r>
      <w:proofErr w:type="spellStart"/>
      <w:r w:rsidR="00CA2A0F" w:rsidRPr="00D849C0">
        <w:t>rastériseur</w:t>
      </w:r>
      <w:proofErr w:type="spellEnd"/>
      <w:r w:rsidR="00CA2A0F" w:rsidRPr="00D849C0">
        <w:t xml:space="preserve"> et sa capacité à éliminer en grande partie l</w:t>
      </w:r>
      <w:r w:rsidR="001937C9">
        <w:t>’</w:t>
      </w:r>
      <w:r w:rsidR="003D7C63" w:rsidRPr="00D849C0">
        <w:t xml:space="preserve">apparition de </w:t>
      </w:r>
      <w:r w:rsidR="00CA2A0F" w:rsidRPr="00D849C0">
        <w:t>discontinuité</w:t>
      </w:r>
      <w:r w:rsidR="00987C85" w:rsidRPr="00D849C0">
        <w:t>s</w:t>
      </w:r>
      <w:r w:rsidR="00065636" w:rsidRPr="00D849C0">
        <w:t xml:space="preserve"> dans le tracé des ondes, en modifiant l</w:t>
      </w:r>
      <w:r w:rsidR="001937C9">
        <w:t>’</w:t>
      </w:r>
      <w:r w:rsidR="00065636" w:rsidRPr="00D849C0">
        <w:t xml:space="preserve">intensité de chaque pixel selon sa proximité </w:t>
      </w:r>
      <w:r w:rsidR="00235ED8" w:rsidRPr="00D849C0">
        <w:t>à un vecteur de forme d</w:t>
      </w:r>
      <w:r w:rsidR="001937C9">
        <w:t>’</w:t>
      </w:r>
      <w:r w:rsidR="00235ED8" w:rsidRPr="00D849C0">
        <w:t>onde.  La</w:t>
      </w:r>
      <w:r w:rsidR="00F31298">
        <w:t> </w:t>
      </w:r>
      <w:r w:rsidR="00235ED8" w:rsidRPr="00D849C0">
        <w:t>Cour d</w:t>
      </w:r>
      <w:r w:rsidR="001937C9">
        <w:t>’</w:t>
      </w:r>
      <w:r w:rsidR="00235ED8" w:rsidRPr="00D849C0">
        <w:t>appel a réaffirmé le refus de brevet, statuant que l</w:t>
      </w:r>
      <w:r w:rsidR="001937C9">
        <w:t>’</w:t>
      </w:r>
      <w:r w:rsidR="00235ED8" w:rsidRPr="00D849C0">
        <w:t xml:space="preserve">invention de la société </w:t>
      </w:r>
      <w:proofErr w:type="spellStart"/>
      <w:r w:rsidR="00235ED8" w:rsidRPr="00D849C0">
        <w:t>Alappat</w:t>
      </w:r>
      <w:proofErr w:type="spellEnd"/>
      <w:r w:rsidR="00235ED8" w:rsidRPr="00D849C0">
        <w:t xml:space="preserve"> était en fait une </w:t>
      </w:r>
      <w:r w:rsidR="005D43EC">
        <w:t>“</w:t>
      </w:r>
      <w:r w:rsidR="00E65C5E" w:rsidRPr="00D849C0">
        <w:t>machine</w:t>
      </w:r>
      <w:r w:rsidR="005D43EC">
        <w:t>”</w:t>
      </w:r>
      <w:r w:rsidR="00235ED8" w:rsidRPr="00D849C0">
        <w:t xml:space="preserve">, </w:t>
      </w:r>
      <w:r w:rsidR="00AD34C4" w:rsidRPr="00D849C0">
        <w:t>et relevait par conséquent de l</w:t>
      </w:r>
      <w:r w:rsidR="001937C9">
        <w:t>’</w:t>
      </w:r>
      <w:r w:rsidR="00AD34C4" w:rsidRPr="00D849C0">
        <w:t>une des quatre</w:t>
      </w:r>
      <w:r w:rsidR="005D43EC">
        <w:t> </w:t>
      </w:r>
      <w:r w:rsidR="00AD34C4" w:rsidRPr="00D849C0">
        <w:t>catégories d</w:t>
      </w:r>
      <w:r w:rsidR="001937C9">
        <w:t>’</w:t>
      </w:r>
      <w:r w:rsidR="00AD34C4" w:rsidRPr="00D849C0">
        <w:t>objets brevetables défini</w:t>
      </w:r>
      <w:r w:rsidR="00D80E52">
        <w:t>e</w:t>
      </w:r>
      <w:r w:rsidR="00AD34C4" w:rsidRPr="00D849C0">
        <w:t>s par l</w:t>
      </w:r>
      <w:r w:rsidR="001937C9">
        <w:t>’</w:t>
      </w:r>
      <w:r w:rsidR="00AD34C4" w:rsidRPr="00D849C0">
        <w:t>article</w:t>
      </w:r>
      <w:r w:rsidR="005D43EC">
        <w:t> </w:t>
      </w:r>
      <w:r w:rsidR="00E65C5E" w:rsidRPr="00D849C0">
        <w:t>101.</w:t>
      </w:r>
      <w:r w:rsidR="00CA3EB5" w:rsidRPr="00D849C0">
        <w:t xml:space="preserve"> </w:t>
      </w:r>
      <w:r w:rsidR="00107CCE" w:rsidRPr="00D849C0">
        <w:t xml:space="preserve"> </w:t>
      </w:r>
      <w:r w:rsidR="00AD34C4" w:rsidRPr="00D849C0">
        <w:t xml:space="preserve">La </w:t>
      </w:r>
      <w:r w:rsidR="00F31298">
        <w:t>C</w:t>
      </w:r>
      <w:r w:rsidR="00AD34C4" w:rsidRPr="00D849C0">
        <w:t>our a observé qu</w:t>
      </w:r>
      <w:r w:rsidR="001937C9">
        <w:t>’</w:t>
      </w:r>
      <w:r w:rsidR="00E65C5E" w:rsidRPr="00D849C0">
        <w:t>“</w:t>
      </w:r>
      <w:r w:rsidR="00AD34C4" w:rsidRPr="00D849C0">
        <w:t>un algorithme mathématique ne constitue un objet non</w:t>
      </w:r>
      <w:r w:rsidR="005D43EC">
        <w:t> </w:t>
      </w:r>
      <w:r w:rsidR="00AD34C4" w:rsidRPr="00D849C0">
        <w:t xml:space="preserve">brevetable que </w:t>
      </w:r>
      <w:r w:rsidR="00222BFC" w:rsidRPr="00D849C0">
        <w:t>s</w:t>
      </w:r>
      <w:r w:rsidR="001937C9">
        <w:t>’</w:t>
      </w:r>
      <w:r w:rsidR="00222BFC" w:rsidRPr="00D849C0">
        <w:t>il n</w:t>
      </w:r>
      <w:r w:rsidR="001937C9">
        <w:t>’</w:t>
      </w:r>
      <w:r w:rsidR="00222BFC" w:rsidRPr="00D849C0">
        <w:t>est en substance rien de plus qu</w:t>
      </w:r>
      <w:r w:rsidR="001937C9">
        <w:t>’</w:t>
      </w:r>
      <w:r w:rsidR="00222BFC" w:rsidRPr="00D849C0">
        <w:t>une loi de la nature, un phénomène naturel ou une idée abstraite</w:t>
      </w:r>
      <w:r w:rsidR="00E65C5E" w:rsidRPr="00D849C0">
        <w:t xml:space="preserve">” </w:t>
      </w:r>
      <w:r w:rsidR="00222BFC" w:rsidRPr="00D849C0">
        <w:t xml:space="preserve">et, prenant en compte cette présomption, a estimé que la revendication, considérée dans son ensemble, </w:t>
      </w:r>
      <w:r w:rsidR="00E65C5E" w:rsidRPr="00D849C0">
        <w:t>“</w:t>
      </w:r>
      <w:r w:rsidR="00222BFC" w:rsidRPr="00D849C0">
        <w:t>n</w:t>
      </w:r>
      <w:r w:rsidR="001937C9">
        <w:t>’</w:t>
      </w:r>
      <w:r w:rsidR="00222BFC" w:rsidRPr="00D849C0">
        <w:t>est pas un concept mathématique désincarné pouvant être caractérisé comme une idée abstraite, mais plutôt une</w:t>
      </w:r>
      <w:r w:rsidR="00F31298">
        <w:t> </w:t>
      </w:r>
      <w:r w:rsidR="00222BFC" w:rsidRPr="00D849C0">
        <w:t xml:space="preserve">machine spécifique </w:t>
      </w:r>
      <w:r w:rsidR="00112932" w:rsidRPr="00D849C0">
        <w:t>destinée à la production d</w:t>
      </w:r>
      <w:r w:rsidR="001937C9">
        <w:t>’</w:t>
      </w:r>
      <w:r w:rsidR="00112932" w:rsidRPr="00D849C0">
        <w:t>un résultat utile, concret et tangible</w:t>
      </w:r>
      <w:r w:rsidR="00E65C5E" w:rsidRPr="00D849C0">
        <w:t>”</w:t>
      </w:r>
      <w:r w:rsidR="00E65C5E" w:rsidRPr="00D849C0">
        <w:rPr>
          <w:vertAlign w:val="superscript"/>
        </w:rPr>
        <w:footnoteReference w:id="114"/>
      </w:r>
      <w:r w:rsidR="00112932" w:rsidRPr="00D849C0">
        <w:t>.</w:t>
      </w:r>
    </w:p>
    <w:p w:rsidR="00B97006" w:rsidRPr="00D849C0" w:rsidRDefault="00124A01" w:rsidP="00C24750">
      <w:pPr>
        <w:pStyle w:val="ONUMFS"/>
      </w:pPr>
      <w:r w:rsidRPr="00D849C0">
        <w:t>Dans d</w:t>
      </w:r>
      <w:r w:rsidR="001937C9">
        <w:t>’</w:t>
      </w:r>
      <w:r w:rsidRPr="00D849C0">
        <w:t xml:space="preserve">autres pays de </w:t>
      </w:r>
      <w:proofErr w:type="spellStart"/>
      <w:r w:rsidRPr="00D849C0">
        <w:t>common</w:t>
      </w:r>
      <w:proofErr w:type="spellEnd"/>
      <w:r w:rsidRPr="00D849C0">
        <w:t xml:space="preserve"> </w:t>
      </w:r>
      <w:proofErr w:type="spellStart"/>
      <w:r w:rsidRPr="00D849C0">
        <w:t>law</w:t>
      </w:r>
      <w:proofErr w:type="spellEnd"/>
      <w:r w:rsidRPr="00D849C0">
        <w:t xml:space="preserve"> tels que le Canada et l</w:t>
      </w:r>
      <w:r w:rsidR="001937C9">
        <w:t>’</w:t>
      </w:r>
      <w:r w:rsidRPr="00D849C0">
        <w:t>Australie, la brevetabilité des</w:t>
      </w:r>
      <w:r w:rsidR="003E4F32">
        <w:t> </w:t>
      </w:r>
      <w:r w:rsidRPr="00D849C0">
        <w:t>logiciels ne fait pas l</w:t>
      </w:r>
      <w:r w:rsidR="001937C9">
        <w:t>’</w:t>
      </w:r>
      <w:r w:rsidRPr="00D849C0">
        <w:t xml:space="preserve">objet de dispositions législatives particulières.  </w:t>
      </w:r>
      <w:r w:rsidR="00096F9E" w:rsidRPr="00D849C0">
        <w:t>Dans un arrêt de jurisprudence prononcé dans l</w:t>
      </w:r>
      <w:r w:rsidR="001937C9">
        <w:t>’</w:t>
      </w:r>
      <w:r w:rsidR="00096F9E" w:rsidRPr="00D849C0">
        <w:t xml:space="preserve">affaire </w:t>
      </w:r>
      <w:r w:rsidR="00E65C5E" w:rsidRPr="00D849C0">
        <w:rPr>
          <w:i/>
        </w:rPr>
        <w:t xml:space="preserve">Schlumberger Ltd </w:t>
      </w:r>
      <w:r w:rsidR="00CA7B5F" w:rsidRPr="0028236C">
        <w:t>c</w:t>
      </w:r>
      <w:r w:rsidR="00E65C5E" w:rsidRPr="0028236C">
        <w:t>.</w:t>
      </w:r>
      <w:r w:rsidR="005D43EC">
        <w:rPr>
          <w:i/>
        </w:rPr>
        <w:t> </w:t>
      </w:r>
      <w:r w:rsidR="00E65C5E" w:rsidRPr="00D849C0">
        <w:rPr>
          <w:i/>
        </w:rPr>
        <w:t>Canada (</w:t>
      </w:r>
      <w:r w:rsidR="00096F9E" w:rsidRPr="00D849C0">
        <w:rPr>
          <w:i/>
        </w:rPr>
        <w:t>Commissaire aux</w:t>
      </w:r>
      <w:r w:rsidR="003E4F32">
        <w:rPr>
          <w:i/>
        </w:rPr>
        <w:t> </w:t>
      </w:r>
      <w:r w:rsidR="00096F9E" w:rsidRPr="00D849C0">
        <w:rPr>
          <w:i/>
        </w:rPr>
        <w:t>brevets</w:t>
      </w:r>
      <w:r w:rsidR="00E65C5E" w:rsidRPr="00D849C0">
        <w:rPr>
          <w:i/>
        </w:rPr>
        <w:t>)</w:t>
      </w:r>
      <w:r w:rsidR="00E65C5E" w:rsidRPr="00D849C0">
        <w:rPr>
          <w:vertAlign w:val="superscript"/>
        </w:rPr>
        <w:footnoteReference w:id="115"/>
      </w:r>
      <w:r w:rsidR="00096F9E" w:rsidRPr="00D849C0">
        <w:t>, la brevetabilité des programmes d</w:t>
      </w:r>
      <w:r w:rsidR="001937C9">
        <w:t>’</w:t>
      </w:r>
      <w:r w:rsidR="00096F9E" w:rsidRPr="00D849C0">
        <w:t>ordinateur a été reconnue au Canada, sur la base de l</w:t>
      </w:r>
      <w:r w:rsidR="001937C9">
        <w:t>’</w:t>
      </w:r>
      <w:r w:rsidR="00096F9E" w:rsidRPr="00D849C0">
        <w:t>explication fournie dans les directives publiées par l</w:t>
      </w:r>
      <w:r w:rsidR="001937C9">
        <w:t>’</w:t>
      </w:r>
      <w:r w:rsidR="00096F9E" w:rsidRPr="00D849C0">
        <w:t>Office des brevets</w:t>
      </w:r>
      <w:r w:rsidR="00E65C5E" w:rsidRPr="00D849C0">
        <w:rPr>
          <w:vertAlign w:val="superscript"/>
        </w:rPr>
        <w:footnoteReference w:id="116"/>
      </w:r>
      <w:r w:rsidR="00096F9E" w:rsidRPr="00D849C0">
        <w:t>.</w:t>
      </w:r>
      <w:r w:rsidR="00E65C5E" w:rsidRPr="00D849C0">
        <w:t xml:space="preserve"> </w:t>
      </w:r>
      <w:r w:rsidR="00096F9E" w:rsidRPr="00D849C0">
        <w:t xml:space="preserve"> L</w:t>
      </w:r>
      <w:r w:rsidR="00BB4370" w:rsidRPr="00D849C0">
        <w:t>e</w:t>
      </w:r>
      <w:r w:rsidR="008344BE" w:rsidRPr="00D849C0">
        <w:t xml:space="preserve"> Recueil des pratiques du Bureau des brevets (RPBB)</w:t>
      </w:r>
      <w:r w:rsidR="00096F9E" w:rsidRPr="00D849C0">
        <w:t xml:space="preserve"> </w:t>
      </w:r>
      <w:r w:rsidR="00B97006" w:rsidRPr="00D849C0">
        <w:t>explique en effet qu</w:t>
      </w:r>
      <w:r w:rsidR="001937C9">
        <w:t>’</w:t>
      </w:r>
      <w:r w:rsidR="00E65C5E" w:rsidRPr="00D849C0">
        <w:t>“</w:t>
      </w:r>
      <w:r w:rsidR="00B97006" w:rsidRPr="00D849C0">
        <w:t>u</w:t>
      </w:r>
      <w:r w:rsidR="00BB4370" w:rsidRPr="00D849C0">
        <w:t>n programme informatique n</w:t>
      </w:r>
      <w:r w:rsidR="001937C9">
        <w:t>’</w:t>
      </w:r>
      <w:r w:rsidR="00BB4370" w:rsidRPr="00D849C0">
        <w:t>est pas,</w:t>
      </w:r>
      <w:r w:rsidR="0028236C">
        <w:t xml:space="preserve"> en soi, un objet prévu par la l</w:t>
      </w:r>
      <w:r w:rsidR="00BB4370" w:rsidRPr="00D849C0">
        <w:t>oi.  Toutefois, si</w:t>
      </w:r>
      <w:r w:rsidR="00E65C5E" w:rsidRPr="00D849C0">
        <w:t xml:space="preserve"> </w:t>
      </w:r>
      <w:r w:rsidR="00BB4370" w:rsidRPr="00D849C0">
        <w:t>l</w:t>
      </w:r>
      <w:r w:rsidR="001937C9">
        <w:t>’</w:t>
      </w:r>
      <w:r w:rsidR="00BB4370" w:rsidRPr="00D849C0">
        <w:t>exécution d</w:t>
      </w:r>
      <w:r w:rsidR="001937C9">
        <w:t>’</w:t>
      </w:r>
      <w:r w:rsidR="00BB4370" w:rsidRPr="00D849C0">
        <w:t>un programme sur un ordinateur permet d</w:t>
      </w:r>
      <w:r w:rsidR="001937C9">
        <w:t>’</w:t>
      </w:r>
      <w:r w:rsidR="00BB4370" w:rsidRPr="00D849C0">
        <w:t xml:space="preserve">obtenir une solution technique nouvelle et inventive à un problème technologique, on peut alors estimer que le programme modifie la nature technologique </w:t>
      </w:r>
      <w:r w:rsidR="00B97006" w:rsidRPr="00D849C0">
        <w:t>de l</w:t>
      </w:r>
      <w:r w:rsidR="001937C9">
        <w:t>’</w:t>
      </w:r>
      <w:r w:rsidR="00B97006" w:rsidRPr="00D849C0">
        <w:t>ordinateur dans son entier</w:t>
      </w:r>
      <w:r w:rsidR="00E65C5E" w:rsidRPr="00D849C0">
        <w:t>”</w:t>
      </w:r>
      <w:r w:rsidR="00E65C5E" w:rsidRPr="00D849C0">
        <w:rPr>
          <w:vertAlign w:val="superscript"/>
        </w:rPr>
        <w:footnoteReference w:id="117"/>
      </w:r>
      <w:r w:rsidR="00B97006" w:rsidRPr="00D849C0">
        <w:t>.</w:t>
      </w:r>
    </w:p>
    <w:p w:rsidR="00E65C5E" w:rsidRPr="00D849C0" w:rsidRDefault="00AB1604" w:rsidP="002449A9">
      <w:pPr>
        <w:pStyle w:val="ONUMFS"/>
      </w:pPr>
      <w:r w:rsidRPr="00D849C0">
        <w:lastRenderedPageBreak/>
        <w:t>En Australie, les tribunaux reconnaissent la brevetabilité des logiciels depuis plus de 20</w:t>
      </w:r>
      <w:r w:rsidR="0028236C">
        <w:t> </w:t>
      </w:r>
      <w:r w:rsidRPr="00D849C0">
        <w:t>ans</w:t>
      </w:r>
      <w:r w:rsidR="00E65C5E" w:rsidRPr="00D849C0">
        <w:rPr>
          <w:vertAlign w:val="superscript"/>
        </w:rPr>
        <w:footnoteReference w:id="118"/>
      </w:r>
      <w:r w:rsidR="00E42727" w:rsidRPr="00D849C0">
        <w:t>.</w:t>
      </w:r>
      <w:r w:rsidR="00E65C5E" w:rsidRPr="00D849C0">
        <w:t xml:space="preserve">  </w:t>
      </w:r>
      <w:r w:rsidRPr="00D849C0">
        <w:t>La Cour fédérale de l</w:t>
      </w:r>
      <w:r w:rsidR="001937C9">
        <w:t>’</w:t>
      </w:r>
      <w:r w:rsidRPr="00D849C0">
        <w:t xml:space="preserve">Australie a statué récemment que </w:t>
      </w:r>
      <w:r w:rsidR="00E65C5E" w:rsidRPr="00D849C0">
        <w:t>“</w:t>
      </w:r>
      <w:r w:rsidRPr="00D849C0">
        <w:t>pour être brevetable, une</w:t>
      </w:r>
      <w:r w:rsidR="0028236C">
        <w:t> </w:t>
      </w:r>
      <w:r w:rsidRPr="00D849C0">
        <w:t xml:space="preserve">méthode doit </w:t>
      </w:r>
      <w:r w:rsidR="00CB0C25" w:rsidRPr="00D849C0">
        <w:t xml:space="preserve">produire un produit dans lequel peut être observé un effet nouveau </w:t>
      </w:r>
      <w:r w:rsidR="00EF7E04">
        <w:t xml:space="preserve">et </w:t>
      </w:r>
      <w:r w:rsidR="00CB0C25" w:rsidRPr="00D849C0">
        <w:t>utile.  S</w:t>
      </w:r>
      <w:r w:rsidR="001937C9">
        <w:t>’</w:t>
      </w:r>
      <w:r w:rsidR="00CB0C25" w:rsidRPr="00D849C0">
        <w:t>agissant de programmes d</w:t>
      </w:r>
      <w:r w:rsidR="001937C9">
        <w:t>’</w:t>
      </w:r>
      <w:r w:rsidR="00CB0C25" w:rsidRPr="00D849C0">
        <w:t>ordinateur, il est nécessaire de vérifier si la mise en œuvre du</w:t>
      </w:r>
      <w:r w:rsidR="002449A9">
        <w:t> </w:t>
      </w:r>
      <w:r w:rsidR="00CB0C25" w:rsidRPr="00D849C0">
        <w:t>programme produit un résultat pratique et utile,</w:t>
      </w:r>
      <w:r w:rsidR="00A60119" w:rsidRPr="00D849C0">
        <w:t xml:space="preserve"> et donc qu</w:t>
      </w:r>
      <w:r w:rsidR="00F25D99" w:rsidRPr="00D849C0">
        <w:t xml:space="preserve">e ce qui </w:t>
      </w:r>
      <w:r w:rsidR="00EF7E04">
        <w:t>est concerné</w:t>
      </w:r>
      <w:r w:rsidR="00F25D99" w:rsidRPr="00D849C0">
        <w:t xml:space="preserve"> est </w:t>
      </w:r>
      <w:r w:rsidR="00A60119" w:rsidRPr="00D849C0">
        <w:t>plus qu</w:t>
      </w:r>
      <w:r w:rsidR="001937C9">
        <w:t>’</w:t>
      </w:r>
      <w:r w:rsidR="00A60119" w:rsidRPr="00D849C0">
        <w:t>une simple information</w:t>
      </w:r>
      <w:r w:rsidR="00E65C5E" w:rsidRPr="00D849C0">
        <w:t>”</w:t>
      </w:r>
      <w:r w:rsidR="00E65C5E" w:rsidRPr="00D849C0">
        <w:rPr>
          <w:vertAlign w:val="superscript"/>
        </w:rPr>
        <w:footnoteReference w:id="119"/>
      </w:r>
      <w:r w:rsidR="00A60119" w:rsidRPr="00D849C0">
        <w:t>.</w:t>
      </w:r>
    </w:p>
    <w:p w:rsidR="00E65C5E" w:rsidRPr="00D849C0" w:rsidRDefault="00854D72" w:rsidP="002449A9">
      <w:pPr>
        <w:pStyle w:val="ONUMFS"/>
      </w:pPr>
      <w:r w:rsidRPr="00D849C0">
        <w:t>B</w:t>
      </w:r>
      <w:r w:rsidR="00090D24" w:rsidRPr="00D849C0">
        <w:t>ien que la législation de la République de Corée ne contienne aucune disposition en matière de brevetabilité des inventions relatives à des logiciels, l</w:t>
      </w:r>
      <w:r w:rsidR="001937C9">
        <w:t>’</w:t>
      </w:r>
      <w:r w:rsidR="00090D24" w:rsidRPr="00D849C0">
        <w:t>Office des brevets de ce pays reconnaît en tant qu</w:t>
      </w:r>
      <w:r w:rsidR="001937C9">
        <w:t>’</w:t>
      </w:r>
      <w:r w:rsidR="00090D24" w:rsidRPr="00D849C0">
        <w:t>invention le traitement de données par un programme d</w:t>
      </w:r>
      <w:r w:rsidR="001937C9">
        <w:t>’</w:t>
      </w:r>
      <w:r w:rsidR="00090D24" w:rsidRPr="00D849C0">
        <w:t>ordinateur, spécifiquement lorsqu</w:t>
      </w:r>
      <w:r w:rsidR="001937C9">
        <w:t>’</w:t>
      </w:r>
      <w:r w:rsidR="00090D24" w:rsidRPr="00D849C0">
        <w:t>un matériel est mis en œuvre aux fins de son exécution</w:t>
      </w:r>
      <w:r w:rsidR="00E65C5E" w:rsidRPr="00D849C0">
        <w:rPr>
          <w:vertAlign w:val="superscript"/>
        </w:rPr>
        <w:footnoteReference w:id="120"/>
      </w:r>
      <w:r w:rsidR="00090D24" w:rsidRPr="00D849C0">
        <w:t>.</w:t>
      </w:r>
      <w:r w:rsidR="008D560D" w:rsidRPr="00D849C0">
        <w:t xml:space="preserve"> </w:t>
      </w:r>
      <w:r w:rsidR="008731FE" w:rsidRPr="00D849C0">
        <w:t xml:space="preserve"> La loi ne considère </w:t>
      </w:r>
      <w:r w:rsidR="006835B3">
        <w:t xml:space="preserve">pas </w:t>
      </w:r>
      <w:r w:rsidR="008731FE" w:rsidRPr="00D849C0">
        <w:t>toutefois les programmes d</w:t>
      </w:r>
      <w:r w:rsidR="001937C9">
        <w:t>’</w:t>
      </w:r>
      <w:r w:rsidR="008731FE" w:rsidRPr="00D849C0">
        <w:t>ordinateur en eux</w:t>
      </w:r>
      <w:r w:rsidR="001937C9">
        <w:t>-</w:t>
      </w:r>
      <w:r w:rsidR="008731FE" w:rsidRPr="00D849C0">
        <w:t xml:space="preserve">mêmes comme des inventions, et </w:t>
      </w:r>
      <w:r w:rsidR="00C46EEC" w:rsidRPr="00D849C0">
        <w:t>seules les revendications relatives à des méthodes, unités de traitement de données (machines) et supports lisibles par ordinateur sur lesquels se trouvent les programmes d</w:t>
      </w:r>
      <w:r w:rsidR="001937C9">
        <w:t>’</w:t>
      </w:r>
      <w:r w:rsidR="00C46EEC" w:rsidRPr="00D849C0">
        <w:t>ordinateur sont reconnues comme brevetables dans la pratique de la République de Corée</w:t>
      </w:r>
      <w:r w:rsidR="00E65C5E" w:rsidRPr="00D849C0">
        <w:rPr>
          <w:vertAlign w:val="superscript"/>
        </w:rPr>
        <w:footnoteReference w:id="121"/>
      </w:r>
      <w:r w:rsidR="008D009C" w:rsidRPr="00D849C0">
        <w:t>.</w:t>
      </w:r>
    </w:p>
    <w:p w:rsidR="00E65C5E" w:rsidRPr="00D849C0" w:rsidRDefault="006D43E8" w:rsidP="002449A9">
      <w:pPr>
        <w:pStyle w:val="ONUMFS"/>
      </w:pPr>
      <w:r w:rsidRPr="00D849C0">
        <w:t>En Chine, les inventions sont définies comme de nouvelles solutions techniques proposées pour un produit, un procédé ou l</w:t>
      </w:r>
      <w:r w:rsidR="001937C9">
        <w:t>’</w:t>
      </w:r>
      <w:r w:rsidRPr="00D849C0">
        <w:t>amélioration de ces derniers</w:t>
      </w:r>
      <w:r w:rsidR="008D560D" w:rsidRPr="00D849C0">
        <w:rPr>
          <w:vertAlign w:val="superscript"/>
        </w:rPr>
        <w:footnoteReference w:id="122"/>
      </w:r>
      <w:r w:rsidRPr="00D849C0">
        <w:t>.</w:t>
      </w:r>
      <w:r w:rsidR="00177739" w:rsidRPr="00D849C0">
        <w:t xml:space="preserve">  Une solution technique est interprétée comme </w:t>
      </w:r>
      <w:r w:rsidR="005B18B7" w:rsidRPr="00D849C0">
        <w:t xml:space="preserve">étant </w:t>
      </w:r>
      <w:r w:rsidR="00177739" w:rsidRPr="00D849C0">
        <w:t>une agrégation de moyens techniques mettant en œuvre les lois de la nature pour résoudre un problème technique</w:t>
      </w:r>
      <w:r w:rsidR="008D560D" w:rsidRPr="00D849C0">
        <w:rPr>
          <w:vertAlign w:val="superscript"/>
        </w:rPr>
        <w:footnoteReference w:id="123"/>
      </w:r>
      <w:r w:rsidR="00177739" w:rsidRPr="00D849C0">
        <w:t>.</w:t>
      </w:r>
      <w:r w:rsidR="008D560D" w:rsidRPr="00D849C0">
        <w:t xml:space="preserve"> </w:t>
      </w:r>
      <w:r w:rsidR="00605B0E" w:rsidRPr="00D849C0">
        <w:t xml:space="preserve"> En conséquence, une solution qui n</w:t>
      </w:r>
      <w:r w:rsidR="001937C9">
        <w:t>’</w:t>
      </w:r>
      <w:r w:rsidR="00605B0E" w:rsidRPr="00D849C0">
        <w:t>adopte pas de</w:t>
      </w:r>
      <w:r w:rsidR="00605B0E" w:rsidRPr="00D849C0">
        <w:rPr>
          <w:i/>
        </w:rPr>
        <w:t xml:space="preserve"> moyens techniques</w:t>
      </w:r>
      <w:r w:rsidR="00E65C5E" w:rsidRPr="00D849C0">
        <w:t xml:space="preserve"> </w:t>
      </w:r>
      <w:r w:rsidR="00605B0E" w:rsidRPr="00D849C0">
        <w:t xml:space="preserve">pour résoudre un </w:t>
      </w:r>
      <w:r w:rsidR="004B1A64" w:rsidRPr="00D849C0">
        <w:t>“</w:t>
      </w:r>
      <w:r w:rsidR="00605B0E" w:rsidRPr="00D849C0">
        <w:rPr>
          <w:i/>
        </w:rPr>
        <w:t>problème technique</w:t>
      </w:r>
      <w:r w:rsidR="004B1A64" w:rsidRPr="00D849C0">
        <w:t>”</w:t>
      </w:r>
      <w:r w:rsidR="00E65C5E" w:rsidRPr="00D849C0">
        <w:t xml:space="preserve"> </w:t>
      </w:r>
      <w:r w:rsidR="00605B0E" w:rsidRPr="00D849C0">
        <w:t xml:space="preserve">et qui, de ce fait, ne produit pas un </w:t>
      </w:r>
      <w:r w:rsidR="004B1A64" w:rsidRPr="00D849C0">
        <w:t>“</w:t>
      </w:r>
      <w:r w:rsidR="00605B0E" w:rsidRPr="00D849C0">
        <w:rPr>
          <w:i/>
        </w:rPr>
        <w:t>effet technique</w:t>
      </w:r>
      <w:r w:rsidR="001D3511" w:rsidRPr="00D849C0">
        <w:t>”</w:t>
      </w:r>
      <w:r w:rsidR="00E65C5E" w:rsidRPr="00D849C0">
        <w:t xml:space="preserve"> </w:t>
      </w:r>
      <w:r w:rsidR="00605B0E" w:rsidRPr="00D849C0">
        <w:t>conforme aux lois de la nature ne constitue pas un objet brevetable au sens de la loi</w:t>
      </w:r>
      <w:r w:rsidR="00E65C5E" w:rsidRPr="00D849C0">
        <w:rPr>
          <w:vertAlign w:val="superscript"/>
        </w:rPr>
        <w:footnoteReference w:id="124"/>
      </w:r>
      <w:r w:rsidR="00C94213" w:rsidRPr="00D849C0">
        <w:t>.</w:t>
      </w:r>
      <w:r w:rsidR="00E65C5E" w:rsidRPr="00D849C0">
        <w:t xml:space="preserve">  </w:t>
      </w:r>
      <w:r w:rsidR="006F6175" w:rsidRPr="00D849C0">
        <w:t>La brevetabilité des inventions relatives à des logiciels est appréciée à l</w:t>
      </w:r>
      <w:r w:rsidR="001937C9">
        <w:t>’</w:t>
      </w:r>
      <w:r w:rsidR="006F6175" w:rsidRPr="00D849C0">
        <w:t>aide des mêmes critères</w:t>
      </w:r>
      <w:r w:rsidR="00097EF3" w:rsidRPr="00D849C0">
        <w:t xml:space="preserve">.  </w:t>
      </w:r>
      <w:r w:rsidR="0055369D" w:rsidRPr="00D849C0">
        <w:t>Une invention relative à un logiciel doit donc, pour constituer un objet brevetable, apporter une solution faisant appel à l</w:t>
      </w:r>
      <w:r w:rsidR="001937C9">
        <w:t>’</w:t>
      </w:r>
      <w:r w:rsidR="0055369D" w:rsidRPr="00D849C0">
        <w:t>exécution de programmes d</w:t>
      </w:r>
      <w:r w:rsidR="001937C9">
        <w:t>’</w:t>
      </w:r>
      <w:r w:rsidR="0055369D" w:rsidRPr="00D849C0">
        <w:t xml:space="preserve">ordinateur </w:t>
      </w:r>
      <w:r w:rsidR="00FA5DEC" w:rsidRPr="00D849C0">
        <w:t xml:space="preserve">pour résoudre des </w:t>
      </w:r>
      <w:r w:rsidR="00097EF3" w:rsidRPr="00D849C0">
        <w:t>“</w:t>
      </w:r>
      <w:r w:rsidR="00FA5DEC" w:rsidRPr="00D849C0">
        <w:rPr>
          <w:i/>
        </w:rPr>
        <w:t>problèmes techniques</w:t>
      </w:r>
      <w:r w:rsidR="00097EF3" w:rsidRPr="00D849C0">
        <w:t>”</w:t>
      </w:r>
      <w:r w:rsidR="00E65C5E" w:rsidRPr="00D849C0">
        <w:t xml:space="preserve"> </w:t>
      </w:r>
      <w:r w:rsidR="00FA5DEC" w:rsidRPr="00D849C0">
        <w:t xml:space="preserve">et obtenir </w:t>
      </w:r>
      <w:r w:rsidR="00AC75DE" w:rsidRPr="00D849C0">
        <w:t>ainsi</w:t>
      </w:r>
      <w:r w:rsidR="00FA5DEC" w:rsidRPr="00D849C0">
        <w:t xml:space="preserve"> des effets techniques</w:t>
      </w:r>
      <w:r w:rsidR="00E65C5E" w:rsidRPr="00D849C0">
        <w:rPr>
          <w:vertAlign w:val="superscript"/>
        </w:rPr>
        <w:footnoteReference w:id="125"/>
      </w:r>
      <w:r w:rsidR="00FA5DEC" w:rsidRPr="00D849C0">
        <w:t>.</w:t>
      </w:r>
    </w:p>
    <w:p w:rsidR="00E65C5E" w:rsidRPr="00D849C0" w:rsidRDefault="00BC3271" w:rsidP="00BD2732">
      <w:pPr>
        <w:pStyle w:val="Heading2"/>
      </w:pPr>
      <w:bookmarkStart w:id="21" w:name="_Toc387060474"/>
      <w:r w:rsidRPr="00D849C0">
        <w:t>D</w:t>
      </w:r>
      <w:r w:rsidR="00162F8A" w:rsidRPr="00D849C0">
        <w:t>.</w:t>
      </w:r>
      <w:r w:rsidR="00162F8A" w:rsidRPr="00D849C0">
        <w:tab/>
      </w:r>
      <w:r w:rsidR="00545387" w:rsidRPr="00D849C0">
        <w:t>Autres éléments à considérer</w:t>
      </w:r>
      <w:bookmarkEnd w:id="21"/>
    </w:p>
    <w:p w:rsidR="00B60A19" w:rsidRPr="00D849C0" w:rsidRDefault="00B60A19" w:rsidP="00A83989">
      <w:pPr>
        <w:rPr>
          <w:szCs w:val="22"/>
        </w:rPr>
      </w:pPr>
    </w:p>
    <w:p w:rsidR="00E65C5E" w:rsidRPr="00D849C0" w:rsidRDefault="00CA6C45" w:rsidP="002449A9">
      <w:pPr>
        <w:pStyle w:val="ONUMFS"/>
      </w:pPr>
      <w:r w:rsidRPr="00D849C0">
        <w:t>Comme on l</w:t>
      </w:r>
      <w:r w:rsidR="001937C9">
        <w:t>’</w:t>
      </w:r>
      <w:r w:rsidRPr="00D849C0">
        <w:t>a vu ci</w:t>
      </w:r>
      <w:r w:rsidR="001937C9">
        <w:t>-</w:t>
      </w:r>
      <w:r w:rsidRPr="00D849C0">
        <w:t xml:space="preserve">dessus, de nombreux pays exigent </w:t>
      </w:r>
      <w:r w:rsidR="00456159" w:rsidRPr="00D849C0">
        <w:t>d</w:t>
      </w:r>
      <w:r w:rsidR="001937C9">
        <w:t>’</w:t>
      </w:r>
      <w:r w:rsidR="00456159" w:rsidRPr="00D849C0">
        <w:t xml:space="preserve">une manière explicite ou implicite que </w:t>
      </w:r>
      <w:r w:rsidRPr="00D849C0">
        <w:t>l</w:t>
      </w:r>
      <w:r w:rsidR="001937C9">
        <w:t>’</w:t>
      </w:r>
      <w:r w:rsidRPr="00D849C0">
        <w:t xml:space="preserve">objet revendiqué </w:t>
      </w:r>
      <w:r w:rsidR="00456159" w:rsidRPr="00D849C0">
        <w:t>remplisse</w:t>
      </w:r>
      <w:r w:rsidR="005B18B7" w:rsidRPr="00D849C0">
        <w:t>,</w:t>
      </w:r>
      <w:r w:rsidRPr="00D849C0">
        <w:t xml:space="preserve"> pour être brevetable</w:t>
      </w:r>
      <w:r w:rsidR="005B18B7" w:rsidRPr="00D849C0">
        <w:t>,</w:t>
      </w:r>
      <w:r w:rsidRPr="00D849C0">
        <w:t xml:space="preserve"> un critère de “technicité”</w:t>
      </w:r>
      <w:r w:rsidR="00456159" w:rsidRPr="00D849C0">
        <w:t xml:space="preserve"> sous une forme ou une autre</w:t>
      </w:r>
      <w:r w:rsidRPr="00D849C0">
        <w:rPr>
          <w:vertAlign w:val="superscript"/>
        </w:rPr>
        <w:footnoteReference w:id="126"/>
      </w:r>
      <w:r w:rsidR="00456159" w:rsidRPr="00D849C0">
        <w:t xml:space="preserve">.  </w:t>
      </w:r>
      <w:r w:rsidR="00BC7747" w:rsidRPr="00D849C0">
        <w:t>Certains pays intègrent</w:t>
      </w:r>
      <w:r w:rsidR="008C3921" w:rsidRPr="00D849C0">
        <w:t xml:space="preserve"> une référence expresse au caractère technique</w:t>
      </w:r>
      <w:r w:rsidR="00984CA4" w:rsidRPr="00D849C0">
        <w:t xml:space="preserve"> à la définition de la notion d</w:t>
      </w:r>
      <w:r w:rsidR="001937C9">
        <w:t>’</w:t>
      </w:r>
      <w:r w:rsidR="00E65C5E" w:rsidRPr="00D849C0">
        <w:t>“invention”</w:t>
      </w:r>
      <w:r w:rsidR="00E65C5E" w:rsidRPr="00D849C0">
        <w:rPr>
          <w:vertAlign w:val="superscript"/>
        </w:rPr>
        <w:footnoteReference w:id="127"/>
      </w:r>
      <w:r w:rsidR="00984CA4" w:rsidRPr="00D849C0">
        <w:t>, tandis que d</w:t>
      </w:r>
      <w:r w:rsidR="001937C9">
        <w:t>’</w:t>
      </w:r>
      <w:r w:rsidR="00984CA4" w:rsidRPr="00D849C0">
        <w:t xml:space="preserve">autres </w:t>
      </w:r>
      <w:r w:rsidR="00DB175D">
        <w:t>introduis</w:t>
      </w:r>
      <w:r w:rsidR="00984CA4" w:rsidRPr="00D849C0">
        <w:t>ent cette</w:t>
      </w:r>
      <w:r w:rsidR="002449A9">
        <w:t> </w:t>
      </w:r>
      <w:r w:rsidR="00984CA4" w:rsidRPr="00D849C0">
        <w:t>exigence en limitant le champ de brevetabilité de l</w:t>
      </w:r>
      <w:r w:rsidR="001937C9">
        <w:t>’</w:t>
      </w:r>
      <w:r w:rsidR="00984CA4" w:rsidRPr="00D849C0">
        <w:t>invention</w:t>
      </w:r>
      <w:r w:rsidR="00E65C5E" w:rsidRPr="00D849C0">
        <w:rPr>
          <w:vertAlign w:val="superscript"/>
        </w:rPr>
        <w:footnoteReference w:id="128"/>
      </w:r>
      <w:r w:rsidR="00A566A1" w:rsidRPr="00D849C0">
        <w:t>.</w:t>
      </w:r>
      <w:r w:rsidR="00E65C5E" w:rsidRPr="00D849C0">
        <w:t xml:space="preserve">  </w:t>
      </w:r>
      <w:r w:rsidR="000E750C" w:rsidRPr="00D849C0">
        <w:t>D</w:t>
      </w:r>
      <w:r w:rsidR="001937C9">
        <w:t>’</w:t>
      </w:r>
      <w:r w:rsidR="000E750C" w:rsidRPr="00D849C0">
        <w:t xml:space="preserve">autres encore la traitent comme une condition </w:t>
      </w:r>
      <w:r w:rsidR="005F1CFB" w:rsidRPr="00D849C0">
        <w:t>implicite</w:t>
      </w:r>
      <w:r w:rsidR="001E55ED" w:rsidRPr="00D849C0">
        <w:t>, sans l</w:t>
      </w:r>
      <w:r w:rsidR="001937C9">
        <w:t>’</w:t>
      </w:r>
      <w:r w:rsidR="001E55ED" w:rsidRPr="00D849C0">
        <w:t xml:space="preserve">exprimer </w:t>
      </w:r>
      <w:r w:rsidR="00291F92" w:rsidRPr="00D849C0">
        <w:t>formell</w:t>
      </w:r>
      <w:r w:rsidR="001E55ED" w:rsidRPr="00D849C0">
        <w:t>ement dans leur législation</w:t>
      </w:r>
      <w:r w:rsidR="00E65C5E" w:rsidRPr="00D849C0">
        <w:rPr>
          <w:vertAlign w:val="superscript"/>
        </w:rPr>
        <w:footnoteReference w:id="129"/>
      </w:r>
      <w:r w:rsidR="00A566A1" w:rsidRPr="00D849C0">
        <w:t>.</w:t>
      </w:r>
      <w:r w:rsidR="00E65C5E" w:rsidRPr="00D849C0">
        <w:t xml:space="preserve">  </w:t>
      </w:r>
      <w:r w:rsidR="001E55ED" w:rsidRPr="00D849C0">
        <w:t xml:space="preserve">Dans tous </w:t>
      </w:r>
      <w:r w:rsidR="001E55ED" w:rsidRPr="00D849C0">
        <w:lastRenderedPageBreak/>
        <w:t>ces systèmes, une invention relative à un logiciel</w:t>
      </w:r>
      <w:r w:rsidR="00291F92" w:rsidRPr="00D849C0">
        <w:t xml:space="preserve"> est susceptible d</w:t>
      </w:r>
      <w:r w:rsidR="001937C9">
        <w:t>’</w:t>
      </w:r>
      <w:r w:rsidR="00291F92" w:rsidRPr="00D849C0">
        <w:t>être brevetée</w:t>
      </w:r>
      <w:r w:rsidR="00A11692" w:rsidRPr="00D849C0">
        <w:t>, à condition</w:t>
      </w:r>
      <w:r w:rsidR="00291F92" w:rsidRPr="00D849C0">
        <w:t xml:space="preserve"> qu</w:t>
      </w:r>
      <w:r w:rsidR="001937C9">
        <w:t>’</w:t>
      </w:r>
      <w:r w:rsidR="00291F92" w:rsidRPr="00D849C0">
        <w:t>il soit possible d</w:t>
      </w:r>
      <w:r w:rsidR="001937C9">
        <w:t>’</w:t>
      </w:r>
      <w:r w:rsidR="00291F92" w:rsidRPr="00D849C0">
        <w:t>établir qu</w:t>
      </w:r>
      <w:r w:rsidR="001937C9">
        <w:t>’</w:t>
      </w:r>
      <w:r w:rsidR="00291F92" w:rsidRPr="00D849C0">
        <w:t>elle présente un caractère technique</w:t>
      </w:r>
      <w:r w:rsidR="008E0E99" w:rsidRPr="00D849C0">
        <w:t>.</w:t>
      </w:r>
    </w:p>
    <w:p w:rsidR="00E65C5E" w:rsidRPr="00D849C0" w:rsidRDefault="00291F92" w:rsidP="00BF5505">
      <w:pPr>
        <w:pStyle w:val="ONUMFS"/>
      </w:pPr>
      <w:r w:rsidRPr="00D849C0">
        <w:t>Certains pays, en revanche, n</w:t>
      </w:r>
      <w:r w:rsidR="001937C9">
        <w:t>’</w:t>
      </w:r>
      <w:r w:rsidRPr="00D849C0">
        <w:t>ont pas d</w:t>
      </w:r>
      <w:r w:rsidR="001937C9">
        <w:t>’</w:t>
      </w:r>
      <w:r w:rsidRPr="00D849C0">
        <w:t>exigence de technicité</w:t>
      </w:r>
      <w:r w:rsidR="00E65C5E" w:rsidRPr="00D849C0">
        <w:rPr>
          <w:vertAlign w:val="superscript"/>
        </w:rPr>
        <w:footnoteReference w:id="130"/>
      </w:r>
      <w:r w:rsidRPr="00D849C0">
        <w:t>.</w:t>
      </w:r>
      <w:r w:rsidR="00E65C5E" w:rsidRPr="00D849C0">
        <w:t xml:space="preserve">  </w:t>
      </w:r>
      <w:r w:rsidRPr="00D849C0">
        <w:t>La portée de la protection conférée par les législations de ce type apparaît plus large que celle des systèmes dans lesquels l</w:t>
      </w:r>
      <w:r w:rsidR="001937C9">
        <w:t>’</w:t>
      </w:r>
      <w:r w:rsidRPr="00D849C0">
        <w:t>existence d</w:t>
      </w:r>
      <w:r w:rsidR="001937C9">
        <w:t>’</w:t>
      </w:r>
      <w:r w:rsidRPr="00D849C0">
        <w:t>un caractère technique constitue pour les inventions une condition de brevetabilité.</w:t>
      </w:r>
    </w:p>
    <w:p w:rsidR="001937C9" w:rsidRDefault="00923403" w:rsidP="00BF5505">
      <w:pPr>
        <w:pStyle w:val="ONUMFS"/>
      </w:pPr>
      <w:r w:rsidRPr="00D849C0">
        <w:t>Enfin, la forme des revendications joue un rôle très important dans certains systèmes juridiques.  Par exemple, aux États</w:t>
      </w:r>
      <w:r w:rsidR="001937C9">
        <w:t>-</w:t>
      </w:r>
      <w:r w:rsidRPr="00D849C0">
        <w:t>Unis d</w:t>
      </w:r>
      <w:r w:rsidR="001937C9">
        <w:t>’</w:t>
      </w:r>
      <w:r w:rsidRPr="00D849C0">
        <w:t>Amérique, un programme d</w:t>
      </w:r>
      <w:r w:rsidR="001937C9">
        <w:t>’</w:t>
      </w:r>
      <w:r w:rsidRPr="00D849C0">
        <w:t>ordinateur en lui</w:t>
      </w:r>
      <w:r w:rsidR="001937C9">
        <w:t>-</w:t>
      </w:r>
      <w:r w:rsidRPr="00D849C0">
        <w:t>même n</w:t>
      </w:r>
      <w:r w:rsidR="001937C9">
        <w:t>’</w:t>
      </w:r>
      <w:r w:rsidRPr="00D849C0">
        <w:t>est pas brevetable</w:t>
      </w:r>
      <w:r w:rsidR="004527CA" w:rsidRPr="00D849C0">
        <w:rPr>
          <w:vertAlign w:val="superscript"/>
        </w:rPr>
        <w:footnoteReference w:id="131"/>
      </w:r>
      <w:r w:rsidRPr="00D849C0">
        <w:t>, et le mode d</w:t>
      </w:r>
      <w:r w:rsidR="001937C9">
        <w:t>’</w:t>
      </w:r>
      <w:r w:rsidRPr="00D849C0">
        <w:t>appréciation des revendications de produit et de méthode est différent</w:t>
      </w:r>
      <w:r w:rsidR="004527CA" w:rsidRPr="00D849C0">
        <w:rPr>
          <w:vertAlign w:val="superscript"/>
        </w:rPr>
        <w:footnoteReference w:id="132"/>
      </w:r>
      <w:r w:rsidRPr="00D849C0">
        <w:t>.</w:t>
      </w:r>
      <w:r w:rsidR="004527CA" w:rsidRPr="00D849C0">
        <w:t xml:space="preserve">  </w:t>
      </w:r>
      <w:r w:rsidRPr="00D849C0">
        <w:t>En République de Corée, un programme d</w:t>
      </w:r>
      <w:r w:rsidR="001937C9">
        <w:t>’</w:t>
      </w:r>
      <w:r w:rsidRPr="00D849C0">
        <w:t>ordinateur en lui</w:t>
      </w:r>
      <w:r w:rsidR="001937C9">
        <w:t>-</w:t>
      </w:r>
      <w:r w:rsidRPr="00D849C0">
        <w:t>même ne constitue pas une invention au sens de la loi, tandis que d</w:t>
      </w:r>
      <w:r w:rsidR="001937C9">
        <w:t>’</w:t>
      </w:r>
      <w:r w:rsidRPr="00D849C0">
        <w:t>autres formes de revendications sont brevetables</w:t>
      </w:r>
      <w:r w:rsidR="004527CA" w:rsidRPr="00D849C0">
        <w:rPr>
          <w:vertAlign w:val="superscript"/>
        </w:rPr>
        <w:footnoteReference w:id="133"/>
      </w:r>
      <w:r w:rsidRPr="00D849C0">
        <w:t>.</w:t>
      </w:r>
      <w:r w:rsidR="004527CA" w:rsidRPr="00D849C0">
        <w:t xml:space="preserve"> </w:t>
      </w:r>
      <w:r w:rsidR="00F75593" w:rsidRPr="00D849C0">
        <w:t xml:space="preserve"> </w:t>
      </w:r>
      <w:r w:rsidRPr="00D849C0">
        <w:t>En Inde et en Chine, une revendication de produit ou une revendication de méthode peut être appropriée pour une invention relative à un logiciel, mais une revendication portant sur un programme d</w:t>
      </w:r>
      <w:r w:rsidR="001937C9">
        <w:t>’</w:t>
      </w:r>
      <w:r w:rsidRPr="00D849C0">
        <w:t>ordinateur en lui</w:t>
      </w:r>
      <w:r w:rsidR="001937C9">
        <w:t>-</w:t>
      </w:r>
      <w:r w:rsidRPr="00D849C0">
        <w:t>même ou sur un support lisible par ordinateur sur lequel est contenu un programme d</w:t>
      </w:r>
      <w:r w:rsidR="001937C9">
        <w:t>’</w:t>
      </w:r>
      <w:r w:rsidRPr="00D849C0">
        <w:t>ordinateur n</w:t>
      </w:r>
      <w:r w:rsidR="001937C9">
        <w:t>’</w:t>
      </w:r>
      <w:r w:rsidRPr="00D849C0">
        <w:t>est pas brevetable</w:t>
      </w:r>
      <w:r w:rsidR="004527CA" w:rsidRPr="00D849C0">
        <w:rPr>
          <w:vertAlign w:val="superscript"/>
        </w:rPr>
        <w:footnoteReference w:id="134"/>
      </w:r>
      <w:r w:rsidR="00F75593" w:rsidRPr="00D849C0">
        <w:t xml:space="preserve">. </w:t>
      </w:r>
      <w:r w:rsidR="001937C9" w:rsidRPr="00D849C0">
        <w:t xml:space="preserve"> Le</w:t>
      </w:r>
      <w:r w:rsidR="001937C9">
        <w:t> </w:t>
      </w:r>
      <w:r w:rsidR="001937C9" w:rsidRPr="00D849C0">
        <w:t>RPB</w:t>
      </w:r>
      <w:r w:rsidR="0081736C" w:rsidRPr="00D849C0">
        <w:t>B (directives de l</w:t>
      </w:r>
      <w:r w:rsidR="001937C9">
        <w:t>’</w:t>
      </w:r>
      <w:r w:rsidR="0081736C" w:rsidRPr="00D849C0">
        <w:t>Office canadien)</w:t>
      </w:r>
      <w:r w:rsidR="008453F5" w:rsidRPr="00D849C0">
        <w:t xml:space="preserve"> fournit également des conseils détaillés, catégorie par catégorie, concernant la rédaction des revendications visant des inventions relatives à des logiciels</w:t>
      </w:r>
      <w:r w:rsidR="004527CA" w:rsidRPr="00D849C0">
        <w:rPr>
          <w:vertAlign w:val="superscript"/>
        </w:rPr>
        <w:footnoteReference w:id="135"/>
      </w:r>
      <w:r w:rsidR="008453F5" w:rsidRPr="00D849C0">
        <w:t>,</w:t>
      </w:r>
    </w:p>
    <w:p w:rsidR="004527CA" w:rsidRPr="00D849C0" w:rsidRDefault="00D14E62" w:rsidP="00BF5505">
      <w:pPr>
        <w:pStyle w:val="ONUMFS"/>
      </w:pPr>
      <w:r w:rsidRPr="00D849C0">
        <w:t xml:space="preserve">Certains </w:t>
      </w:r>
      <w:r w:rsidR="00623ED1" w:rsidRPr="00D849C0">
        <w:t>systèmes</w:t>
      </w:r>
      <w:r w:rsidRPr="00D849C0">
        <w:t xml:space="preserve"> mettent plutôt l</w:t>
      </w:r>
      <w:r w:rsidR="001937C9">
        <w:t>’</w:t>
      </w:r>
      <w:r w:rsidRPr="00D849C0">
        <w:t xml:space="preserve">accent sur </w:t>
      </w:r>
      <w:r w:rsidR="0001787D" w:rsidRPr="00D849C0">
        <w:t>la substance du contenu de l</w:t>
      </w:r>
      <w:r w:rsidR="001937C9">
        <w:t>’</w:t>
      </w:r>
      <w:r w:rsidR="0001787D" w:rsidRPr="00D849C0">
        <w:t>objet revendiqué</w:t>
      </w:r>
      <w:r w:rsidR="004527CA" w:rsidRPr="00D849C0">
        <w:rPr>
          <w:vertAlign w:val="superscript"/>
        </w:rPr>
        <w:footnoteReference w:id="136"/>
      </w:r>
      <w:r w:rsidR="00FA2715" w:rsidRPr="00D849C0">
        <w:t>.  Dans la pratique de l</w:t>
      </w:r>
      <w:r w:rsidR="001937C9">
        <w:t>’</w:t>
      </w:r>
      <w:r w:rsidR="00FA2715" w:rsidRPr="00D849C0">
        <w:t>OEB, par exemple, l</w:t>
      </w:r>
      <w:r w:rsidR="001937C9">
        <w:t>’</w:t>
      </w:r>
      <w:r w:rsidR="00FA2715" w:rsidRPr="00D849C0">
        <w:t>objet revendiqué doit être évalué dans son ensemble, quelle que soit</w:t>
      </w:r>
      <w:r w:rsidR="005000F6" w:rsidRPr="00D849C0">
        <w:t xml:space="preserve"> l</w:t>
      </w:r>
      <w:r w:rsidR="00F83FA4" w:rsidRPr="00D849C0">
        <w:t>a forme de revendication dont il fait l</w:t>
      </w:r>
      <w:r w:rsidR="001937C9">
        <w:t>’</w:t>
      </w:r>
      <w:r w:rsidR="00F83FA4" w:rsidRPr="00D849C0">
        <w:t>objet</w:t>
      </w:r>
      <w:r w:rsidR="004527CA" w:rsidRPr="00D849C0">
        <w:rPr>
          <w:vertAlign w:val="superscript"/>
        </w:rPr>
        <w:footnoteReference w:id="137"/>
      </w:r>
      <w:r w:rsidR="00FA2715" w:rsidRPr="00D849C0">
        <w:t xml:space="preserve">, </w:t>
      </w:r>
      <w:r w:rsidR="005000F6" w:rsidRPr="00D849C0">
        <w:t xml:space="preserve">et une revendication </w:t>
      </w:r>
      <w:r w:rsidR="00F83FA4" w:rsidRPr="00D849C0">
        <w:t>peut être</w:t>
      </w:r>
      <w:r w:rsidR="005000F6" w:rsidRPr="00D849C0">
        <w:t xml:space="preserve"> brevetable indépendamment</w:t>
      </w:r>
      <w:r w:rsidR="00F83FA4" w:rsidRPr="00D849C0">
        <w:t xml:space="preserve"> de </w:t>
      </w:r>
      <w:r w:rsidR="00753D45" w:rsidRPr="00D849C0">
        <w:t>cette</w:t>
      </w:r>
      <w:r w:rsidR="00F83FA4" w:rsidRPr="00D849C0">
        <w:t xml:space="preserve"> forme, pour autant que la condition de technicité soit respectée.  De la même façon, au Royaume</w:t>
      </w:r>
      <w:r w:rsidR="001937C9">
        <w:t>-</w:t>
      </w:r>
      <w:r w:rsidR="00F83FA4" w:rsidRPr="00D849C0">
        <w:t>Uni, la forme de la</w:t>
      </w:r>
      <w:r w:rsidR="00BF5505">
        <w:t> </w:t>
      </w:r>
      <w:r w:rsidR="00F83FA4" w:rsidRPr="00D849C0">
        <w:t>revendication n</w:t>
      </w:r>
      <w:r w:rsidR="001937C9">
        <w:t>’</w:t>
      </w:r>
      <w:r w:rsidR="00F83FA4" w:rsidRPr="00D849C0">
        <w:t>a pas d</w:t>
      </w:r>
      <w:r w:rsidR="001937C9">
        <w:t>’</w:t>
      </w:r>
      <w:r w:rsidR="00F83FA4" w:rsidRPr="00D849C0">
        <w:t>importance</w:t>
      </w:r>
      <w:r w:rsidR="004527CA" w:rsidRPr="00D849C0">
        <w:rPr>
          <w:vertAlign w:val="superscript"/>
        </w:rPr>
        <w:footnoteReference w:id="138"/>
      </w:r>
      <w:r w:rsidR="00F83FA4" w:rsidRPr="00D849C0">
        <w:t>, et un programme d</w:t>
      </w:r>
      <w:r w:rsidR="001937C9">
        <w:t>’</w:t>
      </w:r>
      <w:r w:rsidR="00F83FA4" w:rsidRPr="00D849C0">
        <w:t>ordinateur en lui</w:t>
      </w:r>
      <w:r w:rsidR="001937C9">
        <w:t>-</w:t>
      </w:r>
      <w:r w:rsidR="00F83FA4" w:rsidRPr="00D849C0">
        <w:t>même est brevetable s</w:t>
      </w:r>
      <w:r w:rsidR="001937C9">
        <w:t>’</w:t>
      </w:r>
      <w:r w:rsidR="00F83FA4" w:rsidRPr="00D849C0">
        <w:t>il apporte une contribution technique quelconque</w:t>
      </w:r>
      <w:r w:rsidR="004527CA" w:rsidRPr="00D849C0">
        <w:rPr>
          <w:vertAlign w:val="superscript"/>
        </w:rPr>
        <w:footnoteReference w:id="139"/>
      </w:r>
      <w:r w:rsidR="00F83FA4" w:rsidRPr="00D849C0">
        <w:t>.</w:t>
      </w:r>
    </w:p>
    <w:p w:rsidR="00CE4E5A" w:rsidRPr="00D849C0" w:rsidRDefault="00CE4E5A" w:rsidP="00A83989">
      <w:pPr>
        <w:rPr>
          <w:szCs w:val="22"/>
        </w:rPr>
      </w:pPr>
    </w:p>
    <w:p w:rsidR="00CE4E5A" w:rsidRPr="00D849C0" w:rsidRDefault="00CE4E5A" w:rsidP="00A83989">
      <w:pPr>
        <w:rPr>
          <w:szCs w:val="22"/>
        </w:rPr>
      </w:pPr>
    </w:p>
    <w:p w:rsidR="0060657F" w:rsidRPr="00D849C0" w:rsidRDefault="0060657F" w:rsidP="00C33539">
      <w:pPr>
        <w:jc w:val="right"/>
        <w:rPr>
          <w:szCs w:val="22"/>
        </w:rPr>
      </w:pPr>
      <w:r w:rsidRPr="00D849C0">
        <w:rPr>
          <w:szCs w:val="22"/>
        </w:rPr>
        <w:t>[</w:t>
      </w:r>
      <w:r w:rsidR="00F83FA4" w:rsidRPr="00D849C0">
        <w:rPr>
          <w:szCs w:val="22"/>
        </w:rPr>
        <w:t>Les annexes suivent en anglais</w:t>
      </w:r>
      <w:r w:rsidRPr="00D849C0">
        <w:rPr>
          <w:szCs w:val="22"/>
        </w:rPr>
        <w:t>]</w:t>
      </w:r>
    </w:p>
    <w:sectPr w:rsidR="0060657F" w:rsidRPr="00D849C0" w:rsidSect="00545373">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15" w:rsidRDefault="00CA7E15">
      <w:r>
        <w:separator/>
      </w:r>
    </w:p>
  </w:endnote>
  <w:endnote w:type="continuationSeparator" w:id="0">
    <w:p w:rsidR="00CA7E15" w:rsidRDefault="00CA7E15" w:rsidP="003B38C1">
      <w:r>
        <w:separator/>
      </w:r>
    </w:p>
    <w:p w:rsidR="00CA7E15" w:rsidRPr="003B38C1" w:rsidRDefault="00CA7E15"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CA7E15" w:rsidRPr="003B38C1" w:rsidRDefault="00CA7E15"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15" w:rsidRPr="00545373" w:rsidRDefault="00CA7E15" w:rsidP="00545373">
    <w:pPr>
      <w:pStyle w:val="Footer"/>
      <w:tabs>
        <w:tab w:val="clear" w:pos="4320"/>
        <w:tab w:val="clear" w:pos="8640"/>
        <w:tab w:val="right" w:pos="8504"/>
      </w:tabs>
      <w:jc w:val="center"/>
      <w:rPr>
        <w:rFonts w:ascii="Times New Roman" w:hAnsi="Times New Roman" w:cs="Times New Roman"/>
        <w:b/>
        <w:sz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15" w:rsidRDefault="00CA7E15">
      <w:r>
        <w:separator/>
      </w:r>
    </w:p>
  </w:footnote>
  <w:footnote w:type="continuationSeparator" w:id="0">
    <w:p w:rsidR="00CA7E15" w:rsidRDefault="00CA7E15" w:rsidP="008B60B2">
      <w:r>
        <w:separator/>
      </w:r>
    </w:p>
    <w:p w:rsidR="00CA7E15" w:rsidRPr="00ED77FB" w:rsidRDefault="00CA7E15" w:rsidP="008B60B2">
      <w:pPr>
        <w:spacing w:after="60"/>
        <w:rPr>
          <w:sz w:val="17"/>
          <w:szCs w:val="17"/>
        </w:rPr>
      </w:pPr>
      <w:r w:rsidRPr="00ED77FB">
        <w:rPr>
          <w:sz w:val="17"/>
          <w:szCs w:val="17"/>
        </w:rPr>
        <w:t>[</w:t>
      </w:r>
      <w:r w:rsidR="00C66D7A">
        <w:rPr>
          <w:sz w:val="17"/>
          <w:szCs w:val="17"/>
        </w:rPr>
        <w:t>Suite de la note de la page précédente</w:t>
      </w:r>
      <w:r w:rsidRPr="00ED77FB">
        <w:rPr>
          <w:sz w:val="17"/>
          <w:szCs w:val="17"/>
        </w:rPr>
        <w:t>]</w:t>
      </w:r>
    </w:p>
  </w:footnote>
  <w:footnote w:type="continuationNotice" w:id="1">
    <w:p w:rsidR="00CA7E15" w:rsidRPr="00ED77FB" w:rsidRDefault="00CA7E15" w:rsidP="008B60B2">
      <w:pPr>
        <w:spacing w:before="60"/>
        <w:jc w:val="right"/>
        <w:rPr>
          <w:sz w:val="17"/>
          <w:szCs w:val="17"/>
        </w:rPr>
      </w:pPr>
    </w:p>
  </w:footnote>
  <w:footnote w:id="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Pour en savoir plus sur la distinction opérée entre les découvertes, qui ne sont pas susceptibles d'être protégés par des brevets et les inventions, qui sont des objets brevetables, voir le document de l'OMPI CDIP/7/3, page 8, à l'adresse </w:t>
      </w:r>
      <w:hyperlink r:id="rId1" w:history="1">
        <w:r w:rsidRPr="00523373">
          <w:rPr>
            <w:rStyle w:val="Hyperlink"/>
            <w:szCs w:val="18"/>
          </w:rPr>
          <w:t>http://www.wipo.int/edocs/mdocs/mdocs/fr/cdip_7/cdip_7_3-main1.pdf</w:t>
        </w:r>
      </w:hyperlink>
      <w:r w:rsidRPr="00DA6597">
        <w:rPr>
          <w:szCs w:val="18"/>
        </w:rPr>
        <w:t xml:space="preserve"> </w:t>
      </w:r>
    </w:p>
  </w:footnote>
  <w:footnote w:id="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Office australien des brevets – Guide des pratiques et procédures, 2.9.2.14 (révisé en dernier lieu le 3</w:t>
      </w:r>
      <w:r w:rsidR="00523373">
        <w:rPr>
          <w:szCs w:val="18"/>
        </w:rPr>
        <w:t> </w:t>
      </w:r>
      <w:r w:rsidRPr="00DA6597">
        <w:rPr>
          <w:szCs w:val="18"/>
        </w:rPr>
        <w:t>juin</w:t>
      </w:r>
      <w:r w:rsidR="00523373">
        <w:rPr>
          <w:szCs w:val="18"/>
        </w:rPr>
        <w:t> </w:t>
      </w:r>
      <w:r w:rsidRPr="00DA6597">
        <w:rPr>
          <w:szCs w:val="18"/>
        </w:rPr>
        <w:t>2013).</w:t>
      </w:r>
    </w:p>
  </w:footnote>
  <w:footnote w:id="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w:t>
      </w:r>
      <w:r w:rsidRPr="00DA6597">
        <w:rPr>
          <w:i/>
          <w:szCs w:val="18"/>
        </w:rPr>
        <w:t>Resource Book on TRIPS and Development</w:t>
      </w:r>
      <w:r w:rsidRPr="00DA6597">
        <w:rPr>
          <w:szCs w:val="18"/>
        </w:rPr>
        <w:t xml:space="preserve">”, UNCTAD-ICTSD, 2005, Cambridge </w:t>
      </w:r>
      <w:proofErr w:type="spellStart"/>
      <w:r w:rsidRPr="00DA6597">
        <w:rPr>
          <w:szCs w:val="18"/>
        </w:rPr>
        <w:t>University</w:t>
      </w:r>
      <w:proofErr w:type="spellEnd"/>
      <w:r w:rsidRPr="00DA6597">
        <w:rPr>
          <w:szCs w:val="18"/>
        </w:rPr>
        <w:t xml:space="preserve"> </w:t>
      </w:r>
      <w:proofErr w:type="spellStart"/>
      <w:r w:rsidRPr="00DA6597">
        <w:rPr>
          <w:szCs w:val="18"/>
        </w:rPr>
        <w:t>Press</w:t>
      </w:r>
      <w:proofErr w:type="spellEnd"/>
      <w:r w:rsidRPr="00DA6597">
        <w:rPr>
          <w:szCs w:val="18"/>
        </w:rPr>
        <w:t>, page</w:t>
      </w:r>
      <w:r w:rsidR="00523373">
        <w:rPr>
          <w:szCs w:val="18"/>
        </w:rPr>
        <w:t> </w:t>
      </w:r>
      <w:r w:rsidRPr="00DA6597">
        <w:rPr>
          <w:szCs w:val="18"/>
        </w:rPr>
        <w:t>389.  On peut toutefois trouver d'autres définitions des végétaux dans le langage botanique, comme par</w:t>
      </w:r>
      <w:r w:rsidR="00523373">
        <w:rPr>
          <w:szCs w:val="18"/>
        </w:rPr>
        <w:t> </w:t>
      </w:r>
      <w:r w:rsidRPr="00DA6597">
        <w:rPr>
          <w:szCs w:val="18"/>
        </w:rPr>
        <w:t>exemple celle selon laquelle un végétal est “</w:t>
      </w:r>
      <w:r w:rsidRPr="00DA6597">
        <w:rPr>
          <w:i/>
          <w:szCs w:val="18"/>
        </w:rPr>
        <w:t>tout organisme unicellulaire eucaryote photosynthétique du</w:t>
      </w:r>
      <w:r w:rsidR="00523373">
        <w:rPr>
          <w:i/>
          <w:szCs w:val="18"/>
        </w:rPr>
        <w:t> </w:t>
      </w:r>
      <w:r w:rsidRPr="00DA6597">
        <w:rPr>
          <w:i/>
          <w:szCs w:val="18"/>
        </w:rPr>
        <w:t xml:space="preserve">règne </w:t>
      </w:r>
      <w:proofErr w:type="spellStart"/>
      <w:r w:rsidRPr="00DA6597">
        <w:rPr>
          <w:i/>
          <w:szCs w:val="18"/>
        </w:rPr>
        <w:t>Plantae</w:t>
      </w:r>
      <w:proofErr w:type="spellEnd"/>
      <w:r w:rsidRPr="00DA6597">
        <w:rPr>
          <w:i/>
          <w:szCs w:val="18"/>
        </w:rPr>
        <w:t xml:space="preserve"> caractérisé par la production d'embryons, contenant des chloroplastes, ayant des parois de cellulose et dépourvu de pouvoir de locomotion</w:t>
      </w:r>
      <w:r w:rsidRPr="00DA6597">
        <w:rPr>
          <w:szCs w:val="18"/>
        </w:rPr>
        <w:t xml:space="preserve">” (en anglais à </w:t>
      </w:r>
      <w:hyperlink r:id="rId2" w:history="1">
        <w:r w:rsidRPr="00523373">
          <w:rPr>
            <w:rStyle w:val="Hyperlink"/>
            <w:szCs w:val="18"/>
          </w:rPr>
          <w:t>http://www.thefreedictionary.com/plant</w:t>
        </w:r>
      </w:hyperlink>
      <w:r w:rsidRPr="00DA6597">
        <w:t>)</w:t>
      </w:r>
      <w:r w:rsidRPr="00DA6597">
        <w:rPr>
          <w:szCs w:val="18"/>
        </w:rPr>
        <w:t xml:space="preserve"> ou une</w:t>
      </w:r>
      <w:r w:rsidR="00523373">
        <w:rPr>
          <w:szCs w:val="18"/>
        </w:rPr>
        <w:t> </w:t>
      </w:r>
      <w:r w:rsidRPr="00DA6597">
        <w:rPr>
          <w:szCs w:val="18"/>
        </w:rPr>
        <w:t>autre expliquant qu'un végétal est “</w:t>
      </w:r>
      <w:r w:rsidRPr="00DA6597">
        <w:rPr>
          <w:i/>
          <w:iCs/>
          <w:szCs w:val="18"/>
        </w:rPr>
        <w:t>tout organisme vivant élaborant généralement sa nourriture par la</w:t>
      </w:r>
      <w:r w:rsidR="00523373">
        <w:rPr>
          <w:i/>
          <w:iCs/>
          <w:szCs w:val="18"/>
        </w:rPr>
        <w:t> </w:t>
      </w:r>
      <w:r w:rsidRPr="00DA6597">
        <w:rPr>
          <w:i/>
          <w:iCs/>
          <w:szCs w:val="18"/>
        </w:rPr>
        <w:t>synthèse de substances inorganiques, ayant des parois de cellulose, réagissant aux stimuli de manière lente et souvent permanente, dépourvu d'organes sensoriels spécialisés et de système nerveux, ainsi que de pouvoir de locomotion</w:t>
      </w:r>
      <w:r w:rsidRPr="00DA6597">
        <w:rPr>
          <w:szCs w:val="18"/>
        </w:rPr>
        <w:t xml:space="preserve">” (tirée de Life Sciences &amp; </w:t>
      </w:r>
      <w:proofErr w:type="spellStart"/>
      <w:r w:rsidRPr="00DA6597">
        <w:rPr>
          <w:szCs w:val="18"/>
        </w:rPr>
        <w:t>Allied</w:t>
      </w:r>
      <w:proofErr w:type="spellEnd"/>
      <w:r w:rsidRPr="00DA6597">
        <w:rPr>
          <w:szCs w:val="18"/>
        </w:rPr>
        <w:t xml:space="preserve"> Applications / </w:t>
      </w:r>
      <w:proofErr w:type="spellStart"/>
      <w:r w:rsidRPr="00DA6597">
        <w:rPr>
          <w:szCs w:val="18"/>
        </w:rPr>
        <w:t>Botany</w:t>
      </w:r>
      <w:proofErr w:type="spellEnd"/>
      <w:r w:rsidRPr="00DA6597">
        <w:rPr>
          <w:szCs w:val="18"/>
        </w:rPr>
        <w:t xml:space="preserve"> et également disponible en</w:t>
      </w:r>
      <w:r w:rsidR="00523373">
        <w:rPr>
          <w:szCs w:val="18"/>
        </w:rPr>
        <w:t> </w:t>
      </w:r>
      <w:r w:rsidRPr="00DA6597">
        <w:rPr>
          <w:szCs w:val="18"/>
        </w:rPr>
        <w:t xml:space="preserve">anglais à l'adresse </w:t>
      </w:r>
      <w:hyperlink r:id="rId3" w:history="1">
        <w:r w:rsidRPr="00523373">
          <w:rPr>
            <w:rStyle w:val="Hyperlink"/>
            <w:szCs w:val="18"/>
          </w:rPr>
          <w:t>http://www.thefreedictionary.com/plant</w:t>
        </w:r>
      </w:hyperlink>
      <w:r w:rsidRPr="00DA6597">
        <w:rPr>
          <w:szCs w:val="18"/>
        </w:rPr>
        <w:t xml:space="preserve">. </w:t>
      </w:r>
    </w:p>
  </w:footnote>
  <w:footnote w:id="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d'examen de l'Office chinois des brevets, 2010, chapitre 1, article 25.1)4).</w:t>
      </w:r>
    </w:p>
  </w:footnote>
  <w:footnote w:id="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Partie Vii, chapitre 2 des directives de mise en œuvre pour les inventions de certains domaines : inventions biologiques.  Règle 3 (avril 2012).  Cette règle énonce en particulier que “le terme "micro-organismes" désigne les levures, moisissures, champignons, bactéries, actinomycètes, algues unicellulaires, virus, protozoaires, etc. et comprend en outre les cellules animales ou végétales non différenciées ainsi que les cultures de tissus animaux ou végétaux”.</w:t>
      </w:r>
    </w:p>
  </w:footnote>
  <w:footnote w:id="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hyperlink r:id="rId4" w:history="1">
        <w:r w:rsidRPr="00523373">
          <w:rPr>
            <w:rStyle w:val="Hyperlink"/>
            <w:szCs w:val="18"/>
          </w:rPr>
          <w:t>http://www.upov.int/overview/en/variety.html</w:t>
        </w:r>
      </w:hyperlink>
      <w:r w:rsidRPr="00DA6597">
        <w:rPr>
          <w:szCs w:val="18"/>
        </w:rPr>
        <w:t xml:space="preserve"> </w:t>
      </w:r>
    </w:p>
  </w:footnote>
  <w:footnote w:id="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Voi</w:t>
      </w:r>
      <w:r w:rsidR="00523373">
        <w:rPr>
          <w:szCs w:val="18"/>
        </w:rPr>
        <w:t>r</w:t>
      </w:r>
      <w:r w:rsidRPr="00DA6597">
        <w:rPr>
          <w:szCs w:val="18"/>
        </w:rPr>
        <w:t xml:space="preserve"> la note ci-dessus. </w:t>
      </w:r>
    </w:p>
  </w:footnote>
  <w:footnote w:id="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Oxford English </w:t>
      </w:r>
      <w:proofErr w:type="spellStart"/>
      <w:r w:rsidRPr="00DA6597">
        <w:rPr>
          <w:szCs w:val="18"/>
        </w:rPr>
        <w:t>Dictionary</w:t>
      </w:r>
      <w:proofErr w:type="spellEnd"/>
      <w:r w:rsidRPr="00DA6597">
        <w:rPr>
          <w:szCs w:val="18"/>
        </w:rPr>
        <w:t>.</w:t>
      </w:r>
    </w:p>
  </w:footnote>
  <w:footnote w:id="10">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T 49/83 (JO 1984, 112).</w:t>
      </w:r>
    </w:p>
  </w:footnote>
  <w:footnote w:id="1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http://www.epo.org/law-practice/legal-texts/html/caselaw/2013/f/clr_i_b_3_1_1.htm.</w:t>
      </w:r>
    </w:p>
  </w:footnote>
  <w:footnote w:id="1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Règle 26.4) CBE.</w:t>
      </w:r>
    </w:p>
  </w:footnote>
  <w:footnote w:id="13">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Inventions génétiques, droits de propriété intellectuelle et pratiques d'o</w:t>
      </w:r>
      <w:r w:rsidR="00CA0A01">
        <w:rPr>
          <w:szCs w:val="18"/>
        </w:rPr>
        <w:t>ctroi de licences, OCDE, 2002, p</w:t>
      </w:r>
      <w:r w:rsidRPr="00DA6597">
        <w:rPr>
          <w:szCs w:val="18"/>
        </w:rPr>
        <w:t>age</w:t>
      </w:r>
      <w:r w:rsidR="00CA0A01">
        <w:rPr>
          <w:szCs w:val="18"/>
        </w:rPr>
        <w:t> </w:t>
      </w:r>
      <w:r w:rsidRPr="00DA6597">
        <w:rPr>
          <w:szCs w:val="18"/>
        </w:rPr>
        <w:t>11.</w:t>
      </w:r>
    </w:p>
  </w:footnote>
  <w:footnote w:id="14">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FAO. </w:t>
      </w:r>
      <w:r w:rsidRPr="00DA6597">
        <w:rPr>
          <w:i/>
          <w:szCs w:val="18"/>
        </w:rPr>
        <w:t xml:space="preserve">The State of Food and Agriculture: </w:t>
      </w:r>
      <w:proofErr w:type="spellStart"/>
      <w:r w:rsidRPr="00DA6597">
        <w:rPr>
          <w:i/>
          <w:szCs w:val="18"/>
        </w:rPr>
        <w:t>Lessons</w:t>
      </w:r>
      <w:proofErr w:type="spellEnd"/>
      <w:r w:rsidRPr="00DA6597">
        <w:rPr>
          <w:i/>
          <w:szCs w:val="18"/>
        </w:rPr>
        <w:t xml:space="preserve"> </w:t>
      </w:r>
      <w:proofErr w:type="spellStart"/>
      <w:r w:rsidRPr="00DA6597">
        <w:rPr>
          <w:i/>
          <w:szCs w:val="18"/>
        </w:rPr>
        <w:t>from</w:t>
      </w:r>
      <w:proofErr w:type="spellEnd"/>
      <w:r w:rsidRPr="00DA6597">
        <w:rPr>
          <w:i/>
          <w:szCs w:val="18"/>
        </w:rPr>
        <w:t xml:space="preserve"> the </w:t>
      </w:r>
      <w:proofErr w:type="spellStart"/>
      <w:r w:rsidRPr="00DA6597">
        <w:rPr>
          <w:i/>
          <w:szCs w:val="18"/>
        </w:rPr>
        <w:t>Past</w:t>
      </w:r>
      <w:proofErr w:type="spellEnd"/>
      <w:r w:rsidRPr="00DA6597">
        <w:rPr>
          <w:i/>
          <w:szCs w:val="18"/>
        </w:rPr>
        <w:t xml:space="preserve"> 50 </w:t>
      </w:r>
      <w:proofErr w:type="spellStart"/>
      <w:r w:rsidRPr="00DA6597">
        <w:rPr>
          <w:i/>
          <w:szCs w:val="18"/>
        </w:rPr>
        <w:t>Years</w:t>
      </w:r>
      <w:proofErr w:type="spellEnd"/>
      <w:r w:rsidRPr="00DA6597">
        <w:rPr>
          <w:szCs w:val="18"/>
        </w:rPr>
        <w:t>. FAO: Rome, 2000.</w:t>
      </w:r>
    </w:p>
  </w:footnote>
  <w:footnote w:id="15">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Jonathan Hepburn. </w:t>
      </w:r>
      <w:r w:rsidRPr="00DA6597">
        <w:rPr>
          <w:i/>
          <w:szCs w:val="18"/>
        </w:rPr>
        <w:t xml:space="preserve">Patents, Trade and Food: How </w:t>
      </w:r>
      <w:proofErr w:type="spellStart"/>
      <w:r w:rsidRPr="00DA6597">
        <w:rPr>
          <w:i/>
          <w:szCs w:val="18"/>
        </w:rPr>
        <w:t>Strong</w:t>
      </w:r>
      <w:proofErr w:type="spellEnd"/>
      <w:r w:rsidRPr="00DA6597">
        <w:rPr>
          <w:i/>
          <w:szCs w:val="18"/>
        </w:rPr>
        <w:t xml:space="preserve"> Patent and Plant </w:t>
      </w:r>
      <w:proofErr w:type="spellStart"/>
      <w:r w:rsidRPr="00DA6597">
        <w:rPr>
          <w:i/>
          <w:szCs w:val="18"/>
        </w:rPr>
        <w:t>Variety</w:t>
      </w:r>
      <w:proofErr w:type="spellEnd"/>
      <w:r w:rsidRPr="00DA6597">
        <w:rPr>
          <w:i/>
          <w:szCs w:val="18"/>
        </w:rPr>
        <w:t xml:space="preserve"> Protection Affect Food Security</w:t>
      </w:r>
      <w:r w:rsidRPr="00DA6597">
        <w:rPr>
          <w:szCs w:val="18"/>
        </w:rPr>
        <w:t xml:space="preserve">. </w:t>
      </w:r>
      <w:r w:rsidR="00EE3CDF">
        <w:rPr>
          <w:szCs w:val="18"/>
        </w:rPr>
        <w:t xml:space="preserve"> </w:t>
      </w:r>
      <w:r w:rsidRPr="00DA6597">
        <w:rPr>
          <w:szCs w:val="18"/>
        </w:rPr>
        <w:t>Bureau Quaker auprès des Nations Unies (Genève) et Programme Quaker des affaires internationales, Ottawa. 2004.</w:t>
      </w:r>
    </w:p>
  </w:footnote>
  <w:footnote w:id="16">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Par exemple, le gène </w:t>
      </w:r>
      <w:proofErr w:type="spellStart"/>
      <w:r w:rsidRPr="00DA6597">
        <w:rPr>
          <w:szCs w:val="18"/>
        </w:rPr>
        <w:t>Bt</w:t>
      </w:r>
      <w:proofErr w:type="spellEnd"/>
      <w:r w:rsidRPr="00DA6597">
        <w:rPr>
          <w:szCs w:val="18"/>
        </w:rPr>
        <w:t xml:space="preserve">, qui rend les végétaux plus résistants aux insectes.  Le coton </w:t>
      </w:r>
      <w:proofErr w:type="spellStart"/>
      <w:r w:rsidRPr="00DA6597">
        <w:rPr>
          <w:szCs w:val="18"/>
        </w:rPr>
        <w:t>Bt</w:t>
      </w:r>
      <w:proofErr w:type="spellEnd"/>
      <w:r w:rsidRPr="00DA6597">
        <w:rPr>
          <w:szCs w:val="18"/>
        </w:rPr>
        <w:t xml:space="preserve"> et le maïs </w:t>
      </w:r>
      <w:proofErr w:type="spellStart"/>
      <w:r w:rsidRPr="00DA6597">
        <w:rPr>
          <w:szCs w:val="18"/>
        </w:rPr>
        <w:t>Bt</w:t>
      </w:r>
      <w:proofErr w:type="spellEnd"/>
      <w:r w:rsidRPr="00DA6597">
        <w:rPr>
          <w:szCs w:val="18"/>
        </w:rPr>
        <w:t xml:space="preserve"> sont actuellement cultivés dans au moins cinq pays en développement, et d'autres pays pourraient s'y intéresser.  Rapport de la Commission sur les droits de propriété intellectuelle (CIPR), </w:t>
      </w:r>
      <w:proofErr w:type="spellStart"/>
      <w:r w:rsidRPr="00DA6597">
        <w:rPr>
          <w:i/>
          <w:szCs w:val="18"/>
        </w:rPr>
        <w:t>Integrating</w:t>
      </w:r>
      <w:proofErr w:type="spellEnd"/>
      <w:r w:rsidRPr="00DA6597">
        <w:rPr>
          <w:i/>
          <w:szCs w:val="18"/>
        </w:rPr>
        <w:t xml:space="preserve"> </w:t>
      </w:r>
      <w:proofErr w:type="spellStart"/>
      <w:r w:rsidRPr="00DA6597">
        <w:rPr>
          <w:i/>
          <w:szCs w:val="18"/>
        </w:rPr>
        <w:t>Intellectual</w:t>
      </w:r>
      <w:proofErr w:type="spellEnd"/>
      <w:r w:rsidRPr="00DA6597">
        <w:rPr>
          <w:i/>
          <w:szCs w:val="18"/>
        </w:rPr>
        <w:t xml:space="preserve"> </w:t>
      </w:r>
      <w:proofErr w:type="spellStart"/>
      <w:r w:rsidRPr="00DA6597">
        <w:rPr>
          <w:i/>
          <w:szCs w:val="18"/>
        </w:rPr>
        <w:t>Property</w:t>
      </w:r>
      <w:proofErr w:type="spellEnd"/>
      <w:r w:rsidRPr="00DA6597">
        <w:rPr>
          <w:i/>
          <w:szCs w:val="18"/>
        </w:rPr>
        <w:t xml:space="preserve"> </w:t>
      </w:r>
      <w:proofErr w:type="spellStart"/>
      <w:r w:rsidRPr="00DA6597">
        <w:rPr>
          <w:i/>
          <w:szCs w:val="18"/>
        </w:rPr>
        <w:t>Rights</w:t>
      </w:r>
      <w:proofErr w:type="spellEnd"/>
      <w:r w:rsidRPr="00DA6597">
        <w:rPr>
          <w:i/>
          <w:szCs w:val="18"/>
        </w:rPr>
        <w:t xml:space="preserve"> and Development Policy</w:t>
      </w:r>
      <w:r w:rsidRPr="00DA6597">
        <w:rPr>
          <w:szCs w:val="18"/>
        </w:rPr>
        <w:t xml:space="preserve">, Londres, 2002.  </w:t>
      </w:r>
    </w:p>
  </w:footnote>
  <w:footnote w:id="17">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D'autres définitions peuvent être trouvées dans l'encyclopédie des sciences </w:t>
      </w:r>
      <w:proofErr w:type="spellStart"/>
      <w:r w:rsidRPr="00DA6597">
        <w:rPr>
          <w:szCs w:val="18"/>
        </w:rPr>
        <w:t>McGraw</w:t>
      </w:r>
      <w:proofErr w:type="spellEnd"/>
      <w:r w:rsidRPr="00DA6597">
        <w:rPr>
          <w:szCs w:val="18"/>
        </w:rPr>
        <w:t xml:space="preserve"> Hill : “le génie génétique est la recombinaison artificielle de molécules d'acide nucléique en éprouvette, leur insertion dans un virus, plasmide bactérien ou autre système vecteur, et finalement l'incorporation des molécules chimériques dans un organisme hôte, dans lequel elles peuvent poursuivre leur multiplication.  La construction de telles molécules a aussi été appelée manipulation génétique, parce qu'elle implique généralement la production de nouvelles combinaisons génétiques par des moyens biochimiques.  Le génie génétique permet de multiplier et faire grossir une lignée d'organismes génétiquement identiques contenant tous la même molécule artificiellement recombinée.  L'amplification de tout segment génétique ainsi que du produit génétique codé par ce dernier est donc potentiellement réalisable.</w:t>
      </w:r>
    </w:p>
  </w:footnote>
  <w:footnote w:id="18">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Le Canada, qui figure parmi les chefs de file mondiaux du secteur agroalimentaire, a</w:t>
      </w:r>
      <w:r w:rsidR="00EE3CDF">
        <w:rPr>
          <w:szCs w:val="18"/>
        </w:rPr>
        <w:t>, par </w:t>
      </w:r>
      <w:r w:rsidRPr="00DA6597">
        <w:rPr>
          <w:szCs w:val="18"/>
        </w:rPr>
        <w:t>exemple</w:t>
      </w:r>
      <w:r w:rsidR="00EE3CDF">
        <w:rPr>
          <w:szCs w:val="18"/>
        </w:rPr>
        <w:t>,</w:t>
      </w:r>
      <w:r w:rsidRPr="00DA6597">
        <w:rPr>
          <w:szCs w:val="18"/>
        </w:rPr>
        <w:t xml:space="preserve"> établi le</w:t>
      </w:r>
      <w:r w:rsidR="00EE3CDF">
        <w:rPr>
          <w:szCs w:val="18"/>
        </w:rPr>
        <w:t> </w:t>
      </w:r>
      <w:r w:rsidRPr="00DA6597">
        <w:rPr>
          <w:szCs w:val="18"/>
        </w:rPr>
        <w:t>Programme pour l'avancement du secteur canadien de l'agriculture et de l'agroalimentaire (PASCAA), un</w:t>
      </w:r>
      <w:r w:rsidR="00EE3CDF">
        <w:rPr>
          <w:szCs w:val="18"/>
        </w:rPr>
        <w:t> </w:t>
      </w:r>
      <w:r w:rsidRPr="00DA6597">
        <w:rPr>
          <w:szCs w:val="18"/>
        </w:rPr>
        <w:t>programme quinquennal doté de 240 millions de dollars canadiens visant stimuler la capacité du secteur de l'agriculture et de l'agroalimentaire à exploiter de nouveaux débouchés.</w:t>
      </w:r>
    </w:p>
    <w:p w:rsidR="00CA7E15" w:rsidRPr="00DA6597" w:rsidRDefault="00CA7E15" w:rsidP="002D0618">
      <w:pPr>
        <w:pStyle w:val="FootnoteText"/>
        <w:tabs>
          <w:tab w:val="left" w:pos="567"/>
        </w:tabs>
        <w:rPr>
          <w:szCs w:val="18"/>
        </w:rPr>
      </w:pPr>
      <w:r w:rsidRPr="00DA6597">
        <w:rPr>
          <w:szCs w:val="18"/>
        </w:rPr>
        <w:tab/>
        <w:t>Il convient de souligner également, à cet égard, que le Canada compte plusieurs centres de recherche en</w:t>
      </w:r>
      <w:r w:rsidR="00EE3CDF">
        <w:rPr>
          <w:szCs w:val="18"/>
        </w:rPr>
        <w:t> </w:t>
      </w:r>
      <w:r w:rsidRPr="00DA6597">
        <w:rPr>
          <w:szCs w:val="18"/>
        </w:rPr>
        <w:t xml:space="preserve">matière de biotechnologie agricole tels que le Centre de référence en agriculture et agroalimentaire, </w:t>
      </w:r>
      <w:proofErr w:type="spellStart"/>
      <w:r w:rsidRPr="00DA6597">
        <w:rPr>
          <w:szCs w:val="18"/>
        </w:rPr>
        <w:t>Cintech</w:t>
      </w:r>
      <w:proofErr w:type="spellEnd"/>
      <w:r w:rsidRPr="00DA6597">
        <w:rPr>
          <w:szCs w:val="18"/>
        </w:rPr>
        <w:t xml:space="preserve"> agroalimentaire, l'Institut sur la nutrition et les aliments fonctionnels, l'Institut de technologie agroalimentaire du Québec et l'</w:t>
      </w:r>
      <w:r>
        <w:rPr>
          <w:szCs w:val="18"/>
        </w:rPr>
        <w:t>I</w:t>
      </w:r>
      <w:r w:rsidRPr="00DA6597">
        <w:rPr>
          <w:szCs w:val="18"/>
        </w:rPr>
        <w:t xml:space="preserve">nstitut de recherche et de développement en agroenvironnement.  Voir </w:t>
      </w:r>
      <w:hyperlink r:id="rId5" w:history="1">
        <w:r w:rsidRPr="00EE3CDF">
          <w:rPr>
            <w:rStyle w:val="Hyperlink"/>
            <w:szCs w:val="18"/>
          </w:rPr>
          <w:t>http://investincanada.gc.ca/eng/industry-sectors/ag-biotech.aspx</w:t>
        </w:r>
      </w:hyperlink>
      <w:r w:rsidRPr="00DA6597">
        <w:rPr>
          <w:szCs w:val="18"/>
        </w:rPr>
        <w:t>.</w:t>
      </w:r>
    </w:p>
  </w:footnote>
  <w:footnote w:id="19">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La Chine a</w:t>
      </w:r>
      <w:r w:rsidR="004B7D83">
        <w:rPr>
          <w:szCs w:val="18"/>
        </w:rPr>
        <w:t>,</w:t>
      </w:r>
      <w:r w:rsidRPr="00DA6597">
        <w:rPr>
          <w:szCs w:val="18"/>
        </w:rPr>
        <w:t xml:space="preserve"> par exemple</w:t>
      </w:r>
      <w:r w:rsidR="004B7D83">
        <w:rPr>
          <w:szCs w:val="18"/>
        </w:rPr>
        <w:t>,</w:t>
      </w:r>
      <w:r w:rsidRPr="00DA6597">
        <w:rPr>
          <w:szCs w:val="18"/>
        </w:rPr>
        <w:t xml:space="preserve"> adopté une politique de biotechnologie agricole consistant entre autres dans le</w:t>
      </w:r>
      <w:r w:rsidR="004B7D83">
        <w:rPr>
          <w:szCs w:val="18"/>
        </w:rPr>
        <w:t> </w:t>
      </w:r>
      <w:r w:rsidRPr="00DA6597">
        <w:rPr>
          <w:szCs w:val="18"/>
        </w:rPr>
        <w:t xml:space="preserve">lancement de projets représentant des percées déterminantes en matière de science et de technologie, adopté un schéma de politique nationale de développement de la biotechnologie, établi les National Key </w:t>
      </w:r>
      <w:proofErr w:type="spellStart"/>
      <w:r w:rsidRPr="00DA6597">
        <w:rPr>
          <w:szCs w:val="18"/>
        </w:rPr>
        <w:t>Laboratories</w:t>
      </w:r>
      <w:proofErr w:type="spellEnd"/>
      <w:r w:rsidRPr="00DA6597">
        <w:rPr>
          <w:szCs w:val="18"/>
        </w:rPr>
        <w:t xml:space="preserve"> (NKL) on </w:t>
      </w:r>
      <w:proofErr w:type="spellStart"/>
      <w:r w:rsidRPr="00DA6597">
        <w:rPr>
          <w:szCs w:val="18"/>
        </w:rPr>
        <w:t>Biotechnology</w:t>
      </w:r>
      <w:proofErr w:type="spellEnd"/>
      <w:r w:rsidRPr="00DA6597">
        <w:rPr>
          <w:szCs w:val="18"/>
        </w:rPr>
        <w:t>, mis en place un plan de recherche et de développement des haute</w:t>
      </w:r>
      <w:r>
        <w:rPr>
          <w:szCs w:val="18"/>
        </w:rPr>
        <w:t>s technologies (plan 863), créé</w:t>
      </w:r>
      <w:r w:rsidRPr="00DA6597">
        <w:rPr>
          <w:szCs w:val="18"/>
        </w:rPr>
        <w:t xml:space="preserve"> la Fondation des sciences naturelles de Chine, adopté un règlement sur la</w:t>
      </w:r>
      <w:r w:rsidR="004B7D83">
        <w:rPr>
          <w:szCs w:val="18"/>
        </w:rPr>
        <w:t> </w:t>
      </w:r>
      <w:r w:rsidRPr="00DA6597">
        <w:rPr>
          <w:szCs w:val="18"/>
        </w:rPr>
        <w:t>biosécurité et la biosécurité agricole, lancé en 1999 un plan quinquennal de promotion de la recherche et de la commercialisation des plantes transgéniques en Chine (Fondation spéciale pour la recherche sur les</w:t>
      </w:r>
      <w:r w:rsidR="004B7D83">
        <w:rPr>
          <w:szCs w:val="18"/>
        </w:rPr>
        <w:t> </w:t>
      </w:r>
      <w:r w:rsidRPr="00DA6597">
        <w:rPr>
          <w:szCs w:val="18"/>
        </w:rPr>
        <w:t>plantes transgéniques et leur commercialisation) doté d’un budget de 500 millions de yuan renminbi.</w:t>
      </w:r>
    </w:p>
    <w:p w:rsidR="00CA7E15" w:rsidRPr="00DA6597" w:rsidRDefault="00CA7E15" w:rsidP="002D0618">
      <w:pPr>
        <w:pStyle w:val="FootnoteText"/>
        <w:tabs>
          <w:tab w:val="left" w:pos="567"/>
        </w:tabs>
        <w:rPr>
          <w:szCs w:val="18"/>
        </w:rPr>
      </w:pPr>
      <w:r w:rsidRPr="00DA6597">
        <w:rPr>
          <w:szCs w:val="18"/>
        </w:rPr>
        <w:t xml:space="preserve">L’Inde est un autre pays qui porte un vif intérêt à la biotechnologie des végétaux : son Département de biotechnologie a fourni son appui à l’établissement de sept centres de biologie moléculaire des plantes à travers le pays, et l’Inde compte en outre aujourd’hui une cinquantaine d’unités de recherche publique utilisant des outils des biotechnologies modernes pour l’agriculture, notamment des techniques de culture cellulaire et tissulaire.  Voir Randy A. </w:t>
      </w:r>
      <w:proofErr w:type="spellStart"/>
      <w:r w:rsidRPr="00DA6597">
        <w:rPr>
          <w:szCs w:val="18"/>
        </w:rPr>
        <w:t>Hautea</w:t>
      </w:r>
      <w:proofErr w:type="spellEnd"/>
      <w:r w:rsidRPr="00DA6597">
        <w:rPr>
          <w:szCs w:val="18"/>
        </w:rPr>
        <w:t xml:space="preserve"> et Margarita Escaler, “</w:t>
      </w:r>
      <w:r w:rsidRPr="00DA6597">
        <w:rPr>
          <w:i/>
          <w:szCs w:val="18"/>
        </w:rPr>
        <w:t xml:space="preserve">Plant </w:t>
      </w:r>
      <w:proofErr w:type="spellStart"/>
      <w:r w:rsidRPr="00DA6597">
        <w:rPr>
          <w:i/>
          <w:szCs w:val="18"/>
        </w:rPr>
        <w:t>Biotechnology</w:t>
      </w:r>
      <w:proofErr w:type="spellEnd"/>
      <w:r w:rsidRPr="00DA6597">
        <w:rPr>
          <w:i/>
          <w:szCs w:val="18"/>
        </w:rPr>
        <w:t xml:space="preserve"> in </w:t>
      </w:r>
      <w:proofErr w:type="spellStart"/>
      <w:r w:rsidRPr="00DA6597">
        <w:rPr>
          <w:i/>
          <w:szCs w:val="18"/>
        </w:rPr>
        <w:t>Asia</w:t>
      </w:r>
      <w:proofErr w:type="spellEnd"/>
      <w:r w:rsidRPr="00DA6597">
        <w:rPr>
          <w:szCs w:val="18"/>
        </w:rPr>
        <w:t xml:space="preserve">”, à l’adresse </w:t>
      </w:r>
      <w:hyperlink r:id="rId6" w:history="1">
        <w:r w:rsidRPr="004B7D83">
          <w:rPr>
            <w:rStyle w:val="Hyperlink"/>
            <w:szCs w:val="18"/>
          </w:rPr>
          <w:t>http://www.agbioforum.org/v7n12/v7n12a01-hautea.htm</w:t>
        </w:r>
      </w:hyperlink>
      <w:r w:rsidRPr="004B7D83">
        <w:rPr>
          <w:rStyle w:val="Hyperlink"/>
          <w:color w:val="auto"/>
          <w:szCs w:val="18"/>
          <w:u w:val="none"/>
        </w:rPr>
        <w:t>.</w:t>
      </w:r>
      <w:r w:rsidRPr="004B7D83">
        <w:rPr>
          <w:szCs w:val="18"/>
        </w:rPr>
        <w:t xml:space="preserve"> </w:t>
      </w:r>
    </w:p>
    <w:p w:rsidR="00CA7E15" w:rsidRPr="00DA6597" w:rsidRDefault="00CA7E15" w:rsidP="002D0618">
      <w:pPr>
        <w:pStyle w:val="FootnoteText"/>
        <w:rPr>
          <w:szCs w:val="18"/>
        </w:rPr>
      </w:pPr>
      <w:r w:rsidRPr="00DA6597">
        <w:rPr>
          <w:szCs w:val="18"/>
        </w:rPr>
        <w:t>Il existe également dans les pays en développement des initiatives régionales en matière de biotechnologie agricole : voir par exemple le réseau de biotechnologie de la papaye d’Asie du Sud-Est, créé par l’Indonésie, la Malaisie, les Philippines, la Thaïlande et le Vietnam afin de développer et commercialiser des papayes transgéniques résistant au virus des taches en anneaux du papayer ou à maturation retardée afin d’en prolonger la durée de conservation.</w:t>
      </w:r>
    </w:p>
  </w:footnote>
  <w:footnote w:id="20">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Ania </w:t>
      </w:r>
      <w:proofErr w:type="spellStart"/>
      <w:r w:rsidRPr="00DA6597">
        <w:rPr>
          <w:szCs w:val="18"/>
        </w:rPr>
        <w:t>Wieczorek</w:t>
      </w:r>
      <w:proofErr w:type="spellEnd"/>
      <w:r w:rsidRPr="00DA6597">
        <w:rPr>
          <w:szCs w:val="18"/>
        </w:rPr>
        <w:t>, “</w:t>
      </w:r>
      <w:r w:rsidRPr="00DA6597">
        <w:rPr>
          <w:i/>
          <w:szCs w:val="18"/>
        </w:rPr>
        <w:t xml:space="preserve">Use of </w:t>
      </w:r>
      <w:proofErr w:type="spellStart"/>
      <w:r w:rsidRPr="00DA6597">
        <w:rPr>
          <w:i/>
          <w:szCs w:val="18"/>
        </w:rPr>
        <w:t>biotechnology</w:t>
      </w:r>
      <w:proofErr w:type="spellEnd"/>
      <w:r w:rsidRPr="00DA6597">
        <w:rPr>
          <w:i/>
          <w:szCs w:val="18"/>
        </w:rPr>
        <w:t xml:space="preserve"> in Agriculture- </w:t>
      </w:r>
      <w:proofErr w:type="spellStart"/>
      <w:r w:rsidRPr="00DA6597">
        <w:rPr>
          <w:i/>
          <w:szCs w:val="18"/>
        </w:rPr>
        <w:t>Benefits</w:t>
      </w:r>
      <w:proofErr w:type="spellEnd"/>
      <w:r w:rsidRPr="00DA6597">
        <w:rPr>
          <w:i/>
          <w:szCs w:val="18"/>
        </w:rPr>
        <w:t xml:space="preserve"> and </w:t>
      </w:r>
      <w:proofErr w:type="spellStart"/>
      <w:r w:rsidRPr="00DA6597">
        <w:rPr>
          <w:i/>
          <w:szCs w:val="18"/>
        </w:rPr>
        <w:t>Risks</w:t>
      </w:r>
      <w:proofErr w:type="spellEnd"/>
      <w:r w:rsidRPr="00DA6597">
        <w:rPr>
          <w:szCs w:val="18"/>
        </w:rPr>
        <w:t>”, 2003, p</w:t>
      </w:r>
      <w:r w:rsidR="004B7D83">
        <w:rPr>
          <w:szCs w:val="18"/>
        </w:rPr>
        <w:t>age </w:t>
      </w:r>
      <w:r w:rsidRPr="00DA6597">
        <w:rPr>
          <w:szCs w:val="18"/>
        </w:rPr>
        <w:t xml:space="preserve">2, à l’adresse </w:t>
      </w:r>
      <w:hyperlink r:id="rId7" w:history="1">
        <w:r w:rsidRPr="004B7D83">
          <w:rPr>
            <w:rStyle w:val="Hyperlink"/>
            <w:szCs w:val="18"/>
          </w:rPr>
          <w:t>http://scholarspace.manoa.hawaii.edu/handle/10125/3349</w:t>
        </w:r>
      </w:hyperlink>
      <w:r w:rsidRPr="00DA6597">
        <w:rPr>
          <w:szCs w:val="18"/>
        </w:rPr>
        <w:t>.</w:t>
      </w:r>
    </w:p>
  </w:footnote>
  <w:footnote w:id="2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Cette tendance est confirmée par le nombre des demandes internationales de brevet selon le PCT. En ce qui concerne les micro-organismes (classe C12N 1/00 de la Classification internationale des brevets (CIB) – qui couvre également les compositions, les procédés de culture ou de conservation de micro-organismes et les</w:t>
      </w:r>
      <w:r w:rsidR="009F01BD">
        <w:rPr>
          <w:szCs w:val="18"/>
        </w:rPr>
        <w:t> </w:t>
      </w:r>
      <w:r w:rsidRPr="00DA6597">
        <w:rPr>
          <w:szCs w:val="18"/>
        </w:rPr>
        <w:t>procédés de préparation ou d’isolement d’une composition contenant un micro-organisme), 5061</w:t>
      </w:r>
      <w:r w:rsidR="009F01BD">
        <w:rPr>
          <w:szCs w:val="18"/>
        </w:rPr>
        <w:t> </w:t>
      </w:r>
      <w:r w:rsidRPr="00DA6597">
        <w:rPr>
          <w:szCs w:val="18"/>
        </w:rPr>
        <w:t>demandes de brevet on été déposées en 2013, contre 2625 en 1995</w:t>
      </w:r>
      <w:r w:rsidR="009F01BD">
        <w:rPr>
          <w:szCs w:val="18"/>
        </w:rPr>
        <w:t>.  Pour ce qui est de la classe </w:t>
      </w:r>
      <w:proofErr w:type="spellStart"/>
      <w:r w:rsidRPr="00DA6597">
        <w:rPr>
          <w:szCs w:val="18"/>
        </w:rPr>
        <w:t>A</w:t>
      </w:r>
      <w:proofErr w:type="spellEnd"/>
      <w:r w:rsidRPr="00DA6597">
        <w:rPr>
          <w:szCs w:val="18"/>
        </w:rPr>
        <w:t>01H (CIB) – nouveautés végétales ou procédés pour leur obtention et reproduction de plantes par des techniques de culture de tissus – le nombre des demandes de brevet était de 699 en 1995 et de 3306 en 2013.  Les</w:t>
      </w:r>
      <w:r w:rsidR="009F01BD">
        <w:rPr>
          <w:szCs w:val="18"/>
        </w:rPr>
        <w:t> </w:t>
      </w:r>
      <w:r w:rsidRPr="00DA6597">
        <w:rPr>
          <w:szCs w:val="18"/>
        </w:rPr>
        <w:t>demandes relatives à des cellules végétales ou des tissus en classe C12N 5/04 sont passées pour leur</w:t>
      </w:r>
      <w:r w:rsidR="009F01BD">
        <w:rPr>
          <w:szCs w:val="18"/>
        </w:rPr>
        <w:t> </w:t>
      </w:r>
      <w:r w:rsidRPr="00DA6597">
        <w:rPr>
          <w:szCs w:val="18"/>
        </w:rPr>
        <w:t>part de 101 en 1995 à 716 en 2013.</w:t>
      </w:r>
    </w:p>
  </w:footnote>
  <w:footnote w:id="2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Stephen Crespi soutient que cette distinction n'est utile que jusqu'à un certain point, en faisant remarquer que les obtenteurs traditionnels pourraient faire valoir que leurs méthodes comportent un caractère technique.  Stephen Crespi. “Prospects</w:t>
      </w:r>
      <w:r w:rsidR="009F01BD">
        <w:rPr>
          <w:szCs w:val="18"/>
        </w:rPr>
        <w:t xml:space="preserve"> for International </w:t>
      </w:r>
      <w:proofErr w:type="spellStart"/>
      <w:r w:rsidR="009F01BD">
        <w:rPr>
          <w:szCs w:val="18"/>
        </w:rPr>
        <w:t>Cooperation</w:t>
      </w:r>
      <w:proofErr w:type="spellEnd"/>
      <w:r w:rsidR="009F01BD">
        <w:rPr>
          <w:szCs w:val="18"/>
        </w:rPr>
        <w:t>”</w:t>
      </w:r>
      <w:r w:rsidRPr="00DA6597">
        <w:rPr>
          <w:szCs w:val="18"/>
        </w:rPr>
        <w:t xml:space="preserve"> in </w:t>
      </w:r>
      <w:r w:rsidRPr="00DA6597">
        <w:rPr>
          <w:i/>
          <w:szCs w:val="18"/>
        </w:rPr>
        <w:t xml:space="preserve">Animal Patents: The </w:t>
      </w:r>
      <w:proofErr w:type="spellStart"/>
      <w:r w:rsidRPr="00DA6597">
        <w:rPr>
          <w:i/>
          <w:szCs w:val="18"/>
        </w:rPr>
        <w:t>Legal</w:t>
      </w:r>
      <w:proofErr w:type="spellEnd"/>
      <w:r w:rsidRPr="00DA6597">
        <w:rPr>
          <w:i/>
          <w:szCs w:val="18"/>
        </w:rPr>
        <w:t xml:space="preserve">, </w:t>
      </w:r>
      <w:proofErr w:type="spellStart"/>
      <w:r w:rsidRPr="00DA6597">
        <w:rPr>
          <w:i/>
          <w:szCs w:val="18"/>
        </w:rPr>
        <w:t>Economic</w:t>
      </w:r>
      <w:proofErr w:type="spellEnd"/>
      <w:r w:rsidRPr="00DA6597">
        <w:rPr>
          <w:i/>
          <w:szCs w:val="18"/>
        </w:rPr>
        <w:t xml:space="preserve"> and Social Issues</w:t>
      </w:r>
      <w:r w:rsidRPr="00DA6597">
        <w:rPr>
          <w:szCs w:val="18"/>
        </w:rPr>
        <w:t xml:space="preserve"> (Ed. William </w:t>
      </w:r>
      <w:proofErr w:type="spellStart"/>
      <w:r w:rsidRPr="00DA6597">
        <w:rPr>
          <w:szCs w:val="18"/>
        </w:rPr>
        <w:t>Lesser</w:t>
      </w:r>
      <w:proofErr w:type="spellEnd"/>
      <w:r w:rsidRPr="00DA6597">
        <w:rPr>
          <w:szCs w:val="18"/>
        </w:rPr>
        <w:t xml:space="preserve">). Macmillan </w:t>
      </w:r>
      <w:proofErr w:type="spellStart"/>
      <w:r w:rsidRPr="00DA6597">
        <w:rPr>
          <w:szCs w:val="18"/>
        </w:rPr>
        <w:t>Publishers</w:t>
      </w:r>
      <w:proofErr w:type="spellEnd"/>
      <w:r w:rsidRPr="00DA6597">
        <w:rPr>
          <w:szCs w:val="18"/>
        </w:rPr>
        <w:t xml:space="preserve"> Ltd, 1989, p</w:t>
      </w:r>
      <w:r w:rsidR="009F01BD">
        <w:rPr>
          <w:szCs w:val="18"/>
        </w:rPr>
        <w:t>age </w:t>
      </w:r>
      <w:r w:rsidRPr="00DA6597">
        <w:rPr>
          <w:szCs w:val="18"/>
        </w:rPr>
        <w:t>35.</w:t>
      </w:r>
    </w:p>
  </w:footnote>
  <w:footnote w:id="23">
    <w:p w:rsidR="00CA7E15" w:rsidRPr="00DA6597" w:rsidRDefault="00CA7E15" w:rsidP="002D0618">
      <w:pPr>
        <w:pStyle w:val="FootnoteText"/>
        <w:rPr>
          <w:szCs w:val="18"/>
        </w:rPr>
      </w:pPr>
      <w:r w:rsidRPr="00DA6597">
        <w:rPr>
          <w:rStyle w:val="FootnoteReference"/>
          <w:szCs w:val="18"/>
        </w:rPr>
        <w:footnoteRef/>
      </w:r>
      <w:r w:rsidRPr="00DA6597">
        <w:rPr>
          <w:rStyle w:val="FootnoteReference"/>
          <w:szCs w:val="18"/>
        </w:rPr>
        <w:t xml:space="preserve"> </w:t>
      </w:r>
      <w:r w:rsidRPr="00DA6597">
        <w:rPr>
          <w:szCs w:val="18"/>
        </w:rPr>
        <w:tab/>
        <w:t>Par exemple, la règle 26.5) de la CBE considère qu'un procédé d'obtention de végétaux ou d'animaux est essentiellement biologique s'il consiste intégralement en des phénomènes tels que le croisement ou la sélection.  Il aura cependant fallu attendre que deux récentes décisions (G 1/08 et G 0002/07) viennent clarifier cette question pour savoir dans quelle mesure un procédé comportant des étapes de croisement et de sélection pouvait éviter d'être exclu de la brevetabilité par l'adjonction de toute autre caractéristique d’ordre technique.</w:t>
      </w:r>
    </w:p>
  </w:footnote>
  <w:footnote w:id="2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Il est clair, par conséquent, que n’entrent pas dans le cadre du présent document la protection des variétés végétales, la brevetabilité des micro-organismes ni les questions d'animaux et de races/variétés d'animaux. </w:t>
      </w:r>
    </w:p>
  </w:footnote>
  <w:footnote w:id="2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Accord andin d'intégration </w:t>
      </w:r>
      <w:proofErr w:type="spellStart"/>
      <w:r w:rsidRPr="00DA6597">
        <w:rPr>
          <w:szCs w:val="18"/>
        </w:rPr>
        <w:t>sous-régionale</w:t>
      </w:r>
      <w:proofErr w:type="spellEnd"/>
      <w:r w:rsidRPr="00DA6597">
        <w:rPr>
          <w:szCs w:val="18"/>
        </w:rPr>
        <w:t xml:space="preserve"> (Accord de Carthagène) Décision 486 du 14 septembre 2000 – Régime commun concernant la propriété industrielle (</w:t>
      </w:r>
      <w:hyperlink r:id="rId8" w:history="1">
        <w:r w:rsidRPr="00DA6597">
          <w:rPr>
            <w:rStyle w:val="Hyperlink"/>
            <w:color w:val="auto"/>
            <w:szCs w:val="18"/>
          </w:rPr>
          <w:t>http://www.wipo.int/wipolex/fr/details.jsp?id=9451</w:t>
        </w:r>
      </w:hyperlink>
      <w:r w:rsidRPr="00DA6597">
        <w:rPr>
          <w:szCs w:val="18"/>
        </w:rPr>
        <w:t>.</w:t>
      </w:r>
    </w:p>
    <w:p w:rsidR="00CA7E15" w:rsidRPr="00DA6597" w:rsidRDefault="00CA7E15" w:rsidP="002D0618">
      <w:pPr>
        <w:pStyle w:val="FootnoteText"/>
        <w:rPr>
          <w:szCs w:val="18"/>
        </w:rPr>
      </w:pPr>
      <w:r w:rsidRPr="00DA6597">
        <w:rPr>
          <w:szCs w:val="18"/>
        </w:rPr>
        <w:t xml:space="preserve">Article 20. </w:t>
      </w:r>
      <w:r w:rsidR="00597F3A">
        <w:rPr>
          <w:szCs w:val="18"/>
        </w:rPr>
        <w:t xml:space="preserve"> </w:t>
      </w:r>
      <w:r w:rsidRPr="00DA6597">
        <w:rPr>
          <w:szCs w:val="18"/>
        </w:rPr>
        <w:t>Ne sont pas brevetables : les plantes, les animaux et les procédés essentiellement biologiques d’obtention de végétaux ou d’animaux qui ne sont pas des procédés biologiques ou microbiologiques”.</w:t>
      </w:r>
    </w:p>
  </w:footnote>
  <w:footnote w:id="2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DA6597">
        <w:rPr>
          <w:bCs/>
          <w:i/>
          <w:iCs/>
          <w:szCs w:val="18"/>
        </w:rPr>
        <w:t xml:space="preserve">Monsanto Canada Inc. </w:t>
      </w:r>
      <w:r w:rsidRPr="00DA6597">
        <w:rPr>
          <w:bCs/>
          <w:iCs/>
          <w:szCs w:val="18"/>
        </w:rPr>
        <w:t>c.</w:t>
      </w:r>
      <w:r w:rsidRPr="00DA6597">
        <w:rPr>
          <w:bCs/>
          <w:i/>
          <w:iCs/>
          <w:szCs w:val="18"/>
        </w:rPr>
        <w:t xml:space="preserve"> </w:t>
      </w:r>
      <w:proofErr w:type="spellStart"/>
      <w:r w:rsidRPr="00DA6597">
        <w:rPr>
          <w:bCs/>
          <w:i/>
          <w:iCs/>
          <w:szCs w:val="18"/>
        </w:rPr>
        <w:t>Schmeiser</w:t>
      </w:r>
      <w:proofErr w:type="spellEnd"/>
      <w:r w:rsidRPr="00DA6597">
        <w:rPr>
          <w:szCs w:val="18"/>
        </w:rPr>
        <w:t xml:space="preserve"> [2</w:t>
      </w:r>
      <w:r w:rsidR="0085177C">
        <w:rPr>
          <w:szCs w:val="18"/>
        </w:rPr>
        <w:t>004] 1 R.C.S. 902, 2004 SCC 34.</w:t>
      </w:r>
    </w:p>
  </w:footnote>
  <w:footnote w:id="2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DA6597">
        <w:rPr>
          <w:bCs/>
          <w:i/>
          <w:iCs/>
          <w:szCs w:val="18"/>
        </w:rPr>
        <w:t xml:space="preserve">Monsanto Canada Inc. </w:t>
      </w:r>
      <w:r w:rsidRPr="00DA6597">
        <w:rPr>
          <w:bCs/>
          <w:iCs/>
          <w:szCs w:val="18"/>
        </w:rPr>
        <w:t>c.</w:t>
      </w:r>
      <w:r w:rsidRPr="00DA6597">
        <w:rPr>
          <w:bCs/>
          <w:i/>
          <w:iCs/>
          <w:szCs w:val="18"/>
        </w:rPr>
        <w:t xml:space="preserve"> </w:t>
      </w:r>
      <w:proofErr w:type="spellStart"/>
      <w:r w:rsidRPr="00DA6597">
        <w:rPr>
          <w:bCs/>
          <w:i/>
          <w:iCs/>
          <w:szCs w:val="18"/>
        </w:rPr>
        <w:t>Schmeiser</w:t>
      </w:r>
      <w:proofErr w:type="spellEnd"/>
      <w:r w:rsidRPr="00DA6597">
        <w:rPr>
          <w:szCs w:val="18"/>
        </w:rPr>
        <w:t xml:space="preserve"> [2004] 1 R.C.S. 902, 2004 SCC 34.</w:t>
      </w:r>
    </w:p>
  </w:footnote>
  <w:footnote w:id="28">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r>
      <w:r w:rsidR="0085177C">
        <w:rPr>
          <w:iCs/>
          <w:szCs w:val="18"/>
        </w:rPr>
        <w:t>Article 25.4) de la l</w:t>
      </w:r>
      <w:r w:rsidRPr="00DA6597">
        <w:rPr>
          <w:iCs/>
          <w:szCs w:val="18"/>
        </w:rPr>
        <w:t xml:space="preserve">oi sur les brevets du </w:t>
      </w:r>
      <w:r w:rsidRPr="00DA6597">
        <w:rPr>
          <w:szCs w:val="18"/>
        </w:rPr>
        <w:t>28/12/2008</w:t>
      </w:r>
      <w:r w:rsidRPr="00DA6597">
        <w:rPr>
          <w:bCs/>
          <w:szCs w:val="18"/>
        </w:rPr>
        <w:t xml:space="preserve"> : Aucun droit de </w:t>
      </w:r>
      <w:r w:rsidR="0085177C">
        <w:rPr>
          <w:bCs/>
          <w:szCs w:val="18"/>
        </w:rPr>
        <w:t>brevet ne sera conféré sur : 4) </w:t>
      </w:r>
      <w:r w:rsidRPr="00DA6597">
        <w:rPr>
          <w:bCs/>
          <w:szCs w:val="18"/>
        </w:rPr>
        <w:t>les</w:t>
      </w:r>
      <w:r w:rsidR="0085177C">
        <w:rPr>
          <w:bCs/>
          <w:szCs w:val="18"/>
        </w:rPr>
        <w:t> </w:t>
      </w:r>
      <w:r w:rsidRPr="00DA6597">
        <w:rPr>
          <w:bCs/>
          <w:szCs w:val="18"/>
        </w:rPr>
        <w:t>animaux ou les variétés végétales.</w:t>
      </w:r>
    </w:p>
  </w:footnote>
  <w:footnote w:id="29">
    <w:p w:rsidR="00CA7E15" w:rsidRPr="00DA6597" w:rsidRDefault="00CA7E15" w:rsidP="002D0618">
      <w:pPr>
        <w:tabs>
          <w:tab w:val="left" w:pos="567"/>
        </w:tabs>
        <w:rPr>
          <w:iCs/>
          <w:sz w:val="18"/>
          <w:szCs w:val="18"/>
        </w:rPr>
      </w:pPr>
      <w:r w:rsidRPr="00DA6597">
        <w:rPr>
          <w:rStyle w:val="FootnoteReference"/>
          <w:sz w:val="18"/>
          <w:szCs w:val="18"/>
        </w:rPr>
        <w:footnoteRef/>
      </w:r>
      <w:r w:rsidRPr="00DA6597">
        <w:rPr>
          <w:sz w:val="18"/>
          <w:szCs w:val="18"/>
        </w:rPr>
        <w:t xml:space="preserve"> </w:t>
      </w:r>
      <w:r w:rsidRPr="00DA6597">
        <w:rPr>
          <w:sz w:val="18"/>
          <w:szCs w:val="18"/>
        </w:rPr>
        <w:tab/>
        <w:t xml:space="preserve">Article </w:t>
      </w:r>
      <w:r w:rsidR="0085177C">
        <w:rPr>
          <w:iCs/>
          <w:sz w:val="18"/>
          <w:szCs w:val="18"/>
        </w:rPr>
        <w:t>26.a) de la l</w:t>
      </w:r>
      <w:r w:rsidRPr="00DA6597">
        <w:rPr>
          <w:iCs/>
          <w:sz w:val="18"/>
          <w:szCs w:val="18"/>
        </w:rPr>
        <w:t>oi de 2001 sur la propriété industrielle : Ne sont pas brevetables</w:t>
      </w:r>
      <w:r w:rsidR="0085177C">
        <w:rPr>
          <w:iCs/>
          <w:sz w:val="18"/>
          <w:szCs w:val="18"/>
        </w:rPr>
        <w:t> </w:t>
      </w:r>
      <w:r w:rsidRPr="00DA6597">
        <w:rPr>
          <w:iCs/>
          <w:sz w:val="18"/>
          <w:szCs w:val="18"/>
        </w:rPr>
        <w:t>: a)</w:t>
      </w:r>
      <w:r w:rsidR="0085177C">
        <w:rPr>
          <w:iCs/>
          <w:sz w:val="18"/>
          <w:szCs w:val="18"/>
        </w:rPr>
        <w:t> </w:t>
      </w:r>
      <w:r w:rsidRPr="00DA6597">
        <w:rPr>
          <w:iCs/>
          <w:sz w:val="18"/>
          <w:szCs w:val="18"/>
        </w:rPr>
        <w:t xml:space="preserve">les variétés végétales telles que visées dans la </w:t>
      </w:r>
      <w:r w:rsidR="0085177C">
        <w:rPr>
          <w:iCs/>
          <w:sz w:val="18"/>
          <w:szCs w:val="18"/>
        </w:rPr>
        <w:t>l</w:t>
      </w:r>
      <w:r w:rsidRPr="00DA6597">
        <w:rPr>
          <w:iCs/>
          <w:sz w:val="18"/>
          <w:szCs w:val="18"/>
        </w:rPr>
        <w:t>oi sur les semences et les variétés végétales, mais non leurs parties ou les produits de procédés biotechnologiques.</w:t>
      </w:r>
    </w:p>
  </w:footnote>
  <w:footnote w:id="30">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Un “végétal” est défini comme étant une chose “dont le maintien de la vie est assuré par la photosynthèse de glucides et de protéines à partir de matières inorganiques telles que l'eau, le dioxyde de carbone et les sels inorganiques, et qui est généralement fixe" (paragraphe 9.1.2.3, chapitre 10, partie II des</w:t>
      </w:r>
      <w:r w:rsidRPr="00DA6597">
        <w:rPr>
          <w:i/>
          <w:szCs w:val="18"/>
        </w:rPr>
        <w:t xml:space="preserve"> Directives pour l'examen des brevets de la République populaire de Chine </w:t>
      </w:r>
      <w:r w:rsidRPr="00DA6597">
        <w:rPr>
          <w:szCs w:val="18"/>
        </w:rPr>
        <w:t>(2010)).</w:t>
      </w:r>
    </w:p>
  </w:footnote>
  <w:footnote w:id="31">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Paragraphe 9.1.2.4, chapitre 10, partie II des </w:t>
      </w:r>
      <w:r w:rsidRPr="00DA6597">
        <w:rPr>
          <w:i/>
          <w:szCs w:val="18"/>
        </w:rPr>
        <w:t>Directives pour l'examen des brevets de la République populaire de Chine</w:t>
      </w:r>
      <w:r w:rsidRPr="00DA6597">
        <w:rPr>
          <w:szCs w:val="18"/>
        </w:rPr>
        <w:t xml:space="preserve"> (2010).</w:t>
      </w:r>
    </w:p>
  </w:footnote>
  <w:footnote w:id="32">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Par exemple, l'Office de la propriété intellectuelle du Royaume-Uni a publié en avril 2011 les Directives concernant l'examen des demandes de brevet se rapportant à des inventions biotechnologiques à l'Office de la propriété intellectuelle, révisées en dernier lieu en juillet 2012.</w:t>
      </w:r>
    </w:p>
  </w:footnote>
  <w:footnote w:id="33">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r>
      <w:hyperlink r:id="rId9" w:history="1">
        <w:r w:rsidRPr="0085177C">
          <w:rPr>
            <w:rStyle w:val="Hyperlink"/>
            <w:szCs w:val="18"/>
          </w:rPr>
          <w:t>http://www.epo.org/news-issues/issues/melon_fr.html</w:t>
        </w:r>
      </w:hyperlink>
      <w:r w:rsidRPr="0085177C">
        <w:rPr>
          <w:rStyle w:val="Hyperlink"/>
          <w:color w:val="auto"/>
          <w:szCs w:val="18"/>
          <w:u w:val="none"/>
        </w:rPr>
        <w:t>.</w:t>
      </w:r>
      <w:r w:rsidRPr="00DA6597">
        <w:rPr>
          <w:szCs w:val="18"/>
        </w:rPr>
        <w:t xml:space="preserve"> </w:t>
      </w:r>
    </w:p>
  </w:footnote>
  <w:footnote w:id="34">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En 2013</w:t>
      </w:r>
      <w:r w:rsidR="0085177C">
        <w:rPr>
          <w:szCs w:val="18"/>
        </w:rPr>
        <w:t>,</w:t>
      </w:r>
      <w:r w:rsidRPr="00DA6597">
        <w:rPr>
          <w:szCs w:val="18"/>
        </w:rPr>
        <w:t xml:space="preserve"> un brevet a été accordé pour un concombre à durée de conservation prolongée, obtenu au moyen d'une technique assistée par marqueur.  EP 1931193.  Voir aussi le site de l’OEB : </w:t>
      </w:r>
      <w:hyperlink r:id="rId10" w:history="1">
        <w:r w:rsidRPr="00DA6597">
          <w:rPr>
            <w:rStyle w:val="Hyperlink"/>
            <w:color w:val="auto"/>
            <w:szCs w:val="18"/>
          </w:rPr>
          <w:t>http://www.epo.org/news-issues/issues/melon_fr.html</w:t>
        </w:r>
      </w:hyperlink>
      <w:r w:rsidRPr="00DA6597">
        <w:rPr>
          <w:szCs w:val="18"/>
        </w:rPr>
        <w:t xml:space="preserve">. </w:t>
      </w:r>
    </w:p>
  </w:footnote>
  <w:footnote w:id="3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P7_TA(2012)0202 disponible à l'adresse </w:t>
      </w:r>
      <w:hyperlink r:id="rId11" w:history="1">
        <w:r w:rsidRPr="00DA6597">
          <w:rPr>
            <w:rStyle w:val="Hyperlink"/>
            <w:color w:val="auto"/>
            <w:szCs w:val="18"/>
          </w:rPr>
          <w:t>http://www.europarl.europa.eu/sides/getDoc.do?pubRef=-//EP//NONSGML+TA+P7-TA-2012-0202+0+DOC+PDF+V0//FR</w:t>
        </w:r>
      </w:hyperlink>
      <w:r w:rsidRPr="00DA6597">
        <w:rPr>
          <w:szCs w:val="18"/>
        </w:rPr>
        <w:t xml:space="preserve">. </w:t>
      </w:r>
    </w:p>
  </w:footnote>
  <w:footnote w:id="36">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Concernant le critère d'application industrielle, les directives donnent l'exemple d'une invention dont l'utilité n'est pas décrite et ne peut pas être déduite. Partie VII, chapitre 2 de </w:t>
      </w:r>
      <w:proofErr w:type="spellStart"/>
      <w:r w:rsidRPr="00DA6597">
        <w:rPr>
          <w:i/>
          <w:szCs w:val="18"/>
        </w:rPr>
        <w:t>Implementing</w:t>
      </w:r>
      <w:proofErr w:type="spellEnd"/>
      <w:r w:rsidRPr="00DA6597">
        <w:rPr>
          <w:i/>
          <w:szCs w:val="18"/>
        </w:rPr>
        <w:t xml:space="preserve"> Guidelines for Inventions in </w:t>
      </w:r>
      <w:proofErr w:type="spellStart"/>
      <w:r w:rsidRPr="00DA6597">
        <w:rPr>
          <w:i/>
          <w:szCs w:val="18"/>
        </w:rPr>
        <w:t>Specific</w:t>
      </w:r>
      <w:proofErr w:type="spellEnd"/>
      <w:r w:rsidRPr="00DA6597">
        <w:rPr>
          <w:i/>
          <w:szCs w:val="18"/>
        </w:rPr>
        <w:t xml:space="preserve"> Fields: </w:t>
      </w:r>
      <w:proofErr w:type="spellStart"/>
      <w:r w:rsidRPr="00DA6597">
        <w:rPr>
          <w:i/>
          <w:szCs w:val="18"/>
        </w:rPr>
        <w:t>Biological</w:t>
      </w:r>
      <w:proofErr w:type="spellEnd"/>
      <w:r w:rsidRPr="00DA6597">
        <w:rPr>
          <w:i/>
          <w:szCs w:val="18"/>
        </w:rPr>
        <w:t xml:space="preserve"> Inventions</w:t>
      </w:r>
      <w:r w:rsidRPr="00DA6597">
        <w:rPr>
          <w:szCs w:val="18"/>
        </w:rPr>
        <w:t xml:space="preserve">.  Office japonais des brevets (avril 2012). </w:t>
      </w:r>
      <w:hyperlink r:id="rId12" w:history="1">
        <w:r w:rsidRPr="0085177C">
          <w:rPr>
            <w:rStyle w:val="Hyperlink"/>
            <w:szCs w:val="18"/>
          </w:rPr>
          <w:t>www.jpo.go.jp/tetuzuki_e/t_tokkyo_e/Guidelines/7_2.pdf</w:t>
        </w:r>
      </w:hyperlink>
      <w:r w:rsidRPr="00DA6597">
        <w:t xml:space="preserve">. </w:t>
      </w:r>
      <w:r w:rsidRPr="00DA6597">
        <w:rPr>
          <w:szCs w:val="18"/>
        </w:rPr>
        <w:t xml:space="preserve"> Consulté le 24 octobre 2013. </w:t>
      </w:r>
      <w:r w:rsidR="0085177C">
        <w:rPr>
          <w:szCs w:val="18"/>
        </w:rPr>
        <w:t xml:space="preserve"> </w:t>
      </w:r>
      <w:r w:rsidRPr="00DA6597">
        <w:rPr>
          <w:szCs w:val="18"/>
        </w:rPr>
        <w:t>Règle 3.2.1.</w:t>
      </w:r>
    </w:p>
  </w:footnote>
  <w:footnote w:id="37">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Concernant le critère d'activité inventiv</w:t>
      </w:r>
      <w:r>
        <w:rPr>
          <w:szCs w:val="18"/>
        </w:rPr>
        <w:t>e, les directives indiquent qu’</w:t>
      </w:r>
      <w:r w:rsidRPr="00DA6597">
        <w:rPr>
          <w:szCs w:val="18"/>
        </w:rPr>
        <w:t>“une invention consistant en un végétal ne présente pas d'activité inventive lorsque les caractéristiques du végétal créé peuvent être facilement prédites à partir des caractéristiques de végétaux connus du public dans l'espèce à laquelle appartient le végétal et lorsque l'invention n'a pas d'effets avantageux non prévisibles par un homme du métier”</w:t>
      </w:r>
      <w:r w:rsidR="0085177C">
        <w:rPr>
          <w:szCs w:val="18"/>
        </w:rPr>
        <w:t>.  P</w:t>
      </w:r>
      <w:r w:rsidRPr="00DA6597">
        <w:rPr>
          <w:szCs w:val="18"/>
        </w:rPr>
        <w:t>artie VII, chapitre</w:t>
      </w:r>
      <w:r w:rsidR="0085177C">
        <w:rPr>
          <w:szCs w:val="18"/>
        </w:rPr>
        <w:t> </w:t>
      </w:r>
      <w:r w:rsidRPr="00DA6597">
        <w:rPr>
          <w:szCs w:val="18"/>
        </w:rPr>
        <w:t xml:space="preserve">2 de </w:t>
      </w:r>
      <w:proofErr w:type="spellStart"/>
      <w:r w:rsidRPr="00DA6597">
        <w:rPr>
          <w:i/>
          <w:szCs w:val="18"/>
        </w:rPr>
        <w:t>Implementing</w:t>
      </w:r>
      <w:proofErr w:type="spellEnd"/>
      <w:r w:rsidRPr="00DA6597">
        <w:rPr>
          <w:i/>
          <w:szCs w:val="18"/>
        </w:rPr>
        <w:t xml:space="preserve"> Guidelines for Inventions in </w:t>
      </w:r>
      <w:proofErr w:type="spellStart"/>
      <w:r w:rsidRPr="00DA6597">
        <w:rPr>
          <w:i/>
          <w:szCs w:val="18"/>
        </w:rPr>
        <w:t>Specific</w:t>
      </w:r>
      <w:proofErr w:type="spellEnd"/>
      <w:r w:rsidRPr="00DA6597">
        <w:rPr>
          <w:i/>
          <w:szCs w:val="18"/>
        </w:rPr>
        <w:t xml:space="preserve"> Fields: </w:t>
      </w:r>
      <w:proofErr w:type="spellStart"/>
      <w:r w:rsidRPr="00DA6597">
        <w:rPr>
          <w:i/>
          <w:szCs w:val="18"/>
        </w:rPr>
        <w:t>Biological</w:t>
      </w:r>
      <w:proofErr w:type="spellEnd"/>
      <w:r w:rsidRPr="00DA6597">
        <w:rPr>
          <w:i/>
          <w:szCs w:val="18"/>
        </w:rPr>
        <w:t xml:space="preserve"> Inventions</w:t>
      </w:r>
      <w:r w:rsidRPr="00DA6597">
        <w:rPr>
          <w:szCs w:val="18"/>
        </w:rPr>
        <w:t xml:space="preserve">.  Office japonais des brevets (avril 2012).  </w:t>
      </w:r>
      <w:hyperlink r:id="rId13" w:history="1">
        <w:r w:rsidRPr="0085177C">
          <w:rPr>
            <w:rStyle w:val="Hyperlink"/>
            <w:szCs w:val="18"/>
          </w:rPr>
          <w:t>www.jpo.go.jp/tetuzuki_e/t_tokkyo_e/Guidelines/7_2.pdf</w:t>
        </w:r>
      </w:hyperlink>
      <w:r w:rsidR="0085177C">
        <w:rPr>
          <w:szCs w:val="18"/>
        </w:rPr>
        <w:t xml:space="preserve"> c</w:t>
      </w:r>
      <w:r w:rsidRPr="00DA6597">
        <w:rPr>
          <w:szCs w:val="18"/>
        </w:rPr>
        <w:t xml:space="preserve">onsulté le 24 octobre 2013. </w:t>
      </w:r>
      <w:r w:rsidR="0085177C">
        <w:rPr>
          <w:szCs w:val="18"/>
        </w:rPr>
        <w:t xml:space="preserve"> Règle 3.2.2.</w:t>
      </w:r>
    </w:p>
  </w:footnote>
  <w:footnote w:id="38">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Partie VII, chapitre 2 de </w:t>
      </w:r>
      <w:proofErr w:type="spellStart"/>
      <w:r w:rsidRPr="00DA6597">
        <w:rPr>
          <w:i/>
          <w:szCs w:val="18"/>
        </w:rPr>
        <w:t>Implementing</w:t>
      </w:r>
      <w:proofErr w:type="spellEnd"/>
      <w:r w:rsidRPr="00DA6597">
        <w:rPr>
          <w:i/>
          <w:szCs w:val="18"/>
        </w:rPr>
        <w:t xml:space="preserve"> Guidelines for Inventions in </w:t>
      </w:r>
      <w:proofErr w:type="spellStart"/>
      <w:r w:rsidRPr="00DA6597">
        <w:rPr>
          <w:i/>
          <w:szCs w:val="18"/>
        </w:rPr>
        <w:t>Specific</w:t>
      </w:r>
      <w:proofErr w:type="spellEnd"/>
      <w:r w:rsidRPr="00DA6597">
        <w:rPr>
          <w:i/>
          <w:szCs w:val="18"/>
        </w:rPr>
        <w:t xml:space="preserve"> Fields: </w:t>
      </w:r>
      <w:proofErr w:type="spellStart"/>
      <w:r w:rsidRPr="00DA6597">
        <w:rPr>
          <w:i/>
          <w:szCs w:val="18"/>
        </w:rPr>
        <w:t>Biological</w:t>
      </w:r>
      <w:proofErr w:type="spellEnd"/>
      <w:r w:rsidRPr="00DA6597">
        <w:rPr>
          <w:i/>
          <w:szCs w:val="18"/>
        </w:rPr>
        <w:t xml:space="preserve"> Inventions</w:t>
      </w:r>
      <w:r w:rsidRPr="00DA6597">
        <w:rPr>
          <w:szCs w:val="18"/>
        </w:rPr>
        <w:t xml:space="preserve">.  Office japonais des brevets (avril 2012). </w:t>
      </w:r>
      <w:r w:rsidR="00F76051">
        <w:rPr>
          <w:szCs w:val="18"/>
        </w:rPr>
        <w:t xml:space="preserve"> </w:t>
      </w:r>
      <w:hyperlink r:id="rId14" w:history="1">
        <w:r w:rsidRPr="00F76051">
          <w:rPr>
            <w:rStyle w:val="Hyperlink"/>
            <w:szCs w:val="18"/>
          </w:rPr>
          <w:t>www.jpo.go.jp/tetuzuki_e/t_tokkyo_e/Guidelines/7_2.pdf</w:t>
        </w:r>
      </w:hyperlink>
      <w:r w:rsidRPr="00DA6597">
        <w:rPr>
          <w:szCs w:val="18"/>
        </w:rPr>
        <w:t>.  Consulté le 24 octobre 2013.</w:t>
      </w:r>
    </w:p>
  </w:footnote>
  <w:footnote w:id="39">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Antigua</w:t>
      </w:r>
      <w:r w:rsidRPr="00DA6597">
        <w:rPr>
          <w:szCs w:val="18"/>
        </w:rPr>
        <w:noBreakHyphen/>
        <w:t>et</w:t>
      </w:r>
      <w:r w:rsidRPr="00DA6597">
        <w:rPr>
          <w:szCs w:val="18"/>
        </w:rPr>
        <w:noBreakHyphen/>
        <w:t>Barbuda, Burundi, Cambodge, Chili, Cuba, Ghana, Inde, Maurice, Mozambique, Panama et Rwanda</w:t>
      </w:r>
      <w:r w:rsidRPr="00DA6597">
        <w:t>.</w:t>
      </w:r>
    </w:p>
  </w:footnote>
  <w:footnote w:id="40">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Office des brevets et des marques des États–Unis d'Amérique, </w:t>
      </w:r>
      <w:proofErr w:type="spellStart"/>
      <w:r w:rsidRPr="00DA6597">
        <w:rPr>
          <w:i/>
          <w:szCs w:val="18"/>
        </w:rPr>
        <w:t>Manual</w:t>
      </w:r>
      <w:proofErr w:type="spellEnd"/>
      <w:r w:rsidRPr="00DA6597">
        <w:rPr>
          <w:i/>
          <w:szCs w:val="18"/>
        </w:rPr>
        <w:t xml:space="preserve"> of Patent </w:t>
      </w:r>
      <w:proofErr w:type="spellStart"/>
      <w:r w:rsidRPr="00DA6597">
        <w:rPr>
          <w:i/>
          <w:szCs w:val="18"/>
        </w:rPr>
        <w:t>Examining</w:t>
      </w:r>
      <w:proofErr w:type="spellEnd"/>
      <w:r w:rsidRPr="00DA6597">
        <w:rPr>
          <w:i/>
          <w:szCs w:val="18"/>
        </w:rPr>
        <w:t xml:space="preserve"> </w:t>
      </w:r>
      <w:proofErr w:type="spellStart"/>
      <w:r w:rsidRPr="00DA6597">
        <w:rPr>
          <w:i/>
          <w:szCs w:val="18"/>
        </w:rPr>
        <w:t>Procedure</w:t>
      </w:r>
      <w:proofErr w:type="spellEnd"/>
      <w:r w:rsidRPr="00DA6597">
        <w:rPr>
          <w:i/>
          <w:szCs w:val="18"/>
        </w:rPr>
        <w:t xml:space="preserve"> </w:t>
      </w:r>
      <w:r w:rsidRPr="00DA6597">
        <w:rPr>
          <w:szCs w:val="18"/>
        </w:rPr>
        <w:t>(huitième édition, révisée en août 2012), chapitre 1600, section 1601.</w:t>
      </w:r>
    </w:p>
  </w:footnote>
  <w:footnote w:id="41">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i/>
          <w:szCs w:val="18"/>
        </w:rPr>
        <w:t>Diamond</w:t>
      </w:r>
      <w:proofErr w:type="spellEnd"/>
      <w:r w:rsidRPr="00DA6597">
        <w:rPr>
          <w:i/>
          <w:szCs w:val="18"/>
        </w:rPr>
        <w:t xml:space="preserve"> </w:t>
      </w:r>
      <w:r w:rsidRPr="0028236C">
        <w:rPr>
          <w:szCs w:val="18"/>
        </w:rPr>
        <w:t>c.</w:t>
      </w:r>
      <w:r w:rsidRPr="00DA6597">
        <w:rPr>
          <w:i/>
          <w:szCs w:val="18"/>
        </w:rPr>
        <w:t xml:space="preserve"> </w:t>
      </w:r>
      <w:proofErr w:type="spellStart"/>
      <w:r w:rsidRPr="00DA6597">
        <w:rPr>
          <w:i/>
          <w:szCs w:val="18"/>
        </w:rPr>
        <w:t>Chakrabarty</w:t>
      </w:r>
      <w:proofErr w:type="spellEnd"/>
      <w:r w:rsidRPr="00DA6597">
        <w:rPr>
          <w:szCs w:val="18"/>
        </w:rPr>
        <w:t>, 447 U.S. 303 (1980).</w:t>
      </w:r>
    </w:p>
  </w:footnote>
  <w:footnote w:id="42">
    <w:p w:rsidR="00CA7E15" w:rsidRPr="00DA6597" w:rsidRDefault="00CA7E15" w:rsidP="002D0618">
      <w:pPr>
        <w:pStyle w:val="FootnoteText"/>
        <w:tabs>
          <w:tab w:val="left" w:pos="567"/>
        </w:tabs>
        <w:rPr>
          <w:szCs w:val="18"/>
        </w:rPr>
      </w:pPr>
      <w:r w:rsidRPr="00DA6597">
        <w:rPr>
          <w:rStyle w:val="FootnoteReference"/>
          <w:szCs w:val="18"/>
        </w:rPr>
        <w:footnoteRef/>
      </w:r>
      <w:r w:rsidRPr="00DA6597">
        <w:rPr>
          <w:szCs w:val="18"/>
        </w:rPr>
        <w:t xml:space="preserve"> </w:t>
      </w:r>
      <w:r w:rsidRPr="00DA6597">
        <w:rPr>
          <w:szCs w:val="18"/>
        </w:rPr>
        <w:tab/>
        <w:t xml:space="preserve">Office des brevets et des marques des États–Unis d’Amérique, </w:t>
      </w:r>
      <w:proofErr w:type="spellStart"/>
      <w:r w:rsidRPr="00DA6597">
        <w:rPr>
          <w:i/>
          <w:szCs w:val="18"/>
        </w:rPr>
        <w:t>Manual</w:t>
      </w:r>
      <w:proofErr w:type="spellEnd"/>
      <w:r w:rsidRPr="00DA6597">
        <w:rPr>
          <w:i/>
          <w:szCs w:val="18"/>
        </w:rPr>
        <w:t xml:space="preserve"> of Patent </w:t>
      </w:r>
      <w:proofErr w:type="spellStart"/>
      <w:r w:rsidRPr="00DA6597">
        <w:rPr>
          <w:i/>
          <w:szCs w:val="18"/>
        </w:rPr>
        <w:t>Examining</w:t>
      </w:r>
      <w:proofErr w:type="spellEnd"/>
      <w:r w:rsidRPr="00DA6597">
        <w:rPr>
          <w:i/>
          <w:szCs w:val="18"/>
        </w:rPr>
        <w:t xml:space="preserve"> </w:t>
      </w:r>
      <w:proofErr w:type="spellStart"/>
      <w:r w:rsidRPr="00DA6597">
        <w:rPr>
          <w:i/>
          <w:szCs w:val="18"/>
        </w:rPr>
        <w:t>Procedure</w:t>
      </w:r>
      <w:proofErr w:type="spellEnd"/>
      <w:r w:rsidRPr="00DA6597">
        <w:rPr>
          <w:i/>
          <w:szCs w:val="18"/>
        </w:rPr>
        <w:t xml:space="preserve"> </w:t>
      </w:r>
      <w:r w:rsidRPr="00DA6597">
        <w:rPr>
          <w:szCs w:val="18"/>
        </w:rPr>
        <w:t>(huitième édition, révisée en août 2012) chapitre 2100, section 2105.</w:t>
      </w:r>
    </w:p>
  </w:footnote>
  <w:footnote w:id="43">
    <w:p w:rsidR="00CA7E15" w:rsidRPr="00DA6597" w:rsidRDefault="00CA7E15" w:rsidP="002D0618">
      <w:pPr>
        <w:rPr>
          <w:sz w:val="18"/>
          <w:szCs w:val="18"/>
        </w:rPr>
      </w:pPr>
      <w:r w:rsidRPr="00DA6597">
        <w:rPr>
          <w:rStyle w:val="FootnoteReference"/>
          <w:sz w:val="18"/>
          <w:szCs w:val="18"/>
        </w:rPr>
        <w:footnoteRef/>
      </w:r>
      <w:r w:rsidRPr="002C72F6">
        <w:rPr>
          <w:sz w:val="18"/>
          <w:szCs w:val="18"/>
          <w:lang w:val="en-US"/>
        </w:rPr>
        <w:t xml:space="preserve"> </w:t>
      </w:r>
      <w:r w:rsidRPr="002C72F6">
        <w:rPr>
          <w:sz w:val="18"/>
          <w:szCs w:val="18"/>
          <w:lang w:val="en-US"/>
        </w:rPr>
        <w:tab/>
      </w:r>
      <w:r w:rsidRPr="002C72F6">
        <w:rPr>
          <w:sz w:val="18"/>
          <w:szCs w:val="18"/>
          <w:lang w:val="en-US"/>
        </w:rPr>
        <w:t>Adcock Mike et Llewellyn Margaret, “</w:t>
      </w:r>
      <w:r w:rsidRPr="002C72F6">
        <w:rPr>
          <w:i/>
          <w:sz w:val="18"/>
          <w:szCs w:val="18"/>
          <w:lang w:val="en-US"/>
        </w:rPr>
        <w:t>TRIPS and the patentability of microorganisms</w:t>
      </w:r>
      <w:r w:rsidRPr="002C72F6">
        <w:rPr>
          <w:sz w:val="18"/>
          <w:szCs w:val="18"/>
          <w:lang w:val="en-US"/>
        </w:rPr>
        <w:t xml:space="preserve">”, Bio-Science Law Review. </w:t>
      </w:r>
      <w:proofErr w:type="spellStart"/>
      <w:proofErr w:type="gramStart"/>
      <w:r w:rsidRPr="002C72F6">
        <w:rPr>
          <w:sz w:val="18"/>
          <w:szCs w:val="18"/>
          <w:lang w:val="en-US"/>
        </w:rPr>
        <w:t>vol</w:t>
      </w:r>
      <w:proofErr w:type="spellEnd"/>
      <w:proofErr w:type="gramEnd"/>
      <w:r w:rsidRPr="002C72F6">
        <w:rPr>
          <w:sz w:val="18"/>
          <w:szCs w:val="18"/>
          <w:lang w:val="en-US"/>
        </w:rPr>
        <w:t xml:space="preserve"> 4, n</w:t>
      </w:r>
      <w:r w:rsidRPr="002C72F6">
        <w:rPr>
          <w:sz w:val="18"/>
          <w:szCs w:val="18"/>
          <w:vertAlign w:val="superscript"/>
          <w:lang w:val="en-US"/>
        </w:rPr>
        <w:t>o</w:t>
      </w:r>
      <w:r w:rsidRPr="002C72F6">
        <w:rPr>
          <w:sz w:val="18"/>
          <w:szCs w:val="18"/>
          <w:lang w:val="en-US"/>
        </w:rPr>
        <w:t xml:space="preserve"> 3. </w:t>
      </w:r>
      <w:r w:rsidRPr="00DA6597">
        <w:rPr>
          <w:sz w:val="18"/>
          <w:szCs w:val="18"/>
        </w:rPr>
        <w:t xml:space="preserve">2000/2001. </w:t>
      </w:r>
      <w:r w:rsidR="00FE604C" w:rsidRPr="00DA6597">
        <w:rPr>
          <w:sz w:val="18"/>
          <w:szCs w:val="18"/>
        </w:rPr>
        <w:t>P</w:t>
      </w:r>
      <w:r w:rsidR="00FE604C">
        <w:rPr>
          <w:sz w:val="18"/>
          <w:szCs w:val="18"/>
        </w:rPr>
        <w:t>age </w:t>
      </w:r>
      <w:r w:rsidRPr="00DA6597">
        <w:rPr>
          <w:sz w:val="18"/>
          <w:szCs w:val="18"/>
        </w:rPr>
        <w:t>91.</w:t>
      </w:r>
    </w:p>
  </w:footnote>
  <w:footnote w:id="44">
    <w:p w:rsidR="00CA7E15" w:rsidRPr="00DA6597" w:rsidRDefault="00CA7E15" w:rsidP="002D0618">
      <w:pPr>
        <w:rPr>
          <w:sz w:val="18"/>
          <w:szCs w:val="18"/>
        </w:rPr>
      </w:pPr>
      <w:r w:rsidRPr="00DA6597">
        <w:rPr>
          <w:sz w:val="18"/>
          <w:szCs w:val="18"/>
          <w:vertAlign w:val="superscript"/>
        </w:rPr>
        <w:footnoteRef/>
      </w:r>
      <w:r w:rsidRPr="00DA6597">
        <w:rPr>
          <w:sz w:val="18"/>
          <w:szCs w:val="18"/>
          <w:vertAlign w:val="superscript"/>
        </w:rPr>
        <w:t xml:space="preserve"> </w:t>
      </w:r>
      <w:r w:rsidRPr="00DA6597">
        <w:rPr>
          <w:sz w:val="18"/>
          <w:szCs w:val="18"/>
        </w:rPr>
        <w:tab/>
        <w:t xml:space="preserve">Directives du Brésil pour l'examen des brevets, 2.28.2. </w:t>
      </w:r>
      <w:r w:rsidR="00FE604C">
        <w:rPr>
          <w:sz w:val="18"/>
          <w:szCs w:val="18"/>
        </w:rPr>
        <w:t xml:space="preserve"> </w:t>
      </w:r>
      <w:r w:rsidRPr="00DA6597">
        <w:rPr>
          <w:sz w:val="18"/>
          <w:szCs w:val="18"/>
        </w:rPr>
        <w:t>Décembre 2002.</w:t>
      </w:r>
    </w:p>
  </w:footnote>
  <w:footnote w:id="45">
    <w:p w:rsidR="00CA7E15" w:rsidRPr="00DA6597" w:rsidRDefault="00CA7E15" w:rsidP="002D0618">
      <w:pPr>
        <w:rPr>
          <w:sz w:val="18"/>
          <w:szCs w:val="18"/>
        </w:rPr>
      </w:pPr>
      <w:r w:rsidRPr="00DA6597">
        <w:rPr>
          <w:rStyle w:val="FootnoteReference"/>
          <w:sz w:val="18"/>
          <w:szCs w:val="18"/>
        </w:rPr>
        <w:footnoteRef/>
      </w:r>
      <w:r w:rsidRPr="00DA6597">
        <w:rPr>
          <w:sz w:val="18"/>
          <w:szCs w:val="18"/>
        </w:rPr>
        <w:t xml:space="preserve"> </w:t>
      </w:r>
      <w:r w:rsidRPr="00DA6597">
        <w:rPr>
          <w:sz w:val="18"/>
          <w:szCs w:val="18"/>
        </w:rPr>
        <w:tab/>
        <w:t>G 0002/07 (</w:t>
      </w:r>
      <w:proofErr w:type="spellStart"/>
      <w:r w:rsidRPr="00DA6597">
        <w:rPr>
          <w:sz w:val="18"/>
          <w:szCs w:val="18"/>
        </w:rPr>
        <w:t>Broccoli</w:t>
      </w:r>
      <w:proofErr w:type="spellEnd"/>
      <w:r w:rsidRPr="00DA6597">
        <w:rPr>
          <w:sz w:val="18"/>
          <w:szCs w:val="18"/>
        </w:rPr>
        <w:t>/PLANT BIOSCIENCE) of 9.12.10.</w:t>
      </w:r>
    </w:p>
  </w:footnote>
  <w:footnote w:id="4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Le brevet EP 1211926 dit de la " tomate ridée" a pour titulaire le Ministère de l'agriculture de l'État d'Israël.</w:t>
      </w:r>
    </w:p>
  </w:footnote>
  <w:footnote w:id="4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Partie G </w:t>
      </w:r>
      <w:r w:rsidR="00FE604C">
        <w:rPr>
          <w:szCs w:val="18"/>
        </w:rPr>
        <w:t>–</w:t>
      </w:r>
      <w:r w:rsidRPr="00DA6597">
        <w:rPr>
          <w:szCs w:val="18"/>
        </w:rPr>
        <w:t xml:space="preserve"> chapitre II-16, section 5.4.2. </w:t>
      </w:r>
      <w:r w:rsidRPr="00DA6597">
        <w:rPr>
          <w:i/>
          <w:szCs w:val="18"/>
        </w:rPr>
        <w:t>Directives relatives à l'examen pratiqué à l'Office européen des</w:t>
      </w:r>
      <w:r w:rsidR="00FE604C">
        <w:rPr>
          <w:i/>
          <w:szCs w:val="18"/>
        </w:rPr>
        <w:t> </w:t>
      </w:r>
      <w:r w:rsidRPr="00DA6597">
        <w:rPr>
          <w:i/>
          <w:szCs w:val="18"/>
        </w:rPr>
        <w:t xml:space="preserve">brevets </w:t>
      </w:r>
      <w:r w:rsidRPr="00DA6597">
        <w:rPr>
          <w:szCs w:val="18"/>
        </w:rPr>
        <w:t>(juin 2012).</w:t>
      </w:r>
    </w:p>
  </w:footnote>
  <w:footnote w:id="48">
    <w:p w:rsidR="00CA7E15" w:rsidRPr="00DA6597" w:rsidRDefault="00CA7E15" w:rsidP="002D0618">
      <w:pPr>
        <w:rPr>
          <w:sz w:val="18"/>
          <w:szCs w:val="18"/>
        </w:rPr>
      </w:pPr>
      <w:r w:rsidRPr="00DA6597">
        <w:rPr>
          <w:rStyle w:val="FootnoteReference"/>
          <w:sz w:val="18"/>
          <w:szCs w:val="18"/>
        </w:rPr>
        <w:footnoteRef/>
      </w:r>
      <w:r w:rsidRPr="00DA6597">
        <w:rPr>
          <w:sz w:val="18"/>
          <w:szCs w:val="18"/>
        </w:rPr>
        <w:t xml:space="preserve"> </w:t>
      </w:r>
      <w:r w:rsidRPr="00DA6597">
        <w:rPr>
          <w:sz w:val="18"/>
          <w:szCs w:val="18"/>
        </w:rPr>
        <w:tab/>
        <w:t>Les directives fournissent des exemples de procédés considérés comme essentiellement biologiques pour l’obtention de végétaux : une méthode de croisement, d'entrecroisement ou d'élevage sélectif, par exemple de chevaux, consistant simplement à sélectionner en vue de la reproduction et à grouper des animaux (ou leur</w:t>
      </w:r>
      <w:r w:rsidR="00FE604C">
        <w:rPr>
          <w:sz w:val="18"/>
          <w:szCs w:val="18"/>
        </w:rPr>
        <w:t>s</w:t>
      </w:r>
      <w:r w:rsidRPr="00DA6597">
        <w:rPr>
          <w:sz w:val="18"/>
          <w:szCs w:val="18"/>
        </w:rPr>
        <w:t xml:space="preserve"> gamètes) présentant certaines caractéristiques, serait essentiellement biologique et</w:t>
      </w:r>
      <w:r w:rsidR="00FE604C">
        <w:rPr>
          <w:sz w:val="18"/>
          <w:szCs w:val="18"/>
        </w:rPr>
        <w:t>,</w:t>
      </w:r>
      <w:r w:rsidRPr="00DA6597">
        <w:rPr>
          <w:sz w:val="18"/>
          <w:szCs w:val="18"/>
        </w:rPr>
        <w:t xml:space="preserve"> par conséquent</w:t>
      </w:r>
      <w:r w:rsidR="00FE604C">
        <w:rPr>
          <w:sz w:val="18"/>
          <w:szCs w:val="18"/>
        </w:rPr>
        <w:t>,</w:t>
      </w:r>
      <w:r w:rsidRPr="00DA6597">
        <w:rPr>
          <w:sz w:val="18"/>
          <w:szCs w:val="18"/>
        </w:rPr>
        <w:t xml:space="preserve"> non brevetable.  Cette méthode reste essentiellement biologique et non brevetable même si elle contient une caractéristique supplémentaire de nature technique, par exemple l'utilisation de marqueurs moléculaires génétiques pour sélectionner soit le parent soit la descendance.  En revanche, un procédé qui prévoit l'insertion d'un gène ou d'un caractère dans un végétal au moyen de techniques du génie génétique n'est pas fondé sur la recombinaison entre des génomes complets et le mélange naturel de gènes de végétaux, et est par conséquent brevetable. </w:t>
      </w:r>
    </w:p>
  </w:footnote>
  <w:footnote w:id="49">
    <w:p w:rsidR="00CA7E15" w:rsidRPr="00DA6597" w:rsidRDefault="00CA7E15" w:rsidP="002D0618">
      <w:pPr>
        <w:rPr>
          <w:sz w:val="18"/>
          <w:szCs w:val="18"/>
        </w:rPr>
      </w:pPr>
      <w:r w:rsidRPr="00DA6597">
        <w:rPr>
          <w:rStyle w:val="FootnoteReference"/>
          <w:sz w:val="18"/>
          <w:szCs w:val="18"/>
        </w:rPr>
        <w:footnoteRef/>
      </w:r>
      <w:r w:rsidRPr="00DA6597">
        <w:rPr>
          <w:sz w:val="18"/>
          <w:szCs w:val="18"/>
        </w:rPr>
        <w:t xml:space="preserve"> </w:t>
      </w:r>
      <w:r w:rsidRPr="00DA6597">
        <w:rPr>
          <w:sz w:val="18"/>
          <w:szCs w:val="18"/>
        </w:rPr>
        <w:tab/>
        <w:t>Une méthode de traitement de végétaux ou d'animaux en vue d'en améliorer les qualités ou le rendement ou en vue d’en stimuler ou interrompre la croissance pourrait être brevetable.  Une méthode d’émondage, par</w:t>
      </w:r>
      <w:r w:rsidR="00C66D7A">
        <w:rPr>
          <w:sz w:val="18"/>
          <w:szCs w:val="18"/>
        </w:rPr>
        <w:t> </w:t>
      </w:r>
      <w:r w:rsidRPr="00DA6597">
        <w:rPr>
          <w:sz w:val="18"/>
          <w:szCs w:val="18"/>
        </w:rPr>
        <w:t>exemple, n’est pas considérée comme un procédé essentiellement biologique d'obtention de végétaux ou d'animaux, étant donné qu'elle n'est pas fondée sur le croisement par voie sexuée de génomes complets et la</w:t>
      </w:r>
      <w:r w:rsidR="00C66D7A">
        <w:rPr>
          <w:sz w:val="18"/>
          <w:szCs w:val="18"/>
        </w:rPr>
        <w:t> </w:t>
      </w:r>
      <w:r w:rsidRPr="00DA6597">
        <w:rPr>
          <w:sz w:val="18"/>
          <w:szCs w:val="18"/>
        </w:rPr>
        <w:t>sélection ultérieure de végétaux et d'animaux.  De même, une méthode de traitement de végétaux consistant à utiliser une substance ou des radiations pour stimuler la croissance ne constitue pas un procédé essentiellement biologique pour l'obtention de végétaux et animaux.  Le traitement de sols par un moyen technique en vue d’interrompre ou stimuler la croissance de végétaux n'est pas non plus exclu de la</w:t>
      </w:r>
      <w:r w:rsidR="00C66D7A">
        <w:rPr>
          <w:sz w:val="18"/>
          <w:szCs w:val="18"/>
        </w:rPr>
        <w:t> </w:t>
      </w:r>
      <w:r w:rsidRPr="00DA6597">
        <w:rPr>
          <w:sz w:val="18"/>
          <w:szCs w:val="18"/>
        </w:rPr>
        <w:t>brevetabilité.</w:t>
      </w:r>
    </w:p>
  </w:footnote>
  <w:footnote w:id="50">
    <w:p w:rsidR="00CA7E15" w:rsidRPr="00DA6597" w:rsidRDefault="00CA7E15" w:rsidP="002D0618">
      <w:pPr>
        <w:rPr>
          <w:sz w:val="18"/>
          <w:szCs w:val="18"/>
        </w:rPr>
      </w:pPr>
      <w:r w:rsidRPr="00DA6597">
        <w:rPr>
          <w:rStyle w:val="FootnoteReference"/>
          <w:sz w:val="18"/>
          <w:szCs w:val="18"/>
        </w:rPr>
        <w:footnoteRef/>
      </w:r>
      <w:r w:rsidRPr="00DA6597">
        <w:rPr>
          <w:rStyle w:val="FootnoteReference"/>
          <w:sz w:val="18"/>
          <w:szCs w:val="18"/>
        </w:rPr>
        <w:t xml:space="preserve"> </w:t>
      </w:r>
      <w:r>
        <w:rPr>
          <w:sz w:val="18"/>
          <w:szCs w:val="18"/>
        </w:rPr>
        <w:tab/>
        <w:t>Article 3.j) de la l</w:t>
      </w:r>
      <w:r w:rsidRPr="00DA6597">
        <w:rPr>
          <w:sz w:val="18"/>
          <w:szCs w:val="18"/>
        </w:rPr>
        <w:t>oi sur les brevets n</w:t>
      </w:r>
      <w:r w:rsidRPr="00DA6597">
        <w:rPr>
          <w:sz w:val="18"/>
          <w:szCs w:val="18"/>
          <w:vertAlign w:val="superscript"/>
        </w:rPr>
        <w:t>o</w:t>
      </w:r>
      <w:r w:rsidRPr="00DA6597">
        <w:rPr>
          <w:sz w:val="18"/>
          <w:szCs w:val="18"/>
        </w:rPr>
        <w:t xml:space="preserve"> 39 de 1970, m</w:t>
      </w:r>
      <w:r>
        <w:rPr>
          <w:sz w:val="18"/>
          <w:szCs w:val="18"/>
        </w:rPr>
        <w:t>odifiée en dernier lieu par la l</w:t>
      </w:r>
      <w:r w:rsidRPr="00DA6597">
        <w:rPr>
          <w:sz w:val="18"/>
          <w:szCs w:val="18"/>
        </w:rPr>
        <w:t>oi n</w:t>
      </w:r>
      <w:r w:rsidRPr="00DA6597">
        <w:rPr>
          <w:sz w:val="18"/>
          <w:szCs w:val="18"/>
          <w:vertAlign w:val="superscript"/>
        </w:rPr>
        <w:t>o</w:t>
      </w:r>
      <w:r w:rsidRPr="00DA6597">
        <w:rPr>
          <w:sz w:val="18"/>
          <w:szCs w:val="18"/>
        </w:rPr>
        <w:t xml:space="preserve"> 15 de 2005.</w:t>
      </w:r>
    </w:p>
  </w:footnote>
  <w:footnote w:id="5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rStyle w:val="Emphasis"/>
          <w:szCs w:val="18"/>
        </w:rPr>
        <w:t>Dimminaco</w:t>
      </w:r>
      <w:proofErr w:type="spellEnd"/>
      <w:r w:rsidRPr="00DA6597">
        <w:rPr>
          <w:rStyle w:val="Emphasis"/>
          <w:szCs w:val="18"/>
        </w:rPr>
        <w:t xml:space="preserve"> A.G. </w:t>
      </w:r>
      <w:r w:rsidRPr="0028236C">
        <w:rPr>
          <w:rStyle w:val="Emphasis"/>
          <w:i w:val="0"/>
          <w:szCs w:val="18"/>
        </w:rPr>
        <w:t xml:space="preserve">c </w:t>
      </w:r>
      <w:r w:rsidRPr="00DA6597">
        <w:rPr>
          <w:rStyle w:val="Emphasis"/>
          <w:szCs w:val="18"/>
        </w:rPr>
        <w:t>Controller of Patents</w:t>
      </w:r>
      <w:r w:rsidRPr="00DA6597">
        <w:rPr>
          <w:szCs w:val="18"/>
        </w:rPr>
        <w:t xml:space="preserve"> &amp; </w:t>
      </w:r>
      <w:r w:rsidRPr="00DA6597">
        <w:rPr>
          <w:rStyle w:val="Emphasis"/>
          <w:szCs w:val="18"/>
        </w:rPr>
        <w:t>Designs</w:t>
      </w:r>
      <w:r w:rsidR="007C1457">
        <w:rPr>
          <w:szCs w:val="18"/>
        </w:rPr>
        <w:t>. Haute C</w:t>
      </w:r>
      <w:r w:rsidRPr="00DA6597">
        <w:rPr>
          <w:szCs w:val="18"/>
        </w:rPr>
        <w:t>our de Calcutta, affaire n</w:t>
      </w:r>
      <w:r w:rsidRPr="00DA6597">
        <w:rPr>
          <w:szCs w:val="18"/>
          <w:vertAlign w:val="superscript"/>
        </w:rPr>
        <w:t>o</w:t>
      </w:r>
      <w:r>
        <w:rPr>
          <w:szCs w:val="18"/>
        </w:rPr>
        <w:t xml:space="preserve"> 268/2002, 15 </w:t>
      </w:r>
      <w:r w:rsidRPr="00DA6597">
        <w:rPr>
          <w:szCs w:val="18"/>
        </w:rPr>
        <w:t>janvier</w:t>
      </w:r>
      <w:r>
        <w:rPr>
          <w:szCs w:val="18"/>
        </w:rPr>
        <w:t> </w:t>
      </w:r>
      <w:r w:rsidRPr="00DA6597">
        <w:rPr>
          <w:szCs w:val="18"/>
        </w:rPr>
        <w:t>2002.</w:t>
      </w:r>
    </w:p>
  </w:footnote>
  <w:footnote w:id="5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La demande de brevet avait initialement été refusée par le contrôleur des brevets, au motif qu'un procédé de fabrication d'un vaccin contenant un organisme vivant ne constituait ni un procédé de fabrication ni une substance produite par voie de fabrication, étant donné que les organismes vivants n'étaient pas inclus dans le terme “fabrication” dans la défini</w:t>
      </w:r>
      <w:r>
        <w:rPr>
          <w:szCs w:val="18"/>
        </w:rPr>
        <w:t>tion de l'invention.  La Haute C</w:t>
      </w:r>
      <w:r w:rsidRPr="00DA6597">
        <w:rPr>
          <w:szCs w:val="18"/>
        </w:rPr>
        <w:t>our de Calcutta avait toutefois conclu que le contrôleur des brevets avait erré en refusant un brevet au simple motif que le produit final du procédé cont</w:t>
      </w:r>
      <w:r w:rsidR="00744E35">
        <w:rPr>
          <w:szCs w:val="18"/>
        </w:rPr>
        <w:t>enait un organisme vivant.  La C</w:t>
      </w:r>
      <w:r w:rsidRPr="00DA6597">
        <w:rPr>
          <w:szCs w:val="18"/>
        </w:rPr>
        <w:t>our avait observé que la législation de l'Inde en matière de brevets n'excluait pas de la brevetabilité les micro-organismes produits en environnement contrôlé dans un laboratoire.  Le fait que le procédé inventé aux fins de création d'un vaccin produise un produit final vivant ne le r</w:t>
      </w:r>
      <w:r w:rsidR="00744E35">
        <w:rPr>
          <w:szCs w:val="18"/>
        </w:rPr>
        <w:t>endait pas non brevetable.  La C</w:t>
      </w:r>
      <w:r w:rsidRPr="00DA6597">
        <w:rPr>
          <w:szCs w:val="18"/>
        </w:rPr>
        <w:t>our avait estimé que t</w:t>
      </w:r>
      <w:r>
        <w:rPr>
          <w:szCs w:val="18"/>
        </w:rPr>
        <w:t>ant</w:t>
      </w:r>
      <w:r w:rsidRPr="00DA6597">
        <w:rPr>
          <w:szCs w:val="18"/>
        </w:rPr>
        <w:t xml:space="preserve"> que le procédé utilisé pour la création du vaccin était nouveau, susceptible d'application industrielle, impliquait une activité inventive et avait pour résultat un produit fabriqué commercialisable, il constituait une invention brevetable.</w:t>
      </w:r>
    </w:p>
  </w:footnote>
  <w:footnote w:id="5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szCs w:val="18"/>
        </w:rPr>
        <w:t>Swarup</w:t>
      </w:r>
      <w:proofErr w:type="spellEnd"/>
      <w:r w:rsidRPr="00DA6597">
        <w:rPr>
          <w:szCs w:val="18"/>
        </w:rPr>
        <w:t xml:space="preserve"> </w:t>
      </w:r>
      <w:proofErr w:type="spellStart"/>
      <w:r w:rsidRPr="00DA6597">
        <w:rPr>
          <w:szCs w:val="18"/>
        </w:rPr>
        <w:t>Kumar</w:t>
      </w:r>
      <w:proofErr w:type="spellEnd"/>
      <w:r w:rsidRPr="00DA6597">
        <w:rPr>
          <w:szCs w:val="18"/>
        </w:rPr>
        <w:t>. “</w:t>
      </w:r>
      <w:proofErr w:type="spellStart"/>
      <w:r w:rsidRPr="00DA6597">
        <w:rPr>
          <w:i/>
          <w:szCs w:val="18"/>
        </w:rPr>
        <w:t>Patentability</w:t>
      </w:r>
      <w:proofErr w:type="spellEnd"/>
      <w:r w:rsidRPr="00DA6597">
        <w:rPr>
          <w:i/>
          <w:szCs w:val="18"/>
        </w:rPr>
        <w:t xml:space="preserve"> of </w:t>
      </w:r>
      <w:proofErr w:type="spellStart"/>
      <w:r w:rsidRPr="00DA6597">
        <w:rPr>
          <w:i/>
          <w:szCs w:val="18"/>
        </w:rPr>
        <w:t>Biological</w:t>
      </w:r>
      <w:proofErr w:type="spellEnd"/>
      <w:r w:rsidRPr="00DA6597">
        <w:rPr>
          <w:i/>
          <w:szCs w:val="18"/>
        </w:rPr>
        <w:t xml:space="preserve"> </w:t>
      </w:r>
      <w:proofErr w:type="spellStart"/>
      <w:r w:rsidRPr="00DA6597">
        <w:rPr>
          <w:i/>
          <w:szCs w:val="18"/>
        </w:rPr>
        <w:t>Material</w:t>
      </w:r>
      <w:proofErr w:type="spellEnd"/>
      <w:r w:rsidRPr="00DA6597">
        <w:rPr>
          <w:i/>
          <w:szCs w:val="18"/>
        </w:rPr>
        <w:t>(s)-</w:t>
      </w:r>
      <w:proofErr w:type="spellStart"/>
      <w:r w:rsidRPr="00DA6597">
        <w:rPr>
          <w:i/>
          <w:szCs w:val="18"/>
        </w:rPr>
        <w:t>Essentially</w:t>
      </w:r>
      <w:proofErr w:type="spellEnd"/>
      <w:r w:rsidRPr="00DA6597">
        <w:rPr>
          <w:i/>
          <w:szCs w:val="18"/>
        </w:rPr>
        <w:t xml:space="preserve">, </w:t>
      </w:r>
      <w:proofErr w:type="spellStart"/>
      <w:r w:rsidRPr="00DA6597">
        <w:rPr>
          <w:i/>
          <w:szCs w:val="18"/>
        </w:rPr>
        <w:t>Therapeutic</w:t>
      </w:r>
      <w:proofErr w:type="spellEnd"/>
      <w:r w:rsidRPr="00DA6597">
        <w:rPr>
          <w:i/>
          <w:szCs w:val="18"/>
        </w:rPr>
        <w:t xml:space="preserve"> </w:t>
      </w:r>
      <w:proofErr w:type="spellStart"/>
      <w:r w:rsidRPr="00DA6597">
        <w:rPr>
          <w:i/>
          <w:szCs w:val="18"/>
        </w:rPr>
        <w:t>Antibodies</w:t>
      </w:r>
      <w:proofErr w:type="spellEnd"/>
      <w:r w:rsidRPr="00DA6597">
        <w:rPr>
          <w:i/>
          <w:szCs w:val="18"/>
        </w:rPr>
        <w:t xml:space="preserve">-in </w:t>
      </w:r>
      <w:proofErr w:type="spellStart"/>
      <w:r w:rsidRPr="00DA6597">
        <w:rPr>
          <w:i/>
          <w:szCs w:val="18"/>
        </w:rPr>
        <w:t>India</w:t>
      </w:r>
      <w:proofErr w:type="spellEnd"/>
      <w:r w:rsidRPr="00DA6597">
        <w:rPr>
          <w:szCs w:val="18"/>
        </w:rPr>
        <w:t xml:space="preserve">”. </w:t>
      </w:r>
      <w:r>
        <w:rPr>
          <w:szCs w:val="18"/>
        </w:rPr>
        <w:t xml:space="preserve"> </w:t>
      </w:r>
      <w:proofErr w:type="spellStart"/>
      <w:r w:rsidRPr="00DA6597">
        <w:rPr>
          <w:szCs w:val="18"/>
        </w:rPr>
        <w:t>SCRIPTed</w:t>
      </w:r>
      <w:proofErr w:type="spellEnd"/>
      <w:r w:rsidRPr="00DA6597">
        <w:rPr>
          <w:szCs w:val="18"/>
        </w:rPr>
        <w:t>, volume 5, n</w:t>
      </w:r>
      <w:r w:rsidRPr="00DA6597">
        <w:rPr>
          <w:szCs w:val="18"/>
          <w:vertAlign w:val="superscript"/>
        </w:rPr>
        <w:t>o</w:t>
      </w:r>
      <w:r w:rsidRPr="00DA6597">
        <w:rPr>
          <w:szCs w:val="18"/>
        </w:rPr>
        <w:t xml:space="preserve"> 3, décembre 2008. p. 585.</w:t>
      </w:r>
    </w:p>
  </w:footnote>
  <w:footnote w:id="54">
    <w:p w:rsidR="00CA7E15" w:rsidRPr="00DA6597" w:rsidRDefault="00CA7E15" w:rsidP="002D0618">
      <w:pPr>
        <w:pStyle w:val="FootnoteText"/>
        <w:rPr>
          <w:i/>
          <w:szCs w:val="18"/>
        </w:rPr>
      </w:pPr>
      <w:r w:rsidRPr="00DA6597">
        <w:rPr>
          <w:rStyle w:val="FootnoteReference"/>
          <w:szCs w:val="18"/>
        </w:rPr>
        <w:footnoteRef/>
      </w:r>
      <w:r w:rsidRPr="00DA6597">
        <w:rPr>
          <w:szCs w:val="18"/>
        </w:rPr>
        <w:t xml:space="preserve"> </w:t>
      </w:r>
      <w:r w:rsidRPr="00DA6597">
        <w:rPr>
          <w:szCs w:val="18"/>
        </w:rPr>
        <w:tab/>
        <w:t>La terminologie et les définitions utilisées pour ce type d'invention varient d'un pays à l'autre.  L’OEB utilise</w:t>
      </w:r>
      <w:r w:rsidR="00916F03">
        <w:rPr>
          <w:szCs w:val="18"/>
        </w:rPr>
        <w:t>,</w:t>
      </w:r>
      <w:r w:rsidRPr="00DA6597">
        <w:rPr>
          <w:szCs w:val="18"/>
        </w:rPr>
        <w:t xml:space="preserve"> par exemple</w:t>
      </w:r>
      <w:r w:rsidR="00916F03">
        <w:rPr>
          <w:szCs w:val="18"/>
        </w:rPr>
        <w:t>,</w:t>
      </w:r>
      <w:r w:rsidRPr="00DA6597">
        <w:rPr>
          <w:szCs w:val="18"/>
        </w:rPr>
        <w:t xml:space="preserve"> dans sa pratique</w:t>
      </w:r>
      <w:r w:rsidR="00916F03">
        <w:rPr>
          <w:szCs w:val="18"/>
        </w:rPr>
        <w:t>,</w:t>
      </w:r>
      <w:r w:rsidRPr="00DA6597">
        <w:rPr>
          <w:szCs w:val="18"/>
        </w:rPr>
        <w:t xml:space="preserve"> l'expression “invention mise en œuvre par ordinateur”,  "couvrant des revendications qui font intervenir des ordinateurs, des réseaux informatiques ou d'autres dispositifs  programmables dans lesquels il apparaît à première vue qu'une ou plusieurs des caractéristiques de l'invention revendiquée sont réalisées grâce à un programme ou des programmes d’ordinateur" (voir les Directives relatives à l'examen pratiqué à l'Office européen des brevets (édition d’avril 2010) (ci-après dénommées “directives de l’OEB”), partie C, chapitre IV).  Au Japon, en revanche, les Directives concernant l'examen des demandes de brevet et de modèles d'utilité (ci-après dénommées</w:t>
      </w:r>
      <w:r w:rsidR="00916F03">
        <w:rPr>
          <w:szCs w:val="18"/>
        </w:rPr>
        <w:t xml:space="preserve"> "d</w:t>
      </w:r>
      <w:r w:rsidRPr="00DA6597">
        <w:rPr>
          <w:szCs w:val="18"/>
        </w:rPr>
        <w:t xml:space="preserve">irectives du JPO") (voir : partie VII, chapitre I) utilisent l'expression “invention relative à un logiciel d'ordinateur (ou invention relative à un logiciel)” pour désigner une invention dont l'exécution nécessite un logiciel.  Certains articles définissent une “invention logicielle” comme étant “une invention comprise dans une gamme d'inventions mises en œuvre par des moyens faisant intervenir ou comprenant un ordinateur programmé” (voir : David Bainbridge, </w:t>
      </w:r>
      <w:proofErr w:type="spellStart"/>
      <w:r w:rsidRPr="00DA6597">
        <w:rPr>
          <w:i/>
          <w:szCs w:val="18"/>
        </w:rPr>
        <w:t>Legal</w:t>
      </w:r>
      <w:proofErr w:type="spellEnd"/>
      <w:r w:rsidRPr="00DA6597">
        <w:rPr>
          <w:i/>
          <w:szCs w:val="18"/>
        </w:rPr>
        <w:t xml:space="preserve"> Protection of Computer Software</w:t>
      </w:r>
      <w:r w:rsidRPr="00DA6597">
        <w:rPr>
          <w:szCs w:val="18"/>
        </w:rPr>
        <w:t xml:space="preserve">, </w:t>
      </w:r>
      <w:r w:rsidR="00916F03">
        <w:rPr>
          <w:szCs w:val="18"/>
        </w:rPr>
        <w:t>cinquième é</w:t>
      </w:r>
      <w:r w:rsidRPr="00DA6597">
        <w:rPr>
          <w:szCs w:val="18"/>
        </w:rPr>
        <w:t>dition (2008), 284).</w:t>
      </w:r>
    </w:p>
  </w:footnote>
  <w:footnote w:id="5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Voir entre autres auteurs : Pamela Samuelson, </w:t>
      </w:r>
      <w:r w:rsidRPr="00DA6597">
        <w:rPr>
          <w:i/>
          <w:szCs w:val="18"/>
        </w:rPr>
        <w:t xml:space="preserve">A Case </w:t>
      </w:r>
      <w:proofErr w:type="spellStart"/>
      <w:r w:rsidRPr="00DA6597">
        <w:rPr>
          <w:i/>
          <w:szCs w:val="18"/>
        </w:rPr>
        <w:t>Study</w:t>
      </w:r>
      <w:proofErr w:type="spellEnd"/>
      <w:r w:rsidRPr="00DA6597">
        <w:rPr>
          <w:i/>
          <w:szCs w:val="18"/>
        </w:rPr>
        <w:t xml:space="preserve"> on Computer Programs</w:t>
      </w:r>
      <w:r w:rsidRPr="00DA6597">
        <w:rPr>
          <w:szCs w:val="18"/>
        </w:rPr>
        <w:t xml:space="preserve">, Global dimensions of </w:t>
      </w:r>
      <w:proofErr w:type="spellStart"/>
      <w:r w:rsidRPr="00DA6597">
        <w:rPr>
          <w:szCs w:val="18"/>
        </w:rPr>
        <w:t>intellectual</w:t>
      </w:r>
      <w:proofErr w:type="spellEnd"/>
      <w:r w:rsidRPr="00DA6597">
        <w:rPr>
          <w:szCs w:val="18"/>
        </w:rPr>
        <w:t xml:space="preserve"> </w:t>
      </w:r>
      <w:proofErr w:type="spellStart"/>
      <w:r w:rsidRPr="00DA6597">
        <w:rPr>
          <w:szCs w:val="18"/>
        </w:rPr>
        <w:t>property</w:t>
      </w:r>
      <w:proofErr w:type="spellEnd"/>
      <w:r w:rsidRPr="00DA6597">
        <w:rPr>
          <w:szCs w:val="18"/>
        </w:rPr>
        <w:t xml:space="preserve"> </w:t>
      </w:r>
      <w:proofErr w:type="spellStart"/>
      <w:r w:rsidRPr="00DA6597">
        <w:rPr>
          <w:szCs w:val="18"/>
        </w:rPr>
        <w:t>rights</w:t>
      </w:r>
      <w:proofErr w:type="spellEnd"/>
      <w:r w:rsidRPr="00DA6597">
        <w:rPr>
          <w:szCs w:val="18"/>
        </w:rPr>
        <w:t xml:space="preserve"> in science and </w:t>
      </w:r>
      <w:proofErr w:type="spellStart"/>
      <w:r w:rsidRPr="00DA6597">
        <w:rPr>
          <w:szCs w:val="18"/>
        </w:rPr>
        <w:t>technology</w:t>
      </w:r>
      <w:proofErr w:type="spellEnd"/>
      <w:r w:rsidRPr="00DA6597">
        <w:rPr>
          <w:szCs w:val="18"/>
        </w:rPr>
        <w:t xml:space="preserve">, 284 (1993);  John H. Barton, </w:t>
      </w:r>
      <w:proofErr w:type="spellStart"/>
      <w:r w:rsidRPr="00DA6597">
        <w:rPr>
          <w:i/>
          <w:szCs w:val="18"/>
        </w:rPr>
        <w:t>Adapting</w:t>
      </w:r>
      <w:proofErr w:type="spellEnd"/>
      <w:r w:rsidRPr="00DA6597">
        <w:rPr>
          <w:i/>
          <w:szCs w:val="18"/>
        </w:rPr>
        <w:t xml:space="preserve"> the </w:t>
      </w:r>
      <w:proofErr w:type="spellStart"/>
      <w:r w:rsidRPr="00DA6597">
        <w:rPr>
          <w:i/>
          <w:szCs w:val="18"/>
        </w:rPr>
        <w:t>Intellectual</w:t>
      </w:r>
      <w:proofErr w:type="spellEnd"/>
      <w:r w:rsidRPr="00DA6597">
        <w:rPr>
          <w:i/>
          <w:szCs w:val="18"/>
        </w:rPr>
        <w:t xml:space="preserve"> </w:t>
      </w:r>
      <w:proofErr w:type="spellStart"/>
      <w:r w:rsidRPr="00DA6597">
        <w:rPr>
          <w:i/>
          <w:szCs w:val="18"/>
        </w:rPr>
        <w:t>Property</w:t>
      </w:r>
      <w:proofErr w:type="spellEnd"/>
      <w:r w:rsidRPr="00DA6597">
        <w:rPr>
          <w:i/>
          <w:szCs w:val="18"/>
        </w:rPr>
        <w:t xml:space="preserve"> System to New </w:t>
      </w:r>
      <w:proofErr w:type="spellStart"/>
      <w:r w:rsidRPr="00DA6597">
        <w:rPr>
          <w:i/>
          <w:szCs w:val="18"/>
        </w:rPr>
        <w:t>Technology</w:t>
      </w:r>
      <w:proofErr w:type="spellEnd"/>
      <w:r w:rsidRPr="00DA6597">
        <w:rPr>
          <w:szCs w:val="18"/>
        </w:rPr>
        <w:t xml:space="preserve">, Global dimensions of </w:t>
      </w:r>
      <w:proofErr w:type="spellStart"/>
      <w:r w:rsidRPr="00DA6597">
        <w:rPr>
          <w:szCs w:val="18"/>
        </w:rPr>
        <w:t>intellectual</w:t>
      </w:r>
      <w:proofErr w:type="spellEnd"/>
      <w:r w:rsidRPr="00DA6597">
        <w:rPr>
          <w:szCs w:val="18"/>
        </w:rPr>
        <w:t xml:space="preserve"> </w:t>
      </w:r>
      <w:proofErr w:type="spellStart"/>
      <w:r w:rsidRPr="00DA6597">
        <w:rPr>
          <w:szCs w:val="18"/>
        </w:rPr>
        <w:t>property</w:t>
      </w:r>
      <w:proofErr w:type="spellEnd"/>
      <w:r w:rsidRPr="00DA6597">
        <w:rPr>
          <w:szCs w:val="18"/>
        </w:rPr>
        <w:t xml:space="preserve"> </w:t>
      </w:r>
      <w:proofErr w:type="spellStart"/>
      <w:r w:rsidRPr="00DA6597">
        <w:rPr>
          <w:szCs w:val="18"/>
        </w:rPr>
        <w:t>rights</w:t>
      </w:r>
      <w:proofErr w:type="spellEnd"/>
      <w:r w:rsidRPr="00DA6597">
        <w:rPr>
          <w:szCs w:val="18"/>
        </w:rPr>
        <w:t xml:space="preserve"> in science and </w:t>
      </w:r>
      <w:proofErr w:type="spellStart"/>
      <w:r w:rsidRPr="00DA6597">
        <w:rPr>
          <w:szCs w:val="18"/>
        </w:rPr>
        <w:t>technology</w:t>
      </w:r>
      <w:proofErr w:type="spellEnd"/>
      <w:r w:rsidRPr="00DA6597">
        <w:rPr>
          <w:szCs w:val="18"/>
        </w:rPr>
        <w:t xml:space="preserve">, 256 (1993);  </w:t>
      </w:r>
      <w:proofErr w:type="spellStart"/>
      <w:r w:rsidRPr="00DA6597">
        <w:rPr>
          <w:szCs w:val="18"/>
        </w:rPr>
        <w:t>Masako</w:t>
      </w:r>
      <w:proofErr w:type="spellEnd"/>
      <w:r w:rsidRPr="00DA6597">
        <w:rPr>
          <w:szCs w:val="18"/>
        </w:rPr>
        <w:t xml:space="preserve"> </w:t>
      </w:r>
      <w:proofErr w:type="spellStart"/>
      <w:r w:rsidRPr="00DA6597">
        <w:rPr>
          <w:szCs w:val="18"/>
        </w:rPr>
        <w:t>Kikuchi</w:t>
      </w:r>
      <w:proofErr w:type="spellEnd"/>
      <w:r w:rsidRPr="00DA6597">
        <w:rPr>
          <w:szCs w:val="18"/>
        </w:rPr>
        <w:t xml:space="preserve">, </w:t>
      </w:r>
      <w:r w:rsidRPr="00DA6597">
        <w:rPr>
          <w:i/>
          <w:szCs w:val="18"/>
        </w:rPr>
        <w:t xml:space="preserve">Patent </w:t>
      </w:r>
      <w:proofErr w:type="spellStart"/>
      <w:r w:rsidRPr="00DA6597">
        <w:rPr>
          <w:i/>
          <w:szCs w:val="18"/>
        </w:rPr>
        <w:t>Eligibility</w:t>
      </w:r>
      <w:proofErr w:type="spellEnd"/>
      <w:r w:rsidRPr="00DA6597">
        <w:rPr>
          <w:i/>
          <w:szCs w:val="18"/>
        </w:rPr>
        <w:t xml:space="preserve"> and </w:t>
      </w:r>
      <w:proofErr w:type="spellStart"/>
      <w:r w:rsidRPr="00DA6597">
        <w:rPr>
          <w:i/>
          <w:szCs w:val="18"/>
        </w:rPr>
        <w:t>Patentability</w:t>
      </w:r>
      <w:proofErr w:type="spellEnd"/>
      <w:r w:rsidRPr="00DA6597">
        <w:rPr>
          <w:i/>
          <w:szCs w:val="18"/>
        </w:rPr>
        <w:t xml:space="preserve"> of Computer Software Patents in the United States, Europe and </w:t>
      </w:r>
      <w:proofErr w:type="spellStart"/>
      <w:r w:rsidRPr="00DA6597">
        <w:rPr>
          <w:i/>
          <w:szCs w:val="18"/>
        </w:rPr>
        <w:t>Japan</w:t>
      </w:r>
      <w:proofErr w:type="spellEnd"/>
      <w:r w:rsidRPr="00DA6597">
        <w:rPr>
          <w:szCs w:val="18"/>
        </w:rPr>
        <w:t>, bulletin d’information du CASRIP, été 2009, volume 16, n</w:t>
      </w:r>
      <w:r w:rsidRPr="00DA6597">
        <w:rPr>
          <w:szCs w:val="18"/>
          <w:vertAlign w:val="superscript"/>
        </w:rPr>
        <w:t>o</w:t>
      </w:r>
      <w:r w:rsidRPr="00DA6597">
        <w:rPr>
          <w:szCs w:val="18"/>
        </w:rPr>
        <w:t xml:space="preserve"> 3.  Voir chapitre II; </w:t>
      </w:r>
      <w:r w:rsidR="00916F03">
        <w:rPr>
          <w:szCs w:val="18"/>
        </w:rPr>
        <w:t xml:space="preserve"> </w:t>
      </w:r>
      <w:r w:rsidRPr="00DA6597">
        <w:rPr>
          <w:szCs w:val="18"/>
        </w:rPr>
        <w:t xml:space="preserve">et </w:t>
      </w:r>
      <w:proofErr w:type="spellStart"/>
      <w:r w:rsidRPr="00DA6597">
        <w:rPr>
          <w:szCs w:val="18"/>
        </w:rPr>
        <w:t>Talat</w:t>
      </w:r>
      <w:proofErr w:type="spellEnd"/>
      <w:r w:rsidRPr="00DA6597">
        <w:rPr>
          <w:szCs w:val="18"/>
        </w:rPr>
        <w:t xml:space="preserve"> Kaya, </w:t>
      </w:r>
      <w:r w:rsidRPr="00DA6597">
        <w:rPr>
          <w:i/>
          <w:szCs w:val="18"/>
        </w:rPr>
        <w:t xml:space="preserve">A Comparative </w:t>
      </w:r>
      <w:proofErr w:type="spellStart"/>
      <w:r w:rsidRPr="00DA6597">
        <w:rPr>
          <w:i/>
          <w:szCs w:val="18"/>
        </w:rPr>
        <w:t>Analysis</w:t>
      </w:r>
      <w:proofErr w:type="spellEnd"/>
      <w:r w:rsidRPr="00DA6597">
        <w:rPr>
          <w:i/>
          <w:szCs w:val="18"/>
        </w:rPr>
        <w:t xml:space="preserve"> Of The </w:t>
      </w:r>
      <w:proofErr w:type="spellStart"/>
      <w:r w:rsidRPr="00DA6597">
        <w:rPr>
          <w:i/>
          <w:szCs w:val="18"/>
        </w:rPr>
        <w:t>Patentability</w:t>
      </w:r>
      <w:proofErr w:type="spellEnd"/>
      <w:r w:rsidRPr="00DA6597">
        <w:rPr>
          <w:i/>
          <w:szCs w:val="18"/>
        </w:rPr>
        <w:t xml:space="preserve"> Of The Computer Software Under The Trips Agreement: The U.S., The E.U., And </w:t>
      </w:r>
      <w:proofErr w:type="spellStart"/>
      <w:r w:rsidRPr="00DA6597">
        <w:rPr>
          <w:i/>
          <w:szCs w:val="18"/>
        </w:rPr>
        <w:t>Turkey</w:t>
      </w:r>
      <w:proofErr w:type="spellEnd"/>
      <w:r w:rsidRPr="00DA6597">
        <w:rPr>
          <w:szCs w:val="18"/>
        </w:rPr>
        <w:t xml:space="preserve">, 4 Ankara Law </w:t>
      </w:r>
      <w:proofErr w:type="spellStart"/>
      <w:r w:rsidRPr="00DA6597">
        <w:rPr>
          <w:szCs w:val="18"/>
        </w:rPr>
        <w:t>Review</w:t>
      </w:r>
      <w:proofErr w:type="spellEnd"/>
      <w:r w:rsidRPr="00DA6597">
        <w:rPr>
          <w:szCs w:val="18"/>
        </w:rPr>
        <w:t xml:space="preserve"> 1, 43, 64 (2007).</w:t>
      </w:r>
    </w:p>
  </w:footnote>
  <w:footnote w:id="5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szCs w:val="18"/>
        </w:rPr>
        <w:t>Eloise</w:t>
      </w:r>
      <w:proofErr w:type="spellEnd"/>
      <w:r w:rsidRPr="00DA6597">
        <w:rPr>
          <w:szCs w:val="18"/>
        </w:rPr>
        <w:t xml:space="preserve"> Gratton, </w:t>
      </w:r>
      <w:proofErr w:type="spellStart"/>
      <w:r w:rsidRPr="00DA6597">
        <w:rPr>
          <w:i/>
          <w:szCs w:val="18"/>
        </w:rPr>
        <w:t>Should</w:t>
      </w:r>
      <w:proofErr w:type="spellEnd"/>
      <w:r w:rsidRPr="00DA6597">
        <w:rPr>
          <w:i/>
          <w:szCs w:val="18"/>
        </w:rPr>
        <w:t xml:space="preserve"> patent protection </w:t>
      </w:r>
      <w:proofErr w:type="spellStart"/>
      <w:r w:rsidRPr="00DA6597">
        <w:rPr>
          <w:i/>
          <w:szCs w:val="18"/>
        </w:rPr>
        <w:t>be</w:t>
      </w:r>
      <w:proofErr w:type="spellEnd"/>
      <w:r w:rsidRPr="00DA6597">
        <w:rPr>
          <w:i/>
          <w:szCs w:val="18"/>
        </w:rPr>
        <w:t xml:space="preserve"> </w:t>
      </w:r>
      <w:proofErr w:type="spellStart"/>
      <w:r w:rsidRPr="00DA6597">
        <w:rPr>
          <w:i/>
          <w:szCs w:val="18"/>
        </w:rPr>
        <w:t>considered</w:t>
      </w:r>
      <w:proofErr w:type="spellEnd"/>
      <w:r w:rsidRPr="00DA6597">
        <w:rPr>
          <w:i/>
          <w:szCs w:val="18"/>
        </w:rPr>
        <w:t xml:space="preserve"> for computer software </w:t>
      </w:r>
      <w:proofErr w:type="spellStart"/>
      <w:r w:rsidRPr="00DA6597">
        <w:rPr>
          <w:i/>
          <w:szCs w:val="18"/>
        </w:rPr>
        <w:t>related</w:t>
      </w:r>
      <w:proofErr w:type="spellEnd"/>
      <w:r w:rsidRPr="00DA6597">
        <w:rPr>
          <w:i/>
          <w:szCs w:val="18"/>
        </w:rPr>
        <w:t xml:space="preserve"> inventions?</w:t>
      </w:r>
      <w:r w:rsidRPr="00DA6597">
        <w:rPr>
          <w:szCs w:val="18"/>
        </w:rPr>
        <w:t xml:space="preserve">, 7 </w:t>
      </w:r>
      <w:proofErr w:type="spellStart"/>
      <w:r w:rsidRPr="00DA6597">
        <w:rPr>
          <w:szCs w:val="18"/>
        </w:rPr>
        <w:t>Comp</w:t>
      </w:r>
      <w:proofErr w:type="spellEnd"/>
      <w:r w:rsidRPr="00DA6597">
        <w:rPr>
          <w:szCs w:val="18"/>
        </w:rPr>
        <w:t xml:space="preserve">. L. </w:t>
      </w:r>
      <w:proofErr w:type="spellStart"/>
      <w:r w:rsidRPr="00DA6597">
        <w:rPr>
          <w:szCs w:val="18"/>
        </w:rPr>
        <w:t>Rev</w:t>
      </w:r>
      <w:proofErr w:type="spellEnd"/>
      <w:r w:rsidRPr="00DA6597">
        <w:rPr>
          <w:szCs w:val="18"/>
        </w:rPr>
        <w:t>. &amp; Tech. J. 223, 223 (2003).</w:t>
      </w:r>
    </w:p>
  </w:footnote>
  <w:footnote w:id="5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Barton, voir note 54 supra</w:t>
      </w:r>
      <w:r w:rsidRPr="00DA6597">
        <w:rPr>
          <w:i/>
          <w:szCs w:val="18"/>
        </w:rPr>
        <w:t xml:space="preserve">, </w:t>
      </w:r>
      <w:r w:rsidRPr="00DA6597">
        <w:rPr>
          <w:szCs w:val="18"/>
        </w:rPr>
        <w:t>265.</w:t>
      </w:r>
    </w:p>
  </w:footnote>
  <w:footnote w:id="5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Pour plus de détails, voir </w:t>
      </w:r>
      <w:proofErr w:type="spellStart"/>
      <w:r w:rsidRPr="00DA6597">
        <w:rPr>
          <w:szCs w:val="18"/>
        </w:rPr>
        <w:t>Kikuchi</w:t>
      </w:r>
      <w:proofErr w:type="spellEnd"/>
      <w:r w:rsidRPr="00DA6597">
        <w:rPr>
          <w:szCs w:val="18"/>
        </w:rPr>
        <w:t>, note 54 supra, au chapitre III et paragraphe 65 du présent document.</w:t>
      </w:r>
    </w:p>
  </w:footnote>
  <w:footnote w:id="5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Pour plus de détails, voir le chapitre 3 du présent document ainsi que les annexes I et II.</w:t>
      </w:r>
    </w:p>
  </w:footnote>
  <w:footnote w:id="60">
    <w:p w:rsidR="00CA7E15" w:rsidRPr="002C72F6" w:rsidRDefault="00CA7E15" w:rsidP="002D0618">
      <w:pPr>
        <w:pStyle w:val="FootnoteText"/>
        <w:rPr>
          <w:szCs w:val="18"/>
          <w:lang w:val="en-US"/>
        </w:rPr>
      </w:pPr>
      <w:r w:rsidRPr="00DA6597">
        <w:rPr>
          <w:rStyle w:val="FootnoteReference"/>
          <w:szCs w:val="18"/>
        </w:rPr>
        <w:footnoteRef/>
      </w:r>
      <w:r w:rsidRPr="00DA6597">
        <w:rPr>
          <w:szCs w:val="18"/>
        </w:rPr>
        <w:t xml:space="preserve"> </w:t>
      </w:r>
      <w:r w:rsidRPr="00DA6597">
        <w:rPr>
          <w:szCs w:val="18"/>
        </w:rPr>
        <w:tab/>
        <w:t xml:space="preserve">Un nombre croissant de brevets sur des inventions relatives à des logiciels est accordé dans certaines conditions aux États-Unis d’Amérique, mais aussi au Japon et par l’OEB.  </w:t>
      </w:r>
      <w:proofErr w:type="spellStart"/>
      <w:r w:rsidRPr="002C72F6">
        <w:rPr>
          <w:szCs w:val="18"/>
          <w:lang w:val="en-US"/>
        </w:rPr>
        <w:t>Voir</w:t>
      </w:r>
      <w:proofErr w:type="spellEnd"/>
      <w:r w:rsidRPr="002C72F6">
        <w:rPr>
          <w:szCs w:val="18"/>
          <w:lang w:val="en-US"/>
        </w:rPr>
        <w:t xml:space="preserve"> Samuelson et Kikuchi, note 50 supra;  Sigrid </w:t>
      </w:r>
      <w:proofErr w:type="spellStart"/>
      <w:r w:rsidRPr="002C72F6">
        <w:rPr>
          <w:szCs w:val="18"/>
          <w:lang w:val="en-US"/>
        </w:rPr>
        <w:t>Sterckx</w:t>
      </w:r>
      <w:proofErr w:type="spellEnd"/>
      <w:r w:rsidRPr="002C72F6">
        <w:rPr>
          <w:szCs w:val="18"/>
          <w:lang w:val="en-US"/>
        </w:rPr>
        <w:t xml:space="preserve"> et Julian </w:t>
      </w:r>
      <w:proofErr w:type="spellStart"/>
      <w:r w:rsidRPr="002C72F6">
        <w:rPr>
          <w:szCs w:val="18"/>
          <w:lang w:val="en-US"/>
        </w:rPr>
        <w:t>Cockbain</w:t>
      </w:r>
      <w:proofErr w:type="spellEnd"/>
      <w:r w:rsidRPr="002C72F6">
        <w:rPr>
          <w:szCs w:val="18"/>
          <w:lang w:val="en-US"/>
        </w:rPr>
        <w:t xml:space="preserve">, </w:t>
      </w:r>
      <w:r w:rsidRPr="002C72F6">
        <w:rPr>
          <w:i/>
          <w:szCs w:val="18"/>
          <w:lang w:val="en-US"/>
        </w:rPr>
        <w:t>The Patentability of Computer Programs in Europe:  An Improved Interpretation of Articles 52(2) and (3) of the European Patent Convention</w:t>
      </w:r>
      <w:r w:rsidRPr="002C72F6">
        <w:rPr>
          <w:szCs w:val="18"/>
          <w:lang w:val="en-US"/>
        </w:rPr>
        <w:t xml:space="preserve">, CH 51, </w:t>
      </w:r>
      <w:proofErr w:type="spellStart"/>
      <w:r w:rsidRPr="002C72F6">
        <w:rPr>
          <w:szCs w:val="18"/>
          <w:lang w:val="en-US"/>
        </w:rPr>
        <w:t>janvier</w:t>
      </w:r>
      <w:proofErr w:type="spellEnd"/>
      <w:r w:rsidRPr="002C72F6">
        <w:rPr>
          <w:szCs w:val="18"/>
          <w:lang w:val="en-US"/>
        </w:rPr>
        <w:t xml:space="preserve"> 2010, vol. 13 n</w:t>
      </w:r>
      <w:r w:rsidR="00916F03" w:rsidRPr="002C72F6">
        <w:rPr>
          <w:szCs w:val="18"/>
          <w:vertAlign w:val="superscript"/>
          <w:lang w:val="en-US"/>
        </w:rPr>
        <w:t>°</w:t>
      </w:r>
      <w:r w:rsidR="00916F03" w:rsidRPr="002C72F6">
        <w:rPr>
          <w:szCs w:val="18"/>
          <w:lang w:val="en-US"/>
        </w:rPr>
        <w:t> </w:t>
      </w:r>
      <w:r w:rsidRPr="002C72F6">
        <w:rPr>
          <w:szCs w:val="18"/>
          <w:lang w:val="en-US"/>
        </w:rPr>
        <w:t>3 p</w:t>
      </w:r>
      <w:r w:rsidR="00916F03" w:rsidRPr="002C72F6">
        <w:rPr>
          <w:szCs w:val="18"/>
          <w:lang w:val="en-US"/>
        </w:rPr>
        <w:t>ages </w:t>
      </w:r>
      <w:r w:rsidRPr="002C72F6">
        <w:rPr>
          <w:szCs w:val="18"/>
          <w:lang w:val="en-US"/>
        </w:rPr>
        <w:t xml:space="preserve">366–402; </w:t>
      </w:r>
      <w:r w:rsidR="00916F03" w:rsidRPr="002C72F6">
        <w:rPr>
          <w:szCs w:val="18"/>
          <w:lang w:val="en-US"/>
        </w:rPr>
        <w:t xml:space="preserve"> </w:t>
      </w:r>
      <w:r w:rsidRPr="002C72F6">
        <w:rPr>
          <w:szCs w:val="18"/>
          <w:lang w:val="en-US"/>
        </w:rPr>
        <w:t xml:space="preserve">David Bainbridge, </w:t>
      </w:r>
      <w:r w:rsidRPr="002C72F6">
        <w:rPr>
          <w:i/>
          <w:szCs w:val="18"/>
          <w:lang w:val="en-US"/>
        </w:rPr>
        <w:t>Legal Protection of Computer Software</w:t>
      </w:r>
      <w:r w:rsidRPr="002C72F6">
        <w:rPr>
          <w:szCs w:val="18"/>
          <w:lang w:val="en-US"/>
        </w:rPr>
        <w:t xml:space="preserve">, 290 (2008). </w:t>
      </w:r>
    </w:p>
  </w:footnote>
  <w:footnote w:id="6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szCs w:val="18"/>
        </w:rPr>
        <w:t>Kikuchi</w:t>
      </w:r>
      <w:proofErr w:type="spellEnd"/>
      <w:r w:rsidRPr="00DA6597">
        <w:rPr>
          <w:szCs w:val="18"/>
        </w:rPr>
        <w:t xml:space="preserve"> et Kaya, note 54 supra.</w:t>
      </w:r>
    </w:p>
  </w:footnote>
  <w:footnote w:id="6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Parlement européen, document de travail de la Direction générale des études, </w:t>
      </w:r>
      <w:r w:rsidRPr="00DA6597">
        <w:rPr>
          <w:i/>
          <w:szCs w:val="18"/>
        </w:rPr>
        <w:t>La brevetabilité des programmes d’ordinateur, Étude sur une législation communautaire dans le domaine des brevets de logiciels</w:t>
      </w:r>
      <w:r w:rsidRPr="00DA6597">
        <w:rPr>
          <w:szCs w:val="18"/>
        </w:rPr>
        <w:t>, 25 (2002).</w:t>
      </w:r>
    </w:p>
  </w:footnote>
  <w:footnote w:id="6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4D5DF5">
        <w:rPr>
          <w:szCs w:val="18"/>
        </w:rPr>
        <w:t>Id</w:t>
      </w:r>
      <w:r w:rsidR="00546D8F">
        <w:rPr>
          <w:szCs w:val="18"/>
        </w:rPr>
        <w:t>em</w:t>
      </w:r>
      <w:r w:rsidRPr="00DA6597">
        <w:rPr>
          <w:szCs w:val="18"/>
        </w:rPr>
        <w:t xml:space="preserve"> 22.</w:t>
      </w:r>
    </w:p>
  </w:footnote>
  <w:footnote w:id="6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4D5DF5">
        <w:rPr>
          <w:szCs w:val="18"/>
        </w:rPr>
        <w:t>Id</w:t>
      </w:r>
      <w:r w:rsidR="00546D8F">
        <w:rPr>
          <w:szCs w:val="18"/>
        </w:rPr>
        <w:t>em</w:t>
      </w:r>
      <w:r w:rsidRPr="00DA6597">
        <w:rPr>
          <w:szCs w:val="18"/>
        </w:rPr>
        <w:t xml:space="preserve"> 25-26.  Voir aussi Samuelson, note 54 supra, 302.</w:t>
      </w:r>
    </w:p>
  </w:footnote>
  <w:footnote w:id="6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Samuelson, note 51 supra, 301-302; Kaya, note 54 supra</w:t>
      </w:r>
      <w:r w:rsidRPr="00DA6597">
        <w:rPr>
          <w:i/>
          <w:szCs w:val="18"/>
        </w:rPr>
        <w:t xml:space="preserve">, </w:t>
      </w:r>
      <w:r w:rsidRPr="00DA6597">
        <w:rPr>
          <w:szCs w:val="18"/>
        </w:rPr>
        <w:t>66.</w:t>
      </w:r>
    </w:p>
  </w:footnote>
  <w:footnote w:id="6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L’article 10.1) de l’Accord sur les ADPIC dispose : “1. Les programmes d'ordinateur, qu'ils soient exprimés en</w:t>
      </w:r>
      <w:r w:rsidR="004D5DF5">
        <w:rPr>
          <w:szCs w:val="18"/>
        </w:rPr>
        <w:t> </w:t>
      </w:r>
      <w:r w:rsidRPr="00DA6597">
        <w:rPr>
          <w:szCs w:val="18"/>
        </w:rPr>
        <w:t>code source ou en code objet, seront protégés en tant qu'œuvres littéraires en vertu de la Convention de</w:t>
      </w:r>
      <w:r w:rsidR="004D5DF5">
        <w:rPr>
          <w:szCs w:val="18"/>
        </w:rPr>
        <w:t> </w:t>
      </w:r>
      <w:r w:rsidRPr="00DA6597">
        <w:rPr>
          <w:szCs w:val="18"/>
        </w:rPr>
        <w:t>Berne (1971)”</w:t>
      </w:r>
      <w:r>
        <w:rPr>
          <w:szCs w:val="18"/>
        </w:rPr>
        <w:t>.</w:t>
      </w:r>
    </w:p>
  </w:footnote>
  <w:footnote w:id="6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Daniel </w:t>
      </w:r>
      <w:proofErr w:type="spellStart"/>
      <w:r w:rsidRPr="00DA6597">
        <w:rPr>
          <w:szCs w:val="18"/>
        </w:rPr>
        <w:t>Schiuma</w:t>
      </w:r>
      <w:proofErr w:type="spellEnd"/>
      <w:r w:rsidRPr="00DA6597">
        <w:rPr>
          <w:szCs w:val="18"/>
        </w:rPr>
        <w:t xml:space="preserve">, </w:t>
      </w:r>
      <w:r w:rsidRPr="00DA6597">
        <w:rPr>
          <w:i/>
          <w:szCs w:val="18"/>
        </w:rPr>
        <w:t xml:space="preserve">TRIPS and Exclusion of Software “as </w:t>
      </w:r>
      <w:proofErr w:type="spellStart"/>
      <w:r w:rsidRPr="00DA6597">
        <w:rPr>
          <w:i/>
          <w:szCs w:val="18"/>
        </w:rPr>
        <w:t>Such</w:t>
      </w:r>
      <w:proofErr w:type="spellEnd"/>
      <w:r w:rsidRPr="00DA6597">
        <w:rPr>
          <w:i/>
          <w:szCs w:val="18"/>
        </w:rPr>
        <w:t xml:space="preserve">” </w:t>
      </w:r>
      <w:proofErr w:type="spellStart"/>
      <w:r w:rsidRPr="00DA6597">
        <w:rPr>
          <w:i/>
          <w:szCs w:val="18"/>
        </w:rPr>
        <w:t>from</w:t>
      </w:r>
      <w:proofErr w:type="spellEnd"/>
      <w:r w:rsidRPr="00DA6597">
        <w:rPr>
          <w:i/>
          <w:szCs w:val="18"/>
        </w:rPr>
        <w:t xml:space="preserve"> </w:t>
      </w:r>
      <w:proofErr w:type="spellStart"/>
      <w:r w:rsidRPr="00DA6597">
        <w:rPr>
          <w:i/>
          <w:szCs w:val="18"/>
        </w:rPr>
        <w:t>Patentability</w:t>
      </w:r>
      <w:proofErr w:type="spellEnd"/>
      <w:r w:rsidRPr="00DA6597">
        <w:rPr>
          <w:szCs w:val="18"/>
        </w:rPr>
        <w:t>, IIC 2000-01, 36 (2000).  L’auteur estime également que cette interprétation de l’article 27 devrait être confortée par l’objectif de l’Accord sur les ADPIC, soit celui de “réduire les distorsions et les entraves en ce qui concerne le commerce international” et de “promouvoir une protection efficace et suffisante des droits de propriété intellectuelle”, conformément à l’article 31 de la Convention de Vienne sur le droit des traités (p</w:t>
      </w:r>
      <w:r w:rsidR="004D5DF5">
        <w:rPr>
          <w:szCs w:val="18"/>
        </w:rPr>
        <w:t>age </w:t>
      </w:r>
      <w:r w:rsidRPr="00DA6597">
        <w:rPr>
          <w:szCs w:val="18"/>
        </w:rPr>
        <w:t>37).</w:t>
      </w:r>
    </w:p>
  </w:footnote>
  <w:footnote w:id="6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i/>
          <w:szCs w:val="18"/>
        </w:rPr>
        <w:t>Schiuma</w:t>
      </w:r>
      <w:proofErr w:type="spellEnd"/>
      <w:r w:rsidRPr="00DA6597">
        <w:rPr>
          <w:i/>
          <w:szCs w:val="18"/>
        </w:rPr>
        <w:t xml:space="preserve"> 2000: TRIPS and Exclusion of Software “as </w:t>
      </w:r>
      <w:proofErr w:type="spellStart"/>
      <w:r w:rsidRPr="00DA6597">
        <w:rPr>
          <w:i/>
          <w:szCs w:val="18"/>
        </w:rPr>
        <w:t>Such</w:t>
      </w:r>
      <w:proofErr w:type="spellEnd"/>
      <w:r w:rsidRPr="00DA6597">
        <w:rPr>
          <w:i/>
          <w:szCs w:val="18"/>
        </w:rPr>
        <w:t xml:space="preserve">” </w:t>
      </w:r>
      <w:proofErr w:type="spellStart"/>
      <w:r w:rsidRPr="00DA6597">
        <w:rPr>
          <w:i/>
          <w:szCs w:val="18"/>
        </w:rPr>
        <w:t>from</w:t>
      </w:r>
      <w:proofErr w:type="spellEnd"/>
      <w:r w:rsidRPr="00DA6597">
        <w:rPr>
          <w:i/>
          <w:szCs w:val="18"/>
        </w:rPr>
        <w:t xml:space="preserve"> </w:t>
      </w:r>
      <w:proofErr w:type="spellStart"/>
      <w:r w:rsidRPr="00DA6597">
        <w:rPr>
          <w:i/>
          <w:szCs w:val="18"/>
        </w:rPr>
        <w:t>Patentability</w:t>
      </w:r>
      <w:proofErr w:type="spellEnd"/>
      <w:r w:rsidRPr="00DA6597">
        <w:rPr>
          <w:szCs w:val="18"/>
        </w:rPr>
        <w:t>, (2003).</w:t>
      </w:r>
    </w:p>
  </w:footnote>
  <w:footnote w:id="6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Aaron D. </w:t>
      </w:r>
      <w:proofErr w:type="spellStart"/>
      <w:r w:rsidRPr="00DA6597">
        <w:rPr>
          <w:szCs w:val="18"/>
        </w:rPr>
        <w:t>Charfoos</w:t>
      </w:r>
      <w:proofErr w:type="spellEnd"/>
      <w:r w:rsidRPr="00DA6597">
        <w:rPr>
          <w:szCs w:val="18"/>
        </w:rPr>
        <w:t xml:space="preserve">, </w:t>
      </w:r>
      <w:r w:rsidRPr="00DA6597">
        <w:rPr>
          <w:i/>
          <w:szCs w:val="18"/>
        </w:rPr>
        <w:t xml:space="preserve">How Far Have </w:t>
      </w:r>
      <w:proofErr w:type="spellStart"/>
      <w:r w:rsidRPr="00DA6597">
        <w:rPr>
          <w:i/>
          <w:szCs w:val="18"/>
        </w:rPr>
        <w:t>We</w:t>
      </w:r>
      <w:proofErr w:type="spellEnd"/>
      <w:r w:rsidRPr="00DA6597">
        <w:rPr>
          <w:i/>
          <w:szCs w:val="18"/>
        </w:rPr>
        <w:t xml:space="preserve"> Come, and </w:t>
      </w:r>
      <w:proofErr w:type="spellStart"/>
      <w:r w:rsidRPr="00DA6597">
        <w:rPr>
          <w:i/>
          <w:szCs w:val="18"/>
        </w:rPr>
        <w:t>Where</w:t>
      </w:r>
      <w:proofErr w:type="spellEnd"/>
      <w:r w:rsidRPr="00DA6597">
        <w:rPr>
          <w:i/>
          <w:szCs w:val="18"/>
        </w:rPr>
        <w:t xml:space="preserve"> Do </w:t>
      </w:r>
      <w:proofErr w:type="spellStart"/>
      <w:r w:rsidRPr="00DA6597">
        <w:rPr>
          <w:i/>
          <w:szCs w:val="18"/>
        </w:rPr>
        <w:t>We</w:t>
      </w:r>
      <w:proofErr w:type="spellEnd"/>
      <w:r w:rsidRPr="00DA6597">
        <w:rPr>
          <w:i/>
          <w:szCs w:val="18"/>
        </w:rPr>
        <w:t xml:space="preserve"> Go </w:t>
      </w:r>
      <w:proofErr w:type="spellStart"/>
      <w:r w:rsidRPr="00DA6597">
        <w:rPr>
          <w:i/>
          <w:szCs w:val="18"/>
        </w:rPr>
        <w:t>From</w:t>
      </w:r>
      <w:proofErr w:type="spellEnd"/>
      <w:r w:rsidRPr="00DA6597">
        <w:rPr>
          <w:i/>
          <w:szCs w:val="18"/>
        </w:rPr>
        <w:t xml:space="preserve"> </w:t>
      </w:r>
      <w:proofErr w:type="spellStart"/>
      <w:r w:rsidRPr="00DA6597">
        <w:rPr>
          <w:i/>
          <w:szCs w:val="18"/>
        </w:rPr>
        <w:t>Here</w:t>
      </w:r>
      <w:proofErr w:type="spellEnd"/>
      <w:r w:rsidRPr="00DA6597">
        <w:rPr>
          <w:i/>
          <w:szCs w:val="18"/>
        </w:rPr>
        <w:t xml:space="preserve">: The </w:t>
      </w:r>
      <w:proofErr w:type="spellStart"/>
      <w:r w:rsidRPr="00DA6597">
        <w:rPr>
          <w:i/>
          <w:szCs w:val="18"/>
        </w:rPr>
        <w:t>Status</w:t>
      </w:r>
      <w:proofErr w:type="spellEnd"/>
      <w:r w:rsidRPr="00DA6597">
        <w:rPr>
          <w:i/>
          <w:szCs w:val="18"/>
        </w:rPr>
        <w:t xml:space="preserve"> of Global Computer Software Protection Under the TRIPS Agreement</w:t>
      </w:r>
      <w:r w:rsidRPr="00DA6597">
        <w:rPr>
          <w:szCs w:val="18"/>
        </w:rPr>
        <w:t xml:space="preserve">, 22 </w:t>
      </w:r>
      <w:proofErr w:type="spellStart"/>
      <w:r w:rsidRPr="00DA6597">
        <w:rPr>
          <w:szCs w:val="18"/>
        </w:rPr>
        <w:t>Nw</w:t>
      </w:r>
      <w:proofErr w:type="spellEnd"/>
      <w:r w:rsidRPr="00DA6597">
        <w:rPr>
          <w:szCs w:val="18"/>
        </w:rPr>
        <w:t xml:space="preserve">. J. </w:t>
      </w:r>
      <w:proofErr w:type="spellStart"/>
      <w:r w:rsidRPr="00DA6597">
        <w:rPr>
          <w:szCs w:val="18"/>
        </w:rPr>
        <w:t>Int’l</w:t>
      </w:r>
      <w:proofErr w:type="spellEnd"/>
      <w:r w:rsidRPr="00DA6597">
        <w:rPr>
          <w:szCs w:val="18"/>
        </w:rPr>
        <w:t xml:space="preserve"> L. &amp; Bus. 261 (2002).  Voir le</w:t>
      </w:r>
      <w:r w:rsidR="0030434C">
        <w:rPr>
          <w:szCs w:val="18"/>
        </w:rPr>
        <w:t> </w:t>
      </w:r>
      <w:r w:rsidRPr="00DA6597">
        <w:rPr>
          <w:szCs w:val="18"/>
        </w:rPr>
        <w:t>chapitre VII.</w:t>
      </w:r>
    </w:p>
  </w:footnote>
  <w:footnote w:id="70">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Karl Friedrich Lenz, </w:t>
      </w:r>
      <w:r w:rsidRPr="00DA6597">
        <w:rPr>
          <w:i/>
          <w:szCs w:val="18"/>
        </w:rPr>
        <w:t xml:space="preserve">TRIPS and </w:t>
      </w:r>
      <w:proofErr w:type="spellStart"/>
      <w:r w:rsidRPr="00DA6597">
        <w:rPr>
          <w:i/>
          <w:szCs w:val="18"/>
        </w:rPr>
        <w:t>European</w:t>
      </w:r>
      <w:proofErr w:type="spellEnd"/>
      <w:r w:rsidRPr="00DA6597">
        <w:rPr>
          <w:i/>
          <w:szCs w:val="18"/>
        </w:rPr>
        <w:t xml:space="preserve"> software patent </w:t>
      </w:r>
      <w:proofErr w:type="spellStart"/>
      <w:r w:rsidRPr="00DA6597">
        <w:rPr>
          <w:i/>
          <w:szCs w:val="18"/>
        </w:rPr>
        <w:t>legislation</w:t>
      </w:r>
      <w:proofErr w:type="spellEnd"/>
      <w:r w:rsidRPr="00DA6597">
        <w:rPr>
          <w:szCs w:val="18"/>
        </w:rPr>
        <w:t xml:space="preserve">, </w:t>
      </w:r>
      <w:proofErr w:type="spellStart"/>
      <w:r w:rsidRPr="00DA6597">
        <w:rPr>
          <w:szCs w:val="18"/>
        </w:rPr>
        <w:t>Aoyama</w:t>
      </w:r>
      <w:proofErr w:type="spellEnd"/>
      <w:r w:rsidRPr="00DA6597">
        <w:rPr>
          <w:szCs w:val="18"/>
        </w:rPr>
        <w:t xml:space="preserve"> Law </w:t>
      </w:r>
      <w:proofErr w:type="spellStart"/>
      <w:r w:rsidRPr="00DA6597">
        <w:rPr>
          <w:szCs w:val="18"/>
        </w:rPr>
        <w:t>Review</w:t>
      </w:r>
      <w:proofErr w:type="spellEnd"/>
      <w:r w:rsidRPr="00DA6597">
        <w:rPr>
          <w:szCs w:val="18"/>
        </w:rPr>
        <w:t>, vol. 47,</w:t>
      </w:r>
    </w:p>
    <w:p w:rsidR="00CA7E15" w:rsidRPr="00DA6597" w:rsidRDefault="0030434C" w:rsidP="002D0618">
      <w:pPr>
        <w:pStyle w:val="FootnoteText"/>
        <w:rPr>
          <w:szCs w:val="18"/>
        </w:rPr>
      </w:pPr>
      <w:proofErr w:type="gramStart"/>
      <w:r>
        <w:rPr>
          <w:szCs w:val="18"/>
        </w:rPr>
        <w:t>n</w:t>
      </w:r>
      <w:proofErr w:type="gramEnd"/>
      <w:r>
        <w:rPr>
          <w:szCs w:val="18"/>
        </w:rPr>
        <w:t>° </w:t>
      </w:r>
      <w:r w:rsidR="00CA7E15" w:rsidRPr="00DA6597">
        <w:rPr>
          <w:szCs w:val="18"/>
        </w:rPr>
        <w:t>1, 1 (2005).</w:t>
      </w:r>
    </w:p>
  </w:footnote>
  <w:footnote w:id="7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Afrique du Sud, Albanie, Algérie, Allemagne, Andorre, Argentine, Autriche, Belgique, Bosnie</w:t>
      </w:r>
      <w:r w:rsidRPr="00DA6597">
        <w:rPr>
          <w:szCs w:val="18"/>
        </w:rPr>
        <w:noBreakHyphen/>
        <w:t>Herzégovine, Botswana, Brésil, Bulgarie, Chypre, Costa Rica, Croatie, Cuba, Danemark, Djibouti, Équateur, Espagne, Estonie, Éthiopie, ex</w:t>
      </w:r>
      <w:r w:rsidRPr="00DA6597">
        <w:rPr>
          <w:szCs w:val="18"/>
        </w:rPr>
        <w:noBreakHyphen/>
        <w:t>République yougoslave de Macédoine, Fédération de Russie, Finlande, France, Géorgie, Guatemala, Honduras, Hongrie, Inde, Irlande, Islande, Italie, Lettonie, Lituanie, Luxembourg, Malte, Maroc, Mexique, Mongolie, Monténégro, Mozambique, Nicaragua, Norvège, Nouvelle</w:t>
      </w:r>
      <w:r w:rsidRPr="00DA6597">
        <w:rPr>
          <w:szCs w:val="18"/>
        </w:rPr>
        <w:noBreakHyphen/>
        <w:t>Zélande, Panama, Paraguay, Pays</w:t>
      </w:r>
      <w:r w:rsidRPr="00DA6597">
        <w:rPr>
          <w:szCs w:val="18"/>
        </w:rPr>
        <w:noBreakHyphen/>
        <w:t>Bas, Philippines, Pologne, Portugal, Qatar, République démocratique du Congo, République de Moldova, République dominicaine, République tchèque, Roumanie, Royaume</w:t>
      </w:r>
      <w:r w:rsidRPr="00DA6597">
        <w:rPr>
          <w:szCs w:val="18"/>
        </w:rPr>
        <w:noBreakHyphen/>
        <w:t>Uni, Sainte</w:t>
      </w:r>
      <w:r w:rsidRPr="00DA6597">
        <w:rPr>
          <w:szCs w:val="18"/>
        </w:rPr>
        <w:noBreakHyphen/>
        <w:t>Lucie, Saint</w:t>
      </w:r>
      <w:r w:rsidRPr="00DA6597">
        <w:rPr>
          <w:szCs w:val="18"/>
        </w:rPr>
        <w:noBreakHyphen/>
        <w:t>Marin, Serbie, Slovaquie, Suède, Tadjikistan, Thaïlande, Tunisie, Turquie, Uruguay, Vanuatu, Vietnam. Au niveau régional, les États membres de la Communauté andine, de la Convention sur le brevet européen, du Conseil de coopération du Golfe et de l’OAPI excluent expressément les logiciels de la brevetabilité.</w:t>
      </w:r>
    </w:p>
  </w:footnote>
  <w:footnote w:id="7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Burundi, Japon, Oman et Rwanda.</w:t>
      </w:r>
    </w:p>
  </w:footnote>
  <w:footnote w:id="7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Angola, Antigua</w:t>
      </w:r>
      <w:r w:rsidRPr="00DA6597">
        <w:rPr>
          <w:szCs w:val="18"/>
        </w:rPr>
        <w:noBreakHyphen/>
        <w:t>et</w:t>
      </w:r>
      <w:r w:rsidRPr="00DA6597">
        <w:rPr>
          <w:szCs w:val="18"/>
        </w:rPr>
        <w:noBreakHyphen/>
        <w:t xml:space="preserve">Barbuda, Arabie saoudite, Arménie, Australie, Bahamas, Bahreïn, Barbade, Belize, Bhoutan, </w:t>
      </w:r>
      <w:proofErr w:type="spellStart"/>
      <w:r w:rsidRPr="00DA6597">
        <w:rPr>
          <w:szCs w:val="18"/>
        </w:rPr>
        <w:t>Brunéi</w:t>
      </w:r>
      <w:proofErr w:type="spellEnd"/>
      <w:r w:rsidRPr="00DA6597">
        <w:rPr>
          <w:szCs w:val="18"/>
        </w:rPr>
        <w:t xml:space="preserve"> Darussalam, </w:t>
      </w:r>
      <w:proofErr w:type="spellStart"/>
      <w:r w:rsidRPr="00DA6597">
        <w:rPr>
          <w:szCs w:val="18"/>
        </w:rPr>
        <w:t>Cabo</w:t>
      </w:r>
      <w:proofErr w:type="spellEnd"/>
      <w:r w:rsidRPr="00DA6597">
        <w:rPr>
          <w:szCs w:val="18"/>
        </w:rPr>
        <w:t> </w:t>
      </w:r>
      <w:proofErr w:type="spellStart"/>
      <w:r w:rsidRPr="00DA6597">
        <w:rPr>
          <w:szCs w:val="18"/>
        </w:rPr>
        <w:t>Verde</w:t>
      </w:r>
      <w:proofErr w:type="spellEnd"/>
      <w:r w:rsidRPr="00DA6597">
        <w:rPr>
          <w:szCs w:val="18"/>
        </w:rPr>
        <w:t>, Cambodge, Canada, Chili, Chine, Dominique, Égypte, El Salvador, Émirats arabes unis, États</w:t>
      </w:r>
      <w:r w:rsidRPr="00DA6597">
        <w:rPr>
          <w:szCs w:val="18"/>
        </w:rPr>
        <w:noBreakHyphen/>
        <w:t>Unis d’Amérique, Yémen, Fidji, Gambie, Ghana, Guinée Bissau, Guyana, Indonésie, Iran (République islamique d’), Iraq, Israël, Jamaïque, Jordanie, Kenya, Lesotho, Liban, Libéria, Libye, Madagascar, Malaisie, Malawi, Maurice, Népal, Nigéria, Ouganda, Pakistan, Papouasie</w:t>
      </w:r>
      <w:r w:rsidRPr="00DA6597">
        <w:rPr>
          <w:szCs w:val="18"/>
        </w:rPr>
        <w:noBreakHyphen/>
        <w:t>Nouvelle</w:t>
      </w:r>
      <w:r w:rsidRPr="00DA6597">
        <w:rPr>
          <w:szCs w:val="18"/>
        </w:rPr>
        <w:noBreakHyphen/>
        <w:t>Guinée, République de Corée, République démocratique populaire lao, République populaire démocratique de Corée, République</w:t>
      </w:r>
      <w:r w:rsidRPr="00DA6597">
        <w:rPr>
          <w:szCs w:val="18"/>
        </w:rPr>
        <w:noBreakHyphen/>
        <w:t>Unie de Tanzanie, Saint</w:t>
      </w:r>
      <w:r w:rsidRPr="00DA6597">
        <w:rPr>
          <w:szCs w:val="18"/>
        </w:rPr>
        <w:noBreakHyphen/>
        <w:t>Kitts</w:t>
      </w:r>
      <w:r w:rsidRPr="00DA6597">
        <w:rPr>
          <w:szCs w:val="18"/>
        </w:rPr>
        <w:noBreakHyphen/>
        <w:t>et</w:t>
      </w:r>
      <w:r w:rsidRPr="00DA6597">
        <w:rPr>
          <w:szCs w:val="18"/>
        </w:rPr>
        <w:noBreakHyphen/>
        <w:t>Nevis, Saint</w:t>
      </w:r>
      <w:r w:rsidRPr="00DA6597">
        <w:rPr>
          <w:szCs w:val="18"/>
        </w:rPr>
        <w:noBreakHyphen/>
        <w:t>Vincent</w:t>
      </w:r>
      <w:r w:rsidRPr="00DA6597">
        <w:rPr>
          <w:szCs w:val="18"/>
        </w:rPr>
        <w:noBreakHyphen/>
        <w:t>et</w:t>
      </w:r>
      <w:r w:rsidRPr="00DA6597">
        <w:rPr>
          <w:szCs w:val="18"/>
        </w:rPr>
        <w:noBreakHyphen/>
        <w:t>les Grenadines, Samoa, Sao Tomé</w:t>
      </w:r>
      <w:r w:rsidRPr="00DA6597">
        <w:rPr>
          <w:szCs w:val="18"/>
        </w:rPr>
        <w:noBreakHyphen/>
        <w:t>et</w:t>
      </w:r>
      <w:r w:rsidRPr="00DA6597">
        <w:rPr>
          <w:szCs w:val="18"/>
        </w:rPr>
        <w:noBreakHyphen/>
        <w:t>Principe, Seychelles, Singapour, Slovénie, Soudan, Sri Lanka, Suisse, Swaziland, Tonga, Trinité</w:t>
      </w:r>
      <w:r w:rsidRPr="00DA6597">
        <w:rPr>
          <w:szCs w:val="18"/>
        </w:rPr>
        <w:noBreakHyphen/>
        <w:t>et</w:t>
      </w:r>
      <w:r w:rsidRPr="00DA6597">
        <w:rPr>
          <w:szCs w:val="18"/>
        </w:rPr>
        <w:noBreakHyphen/>
        <w:t>Tobago, Zambie et Zimbabwe.  Au niveau régional, l’ARIPO ne prévoit pas expressément d’exclusion ou d’inclusion en ce qui concerne la brevetabilité des logiciels.</w:t>
      </w:r>
    </w:p>
  </w:footnote>
  <w:footnote w:id="7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Un exemple typique est la différence qui existe entre les pratiques de l’OEB et du Royaume-Uni (voir les paragraphes 51 et 52 du présent document);  voir également Rachel Free et Paul </w:t>
      </w:r>
      <w:proofErr w:type="spellStart"/>
      <w:r w:rsidRPr="00DA6597">
        <w:rPr>
          <w:szCs w:val="18"/>
        </w:rPr>
        <w:t>Leaves</w:t>
      </w:r>
      <w:proofErr w:type="spellEnd"/>
      <w:r w:rsidRPr="00DA6597">
        <w:rPr>
          <w:szCs w:val="18"/>
        </w:rPr>
        <w:t xml:space="preserve">, </w:t>
      </w:r>
      <w:proofErr w:type="spellStart"/>
      <w:r w:rsidRPr="00DA6597">
        <w:rPr>
          <w:i/>
          <w:szCs w:val="18"/>
        </w:rPr>
        <w:t>Shifting</w:t>
      </w:r>
      <w:proofErr w:type="spellEnd"/>
      <w:r w:rsidRPr="00DA6597">
        <w:rPr>
          <w:i/>
          <w:szCs w:val="18"/>
        </w:rPr>
        <w:t xml:space="preserve"> </w:t>
      </w:r>
      <w:proofErr w:type="spellStart"/>
      <w:r w:rsidRPr="00DA6597">
        <w:rPr>
          <w:i/>
          <w:szCs w:val="18"/>
        </w:rPr>
        <w:t>sands</w:t>
      </w:r>
      <w:proofErr w:type="spellEnd"/>
      <w:r w:rsidRPr="00DA6597">
        <w:rPr>
          <w:i/>
          <w:szCs w:val="18"/>
        </w:rPr>
        <w:t xml:space="preserve"> of software </w:t>
      </w:r>
      <w:proofErr w:type="spellStart"/>
      <w:r w:rsidRPr="00DA6597">
        <w:rPr>
          <w:i/>
          <w:szCs w:val="18"/>
        </w:rPr>
        <w:t>patentability</w:t>
      </w:r>
      <w:proofErr w:type="spellEnd"/>
      <w:r w:rsidRPr="00DA6597">
        <w:rPr>
          <w:szCs w:val="18"/>
        </w:rPr>
        <w:t>, Patent World, n</w:t>
      </w:r>
      <w:r w:rsidRPr="00DA6597">
        <w:rPr>
          <w:szCs w:val="18"/>
          <w:vertAlign w:val="superscript"/>
        </w:rPr>
        <w:t>o</w:t>
      </w:r>
      <w:r w:rsidRPr="00DA6597">
        <w:rPr>
          <w:szCs w:val="18"/>
        </w:rPr>
        <w:t>. 220, 15.</w:t>
      </w:r>
    </w:p>
  </w:footnote>
  <w:footnote w:id="7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Les pays suivants interdisent la délivrance de brevets sur les inventions logicielles “en tant que telles” : Afrique du Sud, Albanie, Allemagne, Andorre, Autriche, Belgique, Bosnie</w:t>
      </w:r>
      <w:r w:rsidRPr="00DA6597">
        <w:rPr>
          <w:szCs w:val="18"/>
        </w:rPr>
        <w:noBreakHyphen/>
        <w:t>Herzégovine, Brésil, Bulgarie, Costa Rica, Danemark, Équateur, Espagne, Finlande, France, Guatemala, Honduras, Hongrie, Inde, Irlande, Italie, Lettonie, Luxembourg, Malte, Maroc, Monténégro, Nicaragua, Nouvelle</w:t>
      </w:r>
      <w:r w:rsidRPr="00DA6597">
        <w:rPr>
          <w:szCs w:val="18"/>
        </w:rPr>
        <w:noBreakHyphen/>
        <w:t>Zélande, Panama, Paraguay, Pays</w:t>
      </w:r>
      <w:r w:rsidRPr="00DA6597">
        <w:rPr>
          <w:szCs w:val="18"/>
        </w:rPr>
        <w:noBreakHyphen/>
        <w:t>Bas, Portugal, République de Moldova, République dominicaine, République tchèque, Roumanie, Royaume</w:t>
      </w:r>
      <w:r w:rsidRPr="00DA6597">
        <w:rPr>
          <w:szCs w:val="18"/>
        </w:rPr>
        <w:noBreakHyphen/>
        <w:t>Uni, Saint</w:t>
      </w:r>
      <w:r w:rsidRPr="00DA6597">
        <w:rPr>
          <w:szCs w:val="18"/>
        </w:rPr>
        <w:noBreakHyphen/>
        <w:t>Marin, Serbie, Slovaquie et Uruguay.  Au niveau régional, la Communauté andine et la</w:t>
      </w:r>
      <w:r w:rsidR="007638BE">
        <w:rPr>
          <w:szCs w:val="18"/>
        </w:rPr>
        <w:t> </w:t>
      </w:r>
      <w:r w:rsidRPr="00DA6597">
        <w:rPr>
          <w:szCs w:val="18"/>
        </w:rPr>
        <w:t>Convention sur le brevet européen prévoient l'exclusion de la brevetabilité des logiciels “en tant que tels”.</w:t>
      </w:r>
    </w:p>
  </w:footnote>
  <w:footnote w:id="7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Les pays suivants n’utilisent pas l'expression “en tant que tel” dans leurs dispositions interdisant les brevets sur les logiciels : Argentine, Botswana, Chypre, Croatie, Cuba, Djibouti, Estonie, Éthiopie, ex</w:t>
      </w:r>
      <w:r w:rsidRPr="00DA6597">
        <w:rPr>
          <w:szCs w:val="18"/>
        </w:rPr>
        <w:noBreakHyphen/>
        <w:t>République yougoslave de Macédoine, Fédération de Russie, Géorgie, Islande, Lituanie, Mexique, Mongolie, Mozambique, Norvège, Philippines, Pologne, Qatar, République démocratique du Congo, République dominicaine, Sainte</w:t>
      </w:r>
      <w:r w:rsidRPr="00DA6597">
        <w:rPr>
          <w:szCs w:val="18"/>
        </w:rPr>
        <w:noBreakHyphen/>
        <w:t>Lucie, Suède, Tadjikistan, Thaïlande, Tunisie, Turquie, Vanuatu et Viet Nam.  Au niveau régional, les États membres du Conseil de coopération du Golfe (CCG) et de l’OAPI excluent la brevetabilité des logiciels sans préciser “en tant que tels”.</w:t>
      </w:r>
    </w:p>
  </w:footnote>
  <w:footnote w:id="7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CBE, article 52.2)c) et 3).</w:t>
      </w:r>
    </w:p>
  </w:footnote>
  <w:footnote w:id="7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de l’OEB, note 4 supra, chapitre IV, 2.2.  L'exigence de caractère technique est mentionnée dans cette directive en tant que "critère implicite" à remplir pour qu’un objet constitue une invention au sens de l'article</w:t>
      </w:r>
      <w:r w:rsidR="00A57BDC">
        <w:rPr>
          <w:szCs w:val="18"/>
        </w:rPr>
        <w:t> </w:t>
      </w:r>
      <w:r w:rsidRPr="00DA6597">
        <w:rPr>
          <w:szCs w:val="18"/>
        </w:rPr>
        <w:t>52.1) (voir aussi chapitre IV, 1.2</w:t>
      </w:r>
      <w:proofErr w:type="gramStart"/>
      <w:r w:rsidRPr="00DA6597">
        <w:rPr>
          <w:szCs w:val="18"/>
        </w:rPr>
        <w:t>)ii</w:t>
      </w:r>
      <w:proofErr w:type="gramEnd"/>
      <w:r w:rsidRPr="00DA6597">
        <w:rPr>
          <w:szCs w:val="18"/>
        </w:rPr>
        <w:t>) et 2.1).</w:t>
      </w:r>
    </w:p>
  </w:footnote>
  <w:footnote w:id="7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007638BE">
        <w:rPr>
          <w:szCs w:val="18"/>
        </w:rPr>
        <w:t>Id</w:t>
      </w:r>
      <w:r w:rsidR="00546D8F">
        <w:rPr>
          <w:szCs w:val="18"/>
        </w:rPr>
        <w:t>em</w:t>
      </w:r>
      <w:r w:rsidRPr="00DA6597">
        <w:rPr>
          <w:szCs w:val="18"/>
        </w:rPr>
        <w:t xml:space="preserve"> chapitre IV, 2.3.6.</w:t>
      </w:r>
    </w:p>
  </w:footnote>
  <w:footnote w:id="80">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00A57BDC">
        <w:rPr>
          <w:szCs w:val="18"/>
        </w:rPr>
        <w:t>Affaire</w:t>
      </w:r>
      <w:r w:rsidRPr="00DA6597">
        <w:rPr>
          <w:szCs w:val="18"/>
        </w:rPr>
        <w:t xml:space="preserve"> T 258/03, </w:t>
      </w:r>
      <w:r w:rsidRPr="00DA6597">
        <w:rPr>
          <w:i/>
          <w:szCs w:val="18"/>
        </w:rPr>
        <w:t xml:space="preserve">In </w:t>
      </w:r>
      <w:proofErr w:type="spellStart"/>
      <w:r w:rsidRPr="00DA6597">
        <w:rPr>
          <w:i/>
          <w:szCs w:val="18"/>
        </w:rPr>
        <w:t>re</w:t>
      </w:r>
      <w:proofErr w:type="spellEnd"/>
      <w:r w:rsidRPr="00DA6597">
        <w:rPr>
          <w:szCs w:val="18"/>
        </w:rPr>
        <w:t xml:space="preserve"> Hitachi, OJ EPO 575 (2004).</w:t>
      </w:r>
    </w:p>
  </w:footnote>
  <w:footnote w:id="8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de l’OEB, note 4 supra, chapitre IV, 2.3.6.</w:t>
      </w:r>
    </w:p>
  </w:footnote>
  <w:footnote w:id="8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de l’OEB, partie G, chapitre II-5, règle 3.6.</w:t>
      </w:r>
    </w:p>
  </w:footnote>
  <w:footnote w:id="8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7638BE">
        <w:rPr>
          <w:szCs w:val="18"/>
        </w:rPr>
        <w:t>Id</w:t>
      </w:r>
      <w:r w:rsidR="00546D8F">
        <w:rPr>
          <w:szCs w:val="18"/>
        </w:rPr>
        <w:t xml:space="preserve">em. </w:t>
      </w:r>
      <w:r w:rsidRPr="00DA6597">
        <w:rPr>
          <w:szCs w:val="18"/>
        </w:rPr>
        <w:t xml:space="preserve"> Pour les détails d'une série de décisions des chambres de recours de l’OEB, voir aussi </w:t>
      </w:r>
      <w:proofErr w:type="spellStart"/>
      <w:r w:rsidRPr="00DA6597">
        <w:rPr>
          <w:szCs w:val="18"/>
        </w:rPr>
        <w:t>Kikuchi</w:t>
      </w:r>
      <w:proofErr w:type="spellEnd"/>
      <w:r w:rsidRPr="00DA6597">
        <w:rPr>
          <w:szCs w:val="18"/>
        </w:rPr>
        <w:t>, note</w:t>
      </w:r>
      <w:r w:rsidR="00546D8F">
        <w:rPr>
          <w:szCs w:val="18"/>
        </w:rPr>
        <w:t> </w:t>
      </w:r>
      <w:r w:rsidRPr="00DA6597">
        <w:rPr>
          <w:szCs w:val="18"/>
        </w:rPr>
        <w:t>8</w:t>
      </w:r>
      <w:r w:rsidR="00546D8F">
        <w:rPr>
          <w:szCs w:val="18"/>
        </w:rPr>
        <w:t> </w:t>
      </w:r>
      <w:r w:rsidRPr="00DA6597">
        <w:rPr>
          <w:szCs w:val="18"/>
        </w:rPr>
        <w:t xml:space="preserve">supra, chapitre III, B; </w:t>
      </w:r>
      <w:proofErr w:type="spellStart"/>
      <w:r w:rsidRPr="00DA6597">
        <w:rPr>
          <w:szCs w:val="18"/>
        </w:rPr>
        <w:t>Sterckx</w:t>
      </w:r>
      <w:proofErr w:type="spellEnd"/>
      <w:r w:rsidRPr="00DA6597">
        <w:rPr>
          <w:szCs w:val="18"/>
        </w:rPr>
        <w:t xml:space="preserve"> et </w:t>
      </w:r>
      <w:proofErr w:type="spellStart"/>
      <w:r w:rsidRPr="00DA6597">
        <w:rPr>
          <w:szCs w:val="18"/>
        </w:rPr>
        <w:t>Cockbain</w:t>
      </w:r>
      <w:proofErr w:type="spellEnd"/>
      <w:r w:rsidRPr="00DA6597">
        <w:rPr>
          <w:szCs w:val="18"/>
        </w:rPr>
        <w:t>, note 16 supra; Bainbridge, note 16 supra, 290.</w:t>
      </w:r>
    </w:p>
  </w:footnote>
  <w:footnote w:id="8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i/>
          <w:szCs w:val="18"/>
        </w:rPr>
        <w:t>Fujitsu.</w:t>
      </w:r>
      <w:r w:rsidRPr="00DA6597">
        <w:rPr>
          <w:szCs w:val="18"/>
        </w:rPr>
        <w:t>RPC</w:t>
      </w:r>
      <w:proofErr w:type="spellEnd"/>
      <w:r w:rsidRPr="00DA6597">
        <w:rPr>
          <w:szCs w:val="18"/>
        </w:rPr>
        <w:t xml:space="preserve"> 608 (1997). </w:t>
      </w:r>
      <w:r w:rsidR="007638BE">
        <w:rPr>
          <w:szCs w:val="18"/>
        </w:rPr>
        <w:t xml:space="preserve"> </w:t>
      </w:r>
      <w:r w:rsidRPr="00DA6597">
        <w:rPr>
          <w:szCs w:val="18"/>
        </w:rPr>
        <w:t xml:space="preserve">Voir aussi : </w:t>
      </w:r>
      <w:proofErr w:type="spellStart"/>
      <w:r w:rsidRPr="00DA6597">
        <w:rPr>
          <w:i/>
          <w:szCs w:val="18"/>
        </w:rPr>
        <w:t>Manual</w:t>
      </w:r>
      <w:proofErr w:type="spellEnd"/>
      <w:r w:rsidRPr="00DA6597">
        <w:rPr>
          <w:i/>
          <w:szCs w:val="18"/>
        </w:rPr>
        <w:t xml:space="preserve"> of Patent Practice</w:t>
      </w:r>
      <w:r w:rsidRPr="00DA6597">
        <w:rPr>
          <w:szCs w:val="18"/>
        </w:rPr>
        <w:t xml:space="preserve"> (ci-après dénommé “</w:t>
      </w:r>
      <w:r w:rsidR="007638BE">
        <w:rPr>
          <w:szCs w:val="18"/>
        </w:rPr>
        <w:t>directive de l’UKIPO”), UKIPO, p</w:t>
      </w:r>
      <w:r w:rsidRPr="00DA6597">
        <w:rPr>
          <w:szCs w:val="18"/>
        </w:rPr>
        <w:t>art I, 1.09.</w:t>
      </w:r>
    </w:p>
  </w:footnote>
  <w:footnote w:id="85">
    <w:p w:rsidR="00CA7E15" w:rsidRPr="00DA6597" w:rsidRDefault="00CA7E15" w:rsidP="002D0618">
      <w:pPr>
        <w:pStyle w:val="FootnoteText"/>
        <w:rPr>
          <w:szCs w:val="18"/>
        </w:rPr>
      </w:pPr>
      <w:r w:rsidRPr="00DA6597">
        <w:rPr>
          <w:rStyle w:val="FootnoteReference"/>
        </w:rPr>
        <w:footnoteRef/>
      </w:r>
      <w:r w:rsidRPr="00DA6597">
        <w:rPr>
          <w:i/>
          <w:szCs w:val="18"/>
        </w:rPr>
        <w:t xml:space="preserve"> </w:t>
      </w:r>
      <w:r w:rsidRPr="00DA6597">
        <w:rPr>
          <w:i/>
          <w:szCs w:val="18"/>
        </w:rPr>
        <w:tab/>
      </w:r>
      <w:r w:rsidRPr="00DA6597">
        <w:rPr>
          <w:szCs w:val="18"/>
        </w:rPr>
        <w:t xml:space="preserve">Selon une décision de jurisprudence (Fujitsu </w:t>
      </w:r>
      <w:proofErr w:type="spellStart"/>
      <w:r w:rsidRPr="00DA6597">
        <w:rPr>
          <w:szCs w:val="18"/>
        </w:rPr>
        <w:t>Limited’s</w:t>
      </w:r>
      <w:proofErr w:type="spellEnd"/>
      <w:r w:rsidRPr="00DA6597">
        <w:rPr>
          <w:szCs w:val="18"/>
        </w:rPr>
        <w:t xml:space="preserve"> </w:t>
      </w:r>
      <w:proofErr w:type="spellStart"/>
      <w:r w:rsidRPr="00DA6597">
        <w:rPr>
          <w:szCs w:val="18"/>
        </w:rPr>
        <w:t>Appn</w:t>
      </w:r>
      <w:proofErr w:type="spellEnd"/>
      <w:r w:rsidRPr="00DA6597">
        <w:rPr>
          <w:szCs w:val="18"/>
        </w:rPr>
        <w:t xml:space="preserve"> [1997] RPC 608), les quatre étapes de cette</w:t>
      </w:r>
      <w:r w:rsidR="007638BE">
        <w:rPr>
          <w:szCs w:val="18"/>
        </w:rPr>
        <w:t> analyse sont les suivantes : 1) </w:t>
      </w:r>
      <w:r w:rsidRPr="00DA6597">
        <w:rPr>
          <w:szCs w:val="18"/>
        </w:rPr>
        <w:t xml:space="preserve">déterminer adéquatement la portée de la revendication; </w:t>
      </w:r>
      <w:r w:rsidR="007638BE">
        <w:rPr>
          <w:szCs w:val="18"/>
        </w:rPr>
        <w:t xml:space="preserve"> 2) </w:t>
      </w:r>
      <w:r w:rsidRPr="00DA6597">
        <w:rPr>
          <w:szCs w:val="18"/>
        </w:rPr>
        <w:t>identifier la</w:t>
      </w:r>
      <w:r w:rsidR="007638BE">
        <w:rPr>
          <w:szCs w:val="18"/>
        </w:rPr>
        <w:t> </w:t>
      </w:r>
      <w:r w:rsidRPr="00DA6597">
        <w:rPr>
          <w:szCs w:val="18"/>
        </w:rPr>
        <w:t>contribution réelle;  3)</w:t>
      </w:r>
      <w:r w:rsidR="007638BE">
        <w:rPr>
          <w:szCs w:val="18"/>
        </w:rPr>
        <w:t> </w:t>
      </w:r>
      <w:r w:rsidRPr="00DA6597">
        <w:rPr>
          <w:szCs w:val="18"/>
        </w:rPr>
        <w:t>déterminer si cette contribution se l</w:t>
      </w:r>
      <w:r w:rsidR="007638BE">
        <w:rPr>
          <w:szCs w:val="18"/>
        </w:rPr>
        <w:t>imite à la matière exclue et 4) </w:t>
      </w:r>
      <w:r w:rsidRPr="00DA6597">
        <w:rPr>
          <w:szCs w:val="18"/>
        </w:rPr>
        <w:t>vérifier si la</w:t>
      </w:r>
      <w:r w:rsidR="007638BE">
        <w:rPr>
          <w:szCs w:val="18"/>
        </w:rPr>
        <w:t> </w:t>
      </w:r>
      <w:r w:rsidRPr="00DA6597">
        <w:rPr>
          <w:szCs w:val="18"/>
        </w:rPr>
        <w:t>contribution réelle ou prétendue est effectivement de nature technique.</w:t>
      </w:r>
    </w:p>
  </w:footnote>
  <w:footnote w:id="8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i/>
          <w:szCs w:val="18"/>
        </w:rPr>
        <w:t>Aerotel</w:t>
      </w:r>
      <w:proofErr w:type="spellEnd"/>
      <w:r w:rsidRPr="00DA6597">
        <w:rPr>
          <w:szCs w:val="18"/>
        </w:rPr>
        <w:t>. RPC 7 (2007).  Voir aussi : Directive de l’UKIPO, note 83</w:t>
      </w:r>
      <w:r>
        <w:rPr>
          <w:szCs w:val="18"/>
        </w:rPr>
        <w:t xml:space="preserve"> supra</w:t>
      </w:r>
      <w:r w:rsidRPr="00DA6597">
        <w:rPr>
          <w:szCs w:val="18"/>
        </w:rPr>
        <w:t xml:space="preserve">, </w:t>
      </w:r>
      <w:r>
        <w:rPr>
          <w:szCs w:val="18"/>
        </w:rPr>
        <w:t>partie</w:t>
      </w:r>
      <w:r w:rsidRPr="00DA6597">
        <w:rPr>
          <w:szCs w:val="18"/>
        </w:rPr>
        <w:t xml:space="preserve"> I, 1.10.</w:t>
      </w:r>
    </w:p>
  </w:footnote>
  <w:footnote w:id="8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i/>
          <w:szCs w:val="18"/>
        </w:rPr>
        <w:t>Symbian</w:t>
      </w:r>
      <w:proofErr w:type="spellEnd"/>
      <w:r w:rsidRPr="00DA6597">
        <w:rPr>
          <w:szCs w:val="18"/>
        </w:rPr>
        <w:t>. EWHC 518 (Pat) (2008).</w:t>
      </w:r>
    </w:p>
  </w:footnote>
  <w:footnote w:id="8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 de l’UKIPO, note 83</w:t>
      </w:r>
      <w:r>
        <w:rPr>
          <w:szCs w:val="18"/>
        </w:rPr>
        <w:t xml:space="preserve"> supra</w:t>
      </w:r>
      <w:r w:rsidRPr="00DA6597">
        <w:rPr>
          <w:szCs w:val="18"/>
        </w:rPr>
        <w:t xml:space="preserve">, </w:t>
      </w:r>
      <w:r>
        <w:rPr>
          <w:szCs w:val="18"/>
        </w:rPr>
        <w:t>partie</w:t>
      </w:r>
      <w:r w:rsidRPr="00DA6597">
        <w:rPr>
          <w:szCs w:val="18"/>
        </w:rPr>
        <w:t xml:space="preserve"> I, 1.29.3.</w:t>
      </w:r>
    </w:p>
  </w:footnote>
  <w:footnote w:id="8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Règle 08.03.06.10 du Manuel de pratique et de procédure de l'Office des brevets de l'Inde, 2010.</w:t>
      </w:r>
    </w:p>
  </w:footnote>
  <w:footnote w:id="90">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 4.11.6.</w:t>
      </w:r>
    </w:p>
  </w:footnote>
  <w:footnote w:id="9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 4.11.7.</w:t>
      </w:r>
    </w:p>
  </w:footnote>
  <w:footnote w:id="9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 4.11.8.</w:t>
      </w:r>
    </w:p>
  </w:footnote>
  <w:footnote w:id="9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Idem.  La directive de l'Inde considère qu'un programme informatique n'est rien d'autre qu'un programme d'ordinateur </w:t>
      </w:r>
      <w:r w:rsidRPr="00DA6597">
        <w:rPr>
          <w:i/>
          <w:szCs w:val="18"/>
        </w:rPr>
        <w:t>en tant que tel</w:t>
      </w:r>
      <w:r w:rsidRPr="00DA6597">
        <w:rPr>
          <w:szCs w:val="18"/>
        </w:rPr>
        <w:t>.</w:t>
      </w:r>
    </w:p>
  </w:footnote>
  <w:footnote w:id="9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Loi n</w:t>
      </w:r>
      <w:r w:rsidRPr="00DA6597">
        <w:rPr>
          <w:szCs w:val="18"/>
          <w:vertAlign w:val="superscript"/>
        </w:rPr>
        <w:t>o</w:t>
      </w:r>
      <w:r w:rsidRPr="00DA6597">
        <w:rPr>
          <w:szCs w:val="18"/>
        </w:rPr>
        <w:t xml:space="preserve"> 68 du 13 septembre 2013.</w:t>
      </w:r>
    </w:p>
  </w:footnote>
  <w:footnote w:id="9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szCs w:val="18"/>
        </w:rPr>
        <w:t>Supplementary</w:t>
      </w:r>
      <w:proofErr w:type="spellEnd"/>
      <w:r w:rsidRPr="00DA6597">
        <w:rPr>
          <w:szCs w:val="18"/>
        </w:rPr>
        <w:t xml:space="preserve"> </w:t>
      </w:r>
      <w:proofErr w:type="spellStart"/>
      <w:r w:rsidRPr="00DA6597">
        <w:rPr>
          <w:szCs w:val="18"/>
        </w:rPr>
        <w:t>Order</w:t>
      </w:r>
      <w:proofErr w:type="spellEnd"/>
      <w:r w:rsidRPr="00DA6597">
        <w:rPr>
          <w:szCs w:val="18"/>
        </w:rPr>
        <w:t xml:space="preserve"> </w:t>
      </w:r>
      <w:proofErr w:type="spellStart"/>
      <w:r w:rsidRPr="00DA6597">
        <w:rPr>
          <w:szCs w:val="18"/>
        </w:rPr>
        <w:t>Paper</w:t>
      </w:r>
      <w:proofErr w:type="spellEnd"/>
      <w:r w:rsidRPr="00DA6597">
        <w:rPr>
          <w:szCs w:val="18"/>
        </w:rPr>
        <w:t xml:space="preserve"> (SOP) n</w:t>
      </w:r>
      <w:r w:rsidRPr="00DA6597">
        <w:rPr>
          <w:szCs w:val="18"/>
          <w:vertAlign w:val="superscript"/>
        </w:rPr>
        <w:t>o</w:t>
      </w:r>
      <w:r w:rsidRPr="00DA6597">
        <w:rPr>
          <w:szCs w:val="18"/>
        </w:rPr>
        <w:t xml:space="preserve"> 237 du 14 mai 2013.</w:t>
      </w:r>
    </w:p>
  </w:footnote>
  <w:footnote w:id="9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Manuel de procédure pour l'examen quant au fond, Office de la propriété intellectuelle des Philippines.</w:t>
      </w:r>
    </w:p>
  </w:footnote>
  <w:footnote w:id="9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 2.2.</w:t>
      </w:r>
    </w:p>
  </w:footnote>
  <w:footnote w:id="98">
    <w:p w:rsidR="00CA7E15" w:rsidRPr="00DA6597" w:rsidRDefault="00CA7E15" w:rsidP="002D0618">
      <w:pPr>
        <w:pStyle w:val="FootnoteText"/>
        <w:rPr>
          <w:szCs w:val="18"/>
        </w:rPr>
      </w:pPr>
      <w:r w:rsidRPr="00DA6597">
        <w:rPr>
          <w:rStyle w:val="FootnoteReference"/>
          <w:szCs w:val="18"/>
        </w:rPr>
        <w:footnoteRef/>
      </w:r>
      <w:r w:rsidR="00B14DF9">
        <w:rPr>
          <w:szCs w:val="18"/>
        </w:rPr>
        <w:t xml:space="preserve"> </w:t>
      </w:r>
      <w:r w:rsidR="00B14DF9">
        <w:rPr>
          <w:szCs w:val="18"/>
        </w:rPr>
        <w:tab/>
        <w:t>La l</w:t>
      </w:r>
      <w:r w:rsidRPr="00DA6597">
        <w:rPr>
          <w:szCs w:val="18"/>
        </w:rPr>
        <w:t>oi sur les brevets du Japon (ci-après dénommée “JPA”), article 2.3).i) dispose qu'un programme d'ordinateur est une forme d'invention de produit.</w:t>
      </w:r>
    </w:p>
  </w:footnote>
  <w:footnote w:id="9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JPA, article 2.1).</w:t>
      </w:r>
    </w:p>
  </w:footnote>
  <w:footnote w:id="100">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du JPO, note 53 supra.</w:t>
      </w:r>
    </w:p>
  </w:footnote>
  <w:footnote w:id="10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 partie IIV, chapitre I, 2.2.1(1).</w:t>
      </w:r>
    </w:p>
  </w:footnote>
  <w:footnote w:id="10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A57D78">
        <w:rPr>
          <w:i/>
          <w:szCs w:val="18"/>
        </w:rPr>
        <w:t xml:space="preserve">Software </w:t>
      </w:r>
      <w:proofErr w:type="spellStart"/>
      <w:r w:rsidRPr="00A57D78">
        <w:rPr>
          <w:i/>
          <w:szCs w:val="18"/>
        </w:rPr>
        <w:t>kanren</w:t>
      </w:r>
      <w:proofErr w:type="spellEnd"/>
      <w:r w:rsidRPr="00A57D78">
        <w:rPr>
          <w:i/>
          <w:szCs w:val="18"/>
        </w:rPr>
        <w:t xml:space="preserve"> </w:t>
      </w:r>
      <w:proofErr w:type="spellStart"/>
      <w:r w:rsidRPr="00A57D78">
        <w:rPr>
          <w:i/>
          <w:szCs w:val="18"/>
        </w:rPr>
        <w:t>hatsumei</w:t>
      </w:r>
      <w:proofErr w:type="spellEnd"/>
      <w:r w:rsidRPr="00A57D78">
        <w:rPr>
          <w:i/>
          <w:szCs w:val="18"/>
        </w:rPr>
        <w:t xml:space="preserve"> no </w:t>
      </w:r>
      <w:proofErr w:type="spellStart"/>
      <w:r w:rsidRPr="00A57D78">
        <w:rPr>
          <w:i/>
          <w:szCs w:val="18"/>
        </w:rPr>
        <w:t>chizai</w:t>
      </w:r>
      <w:proofErr w:type="spellEnd"/>
      <w:r w:rsidRPr="00A57D78">
        <w:rPr>
          <w:i/>
          <w:szCs w:val="18"/>
        </w:rPr>
        <w:t xml:space="preserve"> </w:t>
      </w:r>
      <w:proofErr w:type="spellStart"/>
      <w:r w:rsidRPr="00A57D78">
        <w:rPr>
          <w:i/>
          <w:szCs w:val="18"/>
        </w:rPr>
        <w:t>kousai</w:t>
      </w:r>
      <w:proofErr w:type="spellEnd"/>
      <w:r w:rsidRPr="00A57D78">
        <w:rPr>
          <w:i/>
          <w:szCs w:val="18"/>
        </w:rPr>
        <w:t xml:space="preserve"> </w:t>
      </w:r>
      <w:proofErr w:type="spellStart"/>
      <w:r w:rsidRPr="00A57D78">
        <w:rPr>
          <w:i/>
          <w:szCs w:val="18"/>
        </w:rPr>
        <w:t>hanketsu</w:t>
      </w:r>
      <w:proofErr w:type="spellEnd"/>
      <w:r w:rsidRPr="00A57D78">
        <w:rPr>
          <w:i/>
          <w:szCs w:val="18"/>
        </w:rPr>
        <w:t xml:space="preserve"> </w:t>
      </w:r>
      <w:proofErr w:type="spellStart"/>
      <w:r w:rsidRPr="00A57D78">
        <w:rPr>
          <w:i/>
          <w:szCs w:val="18"/>
        </w:rPr>
        <w:t>bunseki</w:t>
      </w:r>
      <w:proofErr w:type="spellEnd"/>
      <w:r w:rsidRPr="00A57D78">
        <w:rPr>
          <w:i/>
          <w:szCs w:val="18"/>
        </w:rPr>
        <w:t xml:space="preserve"> (</w:t>
      </w:r>
      <w:proofErr w:type="spellStart"/>
      <w:r w:rsidRPr="00A57D78">
        <w:rPr>
          <w:i/>
          <w:szCs w:val="18"/>
        </w:rPr>
        <w:t>hatsumei</w:t>
      </w:r>
      <w:proofErr w:type="spellEnd"/>
      <w:r w:rsidRPr="00A57D78">
        <w:rPr>
          <w:i/>
          <w:szCs w:val="18"/>
        </w:rPr>
        <w:t xml:space="preserve"> </w:t>
      </w:r>
      <w:proofErr w:type="spellStart"/>
      <w:r w:rsidRPr="00A57D78">
        <w:rPr>
          <w:i/>
          <w:szCs w:val="18"/>
        </w:rPr>
        <w:t>seiritsusei</w:t>
      </w:r>
      <w:proofErr w:type="spellEnd"/>
      <w:r w:rsidRPr="00DA6597">
        <w:rPr>
          <w:szCs w:val="18"/>
        </w:rPr>
        <w:t xml:space="preserve">), Patent, vol. 12 (2010).  Pour la jurisprudence en cette matière, voir aussi </w:t>
      </w:r>
      <w:proofErr w:type="spellStart"/>
      <w:r w:rsidRPr="00DA6597">
        <w:rPr>
          <w:szCs w:val="18"/>
        </w:rPr>
        <w:t>Masako</w:t>
      </w:r>
      <w:proofErr w:type="spellEnd"/>
      <w:r w:rsidRPr="00DA6597">
        <w:rPr>
          <w:szCs w:val="18"/>
        </w:rPr>
        <w:t xml:space="preserve"> </w:t>
      </w:r>
      <w:proofErr w:type="spellStart"/>
      <w:r w:rsidRPr="00DA6597">
        <w:rPr>
          <w:szCs w:val="18"/>
        </w:rPr>
        <w:t>Kikuchi</w:t>
      </w:r>
      <w:proofErr w:type="spellEnd"/>
      <w:r w:rsidRPr="00DA6597">
        <w:rPr>
          <w:szCs w:val="18"/>
        </w:rPr>
        <w:t xml:space="preserve">, note 54 supra, III.C.2. </w:t>
      </w:r>
    </w:p>
  </w:footnote>
  <w:footnote w:id="10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In </w:t>
      </w:r>
      <w:proofErr w:type="spellStart"/>
      <w:r w:rsidRPr="00DA6597">
        <w:rPr>
          <w:szCs w:val="18"/>
        </w:rPr>
        <w:t>re</w:t>
      </w:r>
      <w:proofErr w:type="spellEnd"/>
      <w:r w:rsidRPr="00DA6597">
        <w:rPr>
          <w:szCs w:val="18"/>
        </w:rPr>
        <w:t xml:space="preserve"> </w:t>
      </w:r>
      <w:proofErr w:type="spellStart"/>
      <w:r w:rsidRPr="00DA6597">
        <w:rPr>
          <w:i/>
          <w:szCs w:val="18"/>
        </w:rPr>
        <w:t>Bilski</w:t>
      </w:r>
      <w:proofErr w:type="spellEnd"/>
      <w:r w:rsidRPr="00DA6597">
        <w:rPr>
          <w:szCs w:val="18"/>
        </w:rPr>
        <w:t>.</w:t>
      </w:r>
    </w:p>
  </w:footnote>
  <w:footnote w:id="10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DA6597">
        <w:rPr>
          <w:i/>
          <w:szCs w:val="18"/>
        </w:rPr>
        <w:t>Benson</w:t>
      </w:r>
      <w:r w:rsidRPr="00DA6597">
        <w:rPr>
          <w:szCs w:val="18"/>
        </w:rPr>
        <w:t xml:space="preserve">, 409 U.S. 71, 175 USPQ, 676;  </w:t>
      </w:r>
      <w:proofErr w:type="spellStart"/>
      <w:r w:rsidRPr="00DA6597">
        <w:rPr>
          <w:i/>
          <w:szCs w:val="18"/>
        </w:rPr>
        <w:t>Diehr</w:t>
      </w:r>
      <w:proofErr w:type="spellEnd"/>
      <w:r w:rsidRPr="00DA6597">
        <w:rPr>
          <w:szCs w:val="18"/>
        </w:rPr>
        <w:t>, 450 U.S. 187, 209 USPQ, 8.  Ces décisions sont également citées dans le manuel de procédure d'examen des demandes de brevets (MPEP), 2100-11.</w:t>
      </w:r>
    </w:p>
  </w:footnote>
  <w:footnote w:id="105">
    <w:p w:rsidR="00CA7E15" w:rsidRPr="00DA6597" w:rsidRDefault="00CA7E15" w:rsidP="002D0618">
      <w:pPr>
        <w:pStyle w:val="FootnoteText"/>
        <w:rPr>
          <w:i/>
          <w:szCs w:val="18"/>
        </w:rPr>
      </w:pPr>
      <w:r w:rsidRPr="00DA6597">
        <w:rPr>
          <w:rStyle w:val="FootnoteReference"/>
          <w:szCs w:val="18"/>
        </w:rPr>
        <w:footnoteRef/>
      </w:r>
      <w:r w:rsidRPr="00DA6597">
        <w:rPr>
          <w:szCs w:val="18"/>
        </w:rPr>
        <w:t xml:space="preserve"> </w:t>
      </w:r>
      <w:r w:rsidRPr="00DA6597">
        <w:rPr>
          <w:szCs w:val="18"/>
        </w:rPr>
        <w:tab/>
        <w:t xml:space="preserve">La dernière version (août 2012) peut être consultée à l'adresse http://www.uspto.gov/web/offices/pac/mpep/. </w:t>
      </w:r>
    </w:p>
  </w:footnote>
  <w:footnote w:id="10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Mémorandum concernant les nouvelles instructions provisoires d'examen de l'admissibilité à la protection par brevet (ci-après dénommées “Instructions provisoires </w:t>
      </w:r>
      <w:proofErr w:type="spellStart"/>
      <w:r w:rsidRPr="00DA6597">
        <w:rPr>
          <w:i/>
          <w:szCs w:val="18"/>
        </w:rPr>
        <w:t>Bilski</w:t>
      </w:r>
      <w:proofErr w:type="spellEnd"/>
      <w:r w:rsidRPr="00DA6597">
        <w:rPr>
          <w:szCs w:val="18"/>
        </w:rPr>
        <w:t xml:space="preserve">”),  le 24 août 2009 (publié suite à la décision rendue dans l'affaire </w:t>
      </w:r>
      <w:proofErr w:type="spellStart"/>
      <w:r w:rsidRPr="00DA6597">
        <w:rPr>
          <w:i/>
          <w:szCs w:val="18"/>
        </w:rPr>
        <w:t>Bilski</w:t>
      </w:r>
      <w:proofErr w:type="spellEnd"/>
      <w:r w:rsidRPr="00DA6597">
        <w:rPr>
          <w:szCs w:val="18"/>
        </w:rPr>
        <w:t xml:space="preserve"> par la Cour d'appel des États-Unis pour le circuit fédéral).  Voir : http://www.uspto.gov/patents/law/comments/2009-08-25_interim_101_instructions.pdf.</w:t>
      </w:r>
    </w:p>
  </w:footnote>
  <w:footnote w:id="10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Mémorandum concernant l'orientation provisoire de la détermination de l'admissibilité des revendications de procédé à la lumière de </w:t>
      </w:r>
      <w:proofErr w:type="spellStart"/>
      <w:r w:rsidRPr="00DA6597">
        <w:rPr>
          <w:i/>
          <w:szCs w:val="18"/>
        </w:rPr>
        <w:t>Bilski</w:t>
      </w:r>
      <w:proofErr w:type="spellEnd"/>
      <w:r w:rsidRPr="00DA6597">
        <w:rPr>
          <w:i/>
          <w:szCs w:val="18"/>
        </w:rPr>
        <w:t xml:space="preserve"> </w:t>
      </w:r>
      <w:r w:rsidRPr="00C24750">
        <w:rPr>
          <w:szCs w:val="18"/>
        </w:rPr>
        <w:t>c.</w:t>
      </w:r>
      <w:r w:rsidRPr="00DA6597">
        <w:rPr>
          <w:i/>
          <w:szCs w:val="18"/>
        </w:rPr>
        <w:t xml:space="preserve"> </w:t>
      </w:r>
      <w:proofErr w:type="spellStart"/>
      <w:r w:rsidRPr="00DA6597">
        <w:rPr>
          <w:i/>
          <w:szCs w:val="18"/>
        </w:rPr>
        <w:t>Kappos</w:t>
      </w:r>
      <w:proofErr w:type="spellEnd"/>
      <w:r w:rsidRPr="00DA6597">
        <w:rPr>
          <w:szCs w:val="18"/>
        </w:rPr>
        <w:t xml:space="preserve"> (ci-après dénommée “orientation provisoire </w:t>
      </w:r>
      <w:proofErr w:type="spellStart"/>
      <w:r w:rsidRPr="00DA6597">
        <w:rPr>
          <w:i/>
          <w:szCs w:val="18"/>
        </w:rPr>
        <w:t>Bilski</w:t>
      </w:r>
      <w:proofErr w:type="spellEnd"/>
      <w:r w:rsidRPr="00DA6597">
        <w:rPr>
          <w:szCs w:val="18"/>
        </w:rPr>
        <w:t xml:space="preserve">”), 27 juillet 2010 (publié suite à la décision rendue dans l'affaire </w:t>
      </w:r>
      <w:proofErr w:type="spellStart"/>
      <w:r w:rsidRPr="00DA6597">
        <w:rPr>
          <w:i/>
          <w:szCs w:val="18"/>
        </w:rPr>
        <w:t>Bilski</w:t>
      </w:r>
      <w:proofErr w:type="spellEnd"/>
      <w:r w:rsidRPr="00DA6597">
        <w:rPr>
          <w:szCs w:val="18"/>
        </w:rPr>
        <w:t xml:space="preserve"> par la Cour suprême). Voir : http://www.uspto.gov/patents/law/exam/bilski_guidance_27jul2010.pdf.</w:t>
      </w:r>
    </w:p>
  </w:footnote>
  <w:footnote w:id="10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Ces catégories sont énoncées à l’article 101 du titre 35 du Code des États-Unis d'Amérique.</w:t>
      </w:r>
    </w:p>
  </w:footnote>
  <w:footnote w:id="10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En particulier récemment, dans l'affaire </w:t>
      </w:r>
      <w:proofErr w:type="spellStart"/>
      <w:r w:rsidRPr="00DA6597">
        <w:rPr>
          <w:i/>
          <w:szCs w:val="18"/>
        </w:rPr>
        <w:t>Bilski</w:t>
      </w:r>
      <w:proofErr w:type="spellEnd"/>
      <w:r w:rsidRPr="00DA6597">
        <w:rPr>
          <w:szCs w:val="18"/>
        </w:rPr>
        <w:t>, concernant la validité d'une revendication de brevet pour une méthode de couverture de risque dans le domaine du négoce de marchandises, dans laquelle il a été établi que le test de brevetabilité d'une invention relative à un procédé était celui de la machine ou transformation.  En d'autres termes, pour être brevetable, un procédé doit : 1) être lié à une machine ou à un appareil ou 2)</w:t>
      </w:r>
      <w:r w:rsidR="00C24750">
        <w:rPr>
          <w:szCs w:val="18"/>
        </w:rPr>
        <w:t> </w:t>
      </w:r>
      <w:r w:rsidRPr="00DA6597">
        <w:rPr>
          <w:szCs w:val="18"/>
        </w:rPr>
        <w:t xml:space="preserve">transformer un article particulier en un état ou un objet différent (juge Michel, In </w:t>
      </w:r>
      <w:proofErr w:type="spellStart"/>
      <w:r w:rsidRPr="00DA6597">
        <w:rPr>
          <w:szCs w:val="18"/>
        </w:rPr>
        <w:t>re</w:t>
      </w:r>
      <w:proofErr w:type="spellEnd"/>
      <w:r w:rsidRPr="00DA6597">
        <w:rPr>
          <w:szCs w:val="18"/>
        </w:rPr>
        <w:t xml:space="preserve"> </w:t>
      </w:r>
      <w:proofErr w:type="spellStart"/>
      <w:r w:rsidRPr="00DA6597">
        <w:rPr>
          <w:szCs w:val="18"/>
        </w:rPr>
        <w:t>Bilski</w:t>
      </w:r>
      <w:proofErr w:type="spellEnd"/>
      <w:r w:rsidRPr="00DA6597">
        <w:rPr>
          <w:szCs w:val="18"/>
        </w:rPr>
        <w:t>).</w:t>
      </w:r>
    </w:p>
  </w:footnote>
  <w:footnote w:id="110">
    <w:p w:rsidR="00CA7E15" w:rsidRPr="00DA6597" w:rsidRDefault="00CA7E15" w:rsidP="002D0618">
      <w:pPr>
        <w:pStyle w:val="FootnoteText"/>
        <w:spacing w:line="480" w:lineRule="auto"/>
        <w:rPr>
          <w:szCs w:val="18"/>
        </w:rPr>
      </w:pPr>
      <w:r w:rsidRPr="00DA6597">
        <w:rPr>
          <w:rStyle w:val="FootnoteReference"/>
        </w:rPr>
        <w:footnoteRef/>
      </w:r>
      <w:r w:rsidRPr="00DA6597">
        <w:t xml:space="preserve"> </w:t>
      </w:r>
      <w:r w:rsidRPr="00DA6597">
        <w:tab/>
        <w:t>Directives pour l'examen des inventions relatives à des ordinateurs</w:t>
      </w:r>
      <w:r w:rsidRPr="00DA6597">
        <w:rPr>
          <w:szCs w:val="18"/>
        </w:rPr>
        <w:t>, IV.B.1.</w:t>
      </w:r>
    </w:p>
  </w:footnote>
  <w:footnote w:id="111">
    <w:p w:rsidR="00CA7E15" w:rsidRPr="00DA6597" w:rsidRDefault="00CA7E15" w:rsidP="002D0618">
      <w:pPr>
        <w:rPr>
          <w:rStyle w:val="FootnoteReference"/>
        </w:rPr>
      </w:pPr>
      <w:r w:rsidRPr="003E4F32">
        <w:rPr>
          <w:rStyle w:val="FootnoteReference"/>
          <w:sz w:val="18"/>
          <w:szCs w:val="18"/>
        </w:rPr>
        <w:footnoteRef/>
      </w:r>
      <w:r w:rsidRPr="003E4F32">
        <w:rPr>
          <w:rStyle w:val="FootnoteReference"/>
          <w:sz w:val="18"/>
          <w:szCs w:val="18"/>
        </w:rPr>
        <w:t xml:space="preserve"> </w:t>
      </w:r>
      <w:r w:rsidRPr="00DA6597">
        <w:tab/>
      </w:r>
      <w:r w:rsidRPr="00DA6597">
        <w:rPr>
          <w:sz w:val="18"/>
          <w:szCs w:val="18"/>
        </w:rPr>
        <w:t>Le "matériel descriptif fonctionnel" se compose de structures de données et de programmes d'ordinateur conférant une fonctionnalité lorsqu'ils sont codés sur un support lisible par ordinateur;  une revendication relative à un support lisible par ordinateur sur lequel est codé un programme d'ordinateur définit entre ce</w:t>
      </w:r>
      <w:r w:rsidR="003E4F32">
        <w:rPr>
          <w:sz w:val="18"/>
          <w:szCs w:val="18"/>
        </w:rPr>
        <w:t> </w:t>
      </w:r>
      <w:r w:rsidRPr="00DA6597">
        <w:rPr>
          <w:sz w:val="18"/>
          <w:szCs w:val="18"/>
        </w:rPr>
        <w:t>programme d'ordinateur et ce support des relations structurelles et fonctionnelles permettant l'exécution de la fonction du programme d'ordinateur</w:t>
      </w:r>
      <w:r>
        <w:rPr>
          <w:sz w:val="18"/>
          <w:szCs w:val="18"/>
        </w:rPr>
        <w:t>,</w:t>
      </w:r>
      <w:r w:rsidRPr="00DA6597">
        <w:rPr>
          <w:sz w:val="18"/>
          <w:szCs w:val="18"/>
        </w:rPr>
        <w:t xml:space="preserve"> et correspond par conséquent à la définition d'objet prévue par la loi.  Le matériel descriptif fonctionnel n'est pas brevetable en lui-même, mais seulement s'il est incorporé dans un</w:t>
      </w:r>
      <w:r w:rsidR="003E4F32">
        <w:rPr>
          <w:sz w:val="18"/>
          <w:szCs w:val="18"/>
        </w:rPr>
        <w:t> </w:t>
      </w:r>
      <w:r w:rsidRPr="00DA6597">
        <w:rPr>
          <w:sz w:val="18"/>
          <w:szCs w:val="18"/>
        </w:rPr>
        <w:t>ordinateur lui permettant d'exécuter sa fonction à l'égard de cet ordinateur.</w:t>
      </w:r>
    </w:p>
  </w:footnote>
  <w:footnote w:id="112">
    <w:p w:rsidR="00CA7E15" w:rsidRPr="00DA6597" w:rsidRDefault="00CA7E15" w:rsidP="002D0618">
      <w:pPr>
        <w:pStyle w:val="FootnoteText"/>
      </w:pPr>
      <w:r w:rsidRPr="00DA6597">
        <w:rPr>
          <w:rStyle w:val="FootnoteReference"/>
        </w:rPr>
        <w:footnoteRef/>
      </w:r>
      <w:r w:rsidRPr="00DA6597">
        <w:t xml:space="preserve"> </w:t>
      </w:r>
      <w:r w:rsidRPr="00DA6597">
        <w:tab/>
        <w:t>Le "matériel descriptif non fonctionnel" comprend, sans toutefois s'y limiter, la musique, les œuvres littéraires et les compilations ou simples agencements de données.  Le seul fait qu'il soit enregistré sur un quelconque support lisible par ordinateur n'en fait pas un objet brevetable : par exemple, si une chanson est enregistrée sur un ordinateur, elle ne devient pas pour autant admissible à la protection par brevet.</w:t>
      </w:r>
    </w:p>
  </w:footnote>
  <w:footnote w:id="11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DA6597">
        <w:rPr>
          <w:i/>
          <w:szCs w:val="18"/>
        </w:rPr>
        <w:t xml:space="preserve">In </w:t>
      </w:r>
      <w:proofErr w:type="spellStart"/>
      <w:r w:rsidRPr="00DA6597">
        <w:rPr>
          <w:i/>
          <w:szCs w:val="18"/>
        </w:rPr>
        <w:t>re</w:t>
      </w:r>
      <w:proofErr w:type="spellEnd"/>
      <w:r w:rsidRPr="00DA6597">
        <w:rPr>
          <w:i/>
          <w:szCs w:val="18"/>
        </w:rPr>
        <w:t xml:space="preserve"> </w:t>
      </w:r>
      <w:proofErr w:type="spellStart"/>
      <w:r w:rsidRPr="00DA6597">
        <w:rPr>
          <w:i/>
          <w:szCs w:val="18"/>
        </w:rPr>
        <w:t>Kuriappan</w:t>
      </w:r>
      <w:proofErr w:type="spellEnd"/>
      <w:r w:rsidRPr="00DA6597">
        <w:rPr>
          <w:i/>
          <w:szCs w:val="18"/>
        </w:rPr>
        <w:t xml:space="preserve"> P. </w:t>
      </w:r>
      <w:proofErr w:type="spellStart"/>
      <w:r w:rsidRPr="00DA6597">
        <w:rPr>
          <w:i/>
          <w:szCs w:val="18"/>
        </w:rPr>
        <w:t>Alappat</w:t>
      </w:r>
      <w:proofErr w:type="spellEnd"/>
      <w:r w:rsidRPr="00DA6597">
        <w:rPr>
          <w:i/>
          <w:szCs w:val="18"/>
        </w:rPr>
        <w:t xml:space="preserve">, Edward E. </w:t>
      </w:r>
      <w:proofErr w:type="spellStart"/>
      <w:r w:rsidRPr="00DA6597">
        <w:rPr>
          <w:i/>
          <w:szCs w:val="18"/>
        </w:rPr>
        <w:t>Averill</w:t>
      </w:r>
      <w:proofErr w:type="spellEnd"/>
      <w:r w:rsidRPr="00DA6597">
        <w:rPr>
          <w:i/>
          <w:szCs w:val="18"/>
        </w:rPr>
        <w:t xml:space="preserve"> and James G. Larsen</w:t>
      </w:r>
      <w:r w:rsidRPr="00DA6597">
        <w:rPr>
          <w:szCs w:val="18"/>
        </w:rPr>
        <w:t>, 33 F.3d 1526 (circuit fédéral, 1994).</w:t>
      </w:r>
    </w:p>
  </w:footnote>
  <w:footnote w:id="11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DA6597">
        <w:rPr>
          <w:i/>
          <w:szCs w:val="18"/>
        </w:rPr>
        <w:t>Alappat</w:t>
      </w:r>
      <w:proofErr w:type="spellEnd"/>
      <w:r w:rsidRPr="00DA6597">
        <w:rPr>
          <w:szCs w:val="18"/>
        </w:rPr>
        <w:t>, 1544.</w:t>
      </w:r>
    </w:p>
  </w:footnote>
  <w:footnote w:id="11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r w:rsidRPr="00DA6597">
        <w:rPr>
          <w:i/>
          <w:szCs w:val="18"/>
        </w:rPr>
        <w:t xml:space="preserve">Schlumberger Canada Ltd. </w:t>
      </w:r>
      <w:r w:rsidRPr="003E4F32">
        <w:rPr>
          <w:szCs w:val="18"/>
        </w:rPr>
        <w:t>c.</w:t>
      </w:r>
      <w:r w:rsidRPr="00DA6597">
        <w:rPr>
          <w:i/>
          <w:szCs w:val="18"/>
        </w:rPr>
        <w:t xml:space="preserve"> Canada (Commissaire aux brevets)</w:t>
      </w:r>
      <w:r w:rsidRPr="00DA6597">
        <w:rPr>
          <w:szCs w:val="18"/>
        </w:rPr>
        <w:t>, [1982] 1 C.F. 845 (C.A.F.).  Dans l’affaire</w:t>
      </w:r>
      <w:r w:rsidR="003E4F32">
        <w:rPr>
          <w:szCs w:val="18"/>
        </w:rPr>
        <w:t> </w:t>
      </w:r>
      <w:r w:rsidRPr="00DA6597">
        <w:rPr>
          <w:i/>
          <w:szCs w:val="18"/>
        </w:rPr>
        <w:t>Schlumberger</w:t>
      </w:r>
      <w:r w:rsidRPr="00DA6597">
        <w:rPr>
          <w:szCs w:val="18"/>
        </w:rPr>
        <w:t>, la demande concernait un procédé par lequel des mesures prises dans des forages de formations géologiques sont enregistrées sur des bandes magnétiques, transmises à un ordinateur programmé selon les formules mathématiques exposées dans le mémoire descriptif, soumises à une analyse de conditions sismiques, puis converties en rapports comprenant des diagrammes, des graphiques et des tableaux.  Les revendications de cette de</w:t>
      </w:r>
      <w:r w:rsidR="007C1457">
        <w:rPr>
          <w:szCs w:val="18"/>
        </w:rPr>
        <w:t>mande avaient été rejetées, la C</w:t>
      </w:r>
      <w:r w:rsidRPr="00DA6597">
        <w:rPr>
          <w:szCs w:val="18"/>
        </w:rPr>
        <w:t>our ayant conclu que le seul aspect nouveau de l'invention revendiquée était une formule mathématique – le fait que cette formule ait été programmée dans un ordinateur étant insuffisant à rendre brevetable l’objet de ces revendications.</w:t>
      </w:r>
    </w:p>
  </w:footnote>
  <w:footnote w:id="116">
    <w:p w:rsidR="00CA7E15" w:rsidRPr="003E4F32" w:rsidRDefault="00CA7E15" w:rsidP="002D0618">
      <w:pPr>
        <w:pStyle w:val="FootnoteText"/>
        <w:rPr>
          <w:szCs w:val="18"/>
        </w:rPr>
      </w:pPr>
      <w:r w:rsidRPr="00DA6597">
        <w:rPr>
          <w:rStyle w:val="FootnoteReference"/>
          <w:szCs w:val="18"/>
        </w:rPr>
        <w:t>111</w:t>
      </w:r>
      <w:r w:rsidRPr="00DA6597">
        <w:rPr>
          <w:szCs w:val="18"/>
        </w:rPr>
        <w:tab/>
        <w:t xml:space="preserve">Voir </w:t>
      </w:r>
      <w:r w:rsidRPr="003E4F32">
        <w:rPr>
          <w:color w:val="0000FF"/>
          <w:szCs w:val="18"/>
          <w:u w:val="single"/>
        </w:rPr>
        <w:t>http://www.cipo.ic.gc.ca/eic/site/cipointernet-internetopic.nsf/fra/h_wr00720.html</w:t>
      </w:r>
      <w:r w:rsidR="003E4F32">
        <w:rPr>
          <w:rStyle w:val="Hyperlink"/>
          <w:color w:val="auto"/>
          <w:szCs w:val="18"/>
          <w:u w:val="none"/>
        </w:rPr>
        <w:t>.</w:t>
      </w:r>
    </w:p>
  </w:footnote>
  <w:footnote w:id="11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Règle 16.03.02 du RPBB.</w:t>
      </w:r>
    </w:p>
  </w:footnote>
  <w:footnote w:id="11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David Weber, “</w:t>
      </w:r>
      <w:r w:rsidRPr="00DA6597">
        <w:rPr>
          <w:i/>
          <w:szCs w:val="18"/>
        </w:rPr>
        <w:t xml:space="preserve">Software Patents in </w:t>
      </w:r>
      <w:proofErr w:type="spellStart"/>
      <w:r w:rsidRPr="00DA6597">
        <w:rPr>
          <w:i/>
          <w:szCs w:val="18"/>
        </w:rPr>
        <w:t>Australia</w:t>
      </w:r>
      <w:proofErr w:type="spellEnd"/>
      <w:r w:rsidRPr="00DA6597">
        <w:rPr>
          <w:i/>
          <w:szCs w:val="18"/>
        </w:rPr>
        <w:t xml:space="preserve">: Court </w:t>
      </w:r>
      <w:proofErr w:type="spellStart"/>
      <w:r w:rsidRPr="00DA6597">
        <w:rPr>
          <w:i/>
          <w:szCs w:val="18"/>
        </w:rPr>
        <w:t>prefers</w:t>
      </w:r>
      <w:proofErr w:type="spellEnd"/>
      <w:r w:rsidRPr="00DA6597">
        <w:rPr>
          <w:i/>
          <w:szCs w:val="18"/>
        </w:rPr>
        <w:t xml:space="preserve"> </w:t>
      </w:r>
      <w:proofErr w:type="spellStart"/>
      <w:r w:rsidRPr="00DA6597">
        <w:rPr>
          <w:i/>
          <w:szCs w:val="18"/>
        </w:rPr>
        <w:t>Curves</w:t>
      </w:r>
      <w:proofErr w:type="spellEnd"/>
      <w:r w:rsidRPr="00DA6597">
        <w:rPr>
          <w:i/>
          <w:szCs w:val="18"/>
        </w:rPr>
        <w:t xml:space="preserve"> to </w:t>
      </w:r>
      <w:proofErr w:type="spellStart"/>
      <w:r w:rsidRPr="00DA6597">
        <w:rPr>
          <w:i/>
          <w:szCs w:val="18"/>
        </w:rPr>
        <w:t>Asset</w:t>
      </w:r>
      <w:proofErr w:type="spellEnd"/>
      <w:r w:rsidRPr="00DA6597">
        <w:rPr>
          <w:i/>
          <w:szCs w:val="18"/>
        </w:rPr>
        <w:t xml:space="preserve"> Index</w:t>
      </w:r>
      <w:r w:rsidRPr="00DA6597">
        <w:rPr>
          <w:szCs w:val="18"/>
        </w:rPr>
        <w:t xml:space="preserve">, voir : </w:t>
      </w:r>
      <w:hyperlink r:id="rId15" w:history="1">
        <w:r w:rsidRPr="003E4F32">
          <w:rPr>
            <w:rStyle w:val="Hyperlink"/>
            <w:szCs w:val="18"/>
          </w:rPr>
          <w:t>http://www.davies.com.au/pub/detail/693/software-patents-in-australia-court-prefers-curves-to-asset-index</w:t>
        </w:r>
      </w:hyperlink>
      <w:r w:rsidR="003E4F32">
        <w:rPr>
          <w:szCs w:val="18"/>
        </w:rPr>
        <w:t>.</w:t>
      </w:r>
    </w:p>
  </w:footnote>
  <w:footnote w:id="11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r>
      <w:proofErr w:type="spellStart"/>
      <w:r w:rsidRPr="003E4F32">
        <w:rPr>
          <w:i/>
          <w:szCs w:val="18"/>
        </w:rPr>
        <w:t>Research</w:t>
      </w:r>
      <w:proofErr w:type="spellEnd"/>
      <w:r w:rsidRPr="003E4F32">
        <w:rPr>
          <w:i/>
          <w:szCs w:val="18"/>
        </w:rPr>
        <w:t xml:space="preserve"> </w:t>
      </w:r>
      <w:proofErr w:type="spellStart"/>
      <w:r w:rsidRPr="003E4F32">
        <w:rPr>
          <w:i/>
          <w:szCs w:val="18"/>
        </w:rPr>
        <w:t>Affiliates</w:t>
      </w:r>
      <w:proofErr w:type="spellEnd"/>
      <w:r w:rsidRPr="003E4F32">
        <w:rPr>
          <w:i/>
          <w:szCs w:val="18"/>
        </w:rPr>
        <w:t xml:space="preserve"> LLC</w:t>
      </w:r>
      <w:r w:rsidRPr="00DA6597">
        <w:rPr>
          <w:szCs w:val="18"/>
        </w:rPr>
        <w:t xml:space="preserve"> c. </w:t>
      </w:r>
      <w:proofErr w:type="spellStart"/>
      <w:r w:rsidRPr="003E4F32">
        <w:rPr>
          <w:i/>
          <w:szCs w:val="18"/>
        </w:rPr>
        <w:t>Commissioner</w:t>
      </w:r>
      <w:proofErr w:type="spellEnd"/>
      <w:r w:rsidRPr="003E4F32">
        <w:rPr>
          <w:i/>
          <w:szCs w:val="18"/>
        </w:rPr>
        <w:t xml:space="preserve"> of Patents</w:t>
      </w:r>
      <w:r w:rsidRPr="00DA6597">
        <w:rPr>
          <w:szCs w:val="18"/>
        </w:rPr>
        <w:t>, FCA, 13 février 2013, §22.  Une question examinée en particulier dans cette affaire a été celle de savoir si un programme d'ordinateur pouvait répondre à la définition d'invention au sens de l'expression “fabrication nouvelle” c</w:t>
      </w:r>
      <w:r w:rsidR="003E4F32">
        <w:rPr>
          <w:szCs w:val="18"/>
        </w:rPr>
        <w:t>ontenue dans l'article 6 de la l</w:t>
      </w:r>
      <w:r w:rsidRPr="00DA6597">
        <w:rPr>
          <w:szCs w:val="18"/>
        </w:rPr>
        <w:t>oi sur les monopoles.</w:t>
      </w:r>
    </w:p>
  </w:footnote>
  <w:footnote w:id="120">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d'examen des brevets (critères de brevetabilité) (ci-après dénommées “directives du KIPO”), Office coréen de la propriété intellectuelle.  Voir 4.1.8.</w:t>
      </w:r>
    </w:p>
  </w:footnote>
  <w:footnote w:id="12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w:t>
      </w:r>
    </w:p>
  </w:footnote>
  <w:footnote w:id="12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Loi chinoise sur les brevets, article 2.2).</w:t>
      </w:r>
    </w:p>
  </w:footnote>
  <w:footnote w:id="12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d'examen des brevets, Office d'État de la propriété intellectuelle de la République populaire de</w:t>
      </w:r>
      <w:r w:rsidR="003E4F32">
        <w:rPr>
          <w:szCs w:val="18"/>
        </w:rPr>
        <w:t> </w:t>
      </w:r>
      <w:r w:rsidRPr="00DA6597">
        <w:rPr>
          <w:szCs w:val="18"/>
        </w:rPr>
        <w:t>Chine (ci-après dénommées “directives du SIPO”).  Voir partie II, chapitre 1, 2.</w:t>
      </w:r>
    </w:p>
  </w:footnote>
  <w:footnote w:id="12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w:t>
      </w:r>
    </w:p>
  </w:footnote>
  <w:footnote w:id="12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 partie II, chapitre 9, 2.</w:t>
      </w:r>
    </w:p>
  </w:footnote>
  <w:footnote w:id="12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“Caractère technique”, “contribution technique”, “idée technique”, “solution technique”, “problème technique”, “effet technique”, “domaine de la technologie” et expressions équivalentes.</w:t>
      </w:r>
    </w:p>
  </w:footnote>
  <w:footnote w:id="12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Par exemple, Angola, Antigua</w:t>
      </w:r>
      <w:r w:rsidRPr="00DA6597">
        <w:rPr>
          <w:szCs w:val="18"/>
        </w:rPr>
        <w:noBreakHyphen/>
        <w:t>et</w:t>
      </w:r>
      <w:r w:rsidRPr="00DA6597">
        <w:rPr>
          <w:szCs w:val="18"/>
        </w:rPr>
        <w:noBreakHyphen/>
        <w:t>Barbuda, Arménie, Belize, Bhoutan, Botswana, Cambodge, Chili, Chine, Dominique, Éthiopie, Fédération de Russie, Ghana, Iran (République islamique d’), Japon, Jordanie, Malaisie, Philippines, République de Corée, Viet Nam.  Voir les dispositions proprement dites à l’annexe I.</w:t>
      </w:r>
    </w:p>
  </w:footnote>
  <w:footnote w:id="12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Par exemple, Albanie, Allemagne, Bulgarie, Croatie, Hongrie, Irlande, Islande, OEB.  Voir les dispositions proprement dites à l’annexe I.</w:t>
      </w:r>
    </w:p>
  </w:footnote>
  <w:footnote w:id="12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Au Royaume-Uni, un critère de "</w:t>
      </w:r>
      <w:r w:rsidRPr="00DA6597">
        <w:rPr>
          <w:szCs w:val="22"/>
        </w:rPr>
        <w:t>contribution technique" s’est dégagé de la jurisprudence (voir note 44).  Les</w:t>
      </w:r>
      <w:r>
        <w:rPr>
          <w:szCs w:val="22"/>
        </w:rPr>
        <w:t> </w:t>
      </w:r>
      <w:r w:rsidRPr="00DA6597">
        <w:rPr>
          <w:szCs w:val="22"/>
        </w:rPr>
        <w:t>directives du Canada et de l'Inde posent également une exigence de technicité, mais celle-ci n'est pas mentionnée dans la loi (voir respectivement les notes 67 et 48).</w:t>
      </w:r>
    </w:p>
  </w:footnote>
  <w:footnote w:id="130">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Les États-Unis d'Amérique, par exemple, semblent utiliser un critère d’“utilité” plutôt que de technicité. </w:t>
      </w:r>
    </w:p>
  </w:footnote>
  <w:footnote w:id="131">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Instructions provisoires </w:t>
      </w:r>
      <w:proofErr w:type="spellStart"/>
      <w:r w:rsidRPr="00DA6597">
        <w:rPr>
          <w:i/>
          <w:szCs w:val="18"/>
        </w:rPr>
        <w:t>Bilski</w:t>
      </w:r>
      <w:proofErr w:type="spellEnd"/>
      <w:r w:rsidRPr="00DA6597">
        <w:rPr>
          <w:szCs w:val="18"/>
        </w:rPr>
        <w:t>, chapitre I, 1.  Cela s'explique par le fait que la notion de programme d'ordinateur en lui-même n'entre dans aucune des catégories prévues par l'article 101.</w:t>
      </w:r>
    </w:p>
  </w:footnote>
  <w:footnote w:id="132">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Instructions provisoires </w:t>
      </w:r>
      <w:proofErr w:type="spellStart"/>
      <w:r w:rsidRPr="00DA6597">
        <w:rPr>
          <w:i/>
          <w:szCs w:val="18"/>
        </w:rPr>
        <w:t>Bilski</w:t>
      </w:r>
      <w:proofErr w:type="spellEnd"/>
      <w:r w:rsidRPr="00DA6597">
        <w:rPr>
          <w:szCs w:val="18"/>
        </w:rPr>
        <w:t xml:space="preserve">, chapitre II et Orientation provisoire </w:t>
      </w:r>
      <w:proofErr w:type="spellStart"/>
      <w:r w:rsidRPr="00DA6597">
        <w:rPr>
          <w:i/>
          <w:szCs w:val="18"/>
        </w:rPr>
        <w:t>Bilski</w:t>
      </w:r>
      <w:proofErr w:type="spellEnd"/>
      <w:r w:rsidRPr="00DA6597">
        <w:rPr>
          <w:szCs w:val="18"/>
        </w:rPr>
        <w:t xml:space="preserve">. </w:t>
      </w:r>
    </w:p>
  </w:footnote>
  <w:footnote w:id="133">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du KIPO, note 15 supra</w:t>
      </w:r>
      <w:r w:rsidRPr="00DA6597">
        <w:rPr>
          <w:i/>
          <w:szCs w:val="18"/>
        </w:rPr>
        <w:t xml:space="preserve">, </w:t>
      </w:r>
      <w:r w:rsidRPr="00DA6597">
        <w:rPr>
          <w:szCs w:val="18"/>
        </w:rPr>
        <w:t>4.1.8.</w:t>
      </w:r>
    </w:p>
  </w:footnote>
  <w:footnote w:id="134">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 xml:space="preserve">Directives de l’Inde, note 115 supra, chapitre IV 4.11.5–4.11.8 et directives du SIPO, note 118 supra, partie II, chapitre 9, 5.2. </w:t>
      </w:r>
    </w:p>
  </w:footnote>
  <w:footnote w:id="135">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RPBB, note 112 supra, chapitre (16.08).</w:t>
      </w:r>
    </w:p>
  </w:footnote>
  <w:footnote w:id="136">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L’OEB, le Royaume-Uni et l'Allemagne sont des exemples.</w:t>
      </w:r>
    </w:p>
  </w:footnote>
  <w:footnote w:id="137">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Directives de l’OEB, note 53 supra, 2.2.</w:t>
      </w:r>
    </w:p>
  </w:footnote>
  <w:footnote w:id="138">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Directive</w:t>
      </w:r>
      <w:r w:rsidR="00FC48F0">
        <w:rPr>
          <w:szCs w:val="18"/>
        </w:rPr>
        <w:t>s</w:t>
      </w:r>
      <w:r w:rsidRPr="00DA6597">
        <w:rPr>
          <w:szCs w:val="18"/>
        </w:rPr>
        <w:t xml:space="preserve"> de l’UKIPO, note 83 supra, 1.28.</w:t>
      </w:r>
    </w:p>
  </w:footnote>
  <w:footnote w:id="139">
    <w:p w:rsidR="00CA7E15" w:rsidRPr="00DA6597" w:rsidRDefault="00CA7E15" w:rsidP="002D0618">
      <w:pPr>
        <w:pStyle w:val="FootnoteText"/>
        <w:rPr>
          <w:szCs w:val="18"/>
        </w:rPr>
      </w:pPr>
      <w:r w:rsidRPr="00DA6597">
        <w:rPr>
          <w:rStyle w:val="FootnoteReference"/>
          <w:szCs w:val="18"/>
        </w:rPr>
        <w:footnoteRef/>
      </w:r>
      <w:r w:rsidRPr="00DA6597">
        <w:rPr>
          <w:szCs w:val="18"/>
        </w:rPr>
        <w:t xml:space="preserve"> </w:t>
      </w:r>
      <w:r w:rsidRPr="00DA6597">
        <w:rPr>
          <w:szCs w:val="18"/>
        </w:rPr>
        <w:tab/>
        <w:t>Idem, 1.29.3.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15" w:rsidRDefault="00CA7E15" w:rsidP="00477D6B">
    <w:pPr>
      <w:jc w:val="right"/>
    </w:pPr>
    <w:bookmarkStart w:id="22" w:name="Code2"/>
    <w:bookmarkEnd w:id="22"/>
    <w:r>
      <w:t>CDIP/13/10</w:t>
    </w:r>
  </w:p>
  <w:p w:rsidR="00CA7E15" w:rsidRDefault="00CA7E15" w:rsidP="00477D6B">
    <w:pPr>
      <w:jc w:val="right"/>
    </w:pPr>
    <w:proofErr w:type="gramStart"/>
    <w:r>
      <w:t>page</w:t>
    </w:r>
    <w:proofErr w:type="gramEnd"/>
    <w:r>
      <w:t xml:space="preserve"> </w:t>
    </w:r>
    <w:r>
      <w:fldChar w:fldCharType="begin"/>
    </w:r>
    <w:r>
      <w:instrText xml:space="preserve"> PAGE  \* MERGEFORMAT </w:instrText>
    </w:r>
    <w:r>
      <w:fldChar w:fldCharType="separate"/>
    </w:r>
    <w:r w:rsidR="0047038C">
      <w:rPr>
        <w:noProof/>
      </w:rPr>
      <w:t>21</w:t>
    </w:r>
    <w:r>
      <w:rPr>
        <w:noProof/>
      </w:rPr>
      <w:fldChar w:fldCharType="end"/>
    </w:r>
  </w:p>
  <w:p w:rsidR="00CA7E15" w:rsidRDefault="00CA7E1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5B3E30"/>
    <w:multiLevelType w:val="hybridMultilevel"/>
    <w:tmpl w:val="CCDCA52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495293"/>
    <w:multiLevelType w:val="hybridMultilevel"/>
    <w:tmpl w:val="D0004FD0"/>
    <w:lvl w:ilvl="0" w:tplc="8996B91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52B4BAA"/>
    <w:multiLevelType w:val="hybridMultilevel"/>
    <w:tmpl w:val="F0C2F256"/>
    <w:lvl w:ilvl="0" w:tplc="AF68B1B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E4E5C8B"/>
    <w:multiLevelType w:val="hybridMultilevel"/>
    <w:tmpl w:val="097C3D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9587C"/>
    <w:multiLevelType w:val="hybridMultilevel"/>
    <w:tmpl w:val="4426D1F0"/>
    <w:lvl w:ilvl="0" w:tplc="A7481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FB19A2"/>
    <w:multiLevelType w:val="multilevel"/>
    <w:tmpl w:val="03529950"/>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FF3723"/>
    <w:multiLevelType w:val="hybridMultilevel"/>
    <w:tmpl w:val="E354D3CE"/>
    <w:lvl w:ilvl="0" w:tplc="E8F0CB96">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937615E"/>
    <w:multiLevelType w:val="hybridMultilevel"/>
    <w:tmpl w:val="3D6E3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A20C1"/>
    <w:multiLevelType w:val="multilevel"/>
    <w:tmpl w:val="99361F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2">
    <w:nsid w:val="332E371F"/>
    <w:multiLevelType w:val="hybridMultilevel"/>
    <w:tmpl w:val="C5BC5B82"/>
    <w:lvl w:ilvl="0" w:tplc="04090017">
      <w:start w:val="1"/>
      <w:numFmt w:val="lowerLetter"/>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365B78B4"/>
    <w:multiLevelType w:val="hybridMultilevel"/>
    <w:tmpl w:val="0A301C0E"/>
    <w:lvl w:ilvl="0" w:tplc="B9B26BFA">
      <w:start w:val="1"/>
      <w:numFmt w:val="lowerLetter"/>
      <w:pStyle w:val="Heading3"/>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8A5A83"/>
    <w:multiLevelType w:val="hybridMultilevel"/>
    <w:tmpl w:val="BAA4B912"/>
    <w:lvl w:ilvl="0" w:tplc="F6189976">
      <w:start w:val="1"/>
      <w:numFmt w:val="lowerLetter"/>
      <w:lvlText w:val="(%1)"/>
      <w:lvlJc w:val="left"/>
      <w:pPr>
        <w:tabs>
          <w:tab w:val="num" w:pos="1134"/>
        </w:tabs>
        <w:ind w:left="1134" w:hanging="360"/>
      </w:pPr>
      <w:rPr>
        <w:rFonts w:hint="default"/>
      </w:rPr>
    </w:lvl>
    <w:lvl w:ilvl="1" w:tplc="04090019" w:tentative="1">
      <w:start w:val="1"/>
      <w:numFmt w:val="lowerLetter"/>
      <w:lvlText w:val="%2."/>
      <w:lvlJc w:val="left"/>
      <w:pPr>
        <w:tabs>
          <w:tab w:val="num" w:pos="1854"/>
        </w:tabs>
        <w:ind w:left="1854" w:hanging="360"/>
      </w:pPr>
    </w:lvl>
    <w:lvl w:ilvl="2" w:tplc="0409001B" w:tentative="1">
      <w:start w:val="1"/>
      <w:numFmt w:val="lowerRoman"/>
      <w:lvlText w:val="%3."/>
      <w:lvlJc w:val="right"/>
      <w:pPr>
        <w:tabs>
          <w:tab w:val="num" w:pos="2574"/>
        </w:tabs>
        <w:ind w:left="2574" w:hanging="180"/>
      </w:pPr>
    </w:lvl>
    <w:lvl w:ilvl="3" w:tplc="0409000F" w:tentative="1">
      <w:start w:val="1"/>
      <w:numFmt w:val="decimal"/>
      <w:lvlText w:val="%4."/>
      <w:lvlJc w:val="left"/>
      <w:pPr>
        <w:tabs>
          <w:tab w:val="num" w:pos="3294"/>
        </w:tabs>
        <w:ind w:left="3294" w:hanging="360"/>
      </w:pPr>
    </w:lvl>
    <w:lvl w:ilvl="4" w:tplc="04090019" w:tentative="1">
      <w:start w:val="1"/>
      <w:numFmt w:val="lowerLetter"/>
      <w:lvlText w:val="%5."/>
      <w:lvlJc w:val="left"/>
      <w:pPr>
        <w:tabs>
          <w:tab w:val="num" w:pos="4014"/>
        </w:tabs>
        <w:ind w:left="4014" w:hanging="360"/>
      </w:pPr>
    </w:lvl>
    <w:lvl w:ilvl="5" w:tplc="0409001B" w:tentative="1">
      <w:start w:val="1"/>
      <w:numFmt w:val="lowerRoman"/>
      <w:lvlText w:val="%6."/>
      <w:lvlJc w:val="right"/>
      <w:pPr>
        <w:tabs>
          <w:tab w:val="num" w:pos="4734"/>
        </w:tabs>
        <w:ind w:left="4734" w:hanging="180"/>
      </w:pPr>
    </w:lvl>
    <w:lvl w:ilvl="6" w:tplc="0409000F" w:tentative="1">
      <w:start w:val="1"/>
      <w:numFmt w:val="decimal"/>
      <w:lvlText w:val="%7."/>
      <w:lvlJc w:val="left"/>
      <w:pPr>
        <w:tabs>
          <w:tab w:val="num" w:pos="5454"/>
        </w:tabs>
        <w:ind w:left="5454" w:hanging="360"/>
      </w:pPr>
    </w:lvl>
    <w:lvl w:ilvl="7" w:tplc="04090019" w:tentative="1">
      <w:start w:val="1"/>
      <w:numFmt w:val="lowerLetter"/>
      <w:lvlText w:val="%8."/>
      <w:lvlJc w:val="left"/>
      <w:pPr>
        <w:tabs>
          <w:tab w:val="num" w:pos="6174"/>
        </w:tabs>
        <w:ind w:left="6174" w:hanging="360"/>
      </w:pPr>
    </w:lvl>
    <w:lvl w:ilvl="8" w:tplc="0409001B" w:tentative="1">
      <w:start w:val="1"/>
      <w:numFmt w:val="lowerRoman"/>
      <w:lvlText w:val="%9."/>
      <w:lvlJc w:val="right"/>
      <w:pPr>
        <w:tabs>
          <w:tab w:val="num" w:pos="6894"/>
        </w:tabs>
        <w:ind w:left="6894" w:hanging="180"/>
      </w:pPr>
    </w:lvl>
  </w:abstractNum>
  <w:abstractNum w:abstractNumId="15">
    <w:nsid w:val="38D460B3"/>
    <w:multiLevelType w:val="hybridMultilevel"/>
    <w:tmpl w:val="F192FB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851CB8"/>
    <w:multiLevelType w:val="hybridMultilevel"/>
    <w:tmpl w:val="C822652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B2560A"/>
    <w:multiLevelType w:val="hybridMultilevel"/>
    <w:tmpl w:val="7BE202B8"/>
    <w:lvl w:ilvl="0" w:tplc="8938C94A">
      <w:start w:val="1"/>
      <w:numFmt w:val="upperLetter"/>
      <w:lvlText w:val="%1."/>
      <w:lvlJc w:val="left"/>
      <w:pPr>
        <w:ind w:left="360" w:hanging="360"/>
      </w:pPr>
      <w:rPr>
        <w:rFonts w:ascii="Arial" w:eastAsia="SimSu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CD3E77"/>
    <w:multiLevelType w:val="hybridMultilevel"/>
    <w:tmpl w:val="2DE28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05439C"/>
    <w:multiLevelType w:val="hybridMultilevel"/>
    <w:tmpl w:val="875413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B4DE9"/>
    <w:multiLevelType w:val="hybridMultilevel"/>
    <w:tmpl w:val="5B5EB36E"/>
    <w:lvl w:ilvl="0" w:tplc="04090017">
      <w:start w:val="1"/>
      <w:numFmt w:val="lowerLetter"/>
      <w:lvlText w:val="%1)"/>
      <w:lvlJc w:val="left"/>
      <w:pPr>
        <w:ind w:left="1854" w:hanging="72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23">
    <w:nsid w:val="5C113927"/>
    <w:multiLevelType w:val="hybridMultilevel"/>
    <w:tmpl w:val="BFCA3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28699E"/>
    <w:multiLevelType w:val="hybridMultilevel"/>
    <w:tmpl w:val="A46A0C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2623F8"/>
    <w:multiLevelType w:val="hybridMultilevel"/>
    <w:tmpl w:val="2780C91A"/>
    <w:lvl w:ilvl="0" w:tplc="100C000F">
      <w:start w:val="1"/>
      <w:numFmt w:val="decimal"/>
      <w:lvlText w:val="%1."/>
      <w:lvlJc w:val="left"/>
      <w:pPr>
        <w:ind w:left="1287" w:hanging="360"/>
      </w:p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26">
    <w:nsid w:val="6DBA4406"/>
    <w:multiLevelType w:val="hybridMultilevel"/>
    <w:tmpl w:val="15F6F7DC"/>
    <w:lvl w:ilvl="0" w:tplc="04E649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464F26"/>
    <w:multiLevelType w:val="hybridMultilevel"/>
    <w:tmpl w:val="966ADAF2"/>
    <w:lvl w:ilvl="0" w:tplc="0D2A40F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8">
    <w:nsid w:val="76A85C07"/>
    <w:multiLevelType w:val="hybridMultilevel"/>
    <w:tmpl w:val="47B8C8DA"/>
    <w:lvl w:ilvl="0" w:tplc="04090017">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F897914"/>
    <w:multiLevelType w:val="hybridMultilevel"/>
    <w:tmpl w:val="3B582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0"/>
  </w:num>
  <w:num w:numId="4">
    <w:abstractNumId w:val="20"/>
  </w:num>
  <w:num w:numId="5">
    <w:abstractNumId w:val="3"/>
  </w:num>
  <w:num w:numId="6">
    <w:abstractNumId w:val="8"/>
  </w:num>
  <w:num w:numId="7">
    <w:abstractNumId w:val="6"/>
  </w:num>
  <w:num w:numId="8">
    <w:abstractNumId w:val="7"/>
  </w:num>
  <w:num w:numId="9">
    <w:abstractNumId w:val="26"/>
  </w:num>
  <w:num w:numId="10">
    <w:abstractNumId w:val="23"/>
  </w:num>
  <w:num w:numId="11">
    <w:abstractNumId w:val="10"/>
  </w:num>
  <w:num w:numId="12">
    <w:abstractNumId w:val="29"/>
  </w:num>
  <w:num w:numId="13">
    <w:abstractNumId w:val="11"/>
  </w:num>
  <w:num w:numId="14">
    <w:abstractNumId w:val="14"/>
  </w:num>
  <w:num w:numId="15">
    <w:abstractNumId w:val="27"/>
  </w:num>
  <w:num w:numId="16">
    <w:abstractNumId w:val="12"/>
  </w:num>
  <w:num w:numId="17">
    <w:abstractNumId w:val="1"/>
  </w:num>
  <w:num w:numId="18">
    <w:abstractNumId w:val="17"/>
  </w:num>
  <w:num w:numId="19">
    <w:abstractNumId w:val="15"/>
  </w:num>
  <w:num w:numId="20">
    <w:abstractNumId w:val="28"/>
  </w:num>
  <w:num w:numId="21">
    <w:abstractNumId w:val="4"/>
  </w:num>
  <w:num w:numId="22">
    <w:abstractNumId w:val="13"/>
  </w:num>
  <w:num w:numId="23">
    <w:abstractNumId w:val="16"/>
  </w:num>
  <w:num w:numId="24">
    <w:abstractNumId w:val="9"/>
  </w:num>
  <w:num w:numId="25">
    <w:abstractNumId w:val="21"/>
  </w:num>
  <w:num w:numId="26">
    <w:abstractNumId w:val="24"/>
  </w:num>
  <w:num w:numId="27">
    <w:abstractNumId w:val="25"/>
  </w:num>
  <w:num w:numId="28">
    <w:abstractNumId w:val="22"/>
  </w:num>
  <w:num w:numId="29">
    <w:abstractNumId w:val="19"/>
  </w:num>
  <w:num w:numId="30">
    <w:abstractNumId w:val="2"/>
  </w:num>
  <w:num w:numId="31">
    <w:abstractNumId w:val="20"/>
  </w:num>
  <w:num w:numId="32">
    <w:abstractNumId w:val="3"/>
  </w:num>
  <w:num w:numId="33">
    <w:abstractNumId w:val="8"/>
  </w:num>
  <w:num w:numId="3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55"/>
    <w:rsid w:val="0000111E"/>
    <w:rsid w:val="00001221"/>
    <w:rsid w:val="00005184"/>
    <w:rsid w:val="00007A87"/>
    <w:rsid w:val="000104C3"/>
    <w:rsid w:val="00012A48"/>
    <w:rsid w:val="00013CE6"/>
    <w:rsid w:val="00014D76"/>
    <w:rsid w:val="0001713E"/>
    <w:rsid w:val="0001787D"/>
    <w:rsid w:val="0002058E"/>
    <w:rsid w:val="00021AE0"/>
    <w:rsid w:val="00023599"/>
    <w:rsid w:val="000244B5"/>
    <w:rsid w:val="00026E29"/>
    <w:rsid w:val="00027B52"/>
    <w:rsid w:val="0003195B"/>
    <w:rsid w:val="000330F4"/>
    <w:rsid w:val="00033652"/>
    <w:rsid w:val="0003452C"/>
    <w:rsid w:val="00034B58"/>
    <w:rsid w:val="00035205"/>
    <w:rsid w:val="00036D3C"/>
    <w:rsid w:val="00037599"/>
    <w:rsid w:val="00040302"/>
    <w:rsid w:val="00041803"/>
    <w:rsid w:val="00041B59"/>
    <w:rsid w:val="00042332"/>
    <w:rsid w:val="0004276C"/>
    <w:rsid w:val="00043CAA"/>
    <w:rsid w:val="00044799"/>
    <w:rsid w:val="000454C4"/>
    <w:rsid w:val="000463CF"/>
    <w:rsid w:val="00050487"/>
    <w:rsid w:val="00056F96"/>
    <w:rsid w:val="000604E1"/>
    <w:rsid w:val="00065636"/>
    <w:rsid w:val="0007152F"/>
    <w:rsid w:val="00071E9F"/>
    <w:rsid w:val="000720A7"/>
    <w:rsid w:val="00072FF0"/>
    <w:rsid w:val="00075269"/>
    <w:rsid w:val="00075432"/>
    <w:rsid w:val="000808B6"/>
    <w:rsid w:val="000852E6"/>
    <w:rsid w:val="000874F0"/>
    <w:rsid w:val="00090D24"/>
    <w:rsid w:val="0009224E"/>
    <w:rsid w:val="00094450"/>
    <w:rsid w:val="00094C19"/>
    <w:rsid w:val="000968ED"/>
    <w:rsid w:val="00096F9E"/>
    <w:rsid w:val="000976E8"/>
    <w:rsid w:val="00097EF3"/>
    <w:rsid w:val="000A04AB"/>
    <w:rsid w:val="000A0799"/>
    <w:rsid w:val="000B1189"/>
    <w:rsid w:val="000B153B"/>
    <w:rsid w:val="000B2B5B"/>
    <w:rsid w:val="000B6CB9"/>
    <w:rsid w:val="000B79F0"/>
    <w:rsid w:val="000B7ECE"/>
    <w:rsid w:val="000C028C"/>
    <w:rsid w:val="000C1EEA"/>
    <w:rsid w:val="000C27FF"/>
    <w:rsid w:val="000C468B"/>
    <w:rsid w:val="000C5877"/>
    <w:rsid w:val="000D0127"/>
    <w:rsid w:val="000D1C26"/>
    <w:rsid w:val="000D5E5C"/>
    <w:rsid w:val="000D6774"/>
    <w:rsid w:val="000E05F0"/>
    <w:rsid w:val="000E0C29"/>
    <w:rsid w:val="000E4D5D"/>
    <w:rsid w:val="000E52B8"/>
    <w:rsid w:val="000E750C"/>
    <w:rsid w:val="000F0F80"/>
    <w:rsid w:val="000F4B52"/>
    <w:rsid w:val="000F5619"/>
    <w:rsid w:val="000F5E56"/>
    <w:rsid w:val="000F6D5F"/>
    <w:rsid w:val="001029C5"/>
    <w:rsid w:val="00103926"/>
    <w:rsid w:val="001059CC"/>
    <w:rsid w:val="001067A8"/>
    <w:rsid w:val="001073B2"/>
    <w:rsid w:val="00107CCE"/>
    <w:rsid w:val="00110CE0"/>
    <w:rsid w:val="00110D14"/>
    <w:rsid w:val="00112932"/>
    <w:rsid w:val="0011484A"/>
    <w:rsid w:val="00114971"/>
    <w:rsid w:val="001156AE"/>
    <w:rsid w:val="00115C0C"/>
    <w:rsid w:val="00117DB4"/>
    <w:rsid w:val="00120D2D"/>
    <w:rsid w:val="001239E7"/>
    <w:rsid w:val="00124A01"/>
    <w:rsid w:val="00125B3D"/>
    <w:rsid w:val="00125FBA"/>
    <w:rsid w:val="00127581"/>
    <w:rsid w:val="0013344A"/>
    <w:rsid w:val="0013464F"/>
    <w:rsid w:val="001362EE"/>
    <w:rsid w:val="00136F86"/>
    <w:rsid w:val="0013705E"/>
    <w:rsid w:val="0013764C"/>
    <w:rsid w:val="00142585"/>
    <w:rsid w:val="00143BB4"/>
    <w:rsid w:val="00144D9A"/>
    <w:rsid w:val="0015044E"/>
    <w:rsid w:val="00151248"/>
    <w:rsid w:val="00151FC2"/>
    <w:rsid w:val="00152A8E"/>
    <w:rsid w:val="00153D45"/>
    <w:rsid w:val="00153E45"/>
    <w:rsid w:val="00155B67"/>
    <w:rsid w:val="00155F64"/>
    <w:rsid w:val="00162F8A"/>
    <w:rsid w:val="00167F96"/>
    <w:rsid w:val="0017164C"/>
    <w:rsid w:val="001763C0"/>
    <w:rsid w:val="001774E4"/>
    <w:rsid w:val="00177739"/>
    <w:rsid w:val="0018045C"/>
    <w:rsid w:val="001816EA"/>
    <w:rsid w:val="00181ED7"/>
    <w:rsid w:val="001832A6"/>
    <w:rsid w:val="0018554C"/>
    <w:rsid w:val="0019099D"/>
    <w:rsid w:val="001919BB"/>
    <w:rsid w:val="001937C9"/>
    <w:rsid w:val="001962B2"/>
    <w:rsid w:val="00196BDA"/>
    <w:rsid w:val="001A43C9"/>
    <w:rsid w:val="001A6BAC"/>
    <w:rsid w:val="001B13E6"/>
    <w:rsid w:val="001B36EB"/>
    <w:rsid w:val="001B4A0C"/>
    <w:rsid w:val="001B4F91"/>
    <w:rsid w:val="001C037D"/>
    <w:rsid w:val="001C05E7"/>
    <w:rsid w:val="001C39BF"/>
    <w:rsid w:val="001C4BDF"/>
    <w:rsid w:val="001C4D69"/>
    <w:rsid w:val="001C66C5"/>
    <w:rsid w:val="001C6AF2"/>
    <w:rsid w:val="001C7BBB"/>
    <w:rsid w:val="001D07CC"/>
    <w:rsid w:val="001D3511"/>
    <w:rsid w:val="001D41C6"/>
    <w:rsid w:val="001D537A"/>
    <w:rsid w:val="001D63A5"/>
    <w:rsid w:val="001E39A3"/>
    <w:rsid w:val="001E533C"/>
    <w:rsid w:val="001E55ED"/>
    <w:rsid w:val="001E7B3C"/>
    <w:rsid w:val="001F2371"/>
    <w:rsid w:val="001F2FCF"/>
    <w:rsid w:val="001F3230"/>
    <w:rsid w:val="001F44E3"/>
    <w:rsid w:val="001F580F"/>
    <w:rsid w:val="00202526"/>
    <w:rsid w:val="00203246"/>
    <w:rsid w:val="0020366A"/>
    <w:rsid w:val="00206982"/>
    <w:rsid w:val="0020742E"/>
    <w:rsid w:val="00207CB3"/>
    <w:rsid w:val="00212392"/>
    <w:rsid w:val="002147AE"/>
    <w:rsid w:val="002200A1"/>
    <w:rsid w:val="00222BFC"/>
    <w:rsid w:val="00225091"/>
    <w:rsid w:val="00226843"/>
    <w:rsid w:val="0022756B"/>
    <w:rsid w:val="00230119"/>
    <w:rsid w:val="00231C59"/>
    <w:rsid w:val="00231DB6"/>
    <w:rsid w:val="00232EE8"/>
    <w:rsid w:val="00233C3B"/>
    <w:rsid w:val="00235A1C"/>
    <w:rsid w:val="00235ED8"/>
    <w:rsid w:val="00236213"/>
    <w:rsid w:val="00236AEF"/>
    <w:rsid w:val="00236B8C"/>
    <w:rsid w:val="00237F4F"/>
    <w:rsid w:val="00240FBA"/>
    <w:rsid w:val="002413A2"/>
    <w:rsid w:val="002425EE"/>
    <w:rsid w:val="002429AE"/>
    <w:rsid w:val="002449A9"/>
    <w:rsid w:val="00246091"/>
    <w:rsid w:val="00251E77"/>
    <w:rsid w:val="0025789B"/>
    <w:rsid w:val="00261604"/>
    <w:rsid w:val="00262FF0"/>
    <w:rsid w:val="002634C4"/>
    <w:rsid w:val="00263F2E"/>
    <w:rsid w:val="0026583B"/>
    <w:rsid w:val="00270F40"/>
    <w:rsid w:val="00270FB3"/>
    <w:rsid w:val="00272046"/>
    <w:rsid w:val="002726C0"/>
    <w:rsid w:val="0027544E"/>
    <w:rsid w:val="002759CF"/>
    <w:rsid w:val="00276339"/>
    <w:rsid w:val="002800E1"/>
    <w:rsid w:val="0028236C"/>
    <w:rsid w:val="00286407"/>
    <w:rsid w:val="00287263"/>
    <w:rsid w:val="00291F92"/>
    <w:rsid w:val="002928D3"/>
    <w:rsid w:val="002943C7"/>
    <w:rsid w:val="0029511B"/>
    <w:rsid w:val="002A1C6A"/>
    <w:rsid w:val="002A1E76"/>
    <w:rsid w:val="002A1F6F"/>
    <w:rsid w:val="002A1F87"/>
    <w:rsid w:val="002A4934"/>
    <w:rsid w:val="002A4DB7"/>
    <w:rsid w:val="002A6F35"/>
    <w:rsid w:val="002A75C8"/>
    <w:rsid w:val="002A75E6"/>
    <w:rsid w:val="002B09D7"/>
    <w:rsid w:val="002B3BF8"/>
    <w:rsid w:val="002B6356"/>
    <w:rsid w:val="002C0C20"/>
    <w:rsid w:val="002C3DBE"/>
    <w:rsid w:val="002C3F31"/>
    <w:rsid w:val="002C6B0A"/>
    <w:rsid w:val="002C72F6"/>
    <w:rsid w:val="002C7A99"/>
    <w:rsid w:val="002D0618"/>
    <w:rsid w:val="002D2535"/>
    <w:rsid w:val="002E0AD5"/>
    <w:rsid w:val="002E15B0"/>
    <w:rsid w:val="002E1E23"/>
    <w:rsid w:val="002E66D7"/>
    <w:rsid w:val="002E76B1"/>
    <w:rsid w:val="002F0EA7"/>
    <w:rsid w:val="002F1FE6"/>
    <w:rsid w:val="002F4E68"/>
    <w:rsid w:val="002F4F7A"/>
    <w:rsid w:val="002F687C"/>
    <w:rsid w:val="002F70E5"/>
    <w:rsid w:val="00300361"/>
    <w:rsid w:val="0030434C"/>
    <w:rsid w:val="00307D63"/>
    <w:rsid w:val="00307DF4"/>
    <w:rsid w:val="00312F7F"/>
    <w:rsid w:val="00314410"/>
    <w:rsid w:val="00315834"/>
    <w:rsid w:val="00315A43"/>
    <w:rsid w:val="003165E6"/>
    <w:rsid w:val="003208DD"/>
    <w:rsid w:val="0032272A"/>
    <w:rsid w:val="00322953"/>
    <w:rsid w:val="00327027"/>
    <w:rsid w:val="00331043"/>
    <w:rsid w:val="003321C8"/>
    <w:rsid w:val="0033344D"/>
    <w:rsid w:val="00333A1F"/>
    <w:rsid w:val="00334657"/>
    <w:rsid w:val="00335939"/>
    <w:rsid w:val="0033642E"/>
    <w:rsid w:val="0033654D"/>
    <w:rsid w:val="003373C2"/>
    <w:rsid w:val="00340706"/>
    <w:rsid w:val="00340C4A"/>
    <w:rsid w:val="00341EBA"/>
    <w:rsid w:val="003435EF"/>
    <w:rsid w:val="00345B7C"/>
    <w:rsid w:val="00346215"/>
    <w:rsid w:val="00346C05"/>
    <w:rsid w:val="00347BC0"/>
    <w:rsid w:val="00352F99"/>
    <w:rsid w:val="00353AA1"/>
    <w:rsid w:val="00354183"/>
    <w:rsid w:val="00354779"/>
    <w:rsid w:val="0035758A"/>
    <w:rsid w:val="003600DD"/>
    <w:rsid w:val="003605BF"/>
    <w:rsid w:val="00361450"/>
    <w:rsid w:val="00361775"/>
    <w:rsid w:val="00362DDE"/>
    <w:rsid w:val="003661ED"/>
    <w:rsid w:val="003664AA"/>
    <w:rsid w:val="003673CF"/>
    <w:rsid w:val="0037163C"/>
    <w:rsid w:val="00372D7A"/>
    <w:rsid w:val="003738A0"/>
    <w:rsid w:val="00375B24"/>
    <w:rsid w:val="00380FFF"/>
    <w:rsid w:val="00381DDA"/>
    <w:rsid w:val="003820E5"/>
    <w:rsid w:val="003845C1"/>
    <w:rsid w:val="0038776C"/>
    <w:rsid w:val="0039076D"/>
    <w:rsid w:val="003945B7"/>
    <w:rsid w:val="00394A2B"/>
    <w:rsid w:val="00396F0D"/>
    <w:rsid w:val="003974DD"/>
    <w:rsid w:val="003A15E5"/>
    <w:rsid w:val="003A6F89"/>
    <w:rsid w:val="003B2BC4"/>
    <w:rsid w:val="003B38C1"/>
    <w:rsid w:val="003B66AD"/>
    <w:rsid w:val="003C0F42"/>
    <w:rsid w:val="003D1B3F"/>
    <w:rsid w:val="003D258E"/>
    <w:rsid w:val="003D2662"/>
    <w:rsid w:val="003D2E07"/>
    <w:rsid w:val="003D474F"/>
    <w:rsid w:val="003D7C63"/>
    <w:rsid w:val="003D7DAE"/>
    <w:rsid w:val="003E3B7A"/>
    <w:rsid w:val="003E409F"/>
    <w:rsid w:val="003E42DA"/>
    <w:rsid w:val="003E4F32"/>
    <w:rsid w:val="003F49CC"/>
    <w:rsid w:val="003F6A60"/>
    <w:rsid w:val="003F73A0"/>
    <w:rsid w:val="0040277C"/>
    <w:rsid w:val="00402DD6"/>
    <w:rsid w:val="00406C5C"/>
    <w:rsid w:val="0040701B"/>
    <w:rsid w:val="00410A8E"/>
    <w:rsid w:val="00411223"/>
    <w:rsid w:val="0041159A"/>
    <w:rsid w:val="00423E3E"/>
    <w:rsid w:val="004254FC"/>
    <w:rsid w:val="0042763A"/>
    <w:rsid w:val="00427AF4"/>
    <w:rsid w:val="00427C86"/>
    <w:rsid w:val="00431FFA"/>
    <w:rsid w:val="00432A21"/>
    <w:rsid w:val="00434769"/>
    <w:rsid w:val="00434DC5"/>
    <w:rsid w:val="0043531E"/>
    <w:rsid w:val="004355A9"/>
    <w:rsid w:val="0043717B"/>
    <w:rsid w:val="004407F4"/>
    <w:rsid w:val="00443E6A"/>
    <w:rsid w:val="00443F1D"/>
    <w:rsid w:val="00445982"/>
    <w:rsid w:val="00446990"/>
    <w:rsid w:val="00446B2E"/>
    <w:rsid w:val="00447F87"/>
    <w:rsid w:val="004517B0"/>
    <w:rsid w:val="0045208A"/>
    <w:rsid w:val="00452562"/>
    <w:rsid w:val="004527CA"/>
    <w:rsid w:val="00452C38"/>
    <w:rsid w:val="00453DFB"/>
    <w:rsid w:val="004542CD"/>
    <w:rsid w:val="00454E35"/>
    <w:rsid w:val="0045547C"/>
    <w:rsid w:val="00456159"/>
    <w:rsid w:val="00457790"/>
    <w:rsid w:val="00462347"/>
    <w:rsid w:val="004634BC"/>
    <w:rsid w:val="004647DA"/>
    <w:rsid w:val="00465B62"/>
    <w:rsid w:val="00465F67"/>
    <w:rsid w:val="00466650"/>
    <w:rsid w:val="0047038C"/>
    <w:rsid w:val="0047105A"/>
    <w:rsid w:val="0047235A"/>
    <w:rsid w:val="00473340"/>
    <w:rsid w:val="00474062"/>
    <w:rsid w:val="00474727"/>
    <w:rsid w:val="00474E15"/>
    <w:rsid w:val="004769CF"/>
    <w:rsid w:val="0047722F"/>
    <w:rsid w:val="00477D6B"/>
    <w:rsid w:val="00485ECD"/>
    <w:rsid w:val="00490F6E"/>
    <w:rsid w:val="00491654"/>
    <w:rsid w:val="004920D1"/>
    <w:rsid w:val="0049263A"/>
    <w:rsid w:val="004955C6"/>
    <w:rsid w:val="004958CA"/>
    <w:rsid w:val="004A0D90"/>
    <w:rsid w:val="004A1EB5"/>
    <w:rsid w:val="004A2F01"/>
    <w:rsid w:val="004A3F8E"/>
    <w:rsid w:val="004B1A64"/>
    <w:rsid w:val="004B3931"/>
    <w:rsid w:val="004B7D83"/>
    <w:rsid w:val="004C0229"/>
    <w:rsid w:val="004C0CBB"/>
    <w:rsid w:val="004C238F"/>
    <w:rsid w:val="004C3107"/>
    <w:rsid w:val="004C60C1"/>
    <w:rsid w:val="004C64C0"/>
    <w:rsid w:val="004C6837"/>
    <w:rsid w:val="004D1FCB"/>
    <w:rsid w:val="004D3508"/>
    <w:rsid w:val="004D580F"/>
    <w:rsid w:val="004D5DF5"/>
    <w:rsid w:val="004D6181"/>
    <w:rsid w:val="004E1F66"/>
    <w:rsid w:val="004E2AA9"/>
    <w:rsid w:val="004E35AB"/>
    <w:rsid w:val="004E47C5"/>
    <w:rsid w:val="004E6FE3"/>
    <w:rsid w:val="004E7344"/>
    <w:rsid w:val="004E7C06"/>
    <w:rsid w:val="004F15AE"/>
    <w:rsid w:val="004F30B2"/>
    <w:rsid w:val="004F5C23"/>
    <w:rsid w:val="004F6962"/>
    <w:rsid w:val="004F728A"/>
    <w:rsid w:val="004F7C59"/>
    <w:rsid w:val="005000F6"/>
    <w:rsid w:val="0050047B"/>
    <w:rsid w:val="0050187D"/>
    <w:rsid w:val="005019FF"/>
    <w:rsid w:val="00504593"/>
    <w:rsid w:val="005134FE"/>
    <w:rsid w:val="005142CD"/>
    <w:rsid w:val="0051544D"/>
    <w:rsid w:val="0051799E"/>
    <w:rsid w:val="00520841"/>
    <w:rsid w:val="005215B7"/>
    <w:rsid w:val="00521CED"/>
    <w:rsid w:val="00522FCC"/>
    <w:rsid w:val="00523373"/>
    <w:rsid w:val="005236D4"/>
    <w:rsid w:val="005259A7"/>
    <w:rsid w:val="0052662E"/>
    <w:rsid w:val="00527819"/>
    <w:rsid w:val="0053057A"/>
    <w:rsid w:val="00530ACE"/>
    <w:rsid w:val="005314F7"/>
    <w:rsid w:val="00531694"/>
    <w:rsid w:val="00531E68"/>
    <w:rsid w:val="005332AD"/>
    <w:rsid w:val="00533A6F"/>
    <w:rsid w:val="00537F77"/>
    <w:rsid w:val="00540579"/>
    <w:rsid w:val="00543339"/>
    <w:rsid w:val="005447D2"/>
    <w:rsid w:val="00545373"/>
    <w:rsid w:val="00545387"/>
    <w:rsid w:val="00546D8F"/>
    <w:rsid w:val="00547FCD"/>
    <w:rsid w:val="00550BFD"/>
    <w:rsid w:val="00550D2C"/>
    <w:rsid w:val="00551CBC"/>
    <w:rsid w:val="0055369D"/>
    <w:rsid w:val="00553FE8"/>
    <w:rsid w:val="0055463C"/>
    <w:rsid w:val="00556266"/>
    <w:rsid w:val="00560A29"/>
    <w:rsid w:val="0056503B"/>
    <w:rsid w:val="005657CB"/>
    <w:rsid w:val="0056660E"/>
    <w:rsid w:val="00567D40"/>
    <w:rsid w:val="0057202D"/>
    <w:rsid w:val="00572D41"/>
    <w:rsid w:val="005740B5"/>
    <w:rsid w:val="00575322"/>
    <w:rsid w:val="00575352"/>
    <w:rsid w:val="005755F3"/>
    <w:rsid w:val="0057586F"/>
    <w:rsid w:val="0057594F"/>
    <w:rsid w:val="00575C0B"/>
    <w:rsid w:val="0057724F"/>
    <w:rsid w:val="00577A90"/>
    <w:rsid w:val="005841D2"/>
    <w:rsid w:val="00587DBF"/>
    <w:rsid w:val="00590802"/>
    <w:rsid w:val="00592718"/>
    <w:rsid w:val="00594CA0"/>
    <w:rsid w:val="00594CFA"/>
    <w:rsid w:val="00595D50"/>
    <w:rsid w:val="00596BE1"/>
    <w:rsid w:val="00597F3A"/>
    <w:rsid w:val="005A1EDB"/>
    <w:rsid w:val="005A21A1"/>
    <w:rsid w:val="005A36CC"/>
    <w:rsid w:val="005A74B2"/>
    <w:rsid w:val="005B18B7"/>
    <w:rsid w:val="005B6B8A"/>
    <w:rsid w:val="005C16F3"/>
    <w:rsid w:val="005C41F6"/>
    <w:rsid w:val="005C6649"/>
    <w:rsid w:val="005C7EAC"/>
    <w:rsid w:val="005C7F17"/>
    <w:rsid w:val="005D0D03"/>
    <w:rsid w:val="005D16A3"/>
    <w:rsid w:val="005D1A55"/>
    <w:rsid w:val="005D43EC"/>
    <w:rsid w:val="005D4495"/>
    <w:rsid w:val="005D54AD"/>
    <w:rsid w:val="005D605D"/>
    <w:rsid w:val="005E02FA"/>
    <w:rsid w:val="005E075E"/>
    <w:rsid w:val="005E1260"/>
    <w:rsid w:val="005E1265"/>
    <w:rsid w:val="005E1A36"/>
    <w:rsid w:val="005E5441"/>
    <w:rsid w:val="005F0FF5"/>
    <w:rsid w:val="005F13F4"/>
    <w:rsid w:val="005F1A07"/>
    <w:rsid w:val="005F1CFB"/>
    <w:rsid w:val="005F4475"/>
    <w:rsid w:val="005F46E5"/>
    <w:rsid w:val="005F5A23"/>
    <w:rsid w:val="005F6029"/>
    <w:rsid w:val="00603751"/>
    <w:rsid w:val="00604B99"/>
    <w:rsid w:val="00604DB9"/>
    <w:rsid w:val="00605827"/>
    <w:rsid w:val="00605B0E"/>
    <w:rsid w:val="00606579"/>
    <w:rsid w:val="0060657F"/>
    <w:rsid w:val="00610FC2"/>
    <w:rsid w:val="006119A0"/>
    <w:rsid w:val="006125E7"/>
    <w:rsid w:val="00612F99"/>
    <w:rsid w:val="00614B5B"/>
    <w:rsid w:val="00615BEF"/>
    <w:rsid w:val="00620EFF"/>
    <w:rsid w:val="00621F9B"/>
    <w:rsid w:val="00623BFF"/>
    <w:rsid w:val="00623ED1"/>
    <w:rsid w:val="00625A20"/>
    <w:rsid w:val="00627F95"/>
    <w:rsid w:val="006303C4"/>
    <w:rsid w:val="006310FC"/>
    <w:rsid w:val="00632FDE"/>
    <w:rsid w:val="006401E9"/>
    <w:rsid w:val="00644515"/>
    <w:rsid w:val="0064581C"/>
    <w:rsid w:val="00646050"/>
    <w:rsid w:val="0064711F"/>
    <w:rsid w:val="00647BD1"/>
    <w:rsid w:val="00656B0E"/>
    <w:rsid w:val="00660A59"/>
    <w:rsid w:val="00663850"/>
    <w:rsid w:val="0066422C"/>
    <w:rsid w:val="00665C88"/>
    <w:rsid w:val="006706B0"/>
    <w:rsid w:val="00671283"/>
    <w:rsid w:val="006713CA"/>
    <w:rsid w:val="006716DA"/>
    <w:rsid w:val="0067233C"/>
    <w:rsid w:val="00673F31"/>
    <w:rsid w:val="00674496"/>
    <w:rsid w:val="00675A5C"/>
    <w:rsid w:val="00675CA7"/>
    <w:rsid w:val="00676246"/>
    <w:rsid w:val="00676C5C"/>
    <w:rsid w:val="006811BE"/>
    <w:rsid w:val="006835B3"/>
    <w:rsid w:val="00685A02"/>
    <w:rsid w:val="006900D7"/>
    <w:rsid w:val="006907D9"/>
    <w:rsid w:val="00692215"/>
    <w:rsid w:val="00692B65"/>
    <w:rsid w:val="006A0A0E"/>
    <w:rsid w:val="006A3241"/>
    <w:rsid w:val="006A50CF"/>
    <w:rsid w:val="006A5A4B"/>
    <w:rsid w:val="006A5BBA"/>
    <w:rsid w:val="006A6CCE"/>
    <w:rsid w:val="006A7CA6"/>
    <w:rsid w:val="006B447D"/>
    <w:rsid w:val="006C1014"/>
    <w:rsid w:val="006C4924"/>
    <w:rsid w:val="006C62A1"/>
    <w:rsid w:val="006C7BD8"/>
    <w:rsid w:val="006D0B90"/>
    <w:rsid w:val="006D22A3"/>
    <w:rsid w:val="006D27D0"/>
    <w:rsid w:val="006D43E8"/>
    <w:rsid w:val="006D4A91"/>
    <w:rsid w:val="006D795F"/>
    <w:rsid w:val="006D7F08"/>
    <w:rsid w:val="006E0AE6"/>
    <w:rsid w:val="006E5259"/>
    <w:rsid w:val="006E57C9"/>
    <w:rsid w:val="006E6C48"/>
    <w:rsid w:val="006E7C9E"/>
    <w:rsid w:val="006F1852"/>
    <w:rsid w:val="006F3BCF"/>
    <w:rsid w:val="006F529F"/>
    <w:rsid w:val="006F6089"/>
    <w:rsid w:val="006F6175"/>
    <w:rsid w:val="006F6DCF"/>
    <w:rsid w:val="00702F60"/>
    <w:rsid w:val="00704F08"/>
    <w:rsid w:val="0070549B"/>
    <w:rsid w:val="00706BE1"/>
    <w:rsid w:val="00712864"/>
    <w:rsid w:val="00714868"/>
    <w:rsid w:val="00721425"/>
    <w:rsid w:val="00722E3B"/>
    <w:rsid w:val="00724F02"/>
    <w:rsid w:val="00726741"/>
    <w:rsid w:val="00726F33"/>
    <w:rsid w:val="007319AE"/>
    <w:rsid w:val="00733921"/>
    <w:rsid w:val="00735C94"/>
    <w:rsid w:val="007419F6"/>
    <w:rsid w:val="00741E1C"/>
    <w:rsid w:val="00742BF3"/>
    <w:rsid w:val="00744E35"/>
    <w:rsid w:val="0074528C"/>
    <w:rsid w:val="00745366"/>
    <w:rsid w:val="00745AB5"/>
    <w:rsid w:val="007503B2"/>
    <w:rsid w:val="00750DF9"/>
    <w:rsid w:val="00753473"/>
    <w:rsid w:val="00753D45"/>
    <w:rsid w:val="00755A3C"/>
    <w:rsid w:val="00756386"/>
    <w:rsid w:val="007564DF"/>
    <w:rsid w:val="007574E3"/>
    <w:rsid w:val="007638BE"/>
    <w:rsid w:val="00765974"/>
    <w:rsid w:val="00766B47"/>
    <w:rsid w:val="00770258"/>
    <w:rsid w:val="007709ED"/>
    <w:rsid w:val="0077146E"/>
    <w:rsid w:val="00771B6E"/>
    <w:rsid w:val="00773825"/>
    <w:rsid w:val="00773E19"/>
    <w:rsid w:val="00782211"/>
    <w:rsid w:val="007829D4"/>
    <w:rsid w:val="00783071"/>
    <w:rsid w:val="00783487"/>
    <w:rsid w:val="00786014"/>
    <w:rsid w:val="00786735"/>
    <w:rsid w:val="00787DBC"/>
    <w:rsid w:val="00791A07"/>
    <w:rsid w:val="00791AA9"/>
    <w:rsid w:val="00791F3E"/>
    <w:rsid w:val="00792ED4"/>
    <w:rsid w:val="00797E30"/>
    <w:rsid w:val="007A139A"/>
    <w:rsid w:val="007A161A"/>
    <w:rsid w:val="007A235A"/>
    <w:rsid w:val="007A310B"/>
    <w:rsid w:val="007A3512"/>
    <w:rsid w:val="007A5334"/>
    <w:rsid w:val="007A63C2"/>
    <w:rsid w:val="007B14E7"/>
    <w:rsid w:val="007C0143"/>
    <w:rsid w:val="007C1457"/>
    <w:rsid w:val="007C351C"/>
    <w:rsid w:val="007C629E"/>
    <w:rsid w:val="007D0D48"/>
    <w:rsid w:val="007D1613"/>
    <w:rsid w:val="007D240B"/>
    <w:rsid w:val="007D6478"/>
    <w:rsid w:val="007D6A58"/>
    <w:rsid w:val="007E575E"/>
    <w:rsid w:val="007E579B"/>
    <w:rsid w:val="007E5C1C"/>
    <w:rsid w:val="007E6043"/>
    <w:rsid w:val="007E7FC5"/>
    <w:rsid w:val="007F0702"/>
    <w:rsid w:val="007F489D"/>
    <w:rsid w:val="008012F3"/>
    <w:rsid w:val="0080246F"/>
    <w:rsid w:val="00804195"/>
    <w:rsid w:val="008057B3"/>
    <w:rsid w:val="00805E87"/>
    <w:rsid w:val="00806A33"/>
    <w:rsid w:val="00812125"/>
    <w:rsid w:val="00815A72"/>
    <w:rsid w:val="008163D9"/>
    <w:rsid w:val="0081736C"/>
    <w:rsid w:val="008178CD"/>
    <w:rsid w:val="00820AD6"/>
    <w:rsid w:val="00820DAD"/>
    <w:rsid w:val="00823A4C"/>
    <w:rsid w:val="00823B1B"/>
    <w:rsid w:val="0082428A"/>
    <w:rsid w:val="00832E33"/>
    <w:rsid w:val="008344BE"/>
    <w:rsid w:val="0083588B"/>
    <w:rsid w:val="0083650F"/>
    <w:rsid w:val="00837621"/>
    <w:rsid w:val="00841532"/>
    <w:rsid w:val="0084231A"/>
    <w:rsid w:val="0084273E"/>
    <w:rsid w:val="00843C70"/>
    <w:rsid w:val="00843F75"/>
    <w:rsid w:val="00843FDC"/>
    <w:rsid w:val="008443B6"/>
    <w:rsid w:val="008453F5"/>
    <w:rsid w:val="00846EE8"/>
    <w:rsid w:val="00850958"/>
    <w:rsid w:val="0085177C"/>
    <w:rsid w:val="00851A64"/>
    <w:rsid w:val="00852D50"/>
    <w:rsid w:val="00854057"/>
    <w:rsid w:val="00854D72"/>
    <w:rsid w:val="00856C6E"/>
    <w:rsid w:val="00857C4A"/>
    <w:rsid w:val="00860E28"/>
    <w:rsid w:val="00861D24"/>
    <w:rsid w:val="00861E09"/>
    <w:rsid w:val="00865D1C"/>
    <w:rsid w:val="008667FB"/>
    <w:rsid w:val="00866DDE"/>
    <w:rsid w:val="00867E36"/>
    <w:rsid w:val="00870D98"/>
    <w:rsid w:val="00872157"/>
    <w:rsid w:val="008731FE"/>
    <w:rsid w:val="00875B7D"/>
    <w:rsid w:val="00875CAF"/>
    <w:rsid w:val="00881757"/>
    <w:rsid w:val="008855E8"/>
    <w:rsid w:val="0089271C"/>
    <w:rsid w:val="008930EF"/>
    <w:rsid w:val="00894764"/>
    <w:rsid w:val="008958DC"/>
    <w:rsid w:val="00896FB7"/>
    <w:rsid w:val="008970CB"/>
    <w:rsid w:val="008A2115"/>
    <w:rsid w:val="008A4C2F"/>
    <w:rsid w:val="008B2CC1"/>
    <w:rsid w:val="008B3873"/>
    <w:rsid w:val="008B4555"/>
    <w:rsid w:val="008B463B"/>
    <w:rsid w:val="008B534E"/>
    <w:rsid w:val="008B60B2"/>
    <w:rsid w:val="008B61DD"/>
    <w:rsid w:val="008B6469"/>
    <w:rsid w:val="008C150E"/>
    <w:rsid w:val="008C1B50"/>
    <w:rsid w:val="008C1D85"/>
    <w:rsid w:val="008C2E15"/>
    <w:rsid w:val="008C3921"/>
    <w:rsid w:val="008C6FE8"/>
    <w:rsid w:val="008C77BE"/>
    <w:rsid w:val="008D009C"/>
    <w:rsid w:val="008D560D"/>
    <w:rsid w:val="008E0E99"/>
    <w:rsid w:val="008E1232"/>
    <w:rsid w:val="008E4315"/>
    <w:rsid w:val="008E43B7"/>
    <w:rsid w:val="008F0308"/>
    <w:rsid w:val="008F2651"/>
    <w:rsid w:val="008F3A9A"/>
    <w:rsid w:val="008F7083"/>
    <w:rsid w:val="00900503"/>
    <w:rsid w:val="00903D98"/>
    <w:rsid w:val="0090407C"/>
    <w:rsid w:val="009056A2"/>
    <w:rsid w:val="00905BC1"/>
    <w:rsid w:val="0090731E"/>
    <w:rsid w:val="0091212D"/>
    <w:rsid w:val="00912AFC"/>
    <w:rsid w:val="009140F7"/>
    <w:rsid w:val="009150CD"/>
    <w:rsid w:val="00916EE2"/>
    <w:rsid w:val="00916F03"/>
    <w:rsid w:val="00920B02"/>
    <w:rsid w:val="00921348"/>
    <w:rsid w:val="00923403"/>
    <w:rsid w:val="00924243"/>
    <w:rsid w:val="00925189"/>
    <w:rsid w:val="009269B3"/>
    <w:rsid w:val="0093042C"/>
    <w:rsid w:val="009305E9"/>
    <w:rsid w:val="00932126"/>
    <w:rsid w:val="00932A68"/>
    <w:rsid w:val="00933122"/>
    <w:rsid w:val="00933952"/>
    <w:rsid w:val="00934714"/>
    <w:rsid w:val="00934812"/>
    <w:rsid w:val="00934915"/>
    <w:rsid w:val="00936EF8"/>
    <w:rsid w:val="00944089"/>
    <w:rsid w:val="00945C70"/>
    <w:rsid w:val="009462D5"/>
    <w:rsid w:val="009477EE"/>
    <w:rsid w:val="00950BFC"/>
    <w:rsid w:val="009514D0"/>
    <w:rsid w:val="00953292"/>
    <w:rsid w:val="00956B6A"/>
    <w:rsid w:val="00960BCE"/>
    <w:rsid w:val="00960F2A"/>
    <w:rsid w:val="009619F2"/>
    <w:rsid w:val="00964548"/>
    <w:rsid w:val="00966A22"/>
    <w:rsid w:val="00966D50"/>
    <w:rsid w:val="0096722F"/>
    <w:rsid w:val="00972F4B"/>
    <w:rsid w:val="009741BB"/>
    <w:rsid w:val="00980843"/>
    <w:rsid w:val="00980E3E"/>
    <w:rsid w:val="00983FBD"/>
    <w:rsid w:val="00984A1D"/>
    <w:rsid w:val="00984CA4"/>
    <w:rsid w:val="00987C85"/>
    <w:rsid w:val="009924B3"/>
    <w:rsid w:val="00992703"/>
    <w:rsid w:val="009941E9"/>
    <w:rsid w:val="009953C7"/>
    <w:rsid w:val="00996C96"/>
    <w:rsid w:val="009A14FE"/>
    <w:rsid w:val="009A2033"/>
    <w:rsid w:val="009A252B"/>
    <w:rsid w:val="009A33B7"/>
    <w:rsid w:val="009A55C6"/>
    <w:rsid w:val="009A67D0"/>
    <w:rsid w:val="009B07B1"/>
    <w:rsid w:val="009B417C"/>
    <w:rsid w:val="009B6031"/>
    <w:rsid w:val="009B67C4"/>
    <w:rsid w:val="009C14BC"/>
    <w:rsid w:val="009C1A0E"/>
    <w:rsid w:val="009D0E5F"/>
    <w:rsid w:val="009D1312"/>
    <w:rsid w:val="009D26E8"/>
    <w:rsid w:val="009D3325"/>
    <w:rsid w:val="009D354C"/>
    <w:rsid w:val="009D3B4E"/>
    <w:rsid w:val="009D4E91"/>
    <w:rsid w:val="009D5C26"/>
    <w:rsid w:val="009D73A2"/>
    <w:rsid w:val="009E1AA8"/>
    <w:rsid w:val="009E2791"/>
    <w:rsid w:val="009E3966"/>
    <w:rsid w:val="009E3F6F"/>
    <w:rsid w:val="009E4B8B"/>
    <w:rsid w:val="009E6AD7"/>
    <w:rsid w:val="009F01BD"/>
    <w:rsid w:val="009F1E1E"/>
    <w:rsid w:val="009F20AE"/>
    <w:rsid w:val="009F2E49"/>
    <w:rsid w:val="009F499F"/>
    <w:rsid w:val="009F4C31"/>
    <w:rsid w:val="009F57DB"/>
    <w:rsid w:val="009F642F"/>
    <w:rsid w:val="009F6B2A"/>
    <w:rsid w:val="009F7B2C"/>
    <w:rsid w:val="00A025BD"/>
    <w:rsid w:val="00A04AEE"/>
    <w:rsid w:val="00A07438"/>
    <w:rsid w:val="00A076C6"/>
    <w:rsid w:val="00A11692"/>
    <w:rsid w:val="00A12DBE"/>
    <w:rsid w:val="00A14601"/>
    <w:rsid w:val="00A15DA2"/>
    <w:rsid w:val="00A16E23"/>
    <w:rsid w:val="00A176B6"/>
    <w:rsid w:val="00A252F5"/>
    <w:rsid w:val="00A26A13"/>
    <w:rsid w:val="00A26CC4"/>
    <w:rsid w:val="00A30885"/>
    <w:rsid w:val="00A31C98"/>
    <w:rsid w:val="00A32786"/>
    <w:rsid w:val="00A33E56"/>
    <w:rsid w:val="00A340D9"/>
    <w:rsid w:val="00A34389"/>
    <w:rsid w:val="00A3638B"/>
    <w:rsid w:val="00A37431"/>
    <w:rsid w:val="00A37A3F"/>
    <w:rsid w:val="00A37BEE"/>
    <w:rsid w:val="00A37FC1"/>
    <w:rsid w:val="00A42DAF"/>
    <w:rsid w:val="00A45277"/>
    <w:rsid w:val="00A45A88"/>
    <w:rsid w:val="00A45BD8"/>
    <w:rsid w:val="00A47EC2"/>
    <w:rsid w:val="00A560EA"/>
    <w:rsid w:val="00A566A1"/>
    <w:rsid w:val="00A57BDC"/>
    <w:rsid w:val="00A57D78"/>
    <w:rsid w:val="00A60119"/>
    <w:rsid w:val="00A640EA"/>
    <w:rsid w:val="00A6424C"/>
    <w:rsid w:val="00A64A7F"/>
    <w:rsid w:val="00A656B1"/>
    <w:rsid w:val="00A67D2A"/>
    <w:rsid w:val="00A70B12"/>
    <w:rsid w:val="00A71577"/>
    <w:rsid w:val="00A72A97"/>
    <w:rsid w:val="00A73497"/>
    <w:rsid w:val="00A754F1"/>
    <w:rsid w:val="00A77EDF"/>
    <w:rsid w:val="00A81567"/>
    <w:rsid w:val="00A8379D"/>
    <w:rsid w:val="00A83989"/>
    <w:rsid w:val="00A843F6"/>
    <w:rsid w:val="00A869B7"/>
    <w:rsid w:val="00A87275"/>
    <w:rsid w:val="00A94B43"/>
    <w:rsid w:val="00A9517C"/>
    <w:rsid w:val="00AA0555"/>
    <w:rsid w:val="00AA2FEE"/>
    <w:rsid w:val="00AA4E10"/>
    <w:rsid w:val="00AB1604"/>
    <w:rsid w:val="00AB35BE"/>
    <w:rsid w:val="00AB4ACC"/>
    <w:rsid w:val="00AB5A8A"/>
    <w:rsid w:val="00AB7388"/>
    <w:rsid w:val="00AC205C"/>
    <w:rsid w:val="00AC4713"/>
    <w:rsid w:val="00AC75DE"/>
    <w:rsid w:val="00AC7973"/>
    <w:rsid w:val="00AD05F3"/>
    <w:rsid w:val="00AD114E"/>
    <w:rsid w:val="00AD34C4"/>
    <w:rsid w:val="00AD5D09"/>
    <w:rsid w:val="00AD6475"/>
    <w:rsid w:val="00AE1A76"/>
    <w:rsid w:val="00AE3A3A"/>
    <w:rsid w:val="00AE3AEB"/>
    <w:rsid w:val="00AF0A6B"/>
    <w:rsid w:val="00AF2843"/>
    <w:rsid w:val="00AF37C1"/>
    <w:rsid w:val="00AF6405"/>
    <w:rsid w:val="00AF67FB"/>
    <w:rsid w:val="00AF6E27"/>
    <w:rsid w:val="00AF6E61"/>
    <w:rsid w:val="00AF78A9"/>
    <w:rsid w:val="00B00E11"/>
    <w:rsid w:val="00B01707"/>
    <w:rsid w:val="00B0490D"/>
    <w:rsid w:val="00B04B4E"/>
    <w:rsid w:val="00B05A69"/>
    <w:rsid w:val="00B07F9B"/>
    <w:rsid w:val="00B10B37"/>
    <w:rsid w:val="00B1364E"/>
    <w:rsid w:val="00B140A6"/>
    <w:rsid w:val="00B14230"/>
    <w:rsid w:val="00B14DF9"/>
    <w:rsid w:val="00B1782A"/>
    <w:rsid w:val="00B1788B"/>
    <w:rsid w:val="00B17DC9"/>
    <w:rsid w:val="00B20D24"/>
    <w:rsid w:val="00B21C5A"/>
    <w:rsid w:val="00B21D4D"/>
    <w:rsid w:val="00B22BF1"/>
    <w:rsid w:val="00B24AD4"/>
    <w:rsid w:val="00B24BE7"/>
    <w:rsid w:val="00B24D86"/>
    <w:rsid w:val="00B30AC8"/>
    <w:rsid w:val="00B3194A"/>
    <w:rsid w:val="00B347D7"/>
    <w:rsid w:val="00B34C40"/>
    <w:rsid w:val="00B37D25"/>
    <w:rsid w:val="00B42936"/>
    <w:rsid w:val="00B43A09"/>
    <w:rsid w:val="00B459F8"/>
    <w:rsid w:val="00B47E33"/>
    <w:rsid w:val="00B47E85"/>
    <w:rsid w:val="00B50385"/>
    <w:rsid w:val="00B509EC"/>
    <w:rsid w:val="00B50CD1"/>
    <w:rsid w:val="00B50E71"/>
    <w:rsid w:val="00B524BE"/>
    <w:rsid w:val="00B540BD"/>
    <w:rsid w:val="00B55255"/>
    <w:rsid w:val="00B5551E"/>
    <w:rsid w:val="00B572E8"/>
    <w:rsid w:val="00B60A19"/>
    <w:rsid w:val="00B61F34"/>
    <w:rsid w:val="00B66A71"/>
    <w:rsid w:val="00B66F6E"/>
    <w:rsid w:val="00B71121"/>
    <w:rsid w:val="00B72725"/>
    <w:rsid w:val="00B7272B"/>
    <w:rsid w:val="00B80196"/>
    <w:rsid w:val="00B80A8D"/>
    <w:rsid w:val="00B8106D"/>
    <w:rsid w:val="00B81C99"/>
    <w:rsid w:val="00B8205F"/>
    <w:rsid w:val="00B82E54"/>
    <w:rsid w:val="00B83516"/>
    <w:rsid w:val="00B84919"/>
    <w:rsid w:val="00B875B8"/>
    <w:rsid w:val="00B93EE9"/>
    <w:rsid w:val="00B9577F"/>
    <w:rsid w:val="00B95F61"/>
    <w:rsid w:val="00B97006"/>
    <w:rsid w:val="00B9734B"/>
    <w:rsid w:val="00BA0CC6"/>
    <w:rsid w:val="00BA5FCC"/>
    <w:rsid w:val="00BA702A"/>
    <w:rsid w:val="00BB0FCC"/>
    <w:rsid w:val="00BB14A9"/>
    <w:rsid w:val="00BB4370"/>
    <w:rsid w:val="00BB4B6F"/>
    <w:rsid w:val="00BB6DFE"/>
    <w:rsid w:val="00BC041A"/>
    <w:rsid w:val="00BC2210"/>
    <w:rsid w:val="00BC2D1C"/>
    <w:rsid w:val="00BC3271"/>
    <w:rsid w:val="00BC68AB"/>
    <w:rsid w:val="00BC7747"/>
    <w:rsid w:val="00BD2732"/>
    <w:rsid w:val="00BD2A32"/>
    <w:rsid w:val="00BD369E"/>
    <w:rsid w:val="00BD52D6"/>
    <w:rsid w:val="00BD5F05"/>
    <w:rsid w:val="00BD6A89"/>
    <w:rsid w:val="00BD6AA1"/>
    <w:rsid w:val="00BE01F5"/>
    <w:rsid w:val="00BE0401"/>
    <w:rsid w:val="00BE251C"/>
    <w:rsid w:val="00BE2CF7"/>
    <w:rsid w:val="00BE33A0"/>
    <w:rsid w:val="00BE58E2"/>
    <w:rsid w:val="00BE629B"/>
    <w:rsid w:val="00BE62E1"/>
    <w:rsid w:val="00BF10FB"/>
    <w:rsid w:val="00BF202C"/>
    <w:rsid w:val="00BF2666"/>
    <w:rsid w:val="00BF5505"/>
    <w:rsid w:val="00C01290"/>
    <w:rsid w:val="00C046D1"/>
    <w:rsid w:val="00C07B5B"/>
    <w:rsid w:val="00C108C0"/>
    <w:rsid w:val="00C11023"/>
    <w:rsid w:val="00C11B6A"/>
    <w:rsid w:val="00C11BFE"/>
    <w:rsid w:val="00C12DEB"/>
    <w:rsid w:val="00C14CD7"/>
    <w:rsid w:val="00C20147"/>
    <w:rsid w:val="00C20BB3"/>
    <w:rsid w:val="00C20FC5"/>
    <w:rsid w:val="00C21FEF"/>
    <w:rsid w:val="00C2386A"/>
    <w:rsid w:val="00C23A37"/>
    <w:rsid w:val="00C24750"/>
    <w:rsid w:val="00C33539"/>
    <w:rsid w:val="00C35083"/>
    <w:rsid w:val="00C353B0"/>
    <w:rsid w:val="00C3645D"/>
    <w:rsid w:val="00C377D6"/>
    <w:rsid w:val="00C439FF"/>
    <w:rsid w:val="00C46EEC"/>
    <w:rsid w:val="00C47437"/>
    <w:rsid w:val="00C52303"/>
    <w:rsid w:val="00C536F3"/>
    <w:rsid w:val="00C60EFC"/>
    <w:rsid w:val="00C626E1"/>
    <w:rsid w:val="00C634D8"/>
    <w:rsid w:val="00C65DA8"/>
    <w:rsid w:val="00C66A37"/>
    <w:rsid w:val="00C66D7A"/>
    <w:rsid w:val="00C674A9"/>
    <w:rsid w:val="00C71D78"/>
    <w:rsid w:val="00C721AA"/>
    <w:rsid w:val="00C72A3F"/>
    <w:rsid w:val="00C7426D"/>
    <w:rsid w:val="00C750A2"/>
    <w:rsid w:val="00C77ED8"/>
    <w:rsid w:val="00C81B3A"/>
    <w:rsid w:val="00C842FE"/>
    <w:rsid w:val="00C8707C"/>
    <w:rsid w:val="00C921D6"/>
    <w:rsid w:val="00C923AD"/>
    <w:rsid w:val="00C9369E"/>
    <w:rsid w:val="00C93D0B"/>
    <w:rsid w:val="00C94213"/>
    <w:rsid w:val="00C94831"/>
    <w:rsid w:val="00C94ECE"/>
    <w:rsid w:val="00C957AB"/>
    <w:rsid w:val="00C972D1"/>
    <w:rsid w:val="00C97937"/>
    <w:rsid w:val="00CA05F1"/>
    <w:rsid w:val="00CA0A01"/>
    <w:rsid w:val="00CA0BFC"/>
    <w:rsid w:val="00CA0D32"/>
    <w:rsid w:val="00CA251B"/>
    <w:rsid w:val="00CA2A0F"/>
    <w:rsid w:val="00CA2C71"/>
    <w:rsid w:val="00CA33CB"/>
    <w:rsid w:val="00CA356E"/>
    <w:rsid w:val="00CA3EB5"/>
    <w:rsid w:val="00CA4330"/>
    <w:rsid w:val="00CA6536"/>
    <w:rsid w:val="00CA6C45"/>
    <w:rsid w:val="00CA7B5F"/>
    <w:rsid w:val="00CA7B73"/>
    <w:rsid w:val="00CA7E15"/>
    <w:rsid w:val="00CB09C7"/>
    <w:rsid w:val="00CB0C25"/>
    <w:rsid w:val="00CB19BC"/>
    <w:rsid w:val="00CB1DC0"/>
    <w:rsid w:val="00CB2CD6"/>
    <w:rsid w:val="00CB2EEF"/>
    <w:rsid w:val="00CB31F0"/>
    <w:rsid w:val="00CB72DB"/>
    <w:rsid w:val="00CC7C29"/>
    <w:rsid w:val="00CD49F0"/>
    <w:rsid w:val="00CD62B4"/>
    <w:rsid w:val="00CD78ED"/>
    <w:rsid w:val="00CE31F1"/>
    <w:rsid w:val="00CE4471"/>
    <w:rsid w:val="00CE4E5A"/>
    <w:rsid w:val="00CE6703"/>
    <w:rsid w:val="00CE7D25"/>
    <w:rsid w:val="00CF0455"/>
    <w:rsid w:val="00CF0CA3"/>
    <w:rsid w:val="00CF4614"/>
    <w:rsid w:val="00CF6FD8"/>
    <w:rsid w:val="00CF7259"/>
    <w:rsid w:val="00CF75CC"/>
    <w:rsid w:val="00D01C1F"/>
    <w:rsid w:val="00D053E1"/>
    <w:rsid w:val="00D05BA3"/>
    <w:rsid w:val="00D05FAB"/>
    <w:rsid w:val="00D11E93"/>
    <w:rsid w:val="00D14E62"/>
    <w:rsid w:val="00D15298"/>
    <w:rsid w:val="00D164A1"/>
    <w:rsid w:val="00D17C9F"/>
    <w:rsid w:val="00D20D10"/>
    <w:rsid w:val="00D21AFD"/>
    <w:rsid w:val="00D21DC9"/>
    <w:rsid w:val="00D21F0D"/>
    <w:rsid w:val="00D25447"/>
    <w:rsid w:val="00D27F9C"/>
    <w:rsid w:val="00D3012A"/>
    <w:rsid w:val="00D3406A"/>
    <w:rsid w:val="00D355DC"/>
    <w:rsid w:val="00D4016C"/>
    <w:rsid w:val="00D423A0"/>
    <w:rsid w:val="00D42D6B"/>
    <w:rsid w:val="00D44938"/>
    <w:rsid w:val="00D45252"/>
    <w:rsid w:val="00D457F1"/>
    <w:rsid w:val="00D459CB"/>
    <w:rsid w:val="00D46B02"/>
    <w:rsid w:val="00D50C5F"/>
    <w:rsid w:val="00D5107D"/>
    <w:rsid w:val="00D51B3A"/>
    <w:rsid w:val="00D56086"/>
    <w:rsid w:val="00D56836"/>
    <w:rsid w:val="00D643F7"/>
    <w:rsid w:val="00D65071"/>
    <w:rsid w:val="00D679B9"/>
    <w:rsid w:val="00D71994"/>
    <w:rsid w:val="00D71B4D"/>
    <w:rsid w:val="00D73142"/>
    <w:rsid w:val="00D74D3F"/>
    <w:rsid w:val="00D75301"/>
    <w:rsid w:val="00D76E09"/>
    <w:rsid w:val="00D80E52"/>
    <w:rsid w:val="00D823B8"/>
    <w:rsid w:val="00D83739"/>
    <w:rsid w:val="00D83774"/>
    <w:rsid w:val="00D849C0"/>
    <w:rsid w:val="00D84CB6"/>
    <w:rsid w:val="00D86E42"/>
    <w:rsid w:val="00D86E8C"/>
    <w:rsid w:val="00D903D5"/>
    <w:rsid w:val="00D9122E"/>
    <w:rsid w:val="00D93D55"/>
    <w:rsid w:val="00D9421F"/>
    <w:rsid w:val="00D94593"/>
    <w:rsid w:val="00D946FC"/>
    <w:rsid w:val="00DA098C"/>
    <w:rsid w:val="00DA167F"/>
    <w:rsid w:val="00DA43AB"/>
    <w:rsid w:val="00DA564C"/>
    <w:rsid w:val="00DA6597"/>
    <w:rsid w:val="00DA659F"/>
    <w:rsid w:val="00DB0EE0"/>
    <w:rsid w:val="00DB12DB"/>
    <w:rsid w:val="00DB175D"/>
    <w:rsid w:val="00DB4148"/>
    <w:rsid w:val="00DB41D7"/>
    <w:rsid w:val="00DB5FF1"/>
    <w:rsid w:val="00DB6B7A"/>
    <w:rsid w:val="00DC0BD9"/>
    <w:rsid w:val="00DC1DAA"/>
    <w:rsid w:val="00DC236E"/>
    <w:rsid w:val="00DC3296"/>
    <w:rsid w:val="00DC3E37"/>
    <w:rsid w:val="00DC411D"/>
    <w:rsid w:val="00DC5164"/>
    <w:rsid w:val="00DC6209"/>
    <w:rsid w:val="00DD0483"/>
    <w:rsid w:val="00DD4F3C"/>
    <w:rsid w:val="00DE042B"/>
    <w:rsid w:val="00DE32E9"/>
    <w:rsid w:val="00DE5D22"/>
    <w:rsid w:val="00DE66E2"/>
    <w:rsid w:val="00DE7C2A"/>
    <w:rsid w:val="00DF0B16"/>
    <w:rsid w:val="00DF104B"/>
    <w:rsid w:val="00DF2E6F"/>
    <w:rsid w:val="00DF43DB"/>
    <w:rsid w:val="00DF4833"/>
    <w:rsid w:val="00DF687B"/>
    <w:rsid w:val="00DF7B58"/>
    <w:rsid w:val="00E100A5"/>
    <w:rsid w:val="00E11BF0"/>
    <w:rsid w:val="00E16EC4"/>
    <w:rsid w:val="00E2234A"/>
    <w:rsid w:val="00E22DA1"/>
    <w:rsid w:val="00E2391B"/>
    <w:rsid w:val="00E24353"/>
    <w:rsid w:val="00E24718"/>
    <w:rsid w:val="00E257B6"/>
    <w:rsid w:val="00E32C06"/>
    <w:rsid w:val="00E33149"/>
    <w:rsid w:val="00E335FE"/>
    <w:rsid w:val="00E36269"/>
    <w:rsid w:val="00E373FD"/>
    <w:rsid w:val="00E40689"/>
    <w:rsid w:val="00E42727"/>
    <w:rsid w:val="00E46149"/>
    <w:rsid w:val="00E46159"/>
    <w:rsid w:val="00E46C84"/>
    <w:rsid w:val="00E46F69"/>
    <w:rsid w:val="00E47EF0"/>
    <w:rsid w:val="00E5787B"/>
    <w:rsid w:val="00E6465F"/>
    <w:rsid w:val="00E65C5E"/>
    <w:rsid w:val="00E66DA8"/>
    <w:rsid w:val="00E70223"/>
    <w:rsid w:val="00E7327C"/>
    <w:rsid w:val="00E73305"/>
    <w:rsid w:val="00E73348"/>
    <w:rsid w:val="00E73A6A"/>
    <w:rsid w:val="00E74159"/>
    <w:rsid w:val="00E74979"/>
    <w:rsid w:val="00E77290"/>
    <w:rsid w:val="00E7741B"/>
    <w:rsid w:val="00E843C9"/>
    <w:rsid w:val="00E874FF"/>
    <w:rsid w:val="00E87E22"/>
    <w:rsid w:val="00E9307C"/>
    <w:rsid w:val="00E94243"/>
    <w:rsid w:val="00E9775C"/>
    <w:rsid w:val="00EA22DF"/>
    <w:rsid w:val="00EA392F"/>
    <w:rsid w:val="00EA4B43"/>
    <w:rsid w:val="00EA4D42"/>
    <w:rsid w:val="00EA62B5"/>
    <w:rsid w:val="00EA72DC"/>
    <w:rsid w:val="00EB0A96"/>
    <w:rsid w:val="00EB2CDA"/>
    <w:rsid w:val="00EB6A46"/>
    <w:rsid w:val="00EC34DD"/>
    <w:rsid w:val="00EC4E49"/>
    <w:rsid w:val="00EC58B9"/>
    <w:rsid w:val="00EC6C54"/>
    <w:rsid w:val="00ED25F3"/>
    <w:rsid w:val="00ED434D"/>
    <w:rsid w:val="00ED4C35"/>
    <w:rsid w:val="00ED608D"/>
    <w:rsid w:val="00ED6871"/>
    <w:rsid w:val="00ED7133"/>
    <w:rsid w:val="00ED77FB"/>
    <w:rsid w:val="00EE04D1"/>
    <w:rsid w:val="00EE299D"/>
    <w:rsid w:val="00EE3CDF"/>
    <w:rsid w:val="00EE45FA"/>
    <w:rsid w:val="00EE5774"/>
    <w:rsid w:val="00EE79AB"/>
    <w:rsid w:val="00EF28E3"/>
    <w:rsid w:val="00EF2F7A"/>
    <w:rsid w:val="00EF3722"/>
    <w:rsid w:val="00EF39DA"/>
    <w:rsid w:val="00EF48EE"/>
    <w:rsid w:val="00EF632F"/>
    <w:rsid w:val="00EF7E04"/>
    <w:rsid w:val="00EF7F40"/>
    <w:rsid w:val="00F006DE"/>
    <w:rsid w:val="00F01377"/>
    <w:rsid w:val="00F0161F"/>
    <w:rsid w:val="00F05731"/>
    <w:rsid w:val="00F06F73"/>
    <w:rsid w:val="00F102AC"/>
    <w:rsid w:val="00F113EB"/>
    <w:rsid w:val="00F13205"/>
    <w:rsid w:val="00F16E71"/>
    <w:rsid w:val="00F170D4"/>
    <w:rsid w:val="00F20BF3"/>
    <w:rsid w:val="00F22144"/>
    <w:rsid w:val="00F22902"/>
    <w:rsid w:val="00F24EA0"/>
    <w:rsid w:val="00F259A6"/>
    <w:rsid w:val="00F25D99"/>
    <w:rsid w:val="00F31298"/>
    <w:rsid w:val="00F32D25"/>
    <w:rsid w:val="00F33130"/>
    <w:rsid w:val="00F33691"/>
    <w:rsid w:val="00F35E55"/>
    <w:rsid w:val="00F375A0"/>
    <w:rsid w:val="00F427C9"/>
    <w:rsid w:val="00F43B06"/>
    <w:rsid w:val="00F47B74"/>
    <w:rsid w:val="00F47C37"/>
    <w:rsid w:val="00F5071D"/>
    <w:rsid w:val="00F50EA8"/>
    <w:rsid w:val="00F50F38"/>
    <w:rsid w:val="00F53205"/>
    <w:rsid w:val="00F553F0"/>
    <w:rsid w:val="00F60C27"/>
    <w:rsid w:val="00F60DDF"/>
    <w:rsid w:val="00F61804"/>
    <w:rsid w:val="00F623FD"/>
    <w:rsid w:val="00F62B74"/>
    <w:rsid w:val="00F62FA9"/>
    <w:rsid w:val="00F66152"/>
    <w:rsid w:val="00F70A5D"/>
    <w:rsid w:val="00F70BCC"/>
    <w:rsid w:val="00F7138C"/>
    <w:rsid w:val="00F750BC"/>
    <w:rsid w:val="00F75593"/>
    <w:rsid w:val="00F76051"/>
    <w:rsid w:val="00F81BD3"/>
    <w:rsid w:val="00F82345"/>
    <w:rsid w:val="00F83FA4"/>
    <w:rsid w:val="00F84D01"/>
    <w:rsid w:val="00F909C3"/>
    <w:rsid w:val="00F9155A"/>
    <w:rsid w:val="00F936BE"/>
    <w:rsid w:val="00F95A28"/>
    <w:rsid w:val="00F95E83"/>
    <w:rsid w:val="00F96E4D"/>
    <w:rsid w:val="00FA2715"/>
    <w:rsid w:val="00FA35CA"/>
    <w:rsid w:val="00FA4388"/>
    <w:rsid w:val="00FA5DEC"/>
    <w:rsid w:val="00FB01A8"/>
    <w:rsid w:val="00FB346F"/>
    <w:rsid w:val="00FB35E6"/>
    <w:rsid w:val="00FB3E5B"/>
    <w:rsid w:val="00FB53CB"/>
    <w:rsid w:val="00FB6DCD"/>
    <w:rsid w:val="00FC14EF"/>
    <w:rsid w:val="00FC3AE1"/>
    <w:rsid w:val="00FC48F0"/>
    <w:rsid w:val="00FC6468"/>
    <w:rsid w:val="00FD0E53"/>
    <w:rsid w:val="00FD0F16"/>
    <w:rsid w:val="00FD277B"/>
    <w:rsid w:val="00FD5DA8"/>
    <w:rsid w:val="00FD5E82"/>
    <w:rsid w:val="00FE1086"/>
    <w:rsid w:val="00FE16FA"/>
    <w:rsid w:val="00FE320F"/>
    <w:rsid w:val="00FE48CE"/>
    <w:rsid w:val="00FE5669"/>
    <w:rsid w:val="00FE604C"/>
    <w:rsid w:val="00FE65FE"/>
    <w:rsid w:val="00FF2973"/>
    <w:rsid w:val="00FF64EB"/>
    <w:rsid w:val="00FF6D76"/>
    <w:rsid w:val="00FF6E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01B"/>
    <w:rPr>
      <w:rFonts w:ascii="Arial" w:eastAsia="SimSun" w:hAnsi="Arial" w:cs="Arial"/>
      <w:sz w:val="22"/>
      <w:lang w:val="fr-CH" w:eastAsia="zh-CN"/>
    </w:rPr>
  </w:style>
  <w:style w:type="paragraph" w:styleId="Heading1">
    <w:name w:val="heading 1"/>
    <w:basedOn w:val="Normal"/>
    <w:next w:val="Normal"/>
    <w:qFormat/>
    <w:rsid w:val="0040701B"/>
    <w:pPr>
      <w:keepNext/>
      <w:spacing w:before="240" w:after="60"/>
      <w:outlineLvl w:val="0"/>
    </w:pPr>
    <w:rPr>
      <w:b/>
      <w:bCs/>
      <w:caps/>
      <w:kern w:val="32"/>
      <w:szCs w:val="32"/>
    </w:rPr>
  </w:style>
  <w:style w:type="paragraph" w:styleId="Heading2">
    <w:name w:val="heading 2"/>
    <w:basedOn w:val="Normal"/>
    <w:next w:val="Normal"/>
    <w:qFormat/>
    <w:rsid w:val="00BD2732"/>
    <w:pPr>
      <w:keepNext/>
      <w:spacing w:before="240" w:after="60"/>
      <w:outlineLvl w:val="1"/>
    </w:pPr>
    <w:rPr>
      <w:b/>
      <w:bCs/>
      <w:iCs/>
      <w:szCs w:val="28"/>
    </w:rPr>
  </w:style>
  <w:style w:type="paragraph" w:styleId="Heading3">
    <w:name w:val="heading 3"/>
    <w:basedOn w:val="ListParagraph"/>
    <w:next w:val="Normal"/>
    <w:qFormat/>
    <w:rsid w:val="00BD2732"/>
    <w:pPr>
      <w:keepNext/>
      <w:numPr>
        <w:numId w:val="22"/>
      </w:numPr>
      <w:ind w:left="1134" w:hanging="567"/>
      <w:outlineLvl w:val="2"/>
    </w:pPr>
    <w:rPr>
      <w:i/>
      <w:szCs w:val="22"/>
    </w:rPr>
  </w:style>
  <w:style w:type="paragraph" w:styleId="Heading4">
    <w:name w:val="heading 4"/>
    <w:basedOn w:val="Normal"/>
    <w:next w:val="Normal"/>
    <w:qFormat/>
    <w:rsid w:val="0040701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0701B"/>
    <w:pPr>
      <w:ind w:left="5534"/>
    </w:pPr>
    <w:rPr>
      <w:lang w:val="en-US"/>
    </w:rPr>
  </w:style>
  <w:style w:type="paragraph" w:styleId="BodyText">
    <w:name w:val="Body Text"/>
    <w:basedOn w:val="Normal"/>
    <w:rsid w:val="0040701B"/>
    <w:pPr>
      <w:spacing w:after="220"/>
    </w:pPr>
  </w:style>
  <w:style w:type="paragraph" w:styleId="Caption">
    <w:name w:val="caption"/>
    <w:basedOn w:val="Normal"/>
    <w:next w:val="Normal"/>
    <w:qFormat/>
    <w:rsid w:val="0040701B"/>
    <w:rPr>
      <w:b/>
      <w:bCs/>
      <w:sz w:val="18"/>
    </w:rPr>
  </w:style>
  <w:style w:type="paragraph" w:styleId="CommentText">
    <w:name w:val="annotation text"/>
    <w:basedOn w:val="Normal"/>
    <w:link w:val="CommentTextChar"/>
    <w:semiHidden/>
    <w:rsid w:val="0040701B"/>
    <w:rPr>
      <w:sz w:val="18"/>
    </w:rPr>
  </w:style>
  <w:style w:type="paragraph" w:styleId="EndnoteText">
    <w:name w:val="endnote text"/>
    <w:basedOn w:val="Normal"/>
    <w:semiHidden/>
    <w:rsid w:val="0040701B"/>
    <w:rPr>
      <w:sz w:val="18"/>
    </w:rPr>
  </w:style>
  <w:style w:type="paragraph" w:styleId="Footer">
    <w:name w:val="footer"/>
    <w:basedOn w:val="Normal"/>
    <w:semiHidden/>
    <w:rsid w:val="0040701B"/>
    <w:pPr>
      <w:tabs>
        <w:tab w:val="center" w:pos="4320"/>
        <w:tab w:val="right" w:pos="8640"/>
      </w:tabs>
    </w:pPr>
  </w:style>
  <w:style w:type="paragraph" w:styleId="BalloonText">
    <w:name w:val="Balloon Text"/>
    <w:basedOn w:val="Normal"/>
    <w:link w:val="BalloonTextChar"/>
    <w:rsid w:val="00AA0555"/>
    <w:rPr>
      <w:rFonts w:ascii="Tahoma" w:hAnsi="Tahoma" w:cs="Tahoma"/>
      <w:sz w:val="16"/>
      <w:szCs w:val="16"/>
    </w:rPr>
  </w:style>
  <w:style w:type="paragraph" w:styleId="FootnoteText">
    <w:name w:val="footnote text"/>
    <w:basedOn w:val="Normal"/>
    <w:link w:val="FootnoteTextChar"/>
    <w:semiHidden/>
    <w:rsid w:val="0040701B"/>
    <w:rPr>
      <w:sz w:val="18"/>
    </w:rPr>
  </w:style>
  <w:style w:type="paragraph" w:styleId="Header">
    <w:name w:val="header"/>
    <w:basedOn w:val="Normal"/>
    <w:rsid w:val="0040701B"/>
    <w:pPr>
      <w:tabs>
        <w:tab w:val="center" w:pos="4536"/>
        <w:tab w:val="right" w:pos="9072"/>
      </w:tabs>
    </w:pPr>
  </w:style>
  <w:style w:type="paragraph" w:styleId="ListNumber">
    <w:name w:val="List Number"/>
    <w:basedOn w:val="Normal"/>
    <w:semiHidden/>
    <w:rsid w:val="0040701B"/>
    <w:pPr>
      <w:numPr>
        <w:numId w:val="31"/>
      </w:numPr>
    </w:pPr>
  </w:style>
  <w:style w:type="paragraph" w:customStyle="1" w:styleId="ONUME">
    <w:name w:val="ONUM E"/>
    <w:basedOn w:val="BodyText"/>
    <w:rsid w:val="0040701B"/>
    <w:pPr>
      <w:numPr>
        <w:numId w:val="32"/>
      </w:numPr>
    </w:pPr>
  </w:style>
  <w:style w:type="paragraph" w:customStyle="1" w:styleId="ONUMFS">
    <w:name w:val="ONUM FS"/>
    <w:basedOn w:val="BodyText"/>
    <w:rsid w:val="0040701B"/>
    <w:pPr>
      <w:numPr>
        <w:numId w:val="33"/>
      </w:numPr>
    </w:pPr>
  </w:style>
  <w:style w:type="paragraph" w:styleId="Salutation">
    <w:name w:val="Salutation"/>
    <w:basedOn w:val="Normal"/>
    <w:next w:val="Normal"/>
    <w:semiHidden/>
    <w:rsid w:val="0040701B"/>
  </w:style>
  <w:style w:type="paragraph" w:styleId="Signature">
    <w:name w:val="Signature"/>
    <w:basedOn w:val="Normal"/>
    <w:semiHidden/>
    <w:rsid w:val="0040701B"/>
    <w:pPr>
      <w:ind w:left="5250"/>
    </w:pPr>
  </w:style>
  <w:style w:type="character" w:customStyle="1" w:styleId="BalloonTextChar">
    <w:name w:val="Balloon Text Char"/>
    <w:basedOn w:val="DefaultParagraphFont"/>
    <w:link w:val="BalloonText"/>
    <w:rsid w:val="00AA0555"/>
    <w:rPr>
      <w:rFonts w:ascii="Tahoma" w:eastAsia="SimSun" w:hAnsi="Tahoma" w:cs="Tahoma"/>
      <w:sz w:val="16"/>
      <w:szCs w:val="16"/>
      <w:lang w:eastAsia="zh-CN"/>
    </w:rPr>
  </w:style>
  <w:style w:type="character" w:styleId="FootnoteReference">
    <w:name w:val="footnote reference"/>
    <w:uiPriority w:val="99"/>
    <w:rsid w:val="00A26A13"/>
    <w:rPr>
      <w:vertAlign w:val="superscript"/>
    </w:rPr>
  </w:style>
  <w:style w:type="character" w:styleId="Hyperlink">
    <w:name w:val="Hyperlink"/>
    <w:rsid w:val="00A26A13"/>
    <w:rPr>
      <w:color w:val="0000FF"/>
      <w:u w:val="single"/>
    </w:rPr>
  </w:style>
  <w:style w:type="character" w:styleId="Emphasis">
    <w:name w:val="Emphasis"/>
    <w:qFormat/>
    <w:rsid w:val="00A26A13"/>
    <w:rPr>
      <w:i/>
      <w:iCs/>
    </w:rPr>
  </w:style>
  <w:style w:type="paragraph" w:styleId="ListParagraph">
    <w:name w:val="List Paragraph"/>
    <w:basedOn w:val="Normal"/>
    <w:uiPriority w:val="34"/>
    <w:qFormat/>
    <w:rsid w:val="0040701B"/>
    <w:pPr>
      <w:ind w:left="720"/>
      <w:contextualSpacing/>
    </w:pPr>
  </w:style>
  <w:style w:type="character" w:customStyle="1" w:styleId="FootnoteTextChar">
    <w:name w:val="Footnote Text Char"/>
    <w:basedOn w:val="DefaultParagraphFont"/>
    <w:link w:val="FootnoteText"/>
    <w:semiHidden/>
    <w:rsid w:val="00005184"/>
    <w:rPr>
      <w:rFonts w:ascii="Arial" w:eastAsia="SimSun" w:hAnsi="Arial" w:cs="Arial"/>
      <w:sz w:val="18"/>
      <w:lang w:val="fr-CH" w:eastAsia="zh-CN"/>
    </w:rPr>
  </w:style>
  <w:style w:type="character" w:styleId="CommentReference">
    <w:name w:val="annotation reference"/>
    <w:basedOn w:val="DefaultParagraphFont"/>
    <w:rsid w:val="001919BB"/>
    <w:rPr>
      <w:sz w:val="16"/>
      <w:szCs w:val="16"/>
    </w:rPr>
  </w:style>
  <w:style w:type="paragraph" w:styleId="CommentSubject">
    <w:name w:val="annotation subject"/>
    <w:basedOn w:val="CommentText"/>
    <w:next w:val="CommentText"/>
    <w:link w:val="CommentSubjectChar"/>
    <w:rsid w:val="001919BB"/>
    <w:rPr>
      <w:b/>
      <w:bCs/>
      <w:sz w:val="20"/>
    </w:rPr>
  </w:style>
  <w:style w:type="character" w:customStyle="1" w:styleId="CommentTextChar">
    <w:name w:val="Comment Text Char"/>
    <w:basedOn w:val="DefaultParagraphFont"/>
    <w:link w:val="CommentText"/>
    <w:semiHidden/>
    <w:rsid w:val="001919BB"/>
    <w:rPr>
      <w:rFonts w:ascii="Arial" w:eastAsia="SimSun" w:hAnsi="Arial" w:cs="Arial"/>
      <w:sz w:val="18"/>
      <w:lang w:val="fr-CH" w:eastAsia="zh-CN"/>
    </w:rPr>
  </w:style>
  <w:style w:type="character" w:customStyle="1" w:styleId="CommentSubjectChar">
    <w:name w:val="Comment Subject Char"/>
    <w:basedOn w:val="CommentTextChar"/>
    <w:link w:val="CommentSubject"/>
    <w:rsid w:val="001919BB"/>
    <w:rPr>
      <w:rFonts w:ascii="Arial" w:eastAsia="SimSun" w:hAnsi="Arial" w:cs="Arial"/>
      <w:b/>
      <w:bCs/>
      <w:sz w:val="18"/>
      <w:lang w:val="fr-CH" w:eastAsia="zh-CN"/>
    </w:rPr>
  </w:style>
  <w:style w:type="paragraph" w:styleId="TOC1">
    <w:name w:val="toc 1"/>
    <w:basedOn w:val="Normal"/>
    <w:next w:val="Normal"/>
    <w:autoRedefine/>
    <w:uiPriority w:val="39"/>
    <w:rsid w:val="00BD2732"/>
    <w:pPr>
      <w:tabs>
        <w:tab w:val="left" w:pos="1100"/>
        <w:tab w:val="left" w:pos="1134"/>
        <w:tab w:val="right" w:leader="dot" w:pos="9345"/>
      </w:tabs>
      <w:spacing w:before="240"/>
      <w:ind w:left="550" w:hanging="550"/>
    </w:pPr>
    <w:rPr>
      <w:caps/>
      <w:noProof/>
    </w:rPr>
  </w:style>
  <w:style w:type="paragraph" w:styleId="TOC2">
    <w:name w:val="toc 2"/>
    <w:basedOn w:val="Normal"/>
    <w:next w:val="Normal"/>
    <w:autoRedefine/>
    <w:uiPriority w:val="39"/>
    <w:rsid w:val="00BD2732"/>
    <w:pPr>
      <w:tabs>
        <w:tab w:val="left" w:pos="1100"/>
        <w:tab w:val="right" w:leader="dot" w:pos="9345"/>
      </w:tabs>
      <w:spacing w:before="240"/>
      <w:ind w:left="1134" w:hanging="567"/>
    </w:pPr>
    <w:rPr>
      <w:noProof/>
    </w:rPr>
  </w:style>
  <w:style w:type="paragraph" w:customStyle="1" w:styleId="Meetingplacedate">
    <w:name w:val="Meeting place &amp; date"/>
    <w:basedOn w:val="Normal"/>
    <w:next w:val="Normal"/>
    <w:rsid w:val="0040701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0701B"/>
    <w:pPr>
      <w:spacing w:line="336" w:lineRule="exact"/>
      <w:ind w:left="1021"/>
    </w:pPr>
    <w:rPr>
      <w:rFonts w:eastAsia="Times New Roman" w:cs="Times New Roman"/>
      <w:b/>
      <w:sz w:val="28"/>
      <w:lang w:val="fr-FR" w:eastAsia="en-US"/>
    </w:rPr>
  </w:style>
  <w:style w:type="paragraph" w:styleId="TOC3">
    <w:name w:val="toc 3"/>
    <w:basedOn w:val="Normal"/>
    <w:next w:val="Normal"/>
    <w:autoRedefine/>
    <w:uiPriority w:val="39"/>
    <w:rsid w:val="00BD2732"/>
    <w:pPr>
      <w:tabs>
        <w:tab w:val="left" w:pos="1100"/>
        <w:tab w:val="right" w:leader="dot" w:pos="9345"/>
      </w:tabs>
      <w:ind w:left="1701" w:hanging="567"/>
    </w:pPr>
  </w:style>
  <w:style w:type="character" w:styleId="FollowedHyperlink">
    <w:name w:val="FollowedHyperlink"/>
    <w:basedOn w:val="DefaultParagraphFont"/>
    <w:rsid w:val="008F70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01B"/>
    <w:rPr>
      <w:rFonts w:ascii="Arial" w:eastAsia="SimSun" w:hAnsi="Arial" w:cs="Arial"/>
      <w:sz w:val="22"/>
      <w:lang w:val="fr-CH" w:eastAsia="zh-CN"/>
    </w:rPr>
  </w:style>
  <w:style w:type="paragraph" w:styleId="Heading1">
    <w:name w:val="heading 1"/>
    <w:basedOn w:val="Normal"/>
    <w:next w:val="Normal"/>
    <w:qFormat/>
    <w:rsid w:val="0040701B"/>
    <w:pPr>
      <w:keepNext/>
      <w:spacing w:before="240" w:after="60"/>
      <w:outlineLvl w:val="0"/>
    </w:pPr>
    <w:rPr>
      <w:b/>
      <w:bCs/>
      <w:caps/>
      <w:kern w:val="32"/>
      <w:szCs w:val="32"/>
    </w:rPr>
  </w:style>
  <w:style w:type="paragraph" w:styleId="Heading2">
    <w:name w:val="heading 2"/>
    <w:basedOn w:val="Normal"/>
    <w:next w:val="Normal"/>
    <w:qFormat/>
    <w:rsid w:val="00BD2732"/>
    <w:pPr>
      <w:keepNext/>
      <w:spacing w:before="240" w:after="60"/>
      <w:outlineLvl w:val="1"/>
    </w:pPr>
    <w:rPr>
      <w:b/>
      <w:bCs/>
      <w:iCs/>
      <w:szCs w:val="28"/>
    </w:rPr>
  </w:style>
  <w:style w:type="paragraph" w:styleId="Heading3">
    <w:name w:val="heading 3"/>
    <w:basedOn w:val="ListParagraph"/>
    <w:next w:val="Normal"/>
    <w:qFormat/>
    <w:rsid w:val="00BD2732"/>
    <w:pPr>
      <w:keepNext/>
      <w:numPr>
        <w:numId w:val="22"/>
      </w:numPr>
      <w:ind w:left="1134" w:hanging="567"/>
      <w:outlineLvl w:val="2"/>
    </w:pPr>
    <w:rPr>
      <w:i/>
      <w:szCs w:val="22"/>
    </w:rPr>
  </w:style>
  <w:style w:type="paragraph" w:styleId="Heading4">
    <w:name w:val="heading 4"/>
    <w:basedOn w:val="Normal"/>
    <w:next w:val="Normal"/>
    <w:qFormat/>
    <w:rsid w:val="0040701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0701B"/>
    <w:pPr>
      <w:ind w:left="5534"/>
    </w:pPr>
    <w:rPr>
      <w:lang w:val="en-US"/>
    </w:rPr>
  </w:style>
  <w:style w:type="paragraph" w:styleId="BodyText">
    <w:name w:val="Body Text"/>
    <w:basedOn w:val="Normal"/>
    <w:rsid w:val="0040701B"/>
    <w:pPr>
      <w:spacing w:after="220"/>
    </w:pPr>
  </w:style>
  <w:style w:type="paragraph" w:styleId="Caption">
    <w:name w:val="caption"/>
    <w:basedOn w:val="Normal"/>
    <w:next w:val="Normal"/>
    <w:qFormat/>
    <w:rsid w:val="0040701B"/>
    <w:rPr>
      <w:b/>
      <w:bCs/>
      <w:sz w:val="18"/>
    </w:rPr>
  </w:style>
  <w:style w:type="paragraph" w:styleId="CommentText">
    <w:name w:val="annotation text"/>
    <w:basedOn w:val="Normal"/>
    <w:link w:val="CommentTextChar"/>
    <w:semiHidden/>
    <w:rsid w:val="0040701B"/>
    <w:rPr>
      <w:sz w:val="18"/>
    </w:rPr>
  </w:style>
  <w:style w:type="paragraph" w:styleId="EndnoteText">
    <w:name w:val="endnote text"/>
    <w:basedOn w:val="Normal"/>
    <w:semiHidden/>
    <w:rsid w:val="0040701B"/>
    <w:rPr>
      <w:sz w:val="18"/>
    </w:rPr>
  </w:style>
  <w:style w:type="paragraph" w:styleId="Footer">
    <w:name w:val="footer"/>
    <w:basedOn w:val="Normal"/>
    <w:semiHidden/>
    <w:rsid w:val="0040701B"/>
    <w:pPr>
      <w:tabs>
        <w:tab w:val="center" w:pos="4320"/>
        <w:tab w:val="right" w:pos="8640"/>
      </w:tabs>
    </w:pPr>
  </w:style>
  <w:style w:type="paragraph" w:styleId="BalloonText">
    <w:name w:val="Balloon Text"/>
    <w:basedOn w:val="Normal"/>
    <w:link w:val="BalloonTextChar"/>
    <w:rsid w:val="00AA0555"/>
    <w:rPr>
      <w:rFonts w:ascii="Tahoma" w:hAnsi="Tahoma" w:cs="Tahoma"/>
      <w:sz w:val="16"/>
      <w:szCs w:val="16"/>
    </w:rPr>
  </w:style>
  <w:style w:type="paragraph" w:styleId="FootnoteText">
    <w:name w:val="footnote text"/>
    <w:basedOn w:val="Normal"/>
    <w:link w:val="FootnoteTextChar"/>
    <w:semiHidden/>
    <w:rsid w:val="0040701B"/>
    <w:rPr>
      <w:sz w:val="18"/>
    </w:rPr>
  </w:style>
  <w:style w:type="paragraph" w:styleId="Header">
    <w:name w:val="header"/>
    <w:basedOn w:val="Normal"/>
    <w:rsid w:val="0040701B"/>
    <w:pPr>
      <w:tabs>
        <w:tab w:val="center" w:pos="4536"/>
        <w:tab w:val="right" w:pos="9072"/>
      </w:tabs>
    </w:pPr>
  </w:style>
  <w:style w:type="paragraph" w:styleId="ListNumber">
    <w:name w:val="List Number"/>
    <w:basedOn w:val="Normal"/>
    <w:semiHidden/>
    <w:rsid w:val="0040701B"/>
    <w:pPr>
      <w:numPr>
        <w:numId w:val="31"/>
      </w:numPr>
    </w:pPr>
  </w:style>
  <w:style w:type="paragraph" w:customStyle="1" w:styleId="ONUME">
    <w:name w:val="ONUM E"/>
    <w:basedOn w:val="BodyText"/>
    <w:rsid w:val="0040701B"/>
    <w:pPr>
      <w:numPr>
        <w:numId w:val="32"/>
      </w:numPr>
    </w:pPr>
  </w:style>
  <w:style w:type="paragraph" w:customStyle="1" w:styleId="ONUMFS">
    <w:name w:val="ONUM FS"/>
    <w:basedOn w:val="BodyText"/>
    <w:rsid w:val="0040701B"/>
    <w:pPr>
      <w:numPr>
        <w:numId w:val="33"/>
      </w:numPr>
    </w:pPr>
  </w:style>
  <w:style w:type="paragraph" w:styleId="Salutation">
    <w:name w:val="Salutation"/>
    <w:basedOn w:val="Normal"/>
    <w:next w:val="Normal"/>
    <w:semiHidden/>
    <w:rsid w:val="0040701B"/>
  </w:style>
  <w:style w:type="paragraph" w:styleId="Signature">
    <w:name w:val="Signature"/>
    <w:basedOn w:val="Normal"/>
    <w:semiHidden/>
    <w:rsid w:val="0040701B"/>
    <w:pPr>
      <w:ind w:left="5250"/>
    </w:pPr>
  </w:style>
  <w:style w:type="character" w:customStyle="1" w:styleId="BalloonTextChar">
    <w:name w:val="Balloon Text Char"/>
    <w:basedOn w:val="DefaultParagraphFont"/>
    <w:link w:val="BalloonText"/>
    <w:rsid w:val="00AA0555"/>
    <w:rPr>
      <w:rFonts w:ascii="Tahoma" w:eastAsia="SimSun" w:hAnsi="Tahoma" w:cs="Tahoma"/>
      <w:sz w:val="16"/>
      <w:szCs w:val="16"/>
      <w:lang w:eastAsia="zh-CN"/>
    </w:rPr>
  </w:style>
  <w:style w:type="character" w:styleId="FootnoteReference">
    <w:name w:val="footnote reference"/>
    <w:uiPriority w:val="99"/>
    <w:rsid w:val="00A26A13"/>
    <w:rPr>
      <w:vertAlign w:val="superscript"/>
    </w:rPr>
  </w:style>
  <w:style w:type="character" w:styleId="Hyperlink">
    <w:name w:val="Hyperlink"/>
    <w:rsid w:val="00A26A13"/>
    <w:rPr>
      <w:color w:val="0000FF"/>
      <w:u w:val="single"/>
    </w:rPr>
  </w:style>
  <w:style w:type="character" w:styleId="Emphasis">
    <w:name w:val="Emphasis"/>
    <w:qFormat/>
    <w:rsid w:val="00A26A13"/>
    <w:rPr>
      <w:i/>
      <w:iCs/>
    </w:rPr>
  </w:style>
  <w:style w:type="paragraph" w:styleId="ListParagraph">
    <w:name w:val="List Paragraph"/>
    <w:basedOn w:val="Normal"/>
    <w:uiPriority w:val="34"/>
    <w:qFormat/>
    <w:rsid w:val="0040701B"/>
    <w:pPr>
      <w:ind w:left="720"/>
      <w:contextualSpacing/>
    </w:pPr>
  </w:style>
  <w:style w:type="character" w:customStyle="1" w:styleId="FootnoteTextChar">
    <w:name w:val="Footnote Text Char"/>
    <w:basedOn w:val="DefaultParagraphFont"/>
    <w:link w:val="FootnoteText"/>
    <w:semiHidden/>
    <w:rsid w:val="00005184"/>
    <w:rPr>
      <w:rFonts w:ascii="Arial" w:eastAsia="SimSun" w:hAnsi="Arial" w:cs="Arial"/>
      <w:sz w:val="18"/>
      <w:lang w:val="fr-CH" w:eastAsia="zh-CN"/>
    </w:rPr>
  </w:style>
  <w:style w:type="character" w:styleId="CommentReference">
    <w:name w:val="annotation reference"/>
    <w:basedOn w:val="DefaultParagraphFont"/>
    <w:rsid w:val="001919BB"/>
    <w:rPr>
      <w:sz w:val="16"/>
      <w:szCs w:val="16"/>
    </w:rPr>
  </w:style>
  <w:style w:type="paragraph" w:styleId="CommentSubject">
    <w:name w:val="annotation subject"/>
    <w:basedOn w:val="CommentText"/>
    <w:next w:val="CommentText"/>
    <w:link w:val="CommentSubjectChar"/>
    <w:rsid w:val="001919BB"/>
    <w:rPr>
      <w:b/>
      <w:bCs/>
      <w:sz w:val="20"/>
    </w:rPr>
  </w:style>
  <w:style w:type="character" w:customStyle="1" w:styleId="CommentTextChar">
    <w:name w:val="Comment Text Char"/>
    <w:basedOn w:val="DefaultParagraphFont"/>
    <w:link w:val="CommentText"/>
    <w:semiHidden/>
    <w:rsid w:val="001919BB"/>
    <w:rPr>
      <w:rFonts w:ascii="Arial" w:eastAsia="SimSun" w:hAnsi="Arial" w:cs="Arial"/>
      <w:sz w:val="18"/>
      <w:lang w:val="fr-CH" w:eastAsia="zh-CN"/>
    </w:rPr>
  </w:style>
  <w:style w:type="character" w:customStyle="1" w:styleId="CommentSubjectChar">
    <w:name w:val="Comment Subject Char"/>
    <w:basedOn w:val="CommentTextChar"/>
    <w:link w:val="CommentSubject"/>
    <w:rsid w:val="001919BB"/>
    <w:rPr>
      <w:rFonts w:ascii="Arial" w:eastAsia="SimSun" w:hAnsi="Arial" w:cs="Arial"/>
      <w:b/>
      <w:bCs/>
      <w:sz w:val="18"/>
      <w:lang w:val="fr-CH" w:eastAsia="zh-CN"/>
    </w:rPr>
  </w:style>
  <w:style w:type="paragraph" w:styleId="TOC1">
    <w:name w:val="toc 1"/>
    <w:basedOn w:val="Normal"/>
    <w:next w:val="Normal"/>
    <w:autoRedefine/>
    <w:uiPriority w:val="39"/>
    <w:rsid w:val="00BD2732"/>
    <w:pPr>
      <w:tabs>
        <w:tab w:val="left" w:pos="1100"/>
        <w:tab w:val="left" w:pos="1134"/>
        <w:tab w:val="right" w:leader="dot" w:pos="9345"/>
      </w:tabs>
      <w:spacing w:before="240"/>
      <w:ind w:left="550" w:hanging="550"/>
    </w:pPr>
    <w:rPr>
      <w:caps/>
      <w:noProof/>
    </w:rPr>
  </w:style>
  <w:style w:type="paragraph" w:styleId="TOC2">
    <w:name w:val="toc 2"/>
    <w:basedOn w:val="Normal"/>
    <w:next w:val="Normal"/>
    <w:autoRedefine/>
    <w:uiPriority w:val="39"/>
    <w:rsid w:val="00BD2732"/>
    <w:pPr>
      <w:tabs>
        <w:tab w:val="left" w:pos="1100"/>
        <w:tab w:val="right" w:leader="dot" w:pos="9345"/>
      </w:tabs>
      <w:spacing w:before="240"/>
      <w:ind w:left="1134" w:hanging="567"/>
    </w:pPr>
    <w:rPr>
      <w:noProof/>
    </w:rPr>
  </w:style>
  <w:style w:type="paragraph" w:customStyle="1" w:styleId="Meetingplacedate">
    <w:name w:val="Meeting place &amp; date"/>
    <w:basedOn w:val="Normal"/>
    <w:next w:val="Normal"/>
    <w:rsid w:val="0040701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0701B"/>
    <w:pPr>
      <w:spacing w:line="336" w:lineRule="exact"/>
      <w:ind w:left="1021"/>
    </w:pPr>
    <w:rPr>
      <w:rFonts w:eastAsia="Times New Roman" w:cs="Times New Roman"/>
      <w:b/>
      <w:sz w:val="28"/>
      <w:lang w:val="fr-FR" w:eastAsia="en-US"/>
    </w:rPr>
  </w:style>
  <w:style w:type="paragraph" w:styleId="TOC3">
    <w:name w:val="toc 3"/>
    <w:basedOn w:val="Normal"/>
    <w:next w:val="Normal"/>
    <w:autoRedefine/>
    <w:uiPriority w:val="39"/>
    <w:rsid w:val="00BD2732"/>
    <w:pPr>
      <w:tabs>
        <w:tab w:val="left" w:pos="1100"/>
        <w:tab w:val="right" w:leader="dot" w:pos="9345"/>
      </w:tabs>
      <w:ind w:left="1701" w:hanging="567"/>
    </w:pPr>
  </w:style>
  <w:style w:type="character" w:styleId="FollowedHyperlink">
    <w:name w:val="FollowedHyperlink"/>
    <w:basedOn w:val="DefaultParagraphFont"/>
    <w:rsid w:val="008F7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325">
      <w:bodyDiv w:val="1"/>
      <w:marLeft w:val="0"/>
      <w:marRight w:val="0"/>
      <w:marTop w:val="0"/>
      <w:marBottom w:val="0"/>
      <w:divBdr>
        <w:top w:val="none" w:sz="0" w:space="0" w:color="auto"/>
        <w:left w:val="none" w:sz="0" w:space="0" w:color="auto"/>
        <w:bottom w:val="none" w:sz="0" w:space="0" w:color="auto"/>
        <w:right w:val="none" w:sz="0" w:space="0" w:color="auto"/>
      </w:divBdr>
      <w:divsChild>
        <w:div w:id="1619337414">
          <w:marLeft w:val="0"/>
          <w:marRight w:val="0"/>
          <w:marTop w:val="0"/>
          <w:marBottom w:val="0"/>
          <w:divBdr>
            <w:top w:val="none" w:sz="0" w:space="0" w:color="auto"/>
            <w:left w:val="none" w:sz="0" w:space="0" w:color="auto"/>
            <w:bottom w:val="none" w:sz="0" w:space="0" w:color="auto"/>
            <w:right w:val="none" w:sz="0" w:space="0" w:color="auto"/>
          </w:divBdr>
        </w:div>
        <w:div w:id="1489244989">
          <w:marLeft w:val="0"/>
          <w:marRight w:val="0"/>
          <w:marTop w:val="0"/>
          <w:marBottom w:val="0"/>
          <w:divBdr>
            <w:top w:val="none" w:sz="0" w:space="0" w:color="auto"/>
            <w:left w:val="none" w:sz="0" w:space="0" w:color="auto"/>
            <w:bottom w:val="none" w:sz="0" w:space="0" w:color="auto"/>
            <w:right w:val="none" w:sz="0" w:space="0" w:color="auto"/>
          </w:divBdr>
        </w:div>
      </w:divsChild>
    </w:div>
    <w:div w:id="756362014">
      <w:bodyDiv w:val="1"/>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 w:id="1094473061">
          <w:marLeft w:val="0"/>
          <w:marRight w:val="0"/>
          <w:marTop w:val="0"/>
          <w:marBottom w:val="0"/>
          <w:divBdr>
            <w:top w:val="none" w:sz="0" w:space="0" w:color="auto"/>
            <w:left w:val="none" w:sz="0" w:space="0" w:color="auto"/>
            <w:bottom w:val="none" w:sz="0" w:space="0" w:color="auto"/>
            <w:right w:val="none" w:sz="0" w:space="0" w:color="auto"/>
          </w:divBdr>
        </w:div>
      </w:divsChild>
    </w:div>
    <w:div w:id="1096942913">
      <w:bodyDiv w:val="1"/>
      <w:marLeft w:val="0"/>
      <w:marRight w:val="0"/>
      <w:marTop w:val="0"/>
      <w:marBottom w:val="0"/>
      <w:divBdr>
        <w:top w:val="none" w:sz="0" w:space="0" w:color="auto"/>
        <w:left w:val="none" w:sz="0" w:space="0" w:color="auto"/>
        <w:bottom w:val="none" w:sz="0" w:space="0" w:color="auto"/>
        <w:right w:val="none" w:sz="0" w:space="0" w:color="auto"/>
      </w:divBdr>
      <w:divsChild>
        <w:div w:id="242758356">
          <w:marLeft w:val="0"/>
          <w:marRight w:val="0"/>
          <w:marTop w:val="0"/>
          <w:marBottom w:val="0"/>
          <w:divBdr>
            <w:top w:val="none" w:sz="0" w:space="0" w:color="auto"/>
            <w:left w:val="none" w:sz="0" w:space="0" w:color="auto"/>
            <w:bottom w:val="none" w:sz="0" w:space="0" w:color="auto"/>
            <w:right w:val="none" w:sz="0" w:space="0" w:color="auto"/>
          </w:divBdr>
        </w:div>
        <w:div w:id="25028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wipolex/fr/details.jsp?id=9451" TargetMode="External"/><Relationship Id="rId13" Type="http://schemas.openxmlformats.org/officeDocument/2006/relationships/hyperlink" Target="http://www.jpo.go.jp/tetuzuki_e/t_tokkyo_e/Guidelines/7_2.pdf" TargetMode="External"/><Relationship Id="rId3" Type="http://schemas.openxmlformats.org/officeDocument/2006/relationships/hyperlink" Target="http://www.thefreedictionary.com/plant" TargetMode="External"/><Relationship Id="rId7" Type="http://schemas.openxmlformats.org/officeDocument/2006/relationships/hyperlink" Target="http://scholarspace.manoa.hawaii.edu/handle/10125/3349" TargetMode="External"/><Relationship Id="rId12" Type="http://schemas.openxmlformats.org/officeDocument/2006/relationships/hyperlink" Target="http://www.jpo.go.jp/tetuzuki_e/t_tokkyo_e/Guidelines/7_2.pdf" TargetMode="External"/><Relationship Id="rId2" Type="http://schemas.openxmlformats.org/officeDocument/2006/relationships/hyperlink" Target="http://www.thefreedictionary.com/plant" TargetMode="External"/><Relationship Id="rId1" Type="http://schemas.openxmlformats.org/officeDocument/2006/relationships/hyperlink" Target="http://www.wipo.int/edocs/mdocs/mdocs/fr/cdip_7/cdip_7_3-main1.pdf" TargetMode="External"/><Relationship Id="rId6" Type="http://schemas.openxmlformats.org/officeDocument/2006/relationships/hyperlink" Target="http://www.agbioforum.org/v7n12/v7n12a01-hautea.htm" TargetMode="External"/><Relationship Id="rId11" Type="http://schemas.openxmlformats.org/officeDocument/2006/relationships/hyperlink" Target="http://www.europarl.europa.eu/sides/getDoc.do?pubRef=-//EP//NONSGML+TA+P7-TA-2012-0202+0+DOC+PDF+V0//FR" TargetMode="External"/><Relationship Id="rId5" Type="http://schemas.openxmlformats.org/officeDocument/2006/relationships/hyperlink" Target="http://investincanada.gc.ca/eng/industry-sectors/ag-biotech.aspx" TargetMode="External"/><Relationship Id="rId15" Type="http://schemas.openxmlformats.org/officeDocument/2006/relationships/hyperlink" Target="http://www.davies.com.au/pub/detail/693/software-patents-in-australia-court-prefers-curves-to-asset-index" TargetMode="External"/><Relationship Id="rId10" Type="http://schemas.openxmlformats.org/officeDocument/2006/relationships/hyperlink" Target="http://www.epo.org/news-issues/issues/melon_fr.html" TargetMode="External"/><Relationship Id="rId4" Type="http://schemas.openxmlformats.org/officeDocument/2006/relationships/hyperlink" Target="http://www.upov.int/overview/en/variety.html" TargetMode="External"/><Relationship Id="rId9" Type="http://schemas.openxmlformats.org/officeDocument/2006/relationships/hyperlink" Target="http://www.epo.org/news-issues/issues/melon_fr.html" TargetMode="External"/><Relationship Id="rId14" Type="http://schemas.openxmlformats.org/officeDocument/2006/relationships/hyperlink" Target="http://www.jpo.go.jp/tetuzuki_e/t_tokkyo_e/Guidelines/7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E999-999A-4FB8-9528-9BB789C2093C}">
  <ds:schemaRefs>
    <ds:schemaRef ds:uri="http://schemas.openxmlformats.org/officeDocument/2006/bibliography"/>
  </ds:schemaRefs>
</ds:datastoreItem>
</file>

<file path=customXml/itemProps2.xml><?xml version="1.0" encoding="utf-8"?>
<ds:datastoreItem xmlns:ds="http://schemas.openxmlformats.org/officeDocument/2006/customXml" ds:itemID="{070118C1-46F1-4345-8F47-6A68E3F0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7435</Words>
  <Characters>42381</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49717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keywords>HT/cp</cp:keywords>
  <cp:lastModifiedBy>BRACI Biljana</cp:lastModifiedBy>
  <cp:revision>3</cp:revision>
  <cp:lastPrinted>2014-03-27T09:02:00Z</cp:lastPrinted>
  <dcterms:created xsi:type="dcterms:W3CDTF">2014-05-05T13:55:00Z</dcterms:created>
  <dcterms:modified xsi:type="dcterms:W3CDTF">2014-05-05T13:55:00Z</dcterms:modified>
</cp:coreProperties>
</file>