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F79B4" w:rsidRPr="008F762A" w:rsidTr="00361450">
        <w:tc>
          <w:tcPr>
            <w:tcW w:w="4513" w:type="dxa"/>
            <w:tcBorders>
              <w:bottom w:val="single" w:sz="4" w:space="0" w:color="auto"/>
            </w:tcBorders>
            <w:tcMar>
              <w:bottom w:w="170" w:type="dxa"/>
            </w:tcMar>
          </w:tcPr>
          <w:p w:rsidR="0018759B" w:rsidRPr="008B2CC1" w:rsidRDefault="0018759B" w:rsidP="00916EE2"/>
        </w:tc>
        <w:tc>
          <w:tcPr>
            <w:tcW w:w="4337" w:type="dxa"/>
            <w:tcBorders>
              <w:bottom w:val="single" w:sz="4" w:space="0" w:color="auto"/>
            </w:tcBorders>
            <w:tcMar>
              <w:left w:w="0" w:type="dxa"/>
              <w:right w:w="0" w:type="dxa"/>
            </w:tcMar>
          </w:tcPr>
          <w:p w:rsidR="0018759B" w:rsidRPr="008F762A" w:rsidRDefault="00EF79B4" w:rsidP="00916EE2">
            <w:r w:rsidRPr="008F762A">
              <w:rPr>
                <w:noProof/>
                <w:lang w:eastAsia="en-US"/>
              </w:rPr>
              <w:drawing>
                <wp:inline distT="0" distB="0" distL="0" distR="0" wp14:anchorId="57C38E6B" wp14:editId="043B7792">
                  <wp:extent cx="1857375" cy="1323975"/>
                  <wp:effectExtent l="0" t="0" r="9525" b="9525"/>
                  <wp:docPr id="8"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8759B" w:rsidRPr="008F762A" w:rsidRDefault="004F5298" w:rsidP="004F5298">
            <w:pPr>
              <w:jc w:val="right"/>
            </w:pPr>
            <w:r w:rsidRPr="008F762A">
              <w:rPr>
                <w:b/>
                <w:sz w:val="40"/>
                <w:szCs w:val="40"/>
                <w:lang w:val="es-ES_tradnl"/>
              </w:rPr>
              <w:t>S</w:t>
            </w:r>
          </w:p>
        </w:tc>
      </w:tr>
      <w:tr w:rsidR="008F07E0" w:rsidRPr="008F762A" w:rsidTr="007C5AF6">
        <w:trPr>
          <w:trHeight w:val="216"/>
        </w:trPr>
        <w:tc>
          <w:tcPr>
            <w:tcW w:w="9356" w:type="dxa"/>
            <w:gridSpan w:val="3"/>
            <w:tcBorders>
              <w:top w:val="single" w:sz="4" w:space="0" w:color="auto"/>
            </w:tcBorders>
            <w:tcMar>
              <w:top w:w="170" w:type="dxa"/>
              <w:left w:w="0" w:type="dxa"/>
              <w:right w:w="0" w:type="dxa"/>
            </w:tcMar>
            <w:vAlign w:val="bottom"/>
          </w:tcPr>
          <w:p w:rsidR="0018759B" w:rsidRPr="008F762A" w:rsidRDefault="004F5298" w:rsidP="004F5298">
            <w:pPr>
              <w:jc w:val="right"/>
              <w:rPr>
                <w:rFonts w:ascii="Arial Black" w:hAnsi="Arial Black"/>
                <w:caps/>
                <w:sz w:val="15"/>
              </w:rPr>
            </w:pPr>
            <w:r w:rsidRPr="008F762A">
              <w:rPr>
                <w:rFonts w:ascii="Arial Black" w:hAnsi="Arial Black"/>
                <w:sz w:val="15"/>
                <w:lang w:val="es-ES_tradnl"/>
              </w:rPr>
              <w:t>WIPO/ACE/9/4</w:t>
            </w:r>
            <w:r w:rsidR="0018759B" w:rsidRPr="008F762A">
              <w:rPr>
                <w:rFonts w:ascii="Arial Black" w:hAnsi="Arial Black"/>
                <w:caps/>
                <w:sz w:val="15"/>
              </w:rPr>
              <w:t xml:space="preserve">  </w:t>
            </w:r>
          </w:p>
        </w:tc>
      </w:tr>
      <w:tr w:rsidR="008F07E0" w:rsidRPr="008F762A" w:rsidTr="007C5AF6">
        <w:trPr>
          <w:trHeight w:val="216"/>
        </w:trPr>
        <w:tc>
          <w:tcPr>
            <w:tcW w:w="9356" w:type="dxa"/>
            <w:gridSpan w:val="3"/>
            <w:noWrap/>
            <w:tcMar>
              <w:left w:w="0" w:type="dxa"/>
              <w:right w:w="0" w:type="dxa"/>
            </w:tcMar>
            <w:vAlign w:val="bottom"/>
          </w:tcPr>
          <w:p w:rsidR="0018759B" w:rsidRPr="008F762A" w:rsidRDefault="004F5298" w:rsidP="004F5298">
            <w:pPr>
              <w:jc w:val="right"/>
              <w:rPr>
                <w:rFonts w:ascii="Arial Black" w:hAnsi="Arial Black"/>
                <w:caps/>
                <w:sz w:val="15"/>
              </w:rPr>
            </w:pPr>
            <w:r w:rsidRPr="008F762A">
              <w:rPr>
                <w:rFonts w:ascii="Arial Black" w:hAnsi="Arial Black"/>
                <w:sz w:val="15"/>
                <w:lang w:val="es-ES_tradnl"/>
              </w:rPr>
              <w:t>ORIGINAL:  INGLÉS</w:t>
            </w:r>
          </w:p>
        </w:tc>
      </w:tr>
      <w:tr w:rsidR="008F07E0" w:rsidRPr="008F762A" w:rsidTr="007C5AF6">
        <w:trPr>
          <w:trHeight w:val="216"/>
        </w:trPr>
        <w:tc>
          <w:tcPr>
            <w:tcW w:w="9356" w:type="dxa"/>
            <w:gridSpan w:val="3"/>
            <w:tcMar>
              <w:left w:w="0" w:type="dxa"/>
              <w:right w:w="0" w:type="dxa"/>
            </w:tcMar>
            <w:vAlign w:val="bottom"/>
          </w:tcPr>
          <w:p w:rsidR="0018759B" w:rsidRPr="008F762A" w:rsidRDefault="004F5298" w:rsidP="004F5298">
            <w:pPr>
              <w:jc w:val="right"/>
              <w:rPr>
                <w:rFonts w:ascii="Arial Black" w:hAnsi="Arial Black"/>
                <w:caps/>
                <w:sz w:val="15"/>
              </w:rPr>
            </w:pPr>
            <w:r w:rsidRPr="008F762A">
              <w:rPr>
                <w:rFonts w:ascii="Arial Black" w:hAnsi="Arial Black"/>
                <w:b/>
                <w:sz w:val="15"/>
                <w:lang w:val="es-ES_tradnl"/>
              </w:rPr>
              <w:t xml:space="preserve">FECHA: </w:t>
            </w:r>
            <w:r w:rsidRPr="008F762A">
              <w:rPr>
                <w:rFonts w:ascii="Arial Black" w:hAnsi="Arial Black"/>
                <w:sz w:val="15"/>
                <w:lang w:val="es-ES_tradnl"/>
              </w:rPr>
              <w:t xml:space="preserve"> 20 DE DICIEMBRE DE 2013</w:t>
            </w:r>
          </w:p>
        </w:tc>
      </w:tr>
    </w:tbl>
    <w:p w:rsidR="009E7935" w:rsidRPr="008F762A" w:rsidRDefault="009E7935" w:rsidP="006F03B4"/>
    <w:p w:rsidR="009E7935" w:rsidRPr="008F762A" w:rsidRDefault="009E7935" w:rsidP="006F03B4"/>
    <w:p w:rsidR="009E7935" w:rsidRPr="008F762A" w:rsidRDefault="009E7935" w:rsidP="006F03B4"/>
    <w:p w:rsidR="009E7935" w:rsidRPr="008F762A" w:rsidRDefault="009E7935" w:rsidP="006F03B4"/>
    <w:p w:rsidR="009E7935" w:rsidRPr="008F762A" w:rsidRDefault="009E7935" w:rsidP="006F03B4"/>
    <w:p w:rsidR="009E7935" w:rsidRPr="008F762A" w:rsidRDefault="00496A45" w:rsidP="00496A45">
      <w:pPr>
        <w:rPr>
          <w:b/>
          <w:sz w:val="28"/>
          <w:szCs w:val="28"/>
          <w:lang w:val="es-ES"/>
        </w:rPr>
      </w:pPr>
      <w:r w:rsidRPr="008F762A">
        <w:rPr>
          <w:b/>
          <w:sz w:val="28"/>
          <w:szCs w:val="28"/>
          <w:lang w:val="es-ES"/>
        </w:rPr>
        <w:t>Comité Asesor sobre Observancia</w:t>
      </w:r>
    </w:p>
    <w:p w:rsidR="009E7935" w:rsidRPr="008F762A" w:rsidRDefault="009E7935" w:rsidP="006F03B4">
      <w:pPr>
        <w:rPr>
          <w:lang w:val="es-ES"/>
        </w:rPr>
      </w:pPr>
    </w:p>
    <w:p w:rsidR="009E7935" w:rsidRPr="008F762A" w:rsidRDefault="009E7935" w:rsidP="006F03B4">
      <w:pPr>
        <w:rPr>
          <w:lang w:val="es-ES"/>
        </w:rPr>
      </w:pPr>
    </w:p>
    <w:p w:rsidR="009E7935" w:rsidRPr="008F762A" w:rsidRDefault="00496A45" w:rsidP="00496A45">
      <w:pPr>
        <w:rPr>
          <w:b/>
          <w:sz w:val="24"/>
          <w:szCs w:val="24"/>
          <w:lang w:val="es-ES"/>
        </w:rPr>
      </w:pPr>
      <w:r w:rsidRPr="008F762A">
        <w:rPr>
          <w:b/>
          <w:sz w:val="24"/>
          <w:szCs w:val="24"/>
          <w:lang w:val="es-ES"/>
        </w:rPr>
        <w:t>Novena sesión</w:t>
      </w:r>
    </w:p>
    <w:p w:rsidR="009E7935" w:rsidRPr="008F762A" w:rsidRDefault="00496A45" w:rsidP="00496A45">
      <w:pPr>
        <w:rPr>
          <w:b/>
          <w:sz w:val="24"/>
          <w:szCs w:val="24"/>
          <w:lang w:val="es-ES"/>
        </w:rPr>
      </w:pPr>
      <w:r w:rsidRPr="008F762A">
        <w:rPr>
          <w:b/>
          <w:sz w:val="24"/>
          <w:szCs w:val="24"/>
          <w:lang w:val="es-ES"/>
        </w:rPr>
        <w:t>Ginebra, 3 a 5 de marzo de 2014</w:t>
      </w:r>
    </w:p>
    <w:p w:rsidR="009E7935" w:rsidRPr="008F762A" w:rsidRDefault="009E7935" w:rsidP="006F03B4">
      <w:pPr>
        <w:rPr>
          <w:lang w:val="es-ES"/>
        </w:rPr>
      </w:pPr>
    </w:p>
    <w:p w:rsidR="009E7935" w:rsidRPr="008F762A" w:rsidRDefault="009E7935" w:rsidP="006F03B4">
      <w:pPr>
        <w:rPr>
          <w:lang w:val="es-ES"/>
        </w:rPr>
      </w:pPr>
    </w:p>
    <w:p w:rsidR="009E7935" w:rsidRPr="008F762A" w:rsidRDefault="009E7935" w:rsidP="006F03B4">
      <w:pPr>
        <w:rPr>
          <w:lang w:val="es-ES"/>
        </w:rPr>
      </w:pPr>
    </w:p>
    <w:p w:rsidR="009E7935" w:rsidRPr="008F762A" w:rsidRDefault="00E07F91" w:rsidP="006F03B4">
      <w:pPr>
        <w:rPr>
          <w:sz w:val="24"/>
          <w:szCs w:val="24"/>
          <w:lang w:val="es-ES"/>
        </w:rPr>
      </w:pPr>
      <w:r w:rsidRPr="008F762A">
        <w:rPr>
          <w:sz w:val="24"/>
          <w:szCs w:val="24"/>
          <w:lang w:val="es-ES"/>
        </w:rPr>
        <w:t>ACTIVIDADES DEL CENTRO DE ARBITRAJE Y MEDIACIÓN DE LA ORGANIZACIÓN MUND</w:t>
      </w:r>
      <w:r w:rsidR="002A4942" w:rsidRPr="008F762A">
        <w:rPr>
          <w:sz w:val="24"/>
          <w:szCs w:val="24"/>
          <w:lang w:val="es-ES"/>
        </w:rPr>
        <w:t>IAL DE LA PROPIEDAD INTELECTUAL</w:t>
      </w:r>
    </w:p>
    <w:p w:rsidR="009E7935" w:rsidRPr="008F762A" w:rsidRDefault="009E7935" w:rsidP="006F03B4">
      <w:pPr>
        <w:rPr>
          <w:i/>
          <w:lang w:val="es-ES"/>
        </w:rPr>
      </w:pPr>
    </w:p>
    <w:p w:rsidR="009E7935" w:rsidRPr="008F762A" w:rsidRDefault="00E07F91" w:rsidP="006F03B4">
      <w:pPr>
        <w:rPr>
          <w:lang w:val="es-ES"/>
        </w:rPr>
      </w:pPr>
      <w:r w:rsidRPr="008F762A">
        <w:rPr>
          <w:i/>
          <w:lang w:val="es-ES"/>
        </w:rPr>
        <w:t>Documento preparado por la Secretaría</w:t>
      </w:r>
    </w:p>
    <w:p w:rsidR="009E7935" w:rsidRPr="008F762A" w:rsidRDefault="009E7935" w:rsidP="006F03B4">
      <w:pPr>
        <w:rPr>
          <w:lang w:val="es-ES"/>
        </w:rPr>
      </w:pPr>
      <w:bookmarkStart w:id="0" w:name="TitleOfDoc"/>
      <w:bookmarkEnd w:id="0"/>
    </w:p>
    <w:p w:rsidR="009E7935" w:rsidRPr="008F762A" w:rsidRDefault="009E7935" w:rsidP="006F03B4">
      <w:pPr>
        <w:rPr>
          <w:lang w:val="es-ES"/>
        </w:rPr>
      </w:pPr>
    </w:p>
    <w:p w:rsidR="009E7935" w:rsidRPr="008F762A" w:rsidRDefault="009E7935" w:rsidP="006F03B4">
      <w:pPr>
        <w:rPr>
          <w:lang w:val="es-ES"/>
        </w:rPr>
      </w:pPr>
    </w:p>
    <w:p w:rsidR="002F61D0" w:rsidRPr="008F762A" w:rsidRDefault="00E07F91" w:rsidP="00CB5702">
      <w:pPr>
        <w:rPr>
          <w:lang w:val="es-ES"/>
        </w:rPr>
      </w:pPr>
      <w:r w:rsidRPr="008F762A">
        <w:rPr>
          <w:lang w:val="es-ES"/>
        </w:rPr>
        <w:t>En el presente documento se reseñan las actividades llevadas a cabo por el Centro de Arbitraje y Mediación de la Organización Mundial de la Propiedad Intelectual (en lo sucesivo “el Centro”)</w:t>
      </w:r>
      <w:r w:rsidR="00394A64" w:rsidRPr="008F762A">
        <w:rPr>
          <w:lang w:val="es-ES"/>
        </w:rPr>
        <w:t>.  L</w:t>
      </w:r>
      <w:r w:rsidR="008869F6" w:rsidRPr="008F762A">
        <w:rPr>
          <w:lang w:val="es-ES"/>
        </w:rPr>
        <w:t xml:space="preserve">a sección I del presente documento se </w:t>
      </w:r>
      <w:r w:rsidR="00CB5702" w:rsidRPr="008F762A">
        <w:rPr>
          <w:lang w:val="es-ES"/>
        </w:rPr>
        <w:t xml:space="preserve">centra en la prestación de servicios de administración de </w:t>
      </w:r>
      <w:r w:rsidR="004072B8">
        <w:rPr>
          <w:lang w:val="es-ES"/>
        </w:rPr>
        <w:t>procedimientos</w:t>
      </w:r>
      <w:r w:rsidR="00CB5702" w:rsidRPr="008F762A">
        <w:rPr>
          <w:lang w:val="es-ES"/>
        </w:rPr>
        <w:t xml:space="preserve"> para los mecanismos de solución extrajudicial de controversias, como l</w:t>
      </w:r>
      <w:r w:rsidR="0061609B" w:rsidRPr="008F762A">
        <w:rPr>
          <w:lang w:val="es-ES"/>
        </w:rPr>
        <w:t xml:space="preserve">a </w:t>
      </w:r>
      <w:r w:rsidR="00CB5702" w:rsidRPr="008F762A">
        <w:rPr>
          <w:lang w:val="es-ES"/>
        </w:rPr>
        <w:t xml:space="preserve">mediación, </w:t>
      </w:r>
      <w:r w:rsidR="0061609B" w:rsidRPr="008F762A">
        <w:rPr>
          <w:lang w:val="es-ES"/>
        </w:rPr>
        <w:t xml:space="preserve">el </w:t>
      </w:r>
      <w:r w:rsidR="00CB5702" w:rsidRPr="008F762A">
        <w:rPr>
          <w:lang w:val="es-ES"/>
        </w:rPr>
        <w:t xml:space="preserve">arbitraje y </w:t>
      </w:r>
      <w:r w:rsidR="0061609B" w:rsidRPr="008F762A">
        <w:rPr>
          <w:lang w:val="es-ES"/>
        </w:rPr>
        <w:t xml:space="preserve">la </w:t>
      </w:r>
      <w:r w:rsidR="00CB5702" w:rsidRPr="008F762A">
        <w:rPr>
          <w:lang w:val="es-ES"/>
        </w:rPr>
        <w:t xml:space="preserve">decisión de experto, que </w:t>
      </w:r>
      <w:r w:rsidR="00A72CAD" w:rsidRPr="008F762A">
        <w:rPr>
          <w:lang w:val="es-ES"/>
        </w:rPr>
        <w:t>ofrecen</w:t>
      </w:r>
      <w:r w:rsidR="00CB5702" w:rsidRPr="008F762A">
        <w:rPr>
          <w:lang w:val="es-ES"/>
        </w:rPr>
        <w:t xml:space="preserve"> a las Partes una instancia privada para </w:t>
      </w:r>
      <w:r w:rsidR="0061609B" w:rsidRPr="008F762A">
        <w:rPr>
          <w:lang w:val="es-ES"/>
        </w:rPr>
        <w:t xml:space="preserve">solucionar sus </w:t>
      </w:r>
      <w:r w:rsidR="00CB5702" w:rsidRPr="008F762A">
        <w:rPr>
          <w:lang w:val="es-ES"/>
        </w:rPr>
        <w:t xml:space="preserve">controversias. </w:t>
      </w:r>
      <w:r w:rsidR="0018759B" w:rsidRPr="008F762A">
        <w:rPr>
          <w:lang w:val="es-ES"/>
        </w:rPr>
        <w:t xml:space="preserve"> </w:t>
      </w:r>
      <w:r w:rsidR="00CB5702" w:rsidRPr="008F762A">
        <w:rPr>
          <w:lang w:val="es-ES"/>
        </w:rPr>
        <w:t>En las secciones II y III s</w:t>
      </w:r>
      <w:r w:rsidR="002F61D0" w:rsidRPr="008F762A">
        <w:rPr>
          <w:lang w:val="es-ES"/>
        </w:rPr>
        <w:t>e o</w:t>
      </w:r>
      <w:r w:rsidR="00FF0401" w:rsidRPr="008F762A">
        <w:rPr>
          <w:lang w:val="es-ES"/>
        </w:rPr>
        <w:t>frece</w:t>
      </w:r>
      <w:r w:rsidR="00CB5702" w:rsidRPr="008F762A">
        <w:rPr>
          <w:lang w:val="es-ES"/>
        </w:rPr>
        <w:t xml:space="preserve"> información sobre la administración </w:t>
      </w:r>
      <w:r w:rsidR="00A72CAD" w:rsidRPr="008F762A">
        <w:rPr>
          <w:lang w:val="es-ES"/>
        </w:rPr>
        <w:t xml:space="preserve">por el Centro </w:t>
      </w:r>
      <w:r w:rsidR="00CB5702" w:rsidRPr="008F762A">
        <w:rPr>
          <w:lang w:val="es-ES"/>
        </w:rPr>
        <w:t>de</w:t>
      </w:r>
      <w:r w:rsidR="00A72CAD" w:rsidRPr="008F762A">
        <w:rPr>
          <w:lang w:val="es-ES"/>
        </w:rPr>
        <w:t xml:space="preserve"> los procedimientos de solución de</w:t>
      </w:r>
      <w:r w:rsidR="00CB5702" w:rsidRPr="008F762A">
        <w:rPr>
          <w:lang w:val="es-ES"/>
        </w:rPr>
        <w:t xml:space="preserve"> controversias en materia de nombres de dominio en virtu</w:t>
      </w:r>
      <w:r w:rsidR="0061609B" w:rsidRPr="008F762A">
        <w:rPr>
          <w:lang w:val="es-ES"/>
        </w:rPr>
        <w:t>d de las distintas políticas, y</w:t>
      </w:r>
      <w:r w:rsidR="00D232CF">
        <w:rPr>
          <w:lang w:val="es-ES"/>
        </w:rPr>
        <w:t xml:space="preserve"> sobre</w:t>
      </w:r>
      <w:r w:rsidR="0061609B" w:rsidRPr="008F762A">
        <w:rPr>
          <w:lang w:val="es-ES"/>
        </w:rPr>
        <w:t xml:space="preserve"> </w:t>
      </w:r>
      <w:r w:rsidR="00A72CAD" w:rsidRPr="008F762A">
        <w:rPr>
          <w:lang w:val="es-ES"/>
        </w:rPr>
        <w:t xml:space="preserve">la evolución </w:t>
      </w:r>
      <w:r w:rsidR="00D232CF">
        <w:rPr>
          <w:lang w:val="es-ES"/>
        </w:rPr>
        <w:t xml:space="preserve">en materia </w:t>
      </w:r>
      <w:r w:rsidR="00A72CAD" w:rsidRPr="008F762A">
        <w:rPr>
          <w:lang w:val="es-ES"/>
        </w:rPr>
        <w:t xml:space="preserve">de </w:t>
      </w:r>
      <w:r w:rsidR="00FF0401" w:rsidRPr="008F762A">
        <w:rPr>
          <w:lang w:val="es-ES"/>
        </w:rPr>
        <w:t xml:space="preserve"> </w:t>
      </w:r>
      <w:r w:rsidR="00A72CAD" w:rsidRPr="008F762A">
        <w:rPr>
          <w:lang w:val="es-ES"/>
        </w:rPr>
        <w:t>política</w:t>
      </w:r>
      <w:r w:rsidR="00FF0401" w:rsidRPr="008F762A">
        <w:rPr>
          <w:lang w:val="es-ES"/>
        </w:rPr>
        <w:t xml:space="preserve"> en ese ámbito</w:t>
      </w:r>
      <w:r w:rsidR="002F61D0" w:rsidRPr="008F762A">
        <w:rPr>
          <w:lang w:val="es-ES"/>
        </w:rPr>
        <w:t>.</w:t>
      </w:r>
    </w:p>
    <w:p w:rsidR="009E7935" w:rsidRPr="008F762A" w:rsidRDefault="009E7935" w:rsidP="006F03B4">
      <w:pPr>
        <w:pStyle w:val="ListParagraph"/>
        <w:spacing w:line="240" w:lineRule="auto"/>
        <w:ind w:left="0"/>
        <w:rPr>
          <w:rFonts w:ascii="Arial" w:hAnsi="Arial" w:cs="Arial"/>
          <w:lang w:val="es-ES"/>
        </w:rPr>
      </w:pPr>
    </w:p>
    <w:p w:rsidR="009E7935" w:rsidRPr="008F762A" w:rsidRDefault="00CB5702" w:rsidP="0075454C">
      <w:pPr>
        <w:pStyle w:val="Heading1"/>
        <w:ind w:left="567" w:hanging="567"/>
        <w:rPr>
          <w:lang w:val="es-ES"/>
        </w:rPr>
      </w:pPr>
      <w:r w:rsidRPr="008F762A">
        <w:rPr>
          <w:caps w:val="0"/>
          <w:lang w:val="es-ES"/>
        </w:rPr>
        <w:t>I.</w:t>
      </w:r>
      <w:r w:rsidR="0075454C" w:rsidRPr="008F762A">
        <w:rPr>
          <w:b w:val="0"/>
          <w:caps w:val="0"/>
          <w:lang w:val="es-ES"/>
        </w:rPr>
        <w:tab/>
      </w:r>
      <w:r w:rsidRPr="008F762A">
        <w:rPr>
          <w:caps w:val="0"/>
          <w:lang w:val="es-ES"/>
        </w:rPr>
        <w:t>ARBITRAJE Y MEDIACIÓN DE CONTROVERSIAS SOBRE PROPIEDAD INTELECTUAL</w:t>
      </w:r>
    </w:p>
    <w:p w:rsidR="009E7935" w:rsidRPr="008F762A" w:rsidRDefault="0075454C" w:rsidP="00CB5702">
      <w:pPr>
        <w:pStyle w:val="Heading2"/>
        <w:rPr>
          <w:lang w:val="es-ES"/>
        </w:rPr>
      </w:pPr>
      <w:r w:rsidRPr="008F762A">
        <w:rPr>
          <w:caps w:val="0"/>
          <w:lang w:val="es-ES"/>
        </w:rPr>
        <w:t>A.</w:t>
      </w:r>
      <w:r w:rsidRPr="008F762A">
        <w:rPr>
          <w:caps w:val="0"/>
          <w:lang w:val="es-ES"/>
        </w:rPr>
        <w:tab/>
      </w:r>
      <w:r w:rsidR="001C0E04" w:rsidRPr="008F762A">
        <w:rPr>
          <w:caps w:val="0"/>
          <w:lang w:val="es-ES"/>
        </w:rPr>
        <w:t xml:space="preserve">ADMINISTRACIÓN DE </w:t>
      </w:r>
      <w:r w:rsidR="004072B8">
        <w:rPr>
          <w:caps w:val="0"/>
          <w:lang w:val="es-ES"/>
        </w:rPr>
        <w:t>PROCEDIMIENTOS</w:t>
      </w:r>
      <w:r w:rsidR="001C0E04" w:rsidRPr="008F762A">
        <w:rPr>
          <w:caps w:val="0"/>
          <w:lang w:val="es-ES"/>
        </w:rPr>
        <w:t xml:space="preserve"> DE ARBITRAJE Y MEDIACIÓN</w:t>
      </w:r>
    </w:p>
    <w:p w:rsidR="009E7935" w:rsidRPr="008F762A" w:rsidRDefault="009E7935" w:rsidP="006F03B4">
      <w:pPr>
        <w:pStyle w:val="ListParagraph"/>
        <w:spacing w:line="240" w:lineRule="auto"/>
        <w:ind w:left="0"/>
        <w:rPr>
          <w:rFonts w:ascii="Arial" w:hAnsi="Arial" w:cs="Arial"/>
          <w:lang w:val="es-ES"/>
        </w:rPr>
      </w:pPr>
    </w:p>
    <w:p w:rsidR="002F61D0" w:rsidRPr="008F762A" w:rsidRDefault="005A7F07" w:rsidP="00CC337F">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 xml:space="preserve">Desde su </w:t>
      </w:r>
      <w:r w:rsidR="00D232CF">
        <w:rPr>
          <w:rFonts w:ascii="Arial" w:hAnsi="Arial" w:cs="Arial"/>
          <w:lang w:val="es-ES"/>
        </w:rPr>
        <w:t>creación</w:t>
      </w:r>
      <w:r w:rsidRPr="008F762A">
        <w:rPr>
          <w:rFonts w:ascii="Arial" w:hAnsi="Arial" w:cs="Arial"/>
          <w:lang w:val="es-ES"/>
        </w:rPr>
        <w:t xml:space="preserve"> e</w:t>
      </w:r>
      <w:r w:rsidR="00394A64" w:rsidRPr="008F762A">
        <w:rPr>
          <w:rFonts w:ascii="Arial" w:hAnsi="Arial" w:cs="Arial"/>
          <w:lang w:val="es-ES"/>
        </w:rPr>
        <w:t>n 1</w:t>
      </w:r>
      <w:r w:rsidRPr="008F762A">
        <w:rPr>
          <w:rFonts w:ascii="Arial" w:hAnsi="Arial" w:cs="Arial"/>
          <w:lang w:val="es-ES"/>
        </w:rPr>
        <w:t>994, el Centro</w:t>
      </w:r>
      <w:r w:rsidR="001C0E04" w:rsidRPr="008F762A">
        <w:rPr>
          <w:rFonts w:ascii="Arial" w:hAnsi="Arial" w:cs="Arial"/>
          <w:lang w:val="es-ES"/>
        </w:rPr>
        <w:t xml:space="preserve"> se ha esforzado por propiciar, </w:t>
      </w:r>
      <w:r w:rsidR="00C0354D" w:rsidRPr="008F762A">
        <w:rPr>
          <w:rFonts w:ascii="Arial" w:hAnsi="Arial" w:cs="Arial"/>
          <w:lang w:val="es-ES"/>
        </w:rPr>
        <w:t xml:space="preserve">sobre una base </w:t>
      </w:r>
      <w:r w:rsidR="001C0E04" w:rsidRPr="008F762A">
        <w:rPr>
          <w:rFonts w:ascii="Arial" w:hAnsi="Arial" w:cs="Arial"/>
          <w:lang w:val="es-ES"/>
        </w:rPr>
        <w:t>sin fines de lucro,</w:t>
      </w:r>
      <w:r w:rsidR="00AE0940" w:rsidRPr="008F762A">
        <w:rPr>
          <w:rFonts w:ascii="Arial" w:hAnsi="Arial" w:cs="Arial"/>
          <w:lang w:val="es-ES"/>
        </w:rPr>
        <w:t xml:space="preserve"> </w:t>
      </w:r>
      <w:r w:rsidR="001C0E04" w:rsidRPr="008F762A">
        <w:rPr>
          <w:rFonts w:ascii="Arial" w:hAnsi="Arial" w:cs="Arial"/>
          <w:lang w:val="es-ES"/>
        </w:rPr>
        <w:t xml:space="preserve">la solución de controversias </w:t>
      </w:r>
      <w:r w:rsidRPr="008F762A">
        <w:rPr>
          <w:rFonts w:ascii="Arial" w:hAnsi="Arial" w:cs="Arial"/>
          <w:lang w:val="es-ES"/>
        </w:rPr>
        <w:t>comerciales internacionales ent</w:t>
      </w:r>
      <w:r w:rsidR="00AE0940" w:rsidRPr="008F762A">
        <w:rPr>
          <w:rFonts w:ascii="Arial" w:hAnsi="Arial" w:cs="Arial"/>
          <w:lang w:val="es-ES"/>
        </w:rPr>
        <w:t xml:space="preserve">re partes privadas a través de sus </w:t>
      </w:r>
      <w:r w:rsidRPr="008F762A">
        <w:rPr>
          <w:rFonts w:ascii="Arial" w:hAnsi="Arial" w:cs="Arial"/>
          <w:lang w:val="es-ES"/>
        </w:rPr>
        <w:t>mecanismos de solución extrajudicial de controversias.</w:t>
      </w:r>
      <w:r w:rsidR="0018759B" w:rsidRPr="008F762A">
        <w:rPr>
          <w:rFonts w:ascii="Arial" w:hAnsi="Arial" w:cs="Arial"/>
          <w:lang w:val="es-ES"/>
        </w:rPr>
        <w:t xml:space="preserve">  </w:t>
      </w:r>
      <w:r w:rsidR="00AE0940" w:rsidRPr="008F762A">
        <w:rPr>
          <w:rFonts w:ascii="Arial" w:hAnsi="Arial" w:cs="Arial"/>
          <w:lang w:val="es-ES"/>
        </w:rPr>
        <w:t>Para ello</w:t>
      </w:r>
      <w:r w:rsidR="00CC337F" w:rsidRPr="008F762A">
        <w:rPr>
          <w:rFonts w:ascii="Arial" w:hAnsi="Arial" w:cs="Arial"/>
          <w:lang w:val="es-ES"/>
        </w:rPr>
        <w:t>, la OMPI, en cola</w:t>
      </w:r>
      <w:r w:rsidR="00AE0940" w:rsidRPr="008F762A">
        <w:rPr>
          <w:rFonts w:ascii="Arial" w:hAnsi="Arial" w:cs="Arial"/>
          <w:lang w:val="es-ES"/>
        </w:rPr>
        <w:t xml:space="preserve">boración con eminentes expertos </w:t>
      </w:r>
      <w:r w:rsidR="00CC337F" w:rsidRPr="008F762A">
        <w:rPr>
          <w:rFonts w:ascii="Arial" w:hAnsi="Arial" w:cs="Arial"/>
          <w:lang w:val="es-ES"/>
        </w:rPr>
        <w:t>en la solución de conflictos internacionales y propiedad intelectual (P.I.), ha elaborado</w:t>
      </w:r>
      <w:r w:rsidR="00AE0940" w:rsidRPr="008F762A">
        <w:rPr>
          <w:rFonts w:ascii="Arial" w:hAnsi="Arial" w:cs="Arial"/>
          <w:lang w:val="es-ES"/>
        </w:rPr>
        <w:t xml:space="preserve"> los Reglamentos de la OMPI de arbitraje, arbitraje acelerado, mediación y decisión de e</w:t>
      </w:r>
      <w:r w:rsidR="00CC337F" w:rsidRPr="008F762A">
        <w:rPr>
          <w:rFonts w:ascii="Arial" w:hAnsi="Arial" w:cs="Arial"/>
          <w:lang w:val="es-ES"/>
        </w:rPr>
        <w:t>xperto</w:t>
      </w:r>
      <w:r w:rsidR="002F61D0" w:rsidRPr="008F762A">
        <w:rPr>
          <w:rFonts w:ascii="Arial" w:hAnsi="Arial" w:cs="Arial"/>
          <w:lang w:val="es-ES"/>
        </w:rPr>
        <w:t>.</w:t>
      </w:r>
    </w:p>
    <w:p w:rsidR="009E7935" w:rsidRPr="008F762A" w:rsidRDefault="009E7935" w:rsidP="00E31F9E">
      <w:pPr>
        <w:pStyle w:val="ListParagraph"/>
        <w:spacing w:line="240" w:lineRule="auto"/>
        <w:ind w:left="0"/>
        <w:rPr>
          <w:rFonts w:ascii="Arial" w:hAnsi="Arial" w:cs="Arial"/>
          <w:lang w:val="es-ES"/>
        </w:rPr>
      </w:pPr>
    </w:p>
    <w:p w:rsidR="009E7935" w:rsidRPr="008F762A" w:rsidRDefault="00AE0940" w:rsidP="000648E0">
      <w:pPr>
        <w:pStyle w:val="ListParagraph"/>
        <w:keepNext/>
        <w:keepLines/>
        <w:numPr>
          <w:ilvl w:val="0"/>
          <w:numId w:val="9"/>
        </w:numPr>
        <w:spacing w:line="240" w:lineRule="exact"/>
        <w:ind w:left="0" w:firstLine="0"/>
        <w:rPr>
          <w:rFonts w:ascii="Arial" w:hAnsi="Arial" w:cs="Arial"/>
          <w:lang w:val="es-ES"/>
        </w:rPr>
      </w:pPr>
      <w:r w:rsidRPr="008F762A">
        <w:rPr>
          <w:rFonts w:ascii="Arial" w:hAnsi="Arial" w:cs="Arial"/>
          <w:lang w:val="es-ES"/>
        </w:rPr>
        <w:lastRenderedPageBreak/>
        <w:t>L</w:t>
      </w:r>
      <w:r w:rsidR="00CC337F" w:rsidRPr="008F762A">
        <w:rPr>
          <w:rFonts w:ascii="Arial" w:hAnsi="Arial" w:cs="Arial"/>
          <w:lang w:val="es-ES"/>
        </w:rPr>
        <w:t>os mecanismos de solución extrajudicial de controversias</w:t>
      </w:r>
      <w:r w:rsidRPr="008F762A">
        <w:rPr>
          <w:rFonts w:ascii="Arial" w:hAnsi="Arial" w:cs="Arial"/>
          <w:lang w:val="es-ES"/>
        </w:rPr>
        <w:t xml:space="preserve"> creados en virtud de esos reglamento</w:t>
      </w:r>
      <w:r w:rsidR="002F61D0" w:rsidRPr="008F762A">
        <w:rPr>
          <w:rFonts w:ascii="Arial" w:hAnsi="Arial" w:cs="Arial"/>
          <w:lang w:val="es-ES"/>
        </w:rPr>
        <w:t>s p</w:t>
      </w:r>
      <w:r w:rsidR="00CC337F" w:rsidRPr="008F762A">
        <w:rPr>
          <w:rFonts w:ascii="Arial" w:hAnsi="Arial" w:cs="Arial"/>
          <w:lang w:val="es-ES"/>
        </w:rPr>
        <w:t>resentan diferentes características</w:t>
      </w:r>
      <w:r w:rsidR="00394A64" w:rsidRPr="008F762A">
        <w:rPr>
          <w:rFonts w:ascii="Arial" w:hAnsi="Arial" w:cs="Arial"/>
          <w:lang w:val="es-ES"/>
        </w:rPr>
        <w:t>.  L</w:t>
      </w:r>
      <w:r w:rsidR="004A71C4" w:rsidRPr="008F762A">
        <w:rPr>
          <w:rFonts w:ascii="Arial" w:hAnsi="Arial" w:cs="Arial"/>
          <w:lang w:val="es-ES"/>
        </w:rPr>
        <w:t xml:space="preserve">a mediación es un procedimiento no vinculante en el que un </w:t>
      </w:r>
      <w:r w:rsidR="00D232CF">
        <w:rPr>
          <w:rFonts w:ascii="Arial" w:hAnsi="Arial" w:cs="Arial"/>
          <w:lang w:val="es-ES"/>
        </w:rPr>
        <w:t>intermediario</w:t>
      </w:r>
      <w:r w:rsidR="004A71C4" w:rsidRPr="008F762A">
        <w:rPr>
          <w:rFonts w:ascii="Arial" w:hAnsi="Arial" w:cs="Arial"/>
          <w:lang w:val="es-ES"/>
        </w:rPr>
        <w:t xml:space="preserve"> neutral, el mediador, ayuda a las partes a </w:t>
      </w:r>
      <w:r w:rsidRPr="008F762A">
        <w:rPr>
          <w:rFonts w:ascii="Arial" w:hAnsi="Arial" w:cs="Arial"/>
          <w:lang w:val="es-ES"/>
        </w:rPr>
        <w:t>solucionar</w:t>
      </w:r>
      <w:r w:rsidR="004A71C4" w:rsidRPr="008F762A">
        <w:rPr>
          <w:rFonts w:ascii="Arial" w:hAnsi="Arial" w:cs="Arial"/>
          <w:lang w:val="es-ES"/>
        </w:rPr>
        <w:t xml:space="preserve"> la controversia.</w:t>
      </w:r>
      <w:r w:rsidR="0018759B" w:rsidRPr="008F762A">
        <w:rPr>
          <w:rFonts w:ascii="Arial" w:hAnsi="Arial" w:cs="Arial"/>
          <w:lang w:val="es-ES"/>
        </w:rPr>
        <w:t xml:space="preserve">  </w:t>
      </w:r>
      <w:r w:rsidR="004A71C4" w:rsidRPr="008F762A">
        <w:rPr>
          <w:rFonts w:ascii="Arial" w:hAnsi="Arial" w:cs="Arial"/>
          <w:lang w:val="es-ES"/>
        </w:rPr>
        <w:t>El arbitraje</w:t>
      </w:r>
      <w:r w:rsidRPr="008F762A">
        <w:rPr>
          <w:rFonts w:ascii="Arial" w:hAnsi="Arial" w:cs="Arial"/>
          <w:lang w:val="es-ES"/>
        </w:rPr>
        <w:t xml:space="preserve"> es un procedimiento de</w:t>
      </w:r>
      <w:r w:rsidR="004A71C4" w:rsidRPr="008F762A">
        <w:rPr>
          <w:rFonts w:ascii="Arial" w:hAnsi="Arial" w:cs="Arial"/>
          <w:lang w:val="es-ES"/>
        </w:rPr>
        <w:t xml:space="preserve"> carácter más </w:t>
      </w:r>
      <w:r w:rsidR="00CA79A8">
        <w:rPr>
          <w:rFonts w:ascii="Arial" w:hAnsi="Arial" w:cs="Arial"/>
          <w:lang w:val="es-ES"/>
        </w:rPr>
        <w:t>reglamentario</w:t>
      </w:r>
      <w:r w:rsidR="004A71C4" w:rsidRPr="008F762A">
        <w:rPr>
          <w:rFonts w:ascii="Arial" w:hAnsi="Arial" w:cs="Arial"/>
          <w:lang w:val="es-ES"/>
        </w:rPr>
        <w:t xml:space="preserve">, en el que se somete una controversia a uno o </w:t>
      </w:r>
      <w:r w:rsidRPr="008F762A">
        <w:rPr>
          <w:rFonts w:ascii="Arial" w:hAnsi="Arial" w:cs="Arial"/>
          <w:lang w:val="es-ES"/>
        </w:rPr>
        <w:t>varios</w:t>
      </w:r>
      <w:r w:rsidR="004A71C4" w:rsidRPr="008F762A">
        <w:rPr>
          <w:rFonts w:ascii="Arial" w:hAnsi="Arial" w:cs="Arial"/>
          <w:lang w:val="es-ES"/>
        </w:rPr>
        <w:t xml:space="preserve"> árbitros que </w:t>
      </w:r>
      <w:r w:rsidRPr="008F762A">
        <w:rPr>
          <w:rFonts w:ascii="Arial" w:hAnsi="Arial" w:cs="Arial"/>
          <w:lang w:val="es-ES"/>
        </w:rPr>
        <w:t>dictan</w:t>
      </w:r>
      <w:r w:rsidR="004A71C4" w:rsidRPr="008F762A">
        <w:rPr>
          <w:rFonts w:ascii="Arial" w:hAnsi="Arial" w:cs="Arial"/>
          <w:lang w:val="es-ES"/>
        </w:rPr>
        <w:t xml:space="preserve"> una decisión final</w:t>
      </w:r>
      <w:r w:rsidR="00394A64" w:rsidRPr="008F762A">
        <w:rPr>
          <w:rFonts w:ascii="Arial" w:hAnsi="Arial" w:cs="Arial"/>
          <w:lang w:val="es-ES"/>
        </w:rPr>
        <w:t>.  A</w:t>
      </w:r>
      <w:r w:rsidR="004A71C4" w:rsidRPr="008F762A">
        <w:rPr>
          <w:rFonts w:ascii="Arial" w:hAnsi="Arial" w:cs="Arial"/>
          <w:lang w:val="es-ES"/>
        </w:rPr>
        <w:t xml:space="preserve">demás del arbitraje </w:t>
      </w:r>
      <w:r w:rsidRPr="008F762A">
        <w:rPr>
          <w:rFonts w:ascii="Arial" w:hAnsi="Arial" w:cs="Arial"/>
          <w:lang w:val="es-ES"/>
        </w:rPr>
        <w:t>tradicional</w:t>
      </w:r>
      <w:r w:rsidR="004A71C4" w:rsidRPr="008F762A">
        <w:rPr>
          <w:rFonts w:ascii="Arial" w:hAnsi="Arial" w:cs="Arial"/>
          <w:lang w:val="es-ES"/>
        </w:rPr>
        <w:t xml:space="preserve">, el Centro ofrece una forma de arbitraje acelerado </w:t>
      </w:r>
      <w:r w:rsidR="00D232CF">
        <w:rPr>
          <w:rFonts w:ascii="Arial" w:hAnsi="Arial" w:cs="Arial"/>
          <w:lang w:val="es-ES"/>
        </w:rPr>
        <w:t xml:space="preserve">que se </w:t>
      </w:r>
      <w:r w:rsidR="004A71C4" w:rsidRPr="008F762A">
        <w:rPr>
          <w:rFonts w:ascii="Arial" w:hAnsi="Arial" w:cs="Arial"/>
          <w:lang w:val="es-ES"/>
        </w:rPr>
        <w:t>lleva a cabo en un tiempo reducido y a bajo costo.</w:t>
      </w:r>
      <w:r w:rsidR="0018759B" w:rsidRPr="008F762A">
        <w:rPr>
          <w:rFonts w:ascii="Arial" w:hAnsi="Arial" w:cs="Arial"/>
          <w:lang w:val="es-ES"/>
        </w:rPr>
        <w:t xml:space="preserve">  </w:t>
      </w:r>
      <w:r w:rsidR="00A36356" w:rsidRPr="008F762A">
        <w:rPr>
          <w:rFonts w:ascii="Arial" w:hAnsi="Arial" w:cs="Arial"/>
          <w:lang w:val="es-ES"/>
        </w:rPr>
        <w:t>La decisión de experto</w:t>
      </w:r>
      <w:r w:rsidR="004A71C4" w:rsidRPr="008F762A">
        <w:rPr>
          <w:rFonts w:ascii="Arial" w:hAnsi="Arial" w:cs="Arial"/>
          <w:lang w:val="es-ES"/>
        </w:rPr>
        <w:t xml:space="preserve"> es un procedimiento por el cual una diferencia de carácter técnico, científico o comercial entre las partes se somete a uno o más expertos que toman una decisión sobre el asunto.</w:t>
      </w:r>
      <w:r w:rsidR="0018759B" w:rsidRPr="008F762A">
        <w:rPr>
          <w:rFonts w:ascii="Arial" w:hAnsi="Arial" w:cs="Arial"/>
          <w:lang w:val="es-ES"/>
        </w:rPr>
        <w:t xml:space="preserve">  </w:t>
      </w:r>
      <w:r w:rsidR="00D232CF">
        <w:rPr>
          <w:rFonts w:ascii="Arial" w:hAnsi="Arial" w:cs="Arial"/>
          <w:lang w:val="es-ES"/>
        </w:rPr>
        <w:t>La de</w:t>
      </w:r>
      <w:r w:rsidR="004A71C4" w:rsidRPr="008F762A">
        <w:rPr>
          <w:rFonts w:ascii="Arial" w:hAnsi="Arial" w:cs="Arial"/>
          <w:lang w:val="es-ES"/>
        </w:rPr>
        <w:t>ci</w:t>
      </w:r>
      <w:r w:rsidR="00D232CF">
        <w:rPr>
          <w:rFonts w:ascii="Arial" w:hAnsi="Arial" w:cs="Arial"/>
          <w:lang w:val="es-ES"/>
        </w:rPr>
        <w:t>si</w:t>
      </w:r>
      <w:r w:rsidR="004A71C4" w:rsidRPr="008F762A">
        <w:rPr>
          <w:rFonts w:ascii="Arial" w:hAnsi="Arial" w:cs="Arial"/>
          <w:lang w:val="es-ES"/>
        </w:rPr>
        <w:t>ón es obligatoria, salvo que las partes decidan lo contrario.</w:t>
      </w:r>
      <w:r w:rsidR="0018759B" w:rsidRPr="008F762A">
        <w:rPr>
          <w:rFonts w:ascii="Arial" w:hAnsi="Arial" w:cs="Arial"/>
          <w:lang w:val="es-ES"/>
        </w:rPr>
        <w:t xml:space="preserve">  </w:t>
      </w:r>
      <w:r w:rsidR="00A36356" w:rsidRPr="008F762A">
        <w:rPr>
          <w:rFonts w:ascii="Arial" w:hAnsi="Arial" w:cs="Arial"/>
          <w:lang w:val="es-ES"/>
        </w:rPr>
        <w:t>Las partes</w:t>
      </w:r>
      <w:r w:rsidR="000648E0" w:rsidRPr="008F762A">
        <w:rPr>
          <w:rFonts w:ascii="Arial" w:hAnsi="Arial" w:cs="Arial"/>
          <w:lang w:val="es-ES"/>
        </w:rPr>
        <w:t xml:space="preserve"> pueden elegir estos procedimientos por separado o combinarlos para optimizar </w:t>
      </w:r>
      <w:r w:rsidR="00A36356" w:rsidRPr="008F762A">
        <w:rPr>
          <w:rFonts w:ascii="Arial" w:hAnsi="Arial" w:cs="Arial"/>
          <w:lang w:val="es-ES"/>
        </w:rPr>
        <w:t>la resolución</w:t>
      </w:r>
      <w:r w:rsidR="000648E0" w:rsidRPr="008F762A">
        <w:rPr>
          <w:rFonts w:ascii="Arial" w:hAnsi="Arial" w:cs="Arial"/>
          <w:lang w:val="es-ES"/>
        </w:rPr>
        <w:t xml:space="preserve"> del </w:t>
      </w:r>
      <w:r w:rsidR="007D07A1">
        <w:rPr>
          <w:rFonts w:ascii="Arial" w:hAnsi="Arial" w:cs="Arial"/>
          <w:lang w:val="es-ES"/>
        </w:rPr>
        <w:t>asunto</w:t>
      </w:r>
      <w:r w:rsidR="000648E0" w:rsidRPr="008F762A">
        <w:rPr>
          <w:rFonts w:ascii="Arial" w:hAnsi="Arial" w:cs="Arial"/>
          <w:lang w:val="es-ES"/>
        </w:rPr>
        <w:t xml:space="preserve"> y obtener </w:t>
      </w:r>
      <w:r w:rsidR="00FF0401" w:rsidRPr="008F762A">
        <w:rPr>
          <w:rFonts w:ascii="Arial" w:hAnsi="Arial" w:cs="Arial"/>
          <w:lang w:val="es-ES"/>
        </w:rPr>
        <w:t xml:space="preserve">los </w:t>
      </w:r>
      <w:r w:rsidR="000648E0" w:rsidRPr="008F762A">
        <w:rPr>
          <w:rFonts w:ascii="Arial" w:hAnsi="Arial" w:cs="Arial"/>
          <w:lang w:val="es-ES"/>
        </w:rPr>
        <w:t>mejores resultados</w:t>
      </w:r>
      <w:r w:rsidR="00FF0401" w:rsidRPr="008F762A">
        <w:rPr>
          <w:rFonts w:ascii="Arial" w:hAnsi="Arial" w:cs="Arial"/>
          <w:lang w:val="es-ES"/>
        </w:rPr>
        <w:t xml:space="preserve"> posibles</w:t>
      </w:r>
      <w:r w:rsidR="000648E0" w:rsidRPr="008F762A">
        <w:rPr>
          <w:rFonts w:ascii="Arial" w:hAnsi="Arial" w:cs="Arial"/>
          <w:lang w:val="es-ES"/>
        </w:rPr>
        <w:t>.</w:t>
      </w:r>
      <w:r w:rsidR="000648E0" w:rsidRPr="008F762A">
        <w:rPr>
          <w:rStyle w:val="FootnoteReference"/>
          <w:rFonts w:ascii="Arial" w:hAnsi="Arial"/>
          <w:lang w:val="es-ES"/>
        </w:rPr>
        <w:footnoteReference w:id="2"/>
      </w:r>
      <w:r w:rsidR="002F61D0" w:rsidRPr="008F762A">
        <w:rPr>
          <w:rFonts w:ascii="Arial" w:hAnsi="Arial" w:cs="Arial"/>
          <w:lang w:val="es-ES"/>
        </w:rPr>
        <w:t xml:space="preserve"> </w:t>
      </w:r>
      <w:r w:rsidR="0018759B" w:rsidRPr="008F762A">
        <w:rPr>
          <w:rFonts w:ascii="Arial" w:hAnsi="Arial" w:cs="Arial"/>
          <w:lang w:val="es-ES"/>
        </w:rPr>
        <w:t xml:space="preserve"> </w:t>
      </w:r>
    </w:p>
    <w:p w:rsidR="009E7935" w:rsidRPr="008F762A" w:rsidRDefault="009E7935" w:rsidP="00E31F9E">
      <w:pPr>
        <w:pStyle w:val="ListParagraph"/>
        <w:spacing w:line="240" w:lineRule="auto"/>
        <w:ind w:left="0"/>
        <w:rPr>
          <w:rFonts w:ascii="Arial" w:hAnsi="Arial" w:cs="Arial"/>
          <w:lang w:val="es-ES"/>
        </w:rPr>
      </w:pPr>
    </w:p>
    <w:p w:rsidR="002F61D0" w:rsidRPr="008F762A" w:rsidRDefault="006E2209" w:rsidP="0022317E">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Hasta la fecha,</w:t>
      </w:r>
      <w:r w:rsidR="0022317E" w:rsidRPr="008F762A">
        <w:rPr>
          <w:rFonts w:ascii="Arial" w:hAnsi="Arial" w:cs="Arial"/>
          <w:lang w:val="es-ES"/>
        </w:rPr>
        <w:t xml:space="preserve"> en</w:t>
      </w:r>
      <w:r w:rsidRPr="008F762A">
        <w:rPr>
          <w:rFonts w:ascii="Arial" w:hAnsi="Arial" w:cs="Arial"/>
          <w:lang w:val="es-ES"/>
        </w:rPr>
        <w:t xml:space="preserve"> el Centro</w:t>
      </w:r>
      <w:r w:rsidR="0022317E" w:rsidRPr="008F762A">
        <w:rPr>
          <w:rFonts w:ascii="Arial" w:hAnsi="Arial" w:cs="Arial"/>
          <w:lang w:val="es-ES"/>
        </w:rPr>
        <w:t xml:space="preserve"> se</w:t>
      </w:r>
      <w:r w:rsidRPr="008F762A">
        <w:rPr>
          <w:rFonts w:ascii="Arial" w:hAnsi="Arial" w:cs="Arial"/>
          <w:lang w:val="es-ES"/>
        </w:rPr>
        <w:t xml:space="preserve"> ha</w:t>
      </w:r>
      <w:r w:rsidR="0022317E" w:rsidRPr="008F762A">
        <w:rPr>
          <w:rFonts w:ascii="Arial" w:hAnsi="Arial" w:cs="Arial"/>
          <w:lang w:val="es-ES"/>
        </w:rPr>
        <w:t>n</w:t>
      </w:r>
      <w:r w:rsidRPr="008F762A">
        <w:rPr>
          <w:rFonts w:ascii="Arial" w:hAnsi="Arial" w:cs="Arial"/>
          <w:lang w:val="es-ES"/>
        </w:rPr>
        <w:t xml:space="preserve"> administrado más d</w:t>
      </w:r>
      <w:r w:rsidR="00394A64" w:rsidRPr="008F762A">
        <w:rPr>
          <w:rFonts w:ascii="Arial" w:hAnsi="Arial" w:cs="Arial"/>
          <w:lang w:val="es-ES"/>
        </w:rPr>
        <w:t>e 3</w:t>
      </w:r>
      <w:r w:rsidRPr="008F762A">
        <w:rPr>
          <w:rFonts w:ascii="Arial" w:hAnsi="Arial" w:cs="Arial"/>
          <w:lang w:val="es-ES"/>
        </w:rPr>
        <w:t xml:space="preserve">50 </w:t>
      </w:r>
      <w:r w:rsidR="007D07A1">
        <w:rPr>
          <w:rFonts w:ascii="Arial" w:hAnsi="Arial" w:cs="Arial"/>
          <w:lang w:val="es-ES"/>
        </w:rPr>
        <w:t>procedimientos</w:t>
      </w:r>
      <w:r w:rsidR="004F24E2" w:rsidRPr="008F762A">
        <w:rPr>
          <w:rFonts w:ascii="Arial" w:hAnsi="Arial" w:cs="Arial"/>
          <w:lang w:val="es-ES"/>
        </w:rPr>
        <w:t xml:space="preserve"> en virtud de</w:t>
      </w:r>
      <w:r w:rsidRPr="008F762A">
        <w:rPr>
          <w:rFonts w:ascii="Arial" w:hAnsi="Arial" w:cs="Arial"/>
          <w:lang w:val="es-ES"/>
        </w:rPr>
        <w:t xml:space="preserve"> los </w:t>
      </w:r>
      <w:r w:rsidR="00D232CF" w:rsidRPr="008F762A">
        <w:rPr>
          <w:rFonts w:ascii="Arial" w:hAnsi="Arial" w:cs="Arial"/>
          <w:lang w:val="es-ES"/>
        </w:rPr>
        <w:t xml:space="preserve">Reglamentos </w:t>
      </w:r>
      <w:r w:rsidRPr="008F762A">
        <w:rPr>
          <w:rFonts w:ascii="Arial" w:hAnsi="Arial" w:cs="Arial"/>
          <w:lang w:val="es-ES"/>
        </w:rPr>
        <w:t>de la OMPI</w:t>
      </w:r>
      <w:r w:rsidR="00A02C51" w:rsidRPr="008F762A">
        <w:rPr>
          <w:rFonts w:ascii="Arial" w:hAnsi="Arial" w:cs="Arial"/>
          <w:lang w:val="es-ES"/>
        </w:rPr>
        <w:t>,</w:t>
      </w:r>
      <w:r w:rsidRPr="008F762A">
        <w:rPr>
          <w:rStyle w:val="FootnoteReference"/>
          <w:rFonts w:ascii="Arial" w:hAnsi="Arial"/>
          <w:lang w:val="es-ES"/>
        </w:rPr>
        <w:footnoteReference w:id="3"/>
      </w:r>
      <w:r w:rsidR="00A02C51" w:rsidRPr="008F762A">
        <w:rPr>
          <w:rFonts w:ascii="Arial" w:hAnsi="Arial" w:cs="Arial"/>
          <w:lang w:val="es-ES"/>
        </w:rPr>
        <w:t xml:space="preserve"> </w:t>
      </w:r>
      <w:r w:rsidR="00D232CF">
        <w:rPr>
          <w:rFonts w:ascii="Arial" w:hAnsi="Arial" w:cs="Arial"/>
          <w:lang w:val="es-ES"/>
        </w:rPr>
        <w:t>habiéndose registrado en los últimos tres años</w:t>
      </w:r>
      <w:r w:rsidR="00A02C51" w:rsidRPr="008F762A">
        <w:rPr>
          <w:rFonts w:ascii="Arial" w:hAnsi="Arial" w:cs="Arial"/>
          <w:lang w:val="es-ES"/>
        </w:rPr>
        <w:t xml:space="preserve"> </w:t>
      </w:r>
      <w:r w:rsidRPr="008F762A">
        <w:rPr>
          <w:rFonts w:ascii="Arial" w:hAnsi="Arial" w:cs="Arial"/>
          <w:lang w:val="es-ES"/>
        </w:rPr>
        <w:t>un aument</w:t>
      </w:r>
      <w:r w:rsidR="00A02C51" w:rsidRPr="008F762A">
        <w:rPr>
          <w:rFonts w:ascii="Arial" w:hAnsi="Arial" w:cs="Arial"/>
          <w:lang w:val="es-ES"/>
        </w:rPr>
        <w:t>o de</w:t>
      </w:r>
      <w:r w:rsidR="00394A64" w:rsidRPr="008F762A">
        <w:rPr>
          <w:rFonts w:ascii="Arial" w:hAnsi="Arial" w:cs="Arial"/>
          <w:lang w:val="es-ES"/>
        </w:rPr>
        <w:t>l 2</w:t>
      </w:r>
      <w:r w:rsidR="00A02C51" w:rsidRPr="008F762A">
        <w:rPr>
          <w:rFonts w:ascii="Arial" w:hAnsi="Arial" w:cs="Arial"/>
          <w:lang w:val="es-ES"/>
        </w:rPr>
        <w:t>7% en e</w:t>
      </w:r>
      <w:r w:rsidR="00D232CF">
        <w:rPr>
          <w:rFonts w:ascii="Arial" w:hAnsi="Arial" w:cs="Arial"/>
          <w:lang w:val="es-ES"/>
        </w:rPr>
        <w:t>l</w:t>
      </w:r>
      <w:r w:rsidR="00A02C51" w:rsidRPr="008F762A">
        <w:rPr>
          <w:rFonts w:ascii="Arial" w:hAnsi="Arial" w:cs="Arial"/>
          <w:lang w:val="es-ES"/>
        </w:rPr>
        <w:t xml:space="preserve"> número </w:t>
      </w:r>
      <w:r w:rsidR="00D232CF">
        <w:rPr>
          <w:rFonts w:ascii="Arial" w:hAnsi="Arial" w:cs="Arial"/>
          <w:lang w:val="es-ES"/>
        </w:rPr>
        <w:t xml:space="preserve">de </w:t>
      </w:r>
      <w:r w:rsidR="00002A49">
        <w:rPr>
          <w:rFonts w:ascii="Arial" w:hAnsi="Arial" w:cs="Arial"/>
          <w:lang w:val="es-ES"/>
        </w:rPr>
        <w:t>demandas presentada</w:t>
      </w:r>
      <w:r w:rsidR="00D232CF">
        <w:rPr>
          <w:rFonts w:ascii="Arial" w:hAnsi="Arial" w:cs="Arial"/>
          <w:lang w:val="es-ES"/>
        </w:rPr>
        <w:t>s</w:t>
      </w:r>
      <w:r w:rsidR="00394A64" w:rsidRPr="008F762A">
        <w:rPr>
          <w:rFonts w:ascii="Arial" w:hAnsi="Arial" w:cs="Arial"/>
          <w:lang w:val="es-ES"/>
        </w:rPr>
        <w:t>.  D</w:t>
      </w:r>
      <w:r w:rsidR="00A02C51" w:rsidRPr="008F762A">
        <w:rPr>
          <w:rFonts w:ascii="Arial" w:hAnsi="Arial" w:cs="Arial"/>
          <w:lang w:val="es-ES"/>
        </w:rPr>
        <w:t xml:space="preserve">e todos </w:t>
      </w:r>
      <w:r w:rsidRPr="008F762A">
        <w:rPr>
          <w:rFonts w:ascii="Arial" w:hAnsi="Arial" w:cs="Arial"/>
          <w:lang w:val="es-ES"/>
        </w:rPr>
        <w:t xml:space="preserve">los </w:t>
      </w:r>
      <w:r w:rsidR="00002A49">
        <w:rPr>
          <w:rFonts w:ascii="Arial" w:hAnsi="Arial" w:cs="Arial"/>
          <w:lang w:val="es-ES"/>
        </w:rPr>
        <w:t>procedimientos</w:t>
      </w:r>
      <w:r w:rsidRPr="008F762A">
        <w:rPr>
          <w:rFonts w:ascii="Arial" w:hAnsi="Arial" w:cs="Arial"/>
          <w:lang w:val="es-ES"/>
        </w:rPr>
        <w:t xml:space="preserve"> de mediación y arbitraje administrados por el Centro, e</w:t>
      </w:r>
      <w:r w:rsidR="00394A64" w:rsidRPr="008F762A">
        <w:rPr>
          <w:rFonts w:ascii="Arial" w:hAnsi="Arial" w:cs="Arial"/>
          <w:lang w:val="es-ES"/>
        </w:rPr>
        <w:t>l 5</w:t>
      </w:r>
      <w:r w:rsidRPr="008F762A">
        <w:rPr>
          <w:rFonts w:ascii="Arial" w:hAnsi="Arial" w:cs="Arial"/>
          <w:lang w:val="es-ES"/>
        </w:rPr>
        <w:t>7% corre</w:t>
      </w:r>
      <w:r w:rsidR="004F24E2" w:rsidRPr="008F762A">
        <w:rPr>
          <w:rFonts w:ascii="Arial" w:hAnsi="Arial" w:cs="Arial"/>
          <w:lang w:val="es-ES"/>
        </w:rPr>
        <w:t>s</w:t>
      </w:r>
      <w:r w:rsidRPr="008F762A">
        <w:rPr>
          <w:rFonts w:ascii="Arial" w:hAnsi="Arial" w:cs="Arial"/>
          <w:lang w:val="es-ES"/>
        </w:rPr>
        <w:t>ponde a mediaciones, e</w:t>
      </w:r>
      <w:r w:rsidR="00394A64" w:rsidRPr="008F762A">
        <w:rPr>
          <w:rFonts w:ascii="Arial" w:hAnsi="Arial" w:cs="Arial"/>
          <w:lang w:val="es-ES"/>
        </w:rPr>
        <w:t>l 1</w:t>
      </w:r>
      <w:r w:rsidRPr="008F762A">
        <w:rPr>
          <w:rFonts w:ascii="Arial" w:hAnsi="Arial" w:cs="Arial"/>
          <w:lang w:val="es-ES"/>
        </w:rPr>
        <w:t>9% a arbitrajes</w:t>
      </w:r>
      <w:r w:rsidR="004F24E2" w:rsidRPr="008F762A">
        <w:rPr>
          <w:rFonts w:ascii="Arial" w:hAnsi="Arial" w:cs="Arial"/>
          <w:lang w:val="es-ES"/>
        </w:rPr>
        <w:t xml:space="preserve"> </w:t>
      </w:r>
      <w:r w:rsidRPr="008F762A">
        <w:rPr>
          <w:rFonts w:ascii="Arial" w:hAnsi="Arial" w:cs="Arial"/>
          <w:lang w:val="es-ES"/>
        </w:rPr>
        <w:t>acelerados y e</w:t>
      </w:r>
      <w:r w:rsidR="00394A64" w:rsidRPr="008F762A">
        <w:rPr>
          <w:rFonts w:ascii="Arial" w:hAnsi="Arial" w:cs="Arial"/>
          <w:lang w:val="es-ES"/>
        </w:rPr>
        <w:t>l 2</w:t>
      </w:r>
      <w:r w:rsidRPr="008F762A">
        <w:rPr>
          <w:rFonts w:ascii="Arial" w:hAnsi="Arial" w:cs="Arial"/>
          <w:lang w:val="es-ES"/>
        </w:rPr>
        <w:t>4% a arbitrajes</w:t>
      </w:r>
      <w:r w:rsidR="00A02C51" w:rsidRPr="008F762A">
        <w:rPr>
          <w:rFonts w:ascii="Arial" w:hAnsi="Arial" w:cs="Arial"/>
          <w:lang w:val="es-ES"/>
        </w:rPr>
        <w:t xml:space="preserve"> tradicionales</w:t>
      </w:r>
      <w:r w:rsidR="00394A64" w:rsidRPr="008F762A">
        <w:rPr>
          <w:rFonts w:ascii="Arial" w:hAnsi="Arial" w:cs="Arial"/>
          <w:lang w:val="es-ES"/>
        </w:rPr>
        <w:t>.  E</w:t>
      </w:r>
      <w:r w:rsidR="0022317E" w:rsidRPr="008F762A">
        <w:rPr>
          <w:rFonts w:ascii="Arial" w:hAnsi="Arial" w:cs="Arial"/>
          <w:lang w:val="es-ES"/>
        </w:rPr>
        <w:t xml:space="preserve">n cuanto a las partes involucradas en los </w:t>
      </w:r>
      <w:r w:rsidR="00002A49">
        <w:rPr>
          <w:rFonts w:ascii="Arial" w:hAnsi="Arial" w:cs="Arial"/>
          <w:lang w:val="es-ES"/>
        </w:rPr>
        <w:t>procedimientos</w:t>
      </w:r>
      <w:r w:rsidR="0022317E" w:rsidRPr="008F762A">
        <w:rPr>
          <w:rFonts w:ascii="Arial" w:hAnsi="Arial" w:cs="Arial"/>
          <w:lang w:val="es-ES"/>
        </w:rPr>
        <w:t xml:space="preserve"> de mediación y arbitraje de la OMPI, e</w:t>
      </w:r>
      <w:r w:rsidR="00394A64" w:rsidRPr="008F762A">
        <w:rPr>
          <w:rFonts w:ascii="Arial" w:hAnsi="Arial" w:cs="Arial"/>
          <w:lang w:val="es-ES"/>
        </w:rPr>
        <w:t>l 3</w:t>
      </w:r>
      <w:r w:rsidR="0022317E" w:rsidRPr="008F762A">
        <w:rPr>
          <w:rFonts w:ascii="Arial" w:hAnsi="Arial" w:cs="Arial"/>
          <w:lang w:val="es-ES"/>
        </w:rPr>
        <w:t>3% desarrolla su actividad en el sector de las tecnologías de la información y de las comunicaciones (TIC), e</w:t>
      </w:r>
      <w:r w:rsidR="00394A64" w:rsidRPr="008F762A">
        <w:rPr>
          <w:rFonts w:ascii="Arial" w:hAnsi="Arial" w:cs="Arial"/>
          <w:lang w:val="es-ES"/>
        </w:rPr>
        <w:t>l 1</w:t>
      </w:r>
      <w:r w:rsidR="0022317E" w:rsidRPr="008F762A">
        <w:rPr>
          <w:rFonts w:ascii="Arial" w:hAnsi="Arial" w:cs="Arial"/>
          <w:lang w:val="es-ES"/>
        </w:rPr>
        <w:t>4% en el campo de la farma</w:t>
      </w:r>
      <w:r w:rsidR="004F24E2" w:rsidRPr="008F762A">
        <w:rPr>
          <w:rFonts w:ascii="Arial" w:hAnsi="Arial" w:cs="Arial"/>
          <w:lang w:val="es-ES"/>
        </w:rPr>
        <w:t>c</w:t>
      </w:r>
      <w:r w:rsidR="0022317E" w:rsidRPr="008F762A">
        <w:rPr>
          <w:rFonts w:ascii="Arial" w:hAnsi="Arial" w:cs="Arial"/>
          <w:lang w:val="es-ES"/>
        </w:rPr>
        <w:t>éutica, la biotecnología y las ciencias biológicas, e</w:t>
      </w:r>
      <w:r w:rsidR="00394A64" w:rsidRPr="008F762A">
        <w:rPr>
          <w:rFonts w:ascii="Arial" w:hAnsi="Arial" w:cs="Arial"/>
          <w:lang w:val="es-ES"/>
        </w:rPr>
        <w:t>l 1</w:t>
      </w:r>
      <w:r w:rsidR="0022317E" w:rsidRPr="008F762A">
        <w:rPr>
          <w:rFonts w:ascii="Arial" w:hAnsi="Arial" w:cs="Arial"/>
          <w:lang w:val="es-ES"/>
        </w:rPr>
        <w:t>6% en</w:t>
      </w:r>
      <w:r w:rsidR="00A36356" w:rsidRPr="008F762A">
        <w:rPr>
          <w:rFonts w:ascii="Arial" w:hAnsi="Arial" w:cs="Arial"/>
          <w:lang w:val="es-ES"/>
        </w:rPr>
        <w:t xml:space="preserve"> ingeniería</w:t>
      </w:r>
      <w:r w:rsidR="0022317E" w:rsidRPr="008F762A">
        <w:rPr>
          <w:rFonts w:ascii="Arial" w:hAnsi="Arial" w:cs="Arial"/>
          <w:lang w:val="es-ES"/>
        </w:rPr>
        <w:t xml:space="preserve"> mecánica, e</w:t>
      </w:r>
      <w:r w:rsidR="00394A64" w:rsidRPr="008F762A">
        <w:rPr>
          <w:rFonts w:ascii="Arial" w:hAnsi="Arial" w:cs="Arial"/>
          <w:lang w:val="es-ES"/>
        </w:rPr>
        <w:t>l 1</w:t>
      </w:r>
      <w:r w:rsidR="0022317E" w:rsidRPr="008F762A">
        <w:rPr>
          <w:rFonts w:ascii="Arial" w:hAnsi="Arial" w:cs="Arial"/>
          <w:lang w:val="es-ES"/>
        </w:rPr>
        <w:t>0% en espectáculos, e</w:t>
      </w:r>
      <w:r w:rsidR="00394A64" w:rsidRPr="008F762A">
        <w:rPr>
          <w:rFonts w:ascii="Arial" w:hAnsi="Arial" w:cs="Arial"/>
          <w:lang w:val="es-ES"/>
        </w:rPr>
        <w:t>l 4</w:t>
      </w:r>
      <w:r w:rsidR="0022317E" w:rsidRPr="008F762A">
        <w:rPr>
          <w:rFonts w:ascii="Arial" w:hAnsi="Arial" w:cs="Arial"/>
          <w:lang w:val="es-ES"/>
        </w:rPr>
        <w:t xml:space="preserve">% </w:t>
      </w:r>
      <w:r w:rsidR="00A36356" w:rsidRPr="008F762A">
        <w:rPr>
          <w:rFonts w:ascii="Arial" w:hAnsi="Arial" w:cs="Arial"/>
          <w:lang w:val="es-ES"/>
        </w:rPr>
        <w:t xml:space="preserve">en el ámbito de los </w:t>
      </w:r>
      <w:r w:rsidR="0022317E" w:rsidRPr="008F762A">
        <w:rPr>
          <w:rFonts w:ascii="Arial" w:hAnsi="Arial" w:cs="Arial"/>
          <w:lang w:val="es-ES"/>
        </w:rPr>
        <w:t>artículos de lujo y e</w:t>
      </w:r>
      <w:r w:rsidR="00394A64" w:rsidRPr="008F762A">
        <w:rPr>
          <w:rFonts w:ascii="Arial" w:hAnsi="Arial" w:cs="Arial"/>
          <w:lang w:val="es-ES"/>
        </w:rPr>
        <w:t>l 1</w:t>
      </w:r>
      <w:r w:rsidR="0022317E" w:rsidRPr="008F762A">
        <w:rPr>
          <w:rFonts w:ascii="Arial" w:hAnsi="Arial" w:cs="Arial"/>
          <w:lang w:val="es-ES"/>
        </w:rPr>
        <w:t>% en</w:t>
      </w:r>
      <w:r w:rsidR="004F24E2" w:rsidRPr="008F762A">
        <w:rPr>
          <w:rFonts w:ascii="Arial" w:hAnsi="Arial" w:cs="Arial"/>
          <w:lang w:val="es-ES"/>
        </w:rPr>
        <w:t xml:space="preserve"> </w:t>
      </w:r>
      <w:r w:rsidR="0022317E" w:rsidRPr="008F762A">
        <w:rPr>
          <w:rFonts w:ascii="Arial" w:hAnsi="Arial" w:cs="Arial"/>
          <w:lang w:val="es-ES"/>
        </w:rPr>
        <w:t>productos químicos</w:t>
      </w:r>
      <w:r w:rsidR="00394A64" w:rsidRPr="008F762A">
        <w:rPr>
          <w:rFonts w:ascii="Arial" w:hAnsi="Arial" w:cs="Arial"/>
          <w:lang w:val="es-ES"/>
        </w:rPr>
        <w:t>.  El 2</w:t>
      </w:r>
      <w:r w:rsidR="0022317E" w:rsidRPr="008F762A">
        <w:rPr>
          <w:rFonts w:ascii="Arial" w:hAnsi="Arial" w:cs="Arial"/>
          <w:lang w:val="es-ES"/>
        </w:rPr>
        <w:t>2% restante desarrolla su actividad en otros sectores</w:t>
      </w:r>
      <w:r w:rsidR="002F61D0" w:rsidRPr="008F762A">
        <w:rPr>
          <w:rFonts w:ascii="Arial" w:hAnsi="Arial" w:cs="Arial"/>
          <w:lang w:val="es-ES"/>
        </w:rPr>
        <w:t>.</w:t>
      </w:r>
    </w:p>
    <w:p w:rsidR="009E7935" w:rsidRPr="008F762A" w:rsidRDefault="009E7935" w:rsidP="00271674">
      <w:pPr>
        <w:pStyle w:val="ListParagraph"/>
        <w:spacing w:line="240" w:lineRule="auto"/>
        <w:ind w:left="0"/>
        <w:rPr>
          <w:rFonts w:ascii="Arial" w:hAnsi="Arial" w:cs="Arial"/>
          <w:lang w:val="es-ES"/>
        </w:rPr>
      </w:pPr>
    </w:p>
    <w:p w:rsidR="002F61D0" w:rsidRPr="008F762A" w:rsidRDefault="004067B6" w:rsidP="00CE4CEF">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 xml:space="preserve">La mayoría de los </w:t>
      </w:r>
      <w:r w:rsidR="00901261">
        <w:rPr>
          <w:rFonts w:ascii="Arial" w:hAnsi="Arial" w:cs="Arial"/>
          <w:lang w:val="es-ES"/>
        </w:rPr>
        <w:t>procedimientos</w:t>
      </w:r>
      <w:r w:rsidRPr="008F762A">
        <w:rPr>
          <w:rFonts w:ascii="Arial" w:hAnsi="Arial" w:cs="Arial"/>
          <w:lang w:val="es-ES"/>
        </w:rPr>
        <w:t xml:space="preserve"> administrados por la OMPI </w:t>
      </w:r>
      <w:r w:rsidR="00D45686" w:rsidRPr="008F762A">
        <w:rPr>
          <w:rFonts w:ascii="Arial" w:hAnsi="Arial" w:cs="Arial"/>
          <w:lang w:val="es-ES"/>
        </w:rPr>
        <w:t xml:space="preserve">se </w:t>
      </w:r>
      <w:r w:rsidR="00BB16DB" w:rsidRPr="008F762A">
        <w:rPr>
          <w:rFonts w:ascii="Arial" w:hAnsi="Arial" w:cs="Arial"/>
          <w:lang w:val="es-ES"/>
        </w:rPr>
        <w:t>rigen por</w:t>
      </w:r>
      <w:r w:rsidRPr="008F762A">
        <w:rPr>
          <w:rFonts w:ascii="Arial" w:hAnsi="Arial" w:cs="Arial"/>
          <w:lang w:val="es-ES"/>
        </w:rPr>
        <w:t xml:space="preserve"> cláusulas</w:t>
      </w:r>
      <w:r w:rsidR="00A4463D" w:rsidRPr="008F762A">
        <w:rPr>
          <w:rFonts w:ascii="Arial" w:hAnsi="Arial" w:cs="Arial"/>
          <w:lang w:val="es-ES"/>
        </w:rPr>
        <w:t xml:space="preserve"> contractuales </w:t>
      </w:r>
      <w:r w:rsidR="00BB16DB" w:rsidRPr="008F762A">
        <w:rPr>
          <w:rFonts w:ascii="Arial" w:hAnsi="Arial" w:cs="Arial"/>
          <w:lang w:val="es-ES"/>
        </w:rPr>
        <w:t xml:space="preserve">que contemplan </w:t>
      </w:r>
      <w:r w:rsidR="00A36356" w:rsidRPr="008F762A">
        <w:rPr>
          <w:rFonts w:ascii="Arial" w:hAnsi="Arial" w:cs="Arial"/>
          <w:lang w:val="es-ES"/>
        </w:rPr>
        <w:t>la solución</w:t>
      </w:r>
      <w:r w:rsidR="00BB16DB" w:rsidRPr="008F762A">
        <w:rPr>
          <w:rFonts w:ascii="Arial" w:hAnsi="Arial" w:cs="Arial"/>
          <w:lang w:val="es-ES"/>
        </w:rPr>
        <w:t xml:space="preserve"> de </w:t>
      </w:r>
      <w:r w:rsidRPr="008F762A">
        <w:rPr>
          <w:rFonts w:ascii="Arial" w:hAnsi="Arial" w:cs="Arial"/>
          <w:lang w:val="es-ES"/>
        </w:rPr>
        <w:t>controversias</w:t>
      </w:r>
      <w:r w:rsidR="00A4463D" w:rsidRPr="008F762A">
        <w:rPr>
          <w:rFonts w:ascii="Arial" w:hAnsi="Arial" w:cs="Arial"/>
          <w:lang w:val="es-ES"/>
        </w:rPr>
        <w:t xml:space="preserve"> futuras</w:t>
      </w:r>
      <w:r w:rsidRPr="008F762A">
        <w:rPr>
          <w:rFonts w:ascii="Arial" w:hAnsi="Arial" w:cs="Arial"/>
          <w:lang w:val="es-ES"/>
        </w:rPr>
        <w:t xml:space="preserve"> que ya han sido incluidas en </w:t>
      </w:r>
      <w:r w:rsidR="00A4463D" w:rsidRPr="008F762A">
        <w:rPr>
          <w:rFonts w:ascii="Arial" w:hAnsi="Arial" w:cs="Arial"/>
          <w:lang w:val="es-ES"/>
        </w:rPr>
        <w:t xml:space="preserve">diversos </w:t>
      </w:r>
      <w:r w:rsidRPr="008F762A">
        <w:rPr>
          <w:rFonts w:ascii="Arial" w:hAnsi="Arial" w:cs="Arial"/>
          <w:lang w:val="es-ES"/>
        </w:rPr>
        <w:t xml:space="preserve">acuerdos, </w:t>
      </w:r>
      <w:r w:rsidR="00A4463D" w:rsidRPr="008F762A">
        <w:rPr>
          <w:rFonts w:ascii="Arial" w:hAnsi="Arial" w:cs="Arial"/>
          <w:lang w:val="es-ES"/>
        </w:rPr>
        <w:t>tal</w:t>
      </w:r>
      <w:r w:rsidR="002B1D92" w:rsidRPr="008F762A">
        <w:rPr>
          <w:rFonts w:ascii="Arial" w:hAnsi="Arial" w:cs="Arial"/>
          <w:lang w:val="es-ES"/>
        </w:rPr>
        <w:t>es como acuerdos de</w:t>
      </w:r>
      <w:r w:rsidR="00D45686" w:rsidRPr="008F762A">
        <w:rPr>
          <w:rFonts w:ascii="Arial" w:hAnsi="Arial" w:cs="Arial"/>
          <w:lang w:val="es-ES"/>
        </w:rPr>
        <w:t xml:space="preserve"> </w:t>
      </w:r>
      <w:r w:rsidR="00A4463D" w:rsidRPr="008F762A">
        <w:rPr>
          <w:rFonts w:ascii="Arial" w:hAnsi="Arial" w:cs="Arial"/>
          <w:lang w:val="es-ES"/>
        </w:rPr>
        <w:t xml:space="preserve">representación artística, </w:t>
      </w:r>
      <w:r w:rsidRPr="008F762A">
        <w:rPr>
          <w:rFonts w:ascii="Arial" w:hAnsi="Arial" w:cs="Arial"/>
          <w:lang w:val="es-ES"/>
        </w:rPr>
        <w:t>cuestiones de derecho de autor, acuerdos de distribución de productos farmacéuticos, acuerdos rela</w:t>
      </w:r>
      <w:r w:rsidR="00A4463D" w:rsidRPr="008F762A">
        <w:rPr>
          <w:rFonts w:ascii="Arial" w:hAnsi="Arial" w:cs="Arial"/>
          <w:lang w:val="es-ES"/>
        </w:rPr>
        <w:t>tivos a</w:t>
      </w:r>
      <w:r w:rsidRPr="008F762A">
        <w:rPr>
          <w:rFonts w:ascii="Arial" w:hAnsi="Arial" w:cs="Arial"/>
          <w:lang w:val="es-ES"/>
        </w:rPr>
        <w:t xml:space="preserve"> las TIC, </w:t>
      </w:r>
      <w:r w:rsidR="002B1D92" w:rsidRPr="008F762A">
        <w:rPr>
          <w:rFonts w:ascii="Arial" w:hAnsi="Arial" w:cs="Arial"/>
          <w:lang w:val="es-ES"/>
        </w:rPr>
        <w:t>incluidas</w:t>
      </w:r>
      <w:r w:rsidRPr="008F762A">
        <w:rPr>
          <w:rFonts w:ascii="Arial" w:hAnsi="Arial" w:cs="Arial"/>
          <w:lang w:val="es-ES"/>
        </w:rPr>
        <w:t xml:space="preserve"> las licencias de programas informáticos, acuerdos sobre empresas mixtas, acuerdos de licencia de patentes, acuerdos de investigación y desarrollo, acuerdos </w:t>
      </w:r>
      <w:r w:rsidR="002B1D92" w:rsidRPr="008F762A">
        <w:rPr>
          <w:rFonts w:ascii="Arial" w:hAnsi="Arial" w:cs="Arial"/>
          <w:lang w:val="es-ES"/>
        </w:rPr>
        <w:t xml:space="preserve">de conciliación </w:t>
      </w:r>
      <w:r w:rsidR="00FF0401" w:rsidRPr="008F762A">
        <w:rPr>
          <w:rFonts w:ascii="Arial" w:hAnsi="Arial" w:cs="Arial"/>
          <w:lang w:val="es-ES"/>
        </w:rPr>
        <w:t>concertados en anteriores procedimientos</w:t>
      </w:r>
      <w:r w:rsidR="00E373C9" w:rsidRPr="008F762A">
        <w:rPr>
          <w:rFonts w:ascii="Arial" w:hAnsi="Arial" w:cs="Arial"/>
          <w:lang w:val="es-ES"/>
        </w:rPr>
        <w:t xml:space="preserve"> judiciales</w:t>
      </w:r>
      <w:r w:rsidR="00394A64" w:rsidRPr="008F762A">
        <w:rPr>
          <w:rFonts w:ascii="Arial" w:hAnsi="Arial" w:cs="Arial"/>
          <w:lang w:val="es-ES"/>
        </w:rPr>
        <w:t>, a</w:t>
      </w:r>
      <w:r w:rsidRPr="008F762A">
        <w:rPr>
          <w:rFonts w:ascii="Arial" w:hAnsi="Arial" w:cs="Arial"/>
          <w:lang w:val="es-ES"/>
        </w:rPr>
        <w:t>cuerdos de transferencia de tecnología, acuerdos relativos a las telecomunicaciones, y acuerdos de co</w:t>
      </w:r>
      <w:r w:rsidR="00617FF3">
        <w:rPr>
          <w:rFonts w:ascii="Arial" w:hAnsi="Arial" w:cs="Arial"/>
          <w:lang w:val="es-ES"/>
        </w:rPr>
        <w:t>existencia</w:t>
      </w:r>
      <w:r w:rsidRPr="008F762A">
        <w:rPr>
          <w:rFonts w:ascii="Arial" w:hAnsi="Arial" w:cs="Arial"/>
          <w:lang w:val="es-ES"/>
        </w:rPr>
        <w:t xml:space="preserve"> de marcas</w:t>
      </w:r>
      <w:r w:rsidR="00394A64" w:rsidRPr="008F762A">
        <w:rPr>
          <w:rFonts w:ascii="Arial" w:hAnsi="Arial" w:cs="Arial"/>
          <w:lang w:val="es-ES"/>
        </w:rPr>
        <w:t>.  E</w:t>
      </w:r>
      <w:r w:rsidR="00CE4CEF" w:rsidRPr="008F762A">
        <w:rPr>
          <w:rFonts w:ascii="Arial" w:hAnsi="Arial" w:cs="Arial"/>
          <w:lang w:val="es-ES"/>
        </w:rPr>
        <w:t xml:space="preserve">n los últimos años, el Centro ha observado un aumento en el número de controversias no contractuales, incluidos casos de infracciones de patentes, que se remiten a </w:t>
      </w:r>
      <w:r w:rsidR="00BB16DB" w:rsidRPr="008F762A">
        <w:rPr>
          <w:rFonts w:ascii="Arial" w:hAnsi="Arial" w:cs="Arial"/>
          <w:lang w:val="es-ES"/>
        </w:rPr>
        <w:t xml:space="preserve">la </w:t>
      </w:r>
      <w:r w:rsidR="00CE4CEF" w:rsidRPr="008F762A">
        <w:rPr>
          <w:rFonts w:ascii="Arial" w:hAnsi="Arial" w:cs="Arial"/>
          <w:lang w:val="es-ES"/>
        </w:rPr>
        <w:t xml:space="preserve">mediación o </w:t>
      </w:r>
      <w:r w:rsidR="00BB16DB" w:rsidRPr="008F762A">
        <w:rPr>
          <w:rFonts w:ascii="Arial" w:hAnsi="Arial" w:cs="Arial"/>
          <w:lang w:val="es-ES"/>
        </w:rPr>
        <w:t xml:space="preserve">el </w:t>
      </w:r>
      <w:r w:rsidR="00CE4CEF" w:rsidRPr="008F762A">
        <w:rPr>
          <w:rFonts w:ascii="Arial" w:hAnsi="Arial" w:cs="Arial"/>
          <w:lang w:val="es-ES"/>
        </w:rPr>
        <w:t>arbitraje de la OMPI por medio de la firma de un acuerdo de sometimiento independiente</w:t>
      </w:r>
      <w:r w:rsidR="002F61D0" w:rsidRPr="008F762A">
        <w:rPr>
          <w:rFonts w:ascii="Arial" w:hAnsi="Arial" w:cs="Arial"/>
          <w:lang w:val="es-ES"/>
        </w:rPr>
        <w:t>.</w:t>
      </w:r>
    </w:p>
    <w:p w:rsidR="009E7935" w:rsidRPr="008F762A" w:rsidRDefault="009E7935" w:rsidP="006F03B4">
      <w:pPr>
        <w:pStyle w:val="ListParagraph"/>
        <w:spacing w:line="240" w:lineRule="auto"/>
        <w:ind w:left="0"/>
        <w:rPr>
          <w:rFonts w:ascii="Arial" w:hAnsi="Arial" w:cs="Arial"/>
          <w:lang w:val="es-ES"/>
        </w:rPr>
      </w:pPr>
    </w:p>
    <w:p w:rsidR="002F61D0" w:rsidRPr="008F762A" w:rsidRDefault="00784683" w:rsidP="00FC50D8">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Si bien los Reglamentos de la OMPI son un medio apropiado para resolver todas las controversias de carácter comercial, también contienen disposiciones sobre confidencialidad, pruebas, experi</w:t>
      </w:r>
      <w:r w:rsidR="00A02C51" w:rsidRPr="008F762A">
        <w:rPr>
          <w:rFonts w:ascii="Arial" w:hAnsi="Arial" w:cs="Arial"/>
          <w:lang w:val="es-ES"/>
        </w:rPr>
        <w:t>mentos,</w:t>
      </w:r>
      <w:r w:rsidRPr="008F762A">
        <w:rPr>
          <w:rFonts w:ascii="Arial" w:hAnsi="Arial" w:cs="Arial"/>
          <w:lang w:val="es-ES"/>
        </w:rPr>
        <w:t xml:space="preserve"> </w:t>
      </w:r>
      <w:r w:rsidR="00A02C51" w:rsidRPr="008F762A">
        <w:rPr>
          <w:rFonts w:ascii="Arial" w:hAnsi="Arial" w:cs="Arial"/>
          <w:lang w:val="es-ES"/>
        </w:rPr>
        <w:t>inspección de lugares</w:t>
      </w:r>
      <w:r w:rsidRPr="008F762A">
        <w:rPr>
          <w:rFonts w:ascii="Arial" w:hAnsi="Arial" w:cs="Arial"/>
          <w:lang w:val="es-ES"/>
        </w:rPr>
        <w:t>, documentación básica y modelos, y secretos comerciales que re</w:t>
      </w:r>
      <w:r w:rsidR="00D45686" w:rsidRPr="008F762A">
        <w:rPr>
          <w:rFonts w:ascii="Arial" w:hAnsi="Arial" w:cs="Arial"/>
          <w:lang w:val="es-ES"/>
        </w:rPr>
        <w:t>sultan especialmente relevantes</w:t>
      </w:r>
      <w:r w:rsidRPr="008F762A">
        <w:rPr>
          <w:rFonts w:ascii="Arial" w:hAnsi="Arial" w:cs="Arial"/>
          <w:lang w:val="es-ES"/>
        </w:rPr>
        <w:t xml:space="preserve"> para las partes implicadas en controversias relativas a la propiedad intelectual. </w:t>
      </w:r>
      <w:r w:rsidR="0018759B" w:rsidRPr="008F762A">
        <w:rPr>
          <w:rFonts w:ascii="Arial" w:hAnsi="Arial" w:cs="Arial"/>
          <w:lang w:val="es-ES"/>
        </w:rPr>
        <w:t xml:space="preserve"> </w:t>
      </w:r>
      <w:r w:rsidR="00FC50D8" w:rsidRPr="008F762A">
        <w:rPr>
          <w:rFonts w:ascii="Arial" w:hAnsi="Arial" w:cs="Arial"/>
          <w:lang w:val="es-ES"/>
        </w:rPr>
        <w:t xml:space="preserve">De hecho, la mayoría de los </w:t>
      </w:r>
      <w:r w:rsidR="00901261">
        <w:rPr>
          <w:rFonts w:ascii="Arial" w:hAnsi="Arial" w:cs="Arial"/>
          <w:lang w:val="es-ES"/>
        </w:rPr>
        <w:t>procedimientos</w:t>
      </w:r>
      <w:r w:rsidR="00FC50D8" w:rsidRPr="008F762A">
        <w:rPr>
          <w:rFonts w:ascii="Arial" w:hAnsi="Arial" w:cs="Arial"/>
          <w:lang w:val="es-ES"/>
        </w:rPr>
        <w:t xml:space="preserve"> de arbitraje y mediación del Centro están relacionados con </w:t>
      </w:r>
      <w:r w:rsidR="0016549C">
        <w:rPr>
          <w:rFonts w:ascii="Arial" w:hAnsi="Arial" w:cs="Arial"/>
          <w:lang w:val="es-ES"/>
        </w:rPr>
        <w:t xml:space="preserve">la </w:t>
      </w:r>
      <w:r w:rsidR="00FC50D8" w:rsidRPr="008F762A">
        <w:rPr>
          <w:rFonts w:ascii="Arial" w:hAnsi="Arial" w:cs="Arial"/>
          <w:lang w:val="es-ES"/>
        </w:rPr>
        <w:t>propiedad intelectual</w:t>
      </w:r>
      <w:r w:rsidR="00394A64" w:rsidRPr="008F762A">
        <w:rPr>
          <w:rFonts w:ascii="Arial" w:hAnsi="Arial" w:cs="Arial"/>
          <w:lang w:val="es-ES"/>
        </w:rPr>
        <w:t>:  e</w:t>
      </w:r>
      <w:r w:rsidR="00FC50D8" w:rsidRPr="008F762A">
        <w:rPr>
          <w:rFonts w:ascii="Arial" w:hAnsi="Arial" w:cs="Arial"/>
          <w:lang w:val="es-ES"/>
        </w:rPr>
        <w:t>l área de mayor representación es la de las patentes (39%), seguida por el área del derecho relativo a la T.I</w:t>
      </w:r>
      <w:r w:rsidR="00394A64" w:rsidRPr="008F762A">
        <w:rPr>
          <w:rFonts w:ascii="Arial" w:hAnsi="Arial" w:cs="Arial"/>
          <w:lang w:val="es-ES"/>
        </w:rPr>
        <w:t>. (</w:t>
      </w:r>
      <w:r w:rsidR="00FC50D8" w:rsidRPr="008F762A">
        <w:rPr>
          <w:rFonts w:ascii="Arial" w:hAnsi="Arial" w:cs="Arial"/>
          <w:lang w:val="es-ES"/>
        </w:rPr>
        <w:t xml:space="preserve">21%), las </w:t>
      </w:r>
      <w:r w:rsidR="00A4463D" w:rsidRPr="008F762A">
        <w:rPr>
          <w:rFonts w:ascii="Arial" w:hAnsi="Arial" w:cs="Arial"/>
          <w:lang w:val="es-ES"/>
        </w:rPr>
        <w:t xml:space="preserve">marcas </w:t>
      </w:r>
      <w:r w:rsidR="00FC50D8" w:rsidRPr="008F762A">
        <w:rPr>
          <w:rFonts w:ascii="Arial" w:hAnsi="Arial" w:cs="Arial"/>
          <w:lang w:val="es-ES"/>
        </w:rPr>
        <w:t xml:space="preserve"> (15%) y el derecho de autor (8%)</w:t>
      </w:r>
      <w:r w:rsidR="00394A64" w:rsidRPr="008F762A">
        <w:rPr>
          <w:rFonts w:ascii="Arial" w:hAnsi="Arial" w:cs="Arial"/>
          <w:lang w:val="es-ES"/>
        </w:rPr>
        <w:t>.  El 1</w:t>
      </w:r>
      <w:r w:rsidR="00FC50D8" w:rsidRPr="008F762A">
        <w:rPr>
          <w:rFonts w:ascii="Arial" w:hAnsi="Arial" w:cs="Arial"/>
          <w:lang w:val="es-ES"/>
        </w:rPr>
        <w:t xml:space="preserve">7% restante se relaciona con otras cuestiones, por ejemplo, conflictos de carácter comercial que se </w:t>
      </w:r>
      <w:r w:rsidR="00A4463D" w:rsidRPr="008F762A">
        <w:rPr>
          <w:rFonts w:ascii="Arial" w:hAnsi="Arial" w:cs="Arial"/>
          <w:lang w:val="es-ES"/>
        </w:rPr>
        <w:t>someten</w:t>
      </w:r>
      <w:r w:rsidR="00FC50D8" w:rsidRPr="008F762A">
        <w:rPr>
          <w:rFonts w:ascii="Arial" w:hAnsi="Arial" w:cs="Arial"/>
          <w:lang w:val="es-ES"/>
        </w:rPr>
        <w:t xml:space="preserve"> a la solución de controversias</w:t>
      </w:r>
      <w:r w:rsidR="00A4463D" w:rsidRPr="008F762A">
        <w:rPr>
          <w:rFonts w:ascii="Arial" w:hAnsi="Arial" w:cs="Arial"/>
          <w:lang w:val="es-ES"/>
        </w:rPr>
        <w:t xml:space="preserve"> en virtud de</w:t>
      </w:r>
      <w:r w:rsidR="00FC50D8" w:rsidRPr="008F762A">
        <w:rPr>
          <w:rFonts w:ascii="Arial" w:hAnsi="Arial" w:cs="Arial"/>
          <w:lang w:val="es-ES"/>
        </w:rPr>
        <w:t xml:space="preserve"> los Reglamentos de la OMPI</w:t>
      </w:r>
      <w:r w:rsidR="002F61D0" w:rsidRPr="008F762A">
        <w:rPr>
          <w:rFonts w:ascii="Arial" w:hAnsi="Arial" w:cs="Arial"/>
          <w:lang w:val="es-ES"/>
        </w:rPr>
        <w:t>.</w:t>
      </w:r>
    </w:p>
    <w:p w:rsidR="009E7935" w:rsidRPr="008F762A" w:rsidRDefault="009E7935" w:rsidP="006F03B4">
      <w:pPr>
        <w:pStyle w:val="ListParagraph"/>
        <w:spacing w:line="240" w:lineRule="auto"/>
        <w:ind w:left="0"/>
        <w:rPr>
          <w:rFonts w:ascii="Arial" w:hAnsi="Arial" w:cs="Arial"/>
          <w:lang w:val="es-ES"/>
        </w:rPr>
      </w:pPr>
    </w:p>
    <w:p w:rsidR="009E7935" w:rsidRPr="008F762A" w:rsidRDefault="003A1636" w:rsidP="003A1636">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E</w:t>
      </w:r>
      <w:r w:rsidR="00394A64" w:rsidRPr="008F762A">
        <w:rPr>
          <w:rFonts w:ascii="Arial" w:hAnsi="Arial" w:cs="Arial"/>
          <w:lang w:val="es-ES"/>
        </w:rPr>
        <w:t>l 6</w:t>
      </w:r>
      <w:r w:rsidRPr="008F762A">
        <w:rPr>
          <w:rFonts w:ascii="Arial" w:hAnsi="Arial" w:cs="Arial"/>
          <w:lang w:val="es-ES"/>
        </w:rPr>
        <w:t xml:space="preserve">8% de las partes involucradas en los </w:t>
      </w:r>
      <w:r w:rsidR="00956F94">
        <w:rPr>
          <w:rFonts w:ascii="Arial" w:hAnsi="Arial" w:cs="Arial"/>
          <w:lang w:val="es-ES"/>
        </w:rPr>
        <w:t>procedimientos administrados por</w:t>
      </w:r>
      <w:r w:rsidRPr="008F762A">
        <w:rPr>
          <w:rFonts w:ascii="Arial" w:hAnsi="Arial" w:cs="Arial"/>
          <w:lang w:val="es-ES"/>
        </w:rPr>
        <w:t xml:space="preserve"> la OMP</w:t>
      </w:r>
      <w:r w:rsidR="002F61D0" w:rsidRPr="008F762A">
        <w:rPr>
          <w:rFonts w:ascii="Arial" w:hAnsi="Arial" w:cs="Arial"/>
          <w:lang w:val="es-ES"/>
        </w:rPr>
        <w:t>I p</w:t>
      </w:r>
      <w:r w:rsidRPr="008F762A">
        <w:rPr>
          <w:rFonts w:ascii="Arial" w:hAnsi="Arial" w:cs="Arial"/>
          <w:lang w:val="es-ES"/>
        </w:rPr>
        <w:t>ertenecen a una gran variedad de jurisdicciones,</w:t>
      </w:r>
      <w:r w:rsidR="00BB16DB" w:rsidRPr="008F762A">
        <w:rPr>
          <w:rFonts w:ascii="Arial" w:hAnsi="Arial" w:cs="Arial"/>
          <w:lang w:val="es-ES"/>
        </w:rPr>
        <w:t xml:space="preserve"> entre otras,</w:t>
      </w:r>
      <w:r w:rsidRPr="008F762A">
        <w:rPr>
          <w:rFonts w:ascii="Arial" w:hAnsi="Arial" w:cs="Arial"/>
          <w:lang w:val="es-ES"/>
        </w:rPr>
        <w:t xml:space="preserve"> Alemania, Austria, China, Chipre, Dinamarca, España,</w:t>
      </w:r>
      <w:r w:rsidR="001E1B6E">
        <w:rPr>
          <w:rFonts w:ascii="Arial" w:hAnsi="Arial" w:cs="Arial"/>
          <w:lang w:val="es-ES"/>
        </w:rPr>
        <w:t xml:space="preserve"> </w:t>
      </w:r>
      <w:r w:rsidR="002B21A3" w:rsidRPr="008F762A">
        <w:rPr>
          <w:rFonts w:ascii="Arial" w:hAnsi="Arial" w:cs="Arial"/>
          <w:lang w:val="es-ES"/>
        </w:rPr>
        <w:t xml:space="preserve"> Estados Unidos de América, Federación de Rusia</w:t>
      </w:r>
      <w:r w:rsidR="00394A64" w:rsidRPr="008F762A">
        <w:rPr>
          <w:rFonts w:ascii="Arial" w:hAnsi="Arial" w:cs="Arial"/>
          <w:lang w:val="es-ES"/>
        </w:rPr>
        <w:t>, F</w:t>
      </w:r>
      <w:r w:rsidRPr="008F762A">
        <w:rPr>
          <w:rFonts w:ascii="Arial" w:hAnsi="Arial" w:cs="Arial"/>
          <w:lang w:val="es-ES"/>
        </w:rPr>
        <w:t>inlandia, Francia,</w:t>
      </w:r>
      <w:r w:rsidR="002B21A3" w:rsidRPr="008F762A">
        <w:rPr>
          <w:rFonts w:ascii="Arial" w:hAnsi="Arial" w:cs="Arial"/>
          <w:lang w:val="es-ES"/>
        </w:rPr>
        <w:t xml:space="preserve"> </w:t>
      </w:r>
      <w:r w:rsidRPr="008F762A">
        <w:rPr>
          <w:rFonts w:ascii="Arial" w:hAnsi="Arial" w:cs="Arial"/>
          <w:lang w:val="es-ES"/>
        </w:rPr>
        <w:t>India, Irlanda, Israel, Italia,</w:t>
      </w:r>
      <w:r w:rsidR="002B21A3" w:rsidRPr="008F762A">
        <w:rPr>
          <w:rFonts w:ascii="Arial" w:hAnsi="Arial" w:cs="Arial"/>
          <w:lang w:val="es-ES"/>
        </w:rPr>
        <w:t xml:space="preserve"> Japón, Malta, Panamá,</w:t>
      </w:r>
      <w:r w:rsidRPr="008F762A">
        <w:rPr>
          <w:rFonts w:ascii="Arial" w:hAnsi="Arial" w:cs="Arial"/>
          <w:lang w:val="es-ES"/>
        </w:rPr>
        <w:t xml:space="preserve"> Países Bajos, </w:t>
      </w:r>
      <w:r w:rsidR="002B21A3" w:rsidRPr="008F762A">
        <w:rPr>
          <w:rFonts w:ascii="Arial" w:hAnsi="Arial" w:cs="Arial"/>
          <w:lang w:val="es-ES"/>
        </w:rPr>
        <w:t xml:space="preserve">Reino Unido, </w:t>
      </w:r>
      <w:r w:rsidRPr="008F762A">
        <w:rPr>
          <w:rFonts w:ascii="Arial" w:hAnsi="Arial" w:cs="Arial"/>
          <w:lang w:val="es-ES"/>
        </w:rPr>
        <w:t>Rumania, Singapur, Sudáfrica, Suiza y Turquía</w:t>
      </w:r>
      <w:r w:rsidR="005B3E23" w:rsidRPr="008F762A">
        <w:rPr>
          <w:rFonts w:ascii="Arial" w:hAnsi="Arial" w:cs="Arial"/>
          <w:lang w:val="es-ES"/>
        </w:rPr>
        <w:t xml:space="preserve">, </w:t>
      </w:r>
      <w:r w:rsidR="00BB16DB" w:rsidRPr="008F762A">
        <w:rPr>
          <w:rFonts w:ascii="Arial" w:hAnsi="Arial" w:cs="Arial"/>
          <w:lang w:val="es-ES"/>
        </w:rPr>
        <w:t>en orden alfabético</w:t>
      </w:r>
      <w:r w:rsidRPr="008F762A">
        <w:rPr>
          <w:rFonts w:ascii="Arial" w:hAnsi="Arial" w:cs="Arial"/>
          <w:lang w:val="es-ES"/>
        </w:rPr>
        <w:t>.</w:t>
      </w:r>
    </w:p>
    <w:p w:rsidR="009E7935" w:rsidRPr="008F762A" w:rsidRDefault="009E7935" w:rsidP="006F03B4">
      <w:pPr>
        <w:pStyle w:val="ListParagraph"/>
        <w:spacing w:line="240" w:lineRule="auto"/>
        <w:ind w:left="0"/>
        <w:rPr>
          <w:rFonts w:ascii="Arial" w:hAnsi="Arial" w:cs="Arial"/>
          <w:lang w:val="es-ES"/>
        </w:rPr>
      </w:pPr>
    </w:p>
    <w:p w:rsidR="009E7935" w:rsidRPr="008F762A" w:rsidRDefault="003E3328" w:rsidP="00204BED">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A fin de optimizar la rapidez y rentabilidad de</w:t>
      </w:r>
      <w:r w:rsidR="003A44BA" w:rsidRPr="008F762A">
        <w:rPr>
          <w:rFonts w:ascii="Arial" w:hAnsi="Arial" w:cs="Arial"/>
          <w:lang w:val="es-ES"/>
        </w:rPr>
        <w:t xml:space="preserve"> los procedimientos de la OMPI, y </w:t>
      </w:r>
      <w:r w:rsidRPr="008F762A">
        <w:rPr>
          <w:rFonts w:ascii="Arial" w:hAnsi="Arial" w:cs="Arial"/>
          <w:lang w:val="es-ES"/>
        </w:rPr>
        <w:t>de</w:t>
      </w:r>
      <w:r w:rsidR="003A44BA" w:rsidRPr="008F762A">
        <w:rPr>
          <w:rFonts w:ascii="Arial" w:hAnsi="Arial" w:cs="Arial"/>
          <w:lang w:val="es-ES"/>
        </w:rPr>
        <w:t xml:space="preserve"> obten</w:t>
      </w:r>
      <w:r w:rsidRPr="008F762A">
        <w:rPr>
          <w:rFonts w:ascii="Arial" w:hAnsi="Arial" w:cs="Arial"/>
          <w:lang w:val="es-ES"/>
        </w:rPr>
        <w:t xml:space="preserve">er resultados </w:t>
      </w:r>
      <w:r w:rsidR="003A44BA" w:rsidRPr="008F762A">
        <w:rPr>
          <w:rFonts w:ascii="Arial" w:hAnsi="Arial" w:cs="Arial"/>
          <w:lang w:val="es-ES"/>
        </w:rPr>
        <w:t>internacionalmente aplicable</w:t>
      </w:r>
      <w:r w:rsidRPr="008F762A">
        <w:rPr>
          <w:rFonts w:ascii="Arial" w:hAnsi="Arial" w:cs="Arial"/>
          <w:lang w:val="es-ES"/>
        </w:rPr>
        <w:t>s</w:t>
      </w:r>
      <w:r w:rsidR="003A44BA" w:rsidRPr="008F762A">
        <w:rPr>
          <w:rFonts w:ascii="Arial" w:hAnsi="Arial" w:cs="Arial"/>
          <w:lang w:val="es-ES"/>
        </w:rPr>
        <w:t>, el Centro asiste regularmente a las partes en la redacción de sus cláusulas</w:t>
      </w:r>
      <w:r w:rsidRPr="008F762A">
        <w:rPr>
          <w:rFonts w:ascii="Arial" w:hAnsi="Arial" w:cs="Arial"/>
          <w:lang w:val="es-ES"/>
        </w:rPr>
        <w:t xml:space="preserve"> contractuales</w:t>
      </w:r>
      <w:r w:rsidR="003A44BA" w:rsidRPr="008F762A">
        <w:rPr>
          <w:rFonts w:ascii="Arial" w:hAnsi="Arial" w:cs="Arial"/>
          <w:lang w:val="es-ES"/>
        </w:rPr>
        <w:t xml:space="preserve"> de solución de controversias y</w:t>
      </w:r>
      <w:r w:rsidR="005B3E23" w:rsidRPr="008F762A">
        <w:rPr>
          <w:rFonts w:ascii="Arial" w:hAnsi="Arial" w:cs="Arial"/>
          <w:lang w:val="es-ES"/>
        </w:rPr>
        <w:t xml:space="preserve"> </w:t>
      </w:r>
      <w:r w:rsidR="003A44BA" w:rsidRPr="008F762A">
        <w:rPr>
          <w:rFonts w:ascii="Arial" w:hAnsi="Arial" w:cs="Arial"/>
          <w:lang w:val="es-ES"/>
        </w:rPr>
        <w:t>acuerdos de sometimiento</w:t>
      </w:r>
      <w:r w:rsidR="00394A64" w:rsidRPr="008F762A">
        <w:rPr>
          <w:rFonts w:ascii="Arial" w:hAnsi="Arial" w:cs="Arial"/>
          <w:lang w:val="es-ES"/>
        </w:rPr>
        <w:t>.  U</w:t>
      </w:r>
      <w:r w:rsidRPr="008F762A">
        <w:rPr>
          <w:rFonts w:ascii="Arial" w:hAnsi="Arial" w:cs="Arial"/>
          <w:lang w:val="es-ES"/>
        </w:rPr>
        <w:t xml:space="preserve">na vez iniciado el </w:t>
      </w:r>
      <w:r w:rsidR="004072B8">
        <w:rPr>
          <w:rFonts w:ascii="Arial" w:hAnsi="Arial" w:cs="Arial"/>
          <w:lang w:val="es-ES"/>
        </w:rPr>
        <w:t>procedimiento</w:t>
      </w:r>
      <w:r w:rsidRPr="008F762A">
        <w:rPr>
          <w:rFonts w:ascii="Arial" w:hAnsi="Arial" w:cs="Arial"/>
          <w:lang w:val="es-ES"/>
        </w:rPr>
        <w:t>,</w:t>
      </w:r>
      <w:r w:rsidR="00204BED" w:rsidRPr="008F762A">
        <w:rPr>
          <w:rFonts w:ascii="Arial" w:hAnsi="Arial" w:cs="Arial"/>
          <w:lang w:val="es-ES"/>
        </w:rPr>
        <w:t xml:space="preserve"> el Centro presta otro</w:t>
      </w:r>
      <w:r w:rsidRPr="008F762A">
        <w:rPr>
          <w:rFonts w:ascii="Arial" w:hAnsi="Arial" w:cs="Arial"/>
          <w:lang w:val="es-ES"/>
        </w:rPr>
        <w:t xml:space="preserve"> tipo de</w:t>
      </w:r>
      <w:r w:rsidR="00204BED" w:rsidRPr="008F762A">
        <w:rPr>
          <w:rFonts w:ascii="Arial" w:hAnsi="Arial" w:cs="Arial"/>
          <w:lang w:val="es-ES"/>
        </w:rPr>
        <w:t xml:space="preserve"> servicios de asistencia</w:t>
      </w:r>
      <w:r w:rsidR="00394A64" w:rsidRPr="008F762A">
        <w:rPr>
          <w:rFonts w:ascii="Arial" w:hAnsi="Arial" w:cs="Arial"/>
          <w:lang w:val="es-ES"/>
        </w:rPr>
        <w:t>:</w:t>
      </w:r>
      <w:r w:rsidR="00394A64" w:rsidRPr="008F762A">
        <w:rPr>
          <w:rStyle w:val="FootnoteReference"/>
          <w:rFonts w:ascii="Arial" w:hAnsi="Arial"/>
          <w:lang w:val="es-ES"/>
        </w:rPr>
        <w:footnoteReference w:id="4"/>
      </w:r>
      <w:r w:rsidR="002F61D0" w:rsidRPr="008F762A">
        <w:rPr>
          <w:rFonts w:ascii="Arial" w:hAnsi="Arial" w:cs="Arial"/>
          <w:lang w:val="es-ES"/>
        </w:rPr>
        <w:t xml:space="preserve"> </w:t>
      </w:r>
    </w:p>
    <w:p w:rsidR="009E7935" w:rsidRPr="008F762A" w:rsidRDefault="009E7935" w:rsidP="00983B91">
      <w:pPr>
        <w:pStyle w:val="ListParagraph"/>
        <w:spacing w:line="240" w:lineRule="auto"/>
        <w:ind w:left="1134" w:hanging="567"/>
        <w:rPr>
          <w:rFonts w:ascii="Arial" w:hAnsi="Arial" w:cs="Arial"/>
          <w:lang w:val="es-ES"/>
        </w:rPr>
      </w:pPr>
    </w:p>
    <w:p w:rsidR="002F61D0" w:rsidRPr="008F762A" w:rsidRDefault="00204BED" w:rsidP="0036398F">
      <w:pPr>
        <w:pStyle w:val="ListParagraph"/>
        <w:numPr>
          <w:ilvl w:val="0"/>
          <w:numId w:val="10"/>
        </w:numPr>
        <w:tabs>
          <w:tab w:val="left" w:pos="1134"/>
        </w:tabs>
        <w:spacing w:line="240" w:lineRule="auto"/>
        <w:ind w:left="567" w:firstLine="0"/>
        <w:rPr>
          <w:rFonts w:ascii="Arial" w:hAnsi="Arial" w:cs="Arial"/>
          <w:lang w:val="es-ES"/>
        </w:rPr>
      </w:pPr>
      <w:r w:rsidRPr="008F762A">
        <w:rPr>
          <w:rFonts w:ascii="Arial" w:hAnsi="Arial" w:cs="Arial"/>
          <w:lang w:val="es-ES"/>
        </w:rPr>
        <w:t>A solicitud de las partes, el Centro participa en la selección y nombramiento de un mediador, árbitro o experto</w:t>
      </w:r>
      <w:r w:rsidR="00394A64" w:rsidRPr="008F762A">
        <w:rPr>
          <w:rFonts w:ascii="Arial" w:hAnsi="Arial" w:cs="Arial"/>
          <w:lang w:val="es-ES"/>
        </w:rPr>
        <w:t>.  E</w:t>
      </w:r>
      <w:r w:rsidR="00E1021B" w:rsidRPr="008F762A">
        <w:rPr>
          <w:rFonts w:ascii="Arial" w:hAnsi="Arial" w:cs="Arial"/>
          <w:lang w:val="es-ES"/>
        </w:rPr>
        <w:t>l Centro utiliza su base de datos compuesta d</w:t>
      </w:r>
      <w:r w:rsidR="00394A64" w:rsidRPr="008F762A">
        <w:rPr>
          <w:rFonts w:ascii="Arial" w:hAnsi="Arial" w:cs="Arial"/>
          <w:lang w:val="es-ES"/>
        </w:rPr>
        <w:t>e 1</w:t>
      </w:r>
      <w:r w:rsidR="00E1021B" w:rsidRPr="008F762A">
        <w:rPr>
          <w:rFonts w:ascii="Arial" w:hAnsi="Arial" w:cs="Arial"/>
          <w:lang w:val="es-ES"/>
        </w:rPr>
        <w:t xml:space="preserve">.500 </w:t>
      </w:r>
      <w:r w:rsidR="00542202" w:rsidRPr="008F762A">
        <w:rPr>
          <w:rFonts w:ascii="Arial" w:hAnsi="Arial" w:cs="Arial"/>
          <w:lang w:val="es-ES"/>
        </w:rPr>
        <w:t>árbitros y mediadores</w:t>
      </w:r>
      <w:r w:rsidR="00E1021B" w:rsidRPr="008F762A">
        <w:rPr>
          <w:rFonts w:ascii="Arial" w:hAnsi="Arial" w:cs="Arial"/>
          <w:lang w:val="es-ES"/>
        </w:rPr>
        <w:t xml:space="preserve"> de más d</w:t>
      </w:r>
      <w:r w:rsidR="00394A64" w:rsidRPr="008F762A">
        <w:rPr>
          <w:rFonts w:ascii="Arial" w:hAnsi="Arial" w:cs="Arial"/>
          <w:lang w:val="es-ES"/>
        </w:rPr>
        <w:t>e 7</w:t>
      </w:r>
      <w:r w:rsidR="00E1021B" w:rsidRPr="008F762A">
        <w:rPr>
          <w:rFonts w:ascii="Arial" w:hAnsi="Arial" w:cs="Arial"/>
          <w:lang w:val="es-ES"/>
        </w:rPr>
        <w:t>0 países para proporcionar a las partes una lista de candidatos con experiencia en la materia que busquen concluir el procedimiento de manera rápida y rentable</w:t>
      </w:r>
      <w:r w:rsidR="002F61D0" w:rsidRPr="008F762A">
        <w:rPr>
          <w:rFonts w:ascii="Arial" w:hAnsi="Arial" w:cs="Arial"/>
          <w:lang w:val="es-ES"/>
        </w:rPr>
        <w:t>.</w:t>
      </w:r>
    </w:p>
    <w:p w:rsidR="009E7935" w:rsidRPr="008F762A" w:rsidRDefault="009E7935" w:rsidP="0036398F">
      <w:pPr>
        <w:pStyle w:val="ListParagraph"/>
        <w:tabs>
          <w:tab w:val="left" w:pos="1134"/>
        </w:tabs>
        <w:spacing w:line="240" w:lineRule="auto"/>
        <w:ind w:left="567"/>
        <w:rPr>
          <w:rFonts w:ascii="Arial" w:hAnsi="Arial" w:cs="Arial"/>
          <w:lang w:val="es-ES"/>
        </w:rPr>
      </w:pPr>
    </w:p>
    <w:p w:rsidR="009E7935" w:rsidRPr="008F762A" w:rsidRDefault="00F267E2" w:rsidP="00F267E2">
      <w:pPr>
        <w:pStyle w:val="ListParagraph"/>
        <w:numPr>
          <w:ilvl w:val="0"/>
          <w:numId w:val="10"/>
        </w:numPr>
        <w:tabs>
          <w:tab w:val="left" w:pos="1134"/>
        </w:tabs>
        <w:spacing w:line="240" w:lineRule="auto"/>
        <w:ind w:left="567" w:firstLine="0"/>
        <w:rPr>
          <w:rFonts w:ascii="Arial" w:hAnsi="Arial" w:cs="Arial"/>
          <w:lang w:val="es-ES"/>
        </w:rPr>
      </w:pPr>
      <w:r w:rsidRPr="008F762A">
        <w:rPr>
          <w:rFonts w:ascii="Arial" w:hAnsi="Arial" w:cs="Arial"/>
          <w:lang w:val="es-ES"/>
        </w:rPr>
        <w:t>A fin de garantizar una comunicación óptima</w:t>
      </w:r>
      <w:r w:rsidR="005B3E23" w:rsidRPr="008F762A">
        <w:rPr>
          <w:rFonts w:ascii="Arial" w:hAnsi="Arial" w:cs="Arial"/>
          <w:lang w:val="es-ES"/>
        </w:rPr>
        <w:t xml:space="preserve"> y un procedimiento eficaz, el C</w:t>
      </w:r>
      <w:r w:rsidRPr="008F762A">
        <w:rPr>
          <w:rFonts w:ascii="Arial" w:hAnsi="Arial" w:cs="Arial"/>
          <w:lang w:val="es-ES"/>
        </w:rPr>
        <w:t>entro brin</w:t>
      </w:r>
      <w:r w:rsidR="005B3E23" w:rsidRPr="008F762A">
        <w:rPr>
          <w:rFonts w:ascii="Arial" w:hAnsi="Arial" w:cs="Arial"/>
          <w:lang w:val="es-ES"/>
        </w:rPr>
        <w:t>da asesoramiento a las partes, al</w:t>
      </w:r>
      <w:r w:rsidRPr="008F762A">
        <w:rPr>
          <w:rFonts w:ascii="Arial" w:hAnsi="Arial" w:cs="Arial"/>
          <w:lang w:val="es-ES"/>
        </w:rPr>
        <w:t xml:space="preserve"> tribunal arbitral, </w:t>
      </w:r>
      <w:r w:rsidR="005B3E23" w:rsidRPr="008F762A">
        <w:rPr>
          <w:rFonts w:ascii="Arial" w:hAnsi="Arial" w:cs="Arial"/>
          <w:lang w:val="es-ES"/>
        </w:rPr>
        <w:t xml:space="preserve">a </w:t>
      </w:r>
      <w:r w:rsidRPr="008F762A">
        <w:rPr>
          <w:rFonts w:ascii="Arial" w:hAnsi="Arial" w:cs="Arial"/>
          <w:lang w:val="es-ES"/>
        </w:rPr>
        <w:t>los mediadores o expertos respecto de la aplicación de las normas de procedimiento pertinentes.</w:t>
      </w:r>
      <w:r w:rsidR="002F61D0" w:rsidRPr="008F762A">
        <w:rPr>
          <w:rFonts w:ascii="Arial" w:hAnsi="Arial" w:cs="Arial"/>
          <w:lang w:val="es-ES"/>
        </w:rPr>
        <w:t xml:space="preserve"> </w:t>
      </w:r>
      <w:r w:rsidR="0018759B" w:rsidRPr="008F762A">
        <w:rPr>
          <w:rFonts w:ascii="Arial" w:hAnsi="Arial" w:cs="Arial"/>
          <w:lang w:val="es-ES"/>
        </w:rPr>
        <w:t xml:space="preserve">  </w:t>
      </w:r>
    </w:p>
    <w:p w:rsidR="009E7935" w:rsidRPr="008F762A" w:rsidRDefault="009E7935" w:rsidP="0054663B">
      <w:pPr>
        <w:pStyle w:val="ListParagraph"/>
        <w:tabs>
          <w:tab w:val="left" w:pos="1134"/>
        </w:tabs>
        <w:ind w:left="567"/>
        <w:rPr>
          <w:rFonts w:ascii="Arial" w:hAnsi="Arial" w:cs="Arial"/>
          <w:lang w:val="es-ES"/>
        </w:rPr>
      </w:pPr>
    </w:p>
    <w:p w:rsidR="002F61D0" w:rsidRPr="008F762A" w:rsidRDefault="00F267E2" w:rsidP="00F267E2">
      <w:pPr>
        <w:pStyle w:val="ListParagraph"/>
        <w:numPr>
          <w:ilvl w:val="0"/>
          <w:numId w:val="10"/>
        </w:numPr>
        <w:tabs>
          <w:tab w:val="left" w:pos="1134"/>
        </w:tabs>
        <w:spacing w:line="240" w:lineRule="auto"/>
        <w:ind w:left="567" w:firstLine="0"/>
        <w:rPr>
          <w:rFonts w:ascii="Arial" w:hAnsi="Arial" w:cs="Arial"/>
          <w:lang w:val="es-ES"/>
        </w:rPr>
      </w:pPr>
      <w:r w:rsidRPr="008F762A">
        <w:rPr>
          <w:rFonts w:ascii="Arial" w:hAnsi="Arial" w:cs="Arial"/>
          <w:lang w:val="es-ES"/>
        </w:rPr>
        <w:t xml:space="preserve">El </w:t>
      </w:r>
      <w:r w:rsidR="005B3E23" w:rsidRPr="008F762A">
        <w:rPr>
          <w:rFonts w:ascii="Arial" w:hAnsi="Arial" w:cs="Arial"/>
          <w:lang w:val="es-ES"/>
        </w:rPr>
        <w:t xml:space="preserve">Centro </w:t>
      </w:r>
      <w:r w:rsidRPr="008F762A">
        <w:rPr>
          <w:rFonts w:ascii="Arial" w:hAnsi="Arial" w:cs="Arial"/>
          <w:lang w:val="es-ES"/>
        </w:rPr>
        <w:t>establece los honorarios de los árbitros y mediadores, en consulta con estos últimos y con las partes, y administra los aspectos financieros de los procedimientos mediante la obtención de un depósito de cada parte que cubra el costo estimado del procedimiento y descontando de ese depósito las sumas necesarias para el pago del árbitro o mediador y de cualquier otro servicio de apoyo, por ejemplo, los honorarios de los intérpretes, si fueran necesarios</w:t>
      </w:r>
      <w:r w:rsidR="002F61D0" w:rsidRPr="008F762A">
        <w:rPr>
          <w:rFonts w:ascii="Arial" w:hAnsi="Arial" w:cs="Arial"/>
          <w:lang w:val="es-ES"/>
        </w:rPr>
        <w:t>.</w:t>
      </w:r>
    </w:p>
    <w:p w:rsidR="009E7935" w:rsidRPr="008F762A" w:rsidRDefault="009E7935" w:rsidP="0054663B">
      <w:pPr>
        <w:pStyle w:val="ListParagraph"/>
        <w:tabs>
          <w:tab w:val="left" w:pos="1134"/>
        </w:tabs>
        <w:spacing w:line="240" w:lineRule="auto"/>
        <w:ind w:left="567"/>
        <w:rPr>
          <w:rFonts w:ascii="Arial" w:hAnsi="Arial" w:cs="Arial"/>
          <w:lang w:val="es-ES"/>
        </w:rPr>
      </w:pPr>
    </w:p>
    <w:p w:rsidR="002F61D0" w:rsidRPr="008F762A" w:rsidRDefault="00EB0020" w:rsidP="00EB0020">
      <w:pPr>
        <w:pStyle w:val="ListParagraph"/>
        <w:numPr>
          <w:ilvl w:val="0"/>
          <w:numId w:val="10"/>
        </w:numPr>
        <w:tabs>
          <w:tab w:val="left" w:pos="1134"/>
        </w:tabs>
        <w:spacing w:line="240" w:lineRule="auto"/>
        <w:ind w:left="567" w:firstLine="0"/>
        <w:rPr>
          <w:rFonts w:ascii="Arial" w:hAnsi="Arial" w:cs="Arial"/>
          <w:lang w:val="es-ES"/>
        </w:rPr>
      </w:pPr>
      <w:r w:rsidRPr="008F762A">
        <w:rPr>
          <w:rFonts w:ascii="Arial" w:hAnsi="Arial" w:cs="Arial"/>
          <w:lang w:val="es-ES"/>
        </w:rPr>
        <w:t>Cuando la</w:t>
      </w:r>
      <w:r w:rsidR="005B3E23" w:rsidRPr="008F762A">
        <w:rPr>
          <w:rFonts w:ascii="Arial" w:hAnsi="Arial" w:cs="Arial"/>
          <w:lang w:val="es-ES"/>
        </w:rPr>
        <w:t>s</w:t>
      </w:r>
      <w:r w:rsidRPr="008F762A">
        <w:rPr>
          <w:rFonts w:ascii="Arial" w:hAnsi="Arial" w:cs="Arial"/>
          <w:lang w:val="es-ES"/>
        </w:rPr>
        <w:t xml:space="preserve"> audiencias se celebran en Ginebra, como en la mayor parte de casos de mediación y arbitraje, y el procedimiento se lleva a cabo en esta ciudad, el Centro pone gratuitamente a disposición de las partes salas de reunión</w:t>
      </w:r>
      <w:r w:rsidR="00394A64" w:rsidRPr="008F762A">
        <w:rPr>
          <w:rFonts w:ascii="Arial" w:hAnsi="Arial" w:cs="Arial"/>
          <w:lang w:val="es-ES"/>
        </w:rPr>
        <w:t>.  C</w:t>
      </w:r>
      <w:r w:rsidRPr="008F762A">
        <w:rPr>
          <w:rFonts w:ascii="Arial" w:hAnsi="Arial" w:cs="Arial"/>
          <w:lang w:val="es-ES"/>
        </w:rPr>
        <w:t>uando el procedimiento tiene lugar fuera de Ginebra, ayuda a las partes a encontrar locales adecuados y otras instalaciones</w:t>
      </w:r>
      <w:r w:rsidR="002F61D0" w:rsidRPr="008F762A">
        <w:rPr>
          <w:rFonts w:ascii="Arial" w:hAnsi="Arial" w:cs="Arial"/>
          <w:lang w:val="es-ES"/>
        </w:rPr>
        <w:t>.</w:t>
      </w:r>
    </w:p>
    <w:p w:rsidR="009E7935" w:rsidRPr="008F762A" w:rsidRDefault="009E7935" w:rsidP="0054663B">
      <w:pPr>
        <w:pStyle w:val="ListParagraph"/>
        <w:tabs>
          <w:tab w:val="left" w:pos="1134"/>
        </w:tabs>
        <w:spacing w:line="240" w:lineRule="auto"/>
        <w:ind w:left="567"/>
        <w:rPr>
          <w:rFonts w:ascii="Arial" w:hAnsi="Arial" w:cs="Arial"/>
          <w:lang w:val="es-ES"/>
        </w:rPr>
      </w:pPr>
    </w:p>
    <w:p w:rsidR="009E7935" w:rsidRPr="008F762A" w:rsidRDefault="007A4D51" w:rsidP="007A4D51">
      <w:pPr>
        <w:pStyle w:val="ListParagraph"/>
        <w:numPr>
          <w:ilvl w:val="0"/>
          <w:numId w:val="10"/>
        </w:numPr>
        <w:tabs>
          <w:tab w:val="left" w:pos="1134"/>
        </w:tabs>
        <w:spacing w:line="240" w:lineRule="auto"/>
        <w:ind w:left="567" w:firstLine="0"/>
        <w:rPr>
          <w:rFonts w:ascii="Arial" w:hAnsi="Arial" w:cs="Arial"/>
          <w:lang w:val="es-ES"/>
        </w:rPr>
      </w:pPr>
      <w:r w:rsidRPr="008F762A">
        <w:rPr>
          <w:rFonts w:ascii="Arial" w:hAnsi="Arial" w:cs="Arial"/>
          <w:lang w:val="es-ES"/>
        </w:rPr>
        <w:t>Además, el Centro pone a disposición el mecanismo de la OMPI de gestión electrónica de las demandas (WIPO ECAF) que permite a las partes,</w:t>
      </w:r>
      <w:r w:rsidR="00916D0B" w:rsidRPr="008F762A">
        <w:rPr>
          <w:rFonts w:ascii="Arial" w:hAnsi="Arial" w:cs="Arial"/>
          <w:lang w:val="es-ES"/>
        </w:rPr>
        <w:t xml:space="preserve"> a</w:t>
      </w:r>
      <w:r w:rsidRPr="008F762A">
        <w:rPr>
          <w:rFonts w:ascii="Arial" w:hAnsi="Arial" w:cs="Arial"/>
          <w:lang w:val="es-ES"/>
        </w:rPr>
        <w:t xml:space="preserve"> los mediadores y </w:t>
      </w:r>
      <w:r w:rsidR="00916D0B" w:rsidRPr="008F762A">
        <w:rPr>
          <w:rFonts w:ascii="Arial" w:hAnsi="Arial" w:cs="Arial"/>
          <w:lang w:val="es-ES"/>
        </w:rPr>
        <w:t xml:space="preserve">al propio </w:t>
      </w:r>
      <w:r w:rsidRPr="008F762A">
        <w:rPr>
          <w:rFonts w:ascii="Arial" w:hAnsi="Arial" w:cs="Arial"/>
          <w:lang w:val="es-ES"/>
        </w:rPr>
        <w:t>Centro, desde cualquier lugar del mundo, presentar, almacenar y recuperar de forma segura las comunicaciones relacionadas con las controversias, gracias a un archivo electrónico en Internet.</w:t>
      </w:r>
      <w:r w:rsidRPr="008F762A">
        <w:rPr>
          <w:rStyle w:val="FootnoteReference"/>
          <w:rFonts w:ascii="Arial" w:hAnsi="Arial"/>
          <w:lang w:val="es-ES"/>
        </w:rPr>
        <w:footnoteReference w:id="5"/>
      </w:r>
      <w:r w:rsidR="002F61D0" w:rsidRPr="008F762A">
        <w:rPr>
          <w:rFonts w:ascii="Arial" w:hAnsi="Arial" w:cs="Arial"/>
          <w:lang w:val="es-ES"/>
        </w:rPr>
        <w:t xml:space="preserve"> </w:t>
      </w:r>
    </w:p>
    <w:p w:rsidR="009E7935" w:rsidRPr="008F762A" w:rsidRDefault="009E7935" w:rsidP="0054663B">
      <w:pPr>
        <w:pStyle w:val="ListParagraph"/>
        <w:tabs>
          <w:tab w:val="left" w:pos="1134"/>
        </w:tabs>
        <w:spacing w:line="240" w:lineRule="auto"/>
        <w:ind w:left="567"/>
        <w:rPr>
          <w:rFonts w:ascii="Arial" w:hAnsi="Arial" w:cs="Arial"/>
          <w:lang w:val="es-ES"/>
        </w:rPr>
      </w:pPr>
    </w:p>
    <w:p w:rsidR="009E7935" w:rsidRPr="008F762A" w:rsidRDefault="000520C3" w:rsidP="000520C3">
      <w:pPr>
        <w:pStyle w:val="ListParagraph"/>
        <w:numPr>
          <w:ilvl w:val="0"/>
          <w:numId w:val="10"/>
        </w:numPr>
        <w:tabs>
          <w:tab w:val="left" w:pos="1134"/>
        </w:tabs>
        <w:spacing w:line="240" w:lineRule="auto"/>
        <w:ind w:left="567" w:firstLine="0"/>
        <w:rPr>
          <w:rFonts w:ascii="Arial" w:hAnsi="Arial" w:cs="Arial"/>
          <w:lang w:val="es-ES"/>
        </w:rPr>
      </w:pPr>
      <w:r w:rsidRPr="008F762A">
        <w:rPr>
          <w:rFonts w:ascii="Arial" w:hAnsi="Arial" w:cs="Arial"/>
          <w:lang w:val="es-ES"/>
        </w:rPr>
        <w:t>En suma, el Centro se encuentra disponible para prestar todos aquellos servicios o funciones que sean necesarios, por ejemplo, asiste a las partes a organizar los servicios de apoyo, como la traducción, la interpretación o los servicios de secretariado.</w:t>
      </w:r>
    </w:p>
    <w:p w:rsidR="009E7935" w:rsidRPr="008F762A" w:rsidRDefault="009E7935" w:rsidP="006F03B4">
      <w:pPr>
        <w:pStyle w:val="ListParagraph"/>
        <w:spacing w:line="240" w:lineRule="auto"/>
        <w:ind w:left="0"/>
        <w:rPr>
          <w:rFonts w:ascii="Arial" w:hAnsi="Arial" w:cs="Arial"/>
          <w:lang w:val="es-ES"/>
        </w:rPr>
      </w:pPr>
    </w:p>
    <w:p w:rsidR="009E7935" w:rsidRPr="008F762A" w:rsidRDefault="000520C3" w:rsidP="000520C3">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 xml:space="preserve">A fin de optimizar las sinergias entre los servicios de la OMPI para beneficio de sus usuarios, se han reducido las tasas que percibe el Centro por la administración de los </w:t>
      </w:r>
      <w:r w:rsidR="004072B8">
        <w:rPr>
          <w:rFonts w:ascii="Arial" w:hAnsi="Arial" w:cs="Arial"/>
          <w:lang w:val="es-ES"/>
        </w:rPr>
        <w:t>procedimientos</w:t>
      </w:r>
      <w:r w:rsidRPr="008F762A">
        <w:rPr>
          <w:rFonts w:ascii="Arial" w:hAnsi="Arial" w:cs="Arial"/>
          <w:lang w:val="es-ES"/>
        </w:rPr>
        <w:t xml:space="preserve"> para los usuarios del Tratado de Cooperación en materia de Patentes (PCT), el Sistema de Madrid para el Registro Internacional de Marcas y el Sistema de La Haya para el Registro Internacional de Dibujos y Modelos Industriales, así como para los usuarios de WIPO GREEN.</w:t>
      </w:r>
      <w:r w:rsidRPr="008F762A">
        <w:rPr>
          <w:rStyle w:val="FootnoteReference"/>
          <w:rFonts w:ascii="Arial" w:hAnsi="Arial"/>
          <w:lang w:val="es-ES"/>
        </w:rPr>
        <w:footnoteReference w:id="6"/>
      </w:r>
      <w:r w:rsidRPr="008F762A">
        <w:rPr>
          <w:rFonts w:ascii="Arial" w:hAnsi="Arial" w:cs="Arial"/>
          <w:lang w:val="es-ES"/>
        </w:rPr>
        <w:t xml:space="preserve">  </w:t>
      </w:r>
    </w:p>
    <w:p w:rsidR="009E7935" w:rsidRPr="008F762A" w:rsidRDefault="009E7935" w:rsidP="00301C60">
      <w:pPr>
        <w:pStyle w:val="ListParagraph"/>
        <w:spacing w:line="240" w:lineRule="auto"/>
        <w:ind w:left="0"/>
        <w:rPr>
          <w:rFonts w:ascii="Arial" w:hAnsi="Arial" w:cs="Arial"/>
          <w:lang w:val="es-ES"/>
        </w:rPr>
      </w:pPr>
    </w:p>
    <w:p w:rsidR="002F61D0" w:rsidRPr="008F762A" w:rsidRDefault="006E4771" w:rsidP="00AF008D">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E</w:t>
      </w:r>
      <w:r w:rsidR="00394A64" w:rsidRPr="008F762A">
        <w:rPr>
          <w:rFonts w:ascii="Arial" w:hAnsi="Arial" w:cs="Arial"/>
          <w:lang w:val="es-ES"/>
        </w:rPr>
        <w:t>l 2</w:t>
      </w:r>
      <w:r w:rsidRPr="008F762A">
        <w:rPr>
          <w:rFonts w:ascii="Arial" w:hAnsi="Arial" w:cs="Arial"/>
          <w:lang w:val="es-ES"/>
        </w:rPr>
        <w:t>4% de los procedimientos de mediación y arbitraje de la OMPI se basa en acuerdos que someten específicamente una controversia existente a la mediación y el arbitraje (acelerado) de la OMPI.</w:t>
      </w:r>
      <w:r w:rsidR="00C9306B" w:rsidRPr="008F762A">
        <w:rPr>
          <w:rFonts w:ascii="Arial" w:hAnsi="Arial" w:cs="Arial"/>
          <w:lang w:val="es-ES"/>
        </w:rPr>
        <w:t xml:space="preserve">  </w:t>
      </w:r>
      <w:r w:rsidR="00251599" w:rsidRPr="008F762A">
        <w:rPr>
          <w:rFonts w:ascii="Arial" w:hAnsi="Arial" w:cs="Arial"/>
          <w:lang w:val="es-ES"/>
        </w:rPr>
        <w:t>Cabe citar com</w:t>
      </w:r>
      <w:r w:rsidR="002F61D0" w:rsidRPr="008F762A">
        <w:rPr>
          <w:rFonts w:ascii="Arial" w:hAnsi="Arial" w:cs="Arial"/>
          <w:lang w:val="es-ES"/>
        </w:rPr>
        <w:t>o e</w:t>
      </w:r>
      <w:r w:rsidR="00251599" w:rsidRPr="008F762A">
        <w:rPr>
          <w:rFonts w:ascii="Arial" w:hAnsi="Arial" w:cs="Arial"/>
          <w:lang w:val="es-ES"/>
        </w:rPr>
        <w:t>jemplo de este tipo de controversias un</w:t>
      </w:r>
      <w:r w:rsidR="00CC7D13" w:rsidRPr="008F762A">
        <w:rPr>
          <w:rFonts w:ascii="Arial" w:hAnsi="Arial" w:cs="Arial"/>
          <w:lang w:val="es-ES"/>
        </w:rPr>
        <w:t xml:space="preserve"> caso de </w:t>
      </w:r>
      <w:r w:rsidR="00251599" w:rsidRPr="008F762A">
        <w:rPr>
          <w:rFonts w:ascii="Arial" w:hAnsi="Arial" w:cs="Arial"/>
          <w:lang w:val="es-ES"/>
        </w:rPr>
        <w:t>in</w:t>
      </w:r>
      <w:r w:rsidR="00CC7D13" w:rsidRPr="008F762A">
        <w:rPr>
          <w:rFonts w:ascii="Arial" w:hAnsi="Arial" w:cs="Arial"/>
          <w:lang w:val="es-ES"/>
        </w:rPr>
        <w:t xml:space="preserve">fracción de patentes sometido al arbitraje de </w:t>
      </w:r>
      <w:r w:rsidR="00251599" w:rsidRPr="008F762A">
        <w:rPr>
          <w:rFonts w:ascii="Arial" w:hAnsi="Arial" w:cs="Arial"/>
          <w:lang w:val="es-ES"/>
        </w:rPr>
        <w:t xml:space="preserve">la OMPI </w:t>
      </w:r>
      <w:r w:rsidR="003901A6" w:rsidRPr="008F762A">
        <w:rPr>
          <w:rFonts w:ascii="Arial" w:hAnsi="Arial" w:cs="Arial"/>
          <w:lang w:val="es-ES"/>
        </w:rPr>
        <w:t>después de</w:t>
      </w:r>
      <w:r w:rsidR="00CC7D13" w:rsidRPr="008F762A">
        <w:rPr>
          <w:rFonts w:ascii="Arial" w:hAnsi="Arial" w:cs="Arial"/>
          <w:lang w:val="es-ES"/>
        </w:rPr>
        <w:t xml:space="preserve"> haber sido </w:t>
      </w:r>
      <w:r w:rsidR="003901A6" w:rsidRPr="008F762A">
        <w:rPr>
          <w:rFonts w:ascii="Arial" w:hAnsi="Arial" w:cs="Arial"/>
          <w:lang w:val="es-ES"/>
        </w:rPr>
        <w:t xml:space="preserve">objeto de </w:t>
      </w:r>
      <w:r w:rsidR="00CC7D13" w:rsidRPr="008F762A">
        <w:rPr>
          <w:rFonts w:ascii="Arial" w:hAnsi="Arial" w:cs="Arial"/>
          <w:lang w:val="es-ES"/>
        </w:rPr>
        <w:t>litigio judicial en varias jurisdicciones</w:t>
      </w:r>
      <w:r w:rsidR="00394A64" w:rsidRPr="008F762A">
        <w:rPr>
          <w:rFonts w:ascii="Arial" w:hAnsi="Arial" w:cs="Arial"/>
          <w:lang w:val="es-ES"/>
        </w:rPr>
        <w:t>.  L</w:t>
      </w:r>
      <w:r w:rsidR="008F3D64" w:rsidRPr="008F762A">
        <w:rPr>
          <w:rFonts w:ascii="Arial" w:hAnsi="Arial" w:cs="Arial"/>
          <w:lang w:val="es-ES"/>
        </w:rPr>
        <w:t xml:space="preserve">a controversia versaba sobre la supuesta infracción de una patente relativa a bienes de consumo. </w:t>
      </w:r>
      <w:r w:rsidR="00860B75" w:rsidRPr="008F762A">
        <w:rPr>
          <w:rFonts w:ascii="Arial" w:hAnsi="Arial" w:cs="Arial"/>
          <w:lang w:val="es-ES"/>
        </w:rPr>
        <w:t xml:space="preserve"> </w:t>
      </w:r>
      <w:r w:rsidR="004E60D2" w:rsidRPr="008F762A">
        <w:rPr>
          <w:rFonts w:ascii="Arial" w:hAnsi="Arial" w:cs="Arial"/>
          <w:lang w:val="es-ES"/>
        </w:rPr>
        <w:t xml:space="preserve">El tribunal </w:t>
      </w:r>
      <w:r w:rsidR="003901A6" w:rsidRPr="008F762A">
        <w:rPr>
          <w:rFonts w:ascii="Arial" w:hAnsi="Arial" w:cs="Arial"/>
          <w:lang w:val="es-ES"/>
        </w:rPr>
        <w:t>arbitral</w:t>
      </w:r>
      <w:r w:rsidR="004E60D2" w:rsidRPr="008F762A">
        <w:rPr>
          <w:rFonts w:ascii="Arial" w:hAnsi="Arial" w:cs="Arial"/>
          <w:lang w:val="es-ES"/>
        </w:rPr>
        <w:t xml:space="preserve"> compuesto por </w:t>
      </w:r>
      <w:r w:rsidR="00DA41AF" w:rsidRPr="008F762A">
        <w:rPr>
          <w:rFonts w:ascii="Arial" w:hAnsi="Arial" w:cs="Arial"/>
          <w:lang w:val="es-ES"/>
        </w:rPr>
        <w:t>tres</w:t>
      </w:r>
      <w:r w:rsidR="004E60D2" w:rsidRPr="008F762A">
        <w:rPr>
          <w:rFonts w:ascii="Arial" w:hAnsi="Arial" w:cs="Arial"/>
          <w:lang w:val="es-ES"/>
        </w:rPr>
        <w:t xml:space="preserve"> miembros debía decidir si la fabricación y venta de ciertos productos infringía la patente.</w:t>
      </w:r>
      <w:r w:rsidR="00860B75" w:rsidRPr="008F762A">
        <w:rPr>
          <w:rFonts w:ascii="Arial" w:hAnsi="Arial" w:cs="Arial"/>
          <w:lang w:val="es-ES"/>
        </w:rPr>
        <w:t xml:space="preserve">  E</w:t>
      </w:r>
      <w:r w:rsidR="004E60D2" w:rsidRPr="008F762A">
        <w:rPr>
          <w:rFonts w:ascii="Arial" w:hAnsi="Arial" w:cs="Arial"/>
          <w:lang w:val="es-ES"/>
        </w:rPr>
        <w:t xml:space="preserve">l acuerdo de sometimiento y el respeto de los plazos </w:t>
      </w:r>
      <w:r w:rsidR="003901A6" w:rsidRPr="008F762A">
        <w:rPr>
          <w:rFonts w:ascii="Arial" w:hAnsi="Arial" w:cs="Arial"/>
          <w:lang w:val="es-ES"/>
        </w:rPr>
        <w:t>d</w:t>
      </w:r>
      <w:r w:rsidR="004E60D2" w:rsidRPr="008F762A">
        <w:rPr>
          <w:rFonts w:ascii="Arial" w:hAnsi="Arial" w:cs="Arial"/>
          <w:lang w:val="es-ES"/>
        </w:rPr>
        <w:t>el procedimiento de arbitraje dieron muestra del mutuo interés de las partes por resolver la controversia de manera rápida y rentable</w:t>
      </w:r>
      <w:r w:rsidR="00394A64" w:rsidRPr="008F762A">
        <w:rPr>
          <w:rFonts w:ascii="Arial" w:hAnsi="Arial" w:cs="Arial"/>
          <w:lang w:val="es-ES"/>
        </w:rPr>
        <w:t>.  L</w:t>
      </w:r>
      <w:r w:rsidR="004E60D2" w:rsidRPr="008F762A">
        <w:rPr>
          <w:rFonts w:ascii="Arial" w:hAnsi="Arial" w:cs="Arial"/>
          <w:lang w:val="es-ES"/>
        </w:rPr>
        <w:t>as partes aceptaron la recomendación del Centro en cuanto a la elección de los árbitros</w:t>
      </w:r>
      <w:r w:rsidR="003901A6" w:rsidRPr="008F762A">
        <w:rPr>
          <w:rFonts w:ascii="Arial" w:hAnsi="Arial" w:cs="Arial"/>
          <w:lang w:val="es-ES"/>
        </w:rPr>
        <w:t xml:space="preserve"> designados por la OMPI con </w:t>
      </w:r>
      <w:r w:rsidR="004E60D2" w:rsidRPr="008F762A">
        <w:rPr>
          <w:rFonts w:ascii="Arial" w:hAnsi="Arial" w:cs="Arial"/>
          <w:lang w:val="es-ES"/>
        </w:rPr>
        <w:t xml:space="preserve">gran experiencia en arbitraje y </w:t>
      </w:r>
      <w:r w:rsidR="003901A6" w:rsidRPr="008F762A">
        <w:rPr>
          <w:rFonts w:ascii="Arial" w:hAnsi="Arial" w:cs="Arial"/>
          <w:lang w:val="es-ES"/>
        </w:rPr>
        <w:t xml:space="preserve">especializados en </w:t>
      </w:r>
      <w:r w:rsidR="004E60D2" w:rsidRPr="008F762A">
        <w:rPr>
          <w:rFonts w:ascii="Arial" w:hAnsi="Arial" w:cs="Arial"/>
          <w:lang w:val="es-ES"/>
        </w:rPr>
        <w:t>derecho de patentes</w:t>
      </w:r>
      <w:r w:rsidR="00394A64" w:rsidRPr="008F762A">
        <w:rPr>
          <w:rFonts w:ascii="Arial" w:hAnsi="Arial" w:cs="Arial"/>
          <w:lang w:val="es-ES"/>
        </w:rPr>
        <w:t>.  T</w:t>
      </w:r>
      <w:r w:rsidR="00AF008D" w:rsidRPr="008F762A">
        <w:rPr>
          <w:rFonts w:ascii="Arial" w:hAnsi="Arial" w:cs="Arial"/>
          <w:lang w:val="es-ES"/>
        </w:rPr>
        <w:t>ras un intercambio de comunicaciones escritas, el tribunal arbitra</w:t>
      </w:r>
      <w:r w:rsidR="00CC7D13" w:rsidRPr="008F762A">
        <w:rPr>
          <w:rFonts w:ascii="Arial" w:hAnsi="Arial" w:cs="Arial"/>
          <w:lang w:val="es-ES"/>
        </w:rPr>
        <w:t>l</w:t>
      </w:r>
      <w:r w:rsidR="00AF008D" w:rsidRPr="008F762A">
        <w:rPr>
          <w:rFonts w:ascii="Arial" w:hAnsi="Arial" w:cs="Arial"/>
          <w:lang w:val="es-ES"/>
        </w:rPr>
        <w:t xml:space="preserve"> celebró una audiencia de un día para analizar otras declaraciones y escuchar </w:t>
      </w:r>
      <w:r w:rsidR="00DA41AF" w:rsidRPr="008F762A">
        <w:rPr>
          <w:rFonts w:ascii="Arial" w:hAnsi="Arial" w:cs="Arial"/>
          <w:lang w:val="es-ES"/>
        </w:rPr>
        <w:t>la opinión</w:t>
      </w:r>
      <w:r w:rsidR="00AF008D" w:rsidRPr="008F762A">
        <w:rPr>
          <w:rFonts w:ascii="Arial" w:hAnsi="Arial" w:cs="Arial"/>
          <w:lang w:val="es-ES"/>
        </w:rPr>
        <w:t xml:space="preserve"> de los expertos</w:t>
      </w:r>
      <w:r w:rsidR="00394A64" w:rsidRPr="008F762A">
        <w:rPr>
          <w:rFonts w:ascii="Arial" w:hAnsi="Arial" w:cs="Arial"/>
          <w:lang w:val="es-ES"/>
        </w:rPr>
        <w:t>.  D</w:t>
      </w:r>
      <w:r w:rsidR="00860B75" w:rsidRPr="008F762A">
        <w:rPr>
          <w:rFonts w:ascii="Arial" w:hAnsi="Arial" w:cs="Arial"/>
          <w:lang w:val="es-ES"/>
        </w:rPr>
        <w:t xml:space="preserve">e conformidad con el calendario acordado entre las partes, </w:t>
      </w:r>
      <w:r w:rsidR="004072B8">
        <w:rPr>
          <w:rFonts w:ascii="Arial" w:hAnsi="Arial" w:cs="Arial"/>
          <w:lang w:val="es-ES"/>
        </w:rPr>
        <w:t>a los</w:t>
      </w:r>
      <w:r w:rsidR="00860B75" w:rsidRPr="008F762A">
        <w:rPr>
          <w:rFonts w:ascii="Arial" w:hAnsi="Arial" w:cs="Arial"/>
          <w:lang w:val="es-ES"/>
        </w:rPr>
        <w:t xml:space="preserve"> </w:t>
      </w:r>
      <w:r w:rsidR="00DA41AF" w:rsidRPr="008F762A">
        <w:rPr>
          <w:rFonts w:ascii="Arial" w:hAnsi="Arial" w:cs="Arial"/>
          <w:lang w:val="es-ES"/>
        </w:rPr>
        <w:t>cinco</w:t>
      </w:r>
      <w:r w:rsidR="00860B75" w:rsidRPr="008F762A">
        <w:rPr>
          <w:rFonts w:ascii="Arial" w:hAnsi="Arial" w:cs="Arial"/>
          <w:lang w:val="es-ES"/>
        </w:rPr>
        <w:t xml:space="preserve"> meses del inicio del arbitraje, se dictó un laudo definitivo </w:t>
      </w:r>
      <w:r w:rsidR="00DA41AF" w:rsidRPr="008F762A">
        <w:rPr>
          <w:rFonts w:ascii="Arial" w:hAnsi="Arial" w:cs="Arial"/>
          <w:lang w:val="es-ES"/>
        </w:rPr>
        <w:t>y se resolvió</w:t>
      </w:r>
      <w:r w:rsidR="00860B75" w:rsidRPr="008F762A">
        <w:rPr>
          <w:rFonts w:ascii="Arial" w:hAnsi="Arial" w:cs="Arial"/>
          <w:lang w:val="es-ES"/>
        </w:rPr>
        <w:t xml:space="preserve"> una controversia que </w:t>
      </w:r>
      <w:r w:rsidR="00DA41AF" w:rsidRPr="008F762A">
        <w:rPr>
          <w:rFonts w:ascii="Arial" w:hAnsi="Arial" w:cs="Arial"/>
          <w:lang w:val="es-ES"/>
        </w:rPr>
        <w:t>previamente</w:t>
      </w:r>
      <w:r w:rsidR="00860B75" w:rsidRPr="008F762A">
        <w:rPr>
          <w:rFonts w:ascii="Arial" w:hAnsi="Arial" w:cs="Arial"/>
          <w:lang w:val="es-ES"/>
        </w:rPr>
        <w:t xml:space="preserve"> había </w:t>
      </w:r>
      <w:r w:rsidR="00CC7D13" w:rsidRPr="008F762A">
        <w:rPr>
          <w:rFonts w:ascii="Arial" w:hAnsi="Arial" w:cs="Arial"/>
          <w:lang w:val="es-ES"/>
        </w:rPr>
        <w:t xml:space="preserve">sido </w:t>
      </w:r>
      <w:r w:rsidR="00DA41AF" w:rsidRPr="008F762A">
        <w:rPr>
          <w:rFonts w:ascii="Arial" w:hAnsi="Arial" w:cs="Arial"/>
          <w:lang w:val="es-ES"/>
        </w:rPr>
        <w:t xml:space="preserve">objeto de </w:t>
      </w:r>
      <w:r w:rsidR="00CC7D13" w:rsidRPr="008F762A">
        <w:rPr>
          <w:rFonts w:ascii="Arial" w:hAnsi="Arial" w:cs="Arial"/>
          <w:lang w:val="es-ES"/>
        </w:rPr>
        <w:t>litigio</w:t>
      </w:r>
      <w:r w:rsidR="00860B75" w:rsidRPr="008F762A">
        <w:rPr>
          <w:rFonts w:ascii="Arial" w:hAnsi="Arial" w:cs="Arial"/>
          <w:lang w:val="es-ES"/>
        </w:rPr>
        <w:t xml:space="preserve"> judicial</w:t>
      </w:r>
      <w:r w:rsidR="002F61D0" w:rsidRPr="008F762A">
        <w:rPr>
          <w:rFonts w:ascii="Arial" w:hAnsi="Arial" w:cs="Arial"/>
          <w:lang w:val="es-ES"/>
        </w:rPr>
        <w:t>.</w:t>
      </w:r>
    </w:p>
    <w:p w:rsidR="009E7935" w:rsidRPr="008F762A" w:rsidRDefault="00716E21" w:rsidP="00301C60">
      <w:pPr>
        <w:pStyle w:val="Heading2"/>
        <w:keepNext w:val="0"/>
        <w:ind w:left="567" w:hanging="567"/>
        <w:rPr>
          <w:lang w:val="es-ES"/>
        </w:rPr>
      </w:pPr>
      <w:r w:rsidRPr="008F762A">
        <w:rPr>
          <w:caps w:val="0"/>
          <w:lang w:val="es-ES"/>
        </w:rPr>
        <w:t>B</w:t>
      </w:r>
      <w:r w:rsidR="00301C60" w:rsidRPr="008F762A">
        <w:rPr>
          <w:caps w:val="0"/>
          <w:lang w:val="es-ES"/>
        </w:rPr>
        <w:t>.</w:t>
      </w:r>
      <w:r w:rsidR="00301C60" w:rsidRPr="008F762A">
        <w:rPr>
          <w:caps w:val="0"/>
          <w:lang w:val="es-ES"/>
        </w:rPr>
        <w:tab/>
      </w:r>
      <w:r w:rsidR="00FA5282" w:rsidRPr="008F762A">
        <w:rPr>
          <w:caps w:val="0"/>
          <w:lang w:val="es-ES"/>
        </w:rPr>
        <w:t>SERVICIOS DE SOLUCIÓN EXTRAJUDICIAL DE CONTROVERSIAS PARA SECTORES ESPECÍFICOS</w:t>
      </w:r>
    </w:p>
    <w:p w:rsidR="009E7935" w:rsidRPr="008F762A" w:rsidRDefault="009E7935" w:rsidP="006F03B4">
      <w:pPr>
        <w:rPr>
          <w:lang w:val="es-ES"/>
        </w:rPr>
      </w:pPr>
    </w:p>
    <w:p w:rsidR="002F61D0" w:rsidRPr="008F762A" w:rsidRDefault="00BA37D1" w:rsidP="00313320">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Si bien</w:t>
      </w:r>
      <w:r w:rsidR="008E293E" w:rsidRPr="008F762A">
        <w:rPr>
          <w:rFonts w:ascii="Arial" w:hAnsi="Arial" w:cs="Arial"/>
          <w:lang w:val="es-ES"/>
        </w:rPr>
        <w:t xml:space="preserve"> los reglamentos</w:t>
      </w:r>
      <w:r w:rsidR="00FA5282" w:rsidRPr="008F762A">
        <w:rPr>
          <w:rFonts w:ascii="Arial" w:hAnsi="Arial" w:cs="Arial"/>
          <w:lang w:val="es-ES"/>
        </w:rPr>
        <w:t xml:space="preserve"> básicos d</w:t>
      </w:r>
      <w:r w:rsidR="00113143" w:rsidRPr="008F762A">
        <w:rPr>
          <w:rFonts w:ascii="Arial" w:hAnsi="Arial" w:cs="Arial"/>
          <w:lang w:val="es-ES"/>
        </w:rPr>
        <w:t xml:space="preserve">e </w:t>
      </w:r>
      <w:r w:rsidRPr="008F762A">
        <w:rPr>
          <w:rFonts w:ascii="Arial" w:hAnsi="Arial" w:cs="Arial"/>
          <w:lang w:val="es-ES"/>
        </w:rPr>
        <w:t xml:space="preserve">la OMPI de </w:t>
      </w:r>
      <w:r w:rsidR="00113143" w:rsidRPr="008F762A">
        <w:rPr>
          <w:rFonts w:ascii="Arial" w:hAnsi="Arial" w:cs="Arial"/>
          <w:lang w:val="es-ES"/>
        </w:rPr>
        <w:t>medi</w:t>
      </w:r>
      <w:r w:rsidR="008E293E" w:rsidRPr="008F762A">
        <w:rPr>
          <w:rFonts w:ascii="Arial" w:hAnsi="Arial" w:cs="Arial"/>
          <w:lang w:val="es-ES"/>
        </w:rPr>
        <w:t>ación, arbitraje, arbitraje acelerado y decisión d</w:t>
      </w:r>
      <w:r w:rsidR="00FA5282" w:rsidRPr="008F762A">
        <w:rPr>
          <w:rFonts w:ascii="Arial" w:hAnsi="Arial" w:cs="Arial"/>
          <w:lang w:val="es-ES"/>
        </w:rPr>
        <w:t xml:space="preserve">e experto </w:t>
      </w:r>
      <w:r w:rsidRPr="008F762A">
        <w:rPr>
          <w:rFonts w:ascii="Arial" w:hAnsi="Arial" w:cs="Arial"/>
          <w:lang w:val="es-ES"/>
        </w:rPr>
        <w:t>son adecuados</w:t>
      </w:r>
      <w:r w:rsidR="008E293E" w:rsidRPr="008F762A">
        <w:rPr>
          <w:rFonts w:ascii="Arial" w:hAnsi="Arial" w:cs="Arial"/>
          <w:lang w:val="es-ES"/>
        </w:rPr>
        <w:t xml:space="preserve"> para todas las controversias relativas al comercio y a la P.I., ciert</w:t>
      </w:r>
      <w:r w:rsidR="00636F1C" w:rsidRPr="008F762A">
        <w:rPr>
          <w:rFonts w:ascii="Arial" w:hAnsi="Arial" w:cs="Arial"/>
          <w:lang w:val="es-ES"/>
        </w:rPr>
        <w:t>a</w:t>
      </w:r>
      <w:r w:rsidR="00FA5282" w:rsidRPr="008F762A">
        <w:rPr>
          <w:rFonts w:ascii="Arial" w:hAnsi="Arial" w:cs="Arial"/>
          <w:lang w:val="es-ES"/>
        </w:rPr>
        <w:t>s</w:t>
      </w:r>
      <w:r w:rsidR="008E293E" w:rsidRPr="008F762A">
        <w:rPr>
          <w:rFonts w:ascii="Arial" w:hAnsi="Arial" w:cs="Arial"/>
          <w:lang w:val="es-ES"/>
        </w:rPr>
        <w:t xml:space="preserve"> </w:t>
      </w:r>
      <w:r w:rsidR="00636F1C" w:rsidRPr="008F762A">
        <w:rPr>
          <w:rFonts w:ascii="Arial" w:hAnsi="Arial" w:cs="Arial"/>
          <w:lang w:val="es-ES"/>
        </w:rPr>
        <w:t xml:space="preserve">áreas específicas, en </w:t>
      </w:r>
      <w:r w:rsidR="008E293E" w:rsidRPr="008F762A">
        <w:rPr>
          <w:rFonts w:ascii="Arial" w:hAnsi="Arial" w:cs="Arial"/>
          <w:lang w:val="es-ES"/>
        </w:rPr>
        <w:t>transacciones de P.I.</w:t>
      </w:r>
      <w:r w:rsidRPr="008F762A">
        <w:rPr>
          <w:rFonts w:ascii="Arial" w:hAnsi="Arial" w:cs="Arial"/>
          <w:lang w:val="es-ES"/>
        </w:rPr>
        <w:t>,</w:t>
      </w:r>
      <w:r w:rsidR="008E293E" w:rsidRPr="008F762A">
        <w:rPr>
          <w:rFonts w:ascii="Arial" w:hAnsi="Arial" w:cs="Arial"/>
          <w:lang w:val="es-ES"/>
        </w:rPr>
        <w:t xml:space="preserve"> </w:t>
      </w:r>
      <w:r w:rsidR="00636F1C" w:rsidRPr="008F762A">
        <w:rPr>
          <w:rFonts w:ascii="Arial" w:hAnsi="Arial" w:cs="Arial"/>
          <w:lang w:val="es-ES"/>
        </w:rPr>
        <w:t>se pueden beneficiar</w:t>
      </w:r>
      <w:r w:rsidR="008E293E" w:rsidRPr="008F762A">
        <w:rPr>
          <w:rFonts w:ascii="Arial" w:hAnsi="Arial" w:cs="Arial"/>
          <w:lang w:val="es-ES"/>
        </w:rPr>
        <w:t xml:space="preserve"> de adaptaciones </w:t>
      </w:r>
      <w:r w:rsidR="00636F1C" w:rsidRPr="008F762A">
        <w:rPr>
          <w:rFonts w:ascii="Arial" w:hAnsi="Arial" w:cs="Arial"/>
          <w:lang w:val="es-ES"/>
        </w:rPr>
        <w:t xml:space="preserve">precisas de </w:t>
      </w:r>
      <w:r w:rsidRPr="008F762A">
        <w:rPr>
          <w:rFonts w:ascii="Arial" w:hAnsi="Arial" w:cs="Arial"/>
          <w:lang w:val="es-ES"/>
        </w:rPr>
        <w:t>los reglamentos</w:t>
      </w:r>
      <w:r w:rsidR="00910297" w:rsidRPr="008F762A">
        <w:rPr>
          <w:rFonts w:ascii="Arial" w:hAnsi="Arial" w:cs="Arial"/>
          <w:lang w:val="es-ES"/>
        </w:rPr>
        <w:t xml:space="preserve"> </w:t>
      </w:r>
      <w:r w:rsidR="008E293E" w:rsidRPr="008F762A">
        <w:rPr>
          <w:rFonts w:ascii="Arial" w:hAnsi="Arial" w:cs="Arial"/>
          <w:lang w:val="es-ES"/>
        </w:rPr>
        <w:t>de solución extrajudicial de controversias de la OMPI.</w:t>
      </w:r>
      <w:r w:rsidR="008E293E" w:rsidRPr="008F762A">
        <w:rPr>
          <w:rStyle w:val="FootnoteReference"/>
          <w:rFonts w:ascii="Arial" w:hAnsi="Arial"/>
          <w:lang w:val="es-ES"/>
        </w:rPr>
        <w:footnoteReference w:id="7"/>
      </w:r>
      <w:r w:rsidR="002F61D0" w:rsidRPr="008F762A">
        <w:rPr>
          <w:rFonts w:ascii="Arial" w:hAnsi="Arial" w:cs="Arial"/>
          <w:lang w:val="es-ES"/>
        </w:rPr>
        <w:t xml:space="preserve"> </w:t>
      </w:r>
      <w:r w:rsidR="0018759B" w:rsidRPr="008F762A">
        <w:rPr>
          <w:rFonts w:ascii="Arial" w:hAnsi="Arial" w:cs="Arial"/>
          <w:lang w:val="es-ES"/>
        </w:rPr>
        <w:t xml:space="preserve"> </w:t>
      </w:r>
      <w:r w:rsidR="00313320" w:rsidRPr="008F762A">
        <w:rPr>
          <w:rFonts w:ascii="Arial" w:hAnsi="Arial" w:cs="Arial"/>
          <w:lang w:val="es-ES"/>
        </w:rPr>
        <w:t>A fin de reflejar las necesidades particulares de</w:t>
      </w:r>
      <w:r w:rsidR="00910297" w:rsidRPr="008F762A">
        <w:rPr>
          <w:rFonts w:ascii="Arial" w:hAnsi="Arial" w:cs="Arial"/>
          <w:lang w:val="es-ES"/>
        </w:rPr>
        <w:t xml:space="preserve"> determinados sectores en</w:t>
      </w:r>
      <w:r w:rsidR="00313320" w:rsidRPr="008F762A">
        <w:rPr>
          <w:rFonts w:ascii="Arial" w:hAnsi="Arial" w:cs="Arial"/>
          <w:lang w:val="es-ES"/>
        </w:rPr>
        <w:t xml:space="preserve"> la solución de controversias, el Centro colabora con titulares y usuarios de</w:t>
      </w:r>
      <w:r w:rsidRPr="008F762A">
        <w:rPr>
          <w:rFonts w:ascii="Arial" w:hAnsi="Arial" w:cs="Arial"/>
          <w:lang w:val="es-ES"/>
        </w:rPr>
        <w:t xml:space="preserve"> la propiedad intelectual, sus</w:t>
      </w:r>
      <w:r w:rsidR="00313320" w:rsidRPr="008F762A">
        <w:rPr>
          <w:rFonts w:ascii="Arial" w:hAnsi="Arial" w:cs="Arial"/>
          <w:lang w:val="es-ES"/>
        </w:rPr>
        <w:t xml:space="preserve"> organizaciones</w:t>
      </w:r>
      <w:r w:rsidRPr="008F762A">
        <w:rPr>
          <w:rFonts w:ascii="Arial" w:hAnsi="Arial" w:cs="Arial"/>
          <w:lang w:val="es-ES"/>
        </w:rPr>
        <w:t xml:space="preserve"> representativas y asociaciones, así como diferentes entidades interesadas </w:t>
      </w:r>
      <w:r w:rsidR="00313320" w:rsidRPr="008F762A">
        <w:rPr>
          <w:rFonts w:ascii="Arial" w:hAnsi="Arial" w:cs="Arial"/>
          <w:lang w:val="es-ES"/>
        </w:rPr>
        <w:t>y expertos externos</w:t>
      </w:r>
      <w:r w:rsidR="002F61D0" w:rsidRPr="008F762A">
        <w:rPr>
          <w:rFonts w:ascii="Arial" w:hAnsi="Arial" w:cs="Arial"/>
          <w:lang w:val="es-ES"/>
        </w:rPr>
        <w:t>.</w:t>
      </w:r>
    </w:p>
    <w:p w:rsidR="009E7935" w:rsidRPr="008F762A" w:rsidRDefault="009E7935" w:rsidP="006F03B4">
      <w:pPr>
        <w:pStyle w:val="ListParagraph"/>
        <w:spacing w:line="240" w:lineRule="auto"/>
        <w:ind w:left="0"/>
        <w:rPr>
          <w:rFonts w:ascii="Arial" w:hAnsi="Arial" w:cs="Arial"/>
          <w:lang w:val="es-ES"/>
        </w:rPr>
      </w:pPr>
    </w:p>
    <w:p w:rsidR="009E7935" w:rsidRPr="008F762A" w:rsidRDefault="00113143" w:rsidP="00301C60">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 xml:space="preserve">La adaptación de los servicios de solución extrajudicial de controversias puede </w:t>
      </w:r>
      <w:r w:rsidR="00901EC6" w:rsidRPr="008F762A">
        <w:rPr>
          <w:rFonts w:ascii="Arial" w:hAnsi="Arial" w:cs="Arial"/>
          <w:lang w:val="es-ES"/>
        </w:rPr>
        <w:t>abarca</w:t>
      </w:r>
      <w:r w:rsidR="002F61D0" w:rsidRPr="008F762A">
        <w:rPr>
          <w:rFonts w:ascii="Arial" w:hAnsi="Arial" w:cs="Arial"/>
          <w:lang w:val="es-ES"/>
        </w:rPr>
        <w:t>r d</w:t>
      </w:r>
      <w:r w:rsidRPr="008F762A">
        <w:rPr>
          <w:rFonts w:ascii="Arial" w:hAnsi="Arial" w:cs="Arial"/>
          <w:lang w:val="es-ES"/>
        </w:rPr>
        <w:t>iferen</w:t>
      </w:r>
      <w:r w:rsidR="00C0354D" w:rsidRPr="008F762A">
        <w:rPr>
          <w:rFonts w:ascii="Arial" w:hAnsi="Arial" w:cs="Arial"/>
          <w:lang w:val="es-ES"/>
        </w:rPr>
        <w:t>tes elementos que dependen de la</w:t>
      </w:r>
      <w:r w:rsidRPr="008F762A">
        <w:rPr>
          <w:rFonts w:ascii="Arial" w:hAnsi="Arial" w:cs="Arial"/>
          <w:lang w:val="es-ES"/>
        </w:rPr>
        <w:t>s pe</w:t>
      </w:r>
      <w:r w:rsidR="00C0354D" w:rsidRPr="008F762A">
        <w:rPr>
          <w:rFonts w:ascii="Arial" w:hAnsi="Arial" w:cs="Arial"/>
          <w:lang w:val="es-ES"/>
        </w:rPr>
        <w:t>ticiones</w:t>
      </w:r>
      <w:r w:rsidRPr="008F762A">
        <w:rPr>
          <w:rFonts w:ascii="Arial" w:hAnsi="Arial" w:cs="Arial"/>
          <w:lang w:val="es-ES"/>
        </w:rPr>
        <w:t xml:space="preserve"> de los usuarios, las necesidades propias a la solución de controversias y las opciones de colaboración externa</w:t>
      </w:r>
      <w:r w:rsidR="00394A64" w:rsidRPr="008F762A">
        <w:rPr>
          <w:rFonts w:ascii="Arial" w:hAnsi="Arial" w:cs="Arial"/>
          <w:lang w:val="es-ES"/>
        </w:rPr>
        <w:t>.  E</w:t>
      </w:r>
      <w:r w:rsidR="005B3A48" w:rsidRPr="008F762A">
        <w:rPr>
          <w:rFonts w:ascii="Arial" w:hAnsi="Arial" w:cs="Arial"/>
          <w:lang w:val="es-ES"/>
        </w:rPr>
        <w:t xml:space="preserve">sto incluye la redacción o </w:t>
      </w:r>
      <w:r w:rsidR="0015102C" w:rsidRPr="008F762A">
        <w:rPr>
          <w:rFonts w:ascii="Arial" w:hAnsi="Arial" w:cs="Arial"/>
          <w:lang w:val="es-ES"/>
        </w:rPr>
        <w:t>revisión</w:t>
      </w:r>
      <w:r w:rsidR="005B3A48" w:rsidRPr="008F762A">
        <w:rPr>
          <w:rFonts w:ascii="Arial" w:hAnsi="Arial" w:cs="Arial"/>
          <w:lang w:val="es-ES"/>
        </w:rPr>
        <w:t xml:space="preserve"> de los reglamentos relativos a la solución extrajudicial de controversias y las cláusulas contractuales</w:t>
      </w:r>
      <w:r w:rsidR="00CF51EA" w:rsidRPr="008F762A">
        <w:rPr>
          <w:rFonts w:ascii="Arial" w:hAnsi="Arial" w:cs="Arial"/>
          <w:lang w:val="es-ES"/>
        </w:rPr>
        <w:t xml:space="preserve"> para la solución de controversias</w:t>
      </w:r>
      <w:r w:rsidR="005B3A48" w:rsidRPr="008F762A">
        <w:rPr>
          <w:rFonts w:ascii="Arial" w:hAnsi="Arial" w:cs="Arial"/>
          <w:lang w:val="es-ES"/>
        </w:rPr>
        <w:t>,</w:t>
      </w:r>
      <w:r w:rsidR="00CF51EA" w:rsidRPr="008F762A">
        <w:rPr>
          <w:rFonts w:ascii="Arial" w:hAnsi="Arial" w:cs="Arial"/>
          <w:lang w:val="es-ES"/>
        </w:rPr>
        <w:t xml:space="preserve"> el establecimiento de modelos de </w:t>
      </w:r>
      <w:r w:rsidR="005B3A48" w:rsidRPr="008F762A">
        <w:rPr>
          <w:rFonts w:ascii="Arial" w:hAnsi="Arial" w:cs="Arial"/>
          <w:lang w:val="es-ES"/>
        </w:rPr>
        <w:t xml:space="preserve">contrato, códigos </w:t>
      </w:r>
      <w:r w:rsidR="00CF51EA" w:rsidRPr="008F762A">
        <w:rPr>
          <w:rFonts w:ascii="Arial" w:hAnsi="Arial" w:cs="Arial"/>
          <w:lang w:val="es-ES"/>
        </w:rPr>
        <w:t xml:space="preserve">institucionales </w:t>
      </w:r>
      <w:r w:rsidR="005B3A48" w:rsidRPr="008F762A">
        <w:rPr>
          <w:rFonts w:ascii="Arial" w:hAnsi="Arial" w:cs="Arial"/>
          <w:lang w:val="es-ES"/>
        </w:rPr>
        <w:t>de conducta, y declaraciones unilaterales de intención en materia de solución de controversias (compromisos)</w:t>
      </w:r>
      <w:r w:rsidR="00394A64" w:rsidRPr="008F762A">
        <w:rPr>
          <w:rFonts w:ascii="Arial" w:hAnsi="Arial" w:cs="Arial"/>
          <w:lang w:val="es-ES"/>
        </w:rPr>
        <w:t>.  O</w:t>
      </w:r>
      <w:r w:rsidR="00FA1B7F" w:rsidRPr="008F762A">
        <w:rPr>
          <w:rFonts w:ascii="Arial" w:hAnsi="Arial" w:cs="Arial"/>
          <w:lang w:val="es-ES"/>
        </w:rPr>
        <w:t xml:space="preserve">tros elementos incluyen el </w:t>
      </w:r>
      <w:r w:rsidR="00901EC6" w:rsidRPr="008F762A">
        <w:rPr>
          <w:rFonts w:ascii="Arial" w:hAnsi="Arial" w:cs="Arial"/>
          <w:lang w:val="es-ES"/>
        </w:rPr>
        <w:t>establecimiento</w:t>
      </w:r>
      <w:r w:rsidR="00FA1B7F" w:rsidRPr="008F762A">
        <w:rPr>
          <w:rFonts w:ascii="Arial" w:hAnsi="Arial" w:cs="Arial"/>
          <w:lang w:val="es-ES"/>
        </w:rPr>
        <w:t xml:space="preserve"> de </w:t>
      </w:r>
      <w:r w:rsidR="00CF51EA" w:rsidRPr="008F762A">
        <w:rPr>
          <w:rFonts w:ascii="Arial" w:hAnsi="Arial" w:cs="Arial"/>
          <w:lang w:val="es-ES"/>
        </w:rPr>
        <w:t>grupos</w:t>
      </w:r>
      <w:r w:rsidR="00FA1B7F" w:rsidRPr="008F762A">
        <w:rPr>
          <w:rFonts w:ascii="Arial" w:hAnsi="Arial" w:cs="Arial"/>
          <w:lang w:val="es-ES"/>
        </w:rPr>
        <w:t xml:space="preserve"> de mediadores, árbitros y expertos </w:t>
      </w:r>
      <w:r w:rsidR="00CF51EA" w:rsidRPr="008F762A">
        <w:rPr>
          <w:rFonts w:ascii="Arial" w:hAnsi="Arial" w:cs="Arial"/>
          <w:lang w:val="es-ES"/>
        </w:rPr>
        <w:t>especializado</w:t>
      </w:r>
      <w:r w:rsidR="002F61D0" w:rsidRPr="008F762A">
        <w:rPr>
          <w:rFonts w:ascii="Arial" w:hAnsi="Arial" w:cs="Arial"/>
          <w:lang w:val="es-ES"/>
        </w:rPr>
        <w:t>s e</w:t>
      </w:r>
      <w:r w:rsidR="00CF51EA" w:rsidRPr="008F762A">
        <w:rPr>
          <w:rFonts w:ascii="Arial" w:hAnsi="Arial" w:cs="Arial"/>
          <w:lang w:val="es-ES"/>
        </w:rPr>
        <w:t>n</w:t>
      </w:r>
      <w:r w:rsidR="00FA1B7F" w:rsidRPr="008F762A">
        <w:rPr>
          <w:rFonts w:ascii="Arial" w:hAnsi="Arial" w:cs="Arial"/>
          <w:lang w:val="es-ES"/>
        </w:rPr>
        <w:t xml:space="preserve"> jurisdicciones </w:t>
      </w:r>
      <w:r w:rsidR="00CF51EA" w:rsidRPr="008F762A">
        <w:rPr>
          <w:rFonts w:ascii="Arial" w:hAnsi="Arial" w:cs="Arial"/>
          <w:lang w:val="es-ES"/>
        </w:rPr>
        <w:t>pertinentes</w:t>
      </w:r>
      <w:r w:rsidR="00FA1B7F" w:rsidRPr="008F762A">
        <w:rPr>
          <w:rFonts w:ascii="Arial" w:hAnsi="Arial" w:cs="Arial"/>
          <w:lang w:val="es-ES"/>
        </w:rPr>
        <w:t>, la fijación de</w:t>
      </w:r>
      <w:r w:rsidR="00CF51EA" w:rsidRPr="008F762A">
        <w:rPr>
          <w:rFonts w:ascii="Arial" w:hAnsi="Arial" w:cs="Arial"/>
          <w:lang w:val="es-ES"/>
        </w:rPr>
        <w:t xml:space="preserve"> un</w:t>
      </w:r>
      <w:r w:rsidR="00FA1B7F" w:rsidRPr="008F762A">
        <w:rPr>
          <w:rFonts w:ascii="Arial" w:hAnsi="Arial" w:cs="Arial"/>
          <w:lang w:val="es-ES"/>
        </w:rPr>
        <w:t xml:space="preserve"> baremo de tasas y costas adecuadas para cada contexto en particular y la </w:t>
      </w:r>
      <w:r w:rsidR="00CF51EA" w:rsidRPr="008F762A">
        <w:rPr>
          <w:rFonts w:ascii="Arial" w:hAnsi="Arial" w:cs="Arial"/>
          <w:lang w:val="es-ES"/>
        </w:rPr>
        <w:t>organización</w:t>
      </w:r>
      <w:r w:rsidR="00FA1B7F" w:rsidRPr="008F762A">
        <w:rPr>
          <w:rFonts w:ascii="Arial" w:hAnsi="Arial" w:cs="Arial"/>
          <w:lang w:val="es-ES"/>
        </w:rPr>
        <w:t xml:space="preserve"> de programas de formación personalizados para grupos de usuarios </w:t>
      </w:r>
      <w:r w:rsidR="00CF51EA" w:rsidRPr="008F762A">
        <w:rPr>
          <w:rFonts w:ascii="Arial" w:hAnsi="Arial" w:cs="Arial"/>
          <w:lang w:val="es-ES"/>
        </w:rPr>
        <w:t>concretos</w:t>
      </w:r>
      <w:r w:rsidR="00FA1B7F" w:rsidRPr="008F762A">
        <w:rPr>
          <w:rFonts w:ascii="Arial" w:hAnsi="Arial" w:cs="Arial"/>
          <w:lang w:val="es-ES"/>
        </w:rPr>
        <w:t>.</w:t>
      </w:r>
      <w:r w:rsidR="00FA1B7F" w:rsidRPr="008F762A">
        <w:rPr>
          <w:rStyle w:val="FootnoteReference"/>
          <w:rFonts w:ascii="Arial" w:hAnsi="Arial"/>
          <w:lang w:val="es-ES"/>
        </w:rPr>
        <w:footnoteReference w:id="8"/>
      </w:r>
      <w:r w:rsidR="002F61D0" w:rsidRPr="008F762A">
        <w:rPr>
          <w:rFonts w:ascii="Arial" w:hAnsi="Arial" w:cs="Arial"/>
          <w:lang w:val="es-ES"/>
        </w:rPr>
        <w:t xml:space="preserve"> </w:t>
      </w:r>
      <w:r w:rsidR="0018759B" w:rsidRPr="008F762A">
        <w:rPr>
          <w:rFonts w:ascii="Arial" w:hAnsi="Arial" w:cs="Arial"/>
          <w:lang w:val="es-ES"/>
        </w:rPr>
        <w:t xml:space="preserve"> </w:t>
      </w:r>
    </w:p>
    <w:p w:rsidR="009E7935" w:rsidRPr="008F762A" w:rsidRDefault="009E7935" w:rsidP="00133109">
      <w:pPr>
        <w:pStyle w:val="ListParagraph"/>
        <w:rPr>
          <w:rFonts w:ascii="Arial" w:hAnsi="Arial" w:cs="Arial"/>
          <w:lang w:val="es-ES"/>
        </w:rPr>
      </w:pPr>
    </w:p>
    <w:p w:rsidR="002F61D0" w:rsidRPr="008F762A" w:rsidRDefault="00FE67DE" w:rsidP="00FE67DE">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Las principales áre</w:t>
      </w:r>
      <w:r w:rsidR="00901EC6" w:rsidRPr="008F762A">
        <w:rPr>
          <w:rFonts w:ascii="Arial" w:hAnsi="Arial" w:cs="Arial"/>
          <w:lang w:val="es-ES"/>
        </w:rPr>
        <w:t>as contempladas hasta la fecha</w:t>
      </w:r>
      <w:r w:rsidRPr="008F762A">
        <w:rPr>
          <w:rFonts w:ascii="Arial" w:hAnsi="Arial" w:cs="Arial"/>
          <w:lang w:val="es-ES"/>
        </w:rPr>
        <w:t xml:space="preserve"> son</w:t>
      </w:r>
      <w:r w:rsidR="00394A64" w:rsidRPr="008F762A">
        <w:rPr>
          <w:rFonts w:ascii="Arial" w:hAnsi="Arial" w:cs="Arial"/>
          <w:lang w:val="es-ES"/>
        </w:rPr>
        <w:t>:  p</w:t>
      </w:r>
      <w:r w:rsidR="00901EC6" w:rsidRPr="008F762A">
        <w:rPr>
          <w:rFonts w:ascii="Arial" w:hAnsi="Arial" w:cs="Arial"/>
          <w:lang w:val="es-ES"/>
        </w:rPr>
        <w:t>atrimonio artístico y cultural,</w:t>
      </w:r>
      <w:r w:rsidRPr="008F762A">
        <w:rPr>
          <w:rFonts w:ascii="Arial" w:hAnsi="Arial" w:cs="Arial"/>
          <w:lang w:val="es-ES"/>
        </w:rPr>
        <w:t xml:space="preserve"> cine y medios de comunicación, </w:t>
      </w:r>
      <w:r w:rsidR="00F54F76" w:rsidRPr="008F762A">
        <w:rPr>
          <w:rFonts w:ascii="Arial" w:hAnsi="Arial" w:cs="Arial"/>
          <w:lang w:val="es-ES"/>
        </w:rPr>
        <w:t>tecnologías de la información y las comunicaciones</w:t>
      </w:r>
      <w:r w:rsidR="00901EC6" w:rsidRPr="008F762A">
        <w:rPr>
          <w:rFonts w:ascii="Arial" w:hAnsi="Arial" w:cs="Arial"/>
          <w:lang w:val="es-ES"/>
        </w:rPr>
        <w:t xml:space="preserve"> (incluidas las normas en materia de patentes), oficinas de P.I</w:t>
      </w:r>
      <w:r w:rsidR="00394A64" w:rsidRPr="008F762A">
        <w:rPr>
          <w:rFonts w:ascii="Arial" w:hAnsi="Arial" w:cs="Arial"/>
          <w:lang w:val="es-ES"/>
        </w:rPr>
        <w:t>. (</w:t>
      </w:r>
      <w:r w:rsidR="00901EC6" w:rsidRPr="008F762A">
        <w:rPr>
          <w:rFonts w:ascii="Arial" w:hAnsi="Arial" w:cs="Arial"/>
          <w:lang w:val="es-ES"/>
        </w:rPr>
        <w:t xml:space="preserve">OPI), </w:t>
      </w:r>
      <w:r w:rsidRPr="008F762A">
        <w:rPr>
          <w:rFonts w:ascii="Arial" w:hAnsi="Arial" w:cs="Arial"/>
          <w:lang w:val="es-ES"/>
        </w:rPr>
        <w:t>investigación y desarrollo (I+D) y tra</w:t>
      </w:r>
      <w:r w:rsidR="00E57E6C" w:rsidRPr="008F762A">
        <w:rPr>
          <w:rFonts w:ascii="Arial" w:hAnsi="Arial" w:cs="Arial"/>
          <w:lang w:val="es-ES"/>
        </w:rPr>
        <w:t>nsferencia de tecnología</w:t>
      </w:r>
      <w:r w:rsidR="002F61D0" w:rsidRPr="008F762A">
        <w:rPr>
          <w:rFonts w:ascii="Arial" w:hAnsi="Arial" w:cs="Arial"/>
          <w:lang w:val="es-ES"/>
        </w:rPr>
        <w:t>.</w:t>
      </w:r>
    </w:p>
    <w:p w:rsidR="009E7935" w:rsidRPr="008F762A" w:rsidRDefault="00FE67DE" w:rsidP="00301C60">
      <w:pPr>
        <w:pStyle w:val="Heading3"/>
        <w:keepLines/>
        <w:ind w:left="567"/>
        <w:rPr>
          <w:lang w:val="es-ES"/>
        </w:rPr>
      </w:pPr>
      <w:r w:rsidRPr="008F762A">
        <w:rPr>
          <w:u w:val="none"/>
          <w:lang w:val="es-ES"/>
        </w:rPr>
        <w:lastRenderedPageBreak/>
        <w:t>i)</w:t>
      </w:r>
      <w:r w:rsidR="00301C60" w:rsidRPr="008F762A">
        <w:rPr>
          <w:u w:val="none"/>
          <w:lang w:val="es-ES"/>
        </w:rPr>
        <w:tab/>
      </w:r>
      <w:r w:rsidRPr="008F762A">
        <w:rPr>
          <w:lang w:val="es-ES"/>
        </w:rPr>
        <w:t>Patrimonio artístico y cultural</w:t>
      </w:r>
    </w:p>
    <w:p w:rsidR="009E7935" w:rsidRPr="008F762A" w:rsidRDefault="009E7935" w:rsidP="00301C60">
      <w:pPr>
        <w:pStyle w:val="ListParagraph"/>
        <w:keepNext/>
        <w:keepLines/>
        <w:spacing w:line="240" w:lineRule="auto"/>
        <w:ind w:left="0"/>
        <w:rPr>
          <w:rFonts w:ascii="Arial" w:hAnsi="Arial" w:cs="Arial"/>
          <w:lang w:val="es-ES"/>
        </w:rPr>
      </w:pPr>
    </w:p>
    <w:p w:rsidR="002F61D0" w:rsidRPr="008F762A" w:rsidRDefault="00FE67DE" w:rsidP="00301C60">
      <w:pPr>
        <w:pStyle w:val="ListParagraph"/>
        <w:keepNext/>
        <w:keepLines/>
        <w:numPr>
          <w:ilvl w:val="0"/>
          <w:numId w:val="9"/>
        </w:numPr>
        <w:spacing w:line="240" w:lineRule="auto"/>
        <w:ind w:left="0" w:firstLine="0"/>
        <w:rPr>
          <w:rFonts w:ascii="Arial" w:hAnsi="Arial" w:cs="Arial"/>
          <w:lang w:val="es-ES"/>
        </w:rPr>
      </w:pPr>
      <w:r w:rsidRPr="008F762A">
        <w:rPr>
          <w:rFonts w:ascii="Arial" w:hAnsi="Arial" w:cs="Arial"/>
          <w:lang w:val="es-ES"/>
        </w:rPr>
        <w:t>El Consejo Internacional de Museos (ICOM) y la OMPI crearon conjuntamente un procedimiento de mediación</w:t>
      </w:r>
      <w:r w:rsidRPr="008F762A">
        <w:rPr>
          <w:rStyle w:val="FootnoteReference"/>
          <w:rFonts w:ascii="Arial" w:hAnsi="Arial"/>
          <w:lang w:val="es-ES"/>
        </w:rPr>
        <w:footnoteReference w:id="9"/>
      </w:r>
      <w:r w:rsidRPr="008F762A">
        <w:rPr>
          <w:rFonts w:ascii="Arial" w:hAnsi="Arial" w:cs="Arial"/>
          <w:lang w:val="es-ES"/>
        </w:rPr>
        <w:t xml:space="preserve"> específico para controversia</w:t>
      </w:r>
      <w:r w:rsidR="002F61D0" w:rsidRPr="008F762A">
        <w:rPr>
          <w:rFonts w:ascii="Arial" w:hAnsi="Arial" w:cs="Arial"/>
          <w:lang w:val="es-ES"/>
        </w:rPr>
        <w:t>s s</w:t>
      </w:r>
      <w:r w:rsidRPr="008F762A">
        <w:rPr>
          <w:rFonts w:ascii="Arial" w:hAnsi="Arial" w:cs="Arial"/>
          <w:lang w:val="es-ES"/>
        </w:rPr>
        <w:t>obre patrimonio artístico y cultural</w:t>
      </w:r>
      <w:r w:rsidR="00394A64" w:rsidRPr="008F762A">
        <w:rPr>
          <w:rFonts w:ascii="Arial" w:hAnsi="Arial" w:cs="Arial"/>
          <w:lang w:val="es-ES"/>
        </w:rPr>
        <w:t>.  E</w:t>
      </w:r>
      <w:r w:rsidRPr="008F762A">
        <w:rPr>
          <w:rFonts w:ascii="Arial" w:hAnsi="Arial" w:cs="Arial"/>
          <w:lang w:val="es-ES"/>
        </w:rPr>
        <w:t>l reglamento de mediación ICOM-OMPI proporciona una opción a medida para las partes involucradas en este tipo de controversias</w:t>
      </w:r>
      <w:r w:rsidR="00394A64" w:rsidRPr="008F762A">
        <w:rPr>
          <w:rFonts w:ascii="Arial" w:hAnsi="Arial" w:cs="Arial"/>
          <w:lang w:val="es-ES"/>
        </w:rPr>
        <w:t>.  E</w:t>
      </w:r>
      <w:r w:rsidR="00572072" w:rsidRPr="008F762A">
        <w:rPr>
          <w:rFonts w:ascii="Arial" w:hAnsi="Arial" w:cs="Arial"/>
          <w:lang w:val="es-ES"/>
        </w:rPr>
        <w:t xml:space="preserve">l Centro ha recibido varias solicitudes </w:t>
      </w:r>
      <w:r w:rsidR="00462EE1" w:rsidRPr="008F762A">
        <w:rPr>
          <w:rFonts w:ascii="Arial" w:hAnsi="Arial" w:cs="Arial"/>
          <w:lang w:val="es-ES"/>
        </w:rPr>
        <w:t xml:space="preserve">para </w:t>
      </w:r>
      <w:r w:rsidR="00572072" w:rsidRPr="008F762A">
        <w:rPr>
          <w:rFonts w:ascii="Arial" w:hAnsi="Arial" w:cs="Arial"/>
          <w:lang w:val="es-ES"/>
        </w:rPr>
        <w:t>someter este tipo de controversias al procedimiento de media</w:t>
      </w:r>
      <w:r w:rsidR="00BA4B17">
        <w:rPr>
          <w:rFonts w:ascii="Arial" w:hAnsi="Arial" w:cs="Arial"/>
          <w:lang w:val="es-ES"/>
        </w:rPr>
        <w:t xml:space="preserve">ción creado conjuntamente por el ICOM y la </w:t>
      </w:r>
      <w:r w:rsidR="00572072" w:rsidRPr="008F762A">
        <w:rPr>
          <w:rFonts w:ascii="Arial" w:hAnsi="Arial" w:cs="Arial"/>
          <w:lang w:val="es-ES"/>
        </w:rPr>
        <w:t>OMPI</w:t>
      </w:r>
      <w:r w:rsidR="002F61D0" w:rsidRPr="008F762A">
        <w:rPr>
          <w:rFonts w:ascii="Arial" w:hAnsi="Arial" w:cs="Arial"/>
          <w:lang w:val="es-ES"/>
        </w:rPr>
        <w:t>.</w:t>
      </w:r>
    </w:p>
    <w:p w:rsidR="009E7935" w:rsidRPr="008F762A" w:rsidRDefault="00572072" w:rsidP="00301C60">
      <w:pPr>
        <w:pStyle w:val="Heading3"/>
        <w:keepLines/>
        <w:ind w:left="567"/>
        <w:rPr>
          <w:lang w:val="es-ES"/>
        </w:rPr>
      </w:pPr>
      <w:r w:rsidRPr="008F762A">
        <w:rPr>
          <w:u w:val="none"/>
          <w:lang w:val="es-ES"/>
        </w:rPr>
        <w:t>ii)</w:t>
      </w:r>
      <w:r w:rsidR="00301C60" w:rsidRPr="008F762A">
        <w:rPr>
          <w:u w:val="none"/>
          <w:lang w:val="es-ES"/>
        </w:rPr>
        <w:tab/>
      </w:r>
      <w:r w:rsidRPr="008F762A">
        <w:rPr>
          <w:lang w:val="es-ES"/>
        </w:rPr>
        <w:t>Cine y medios de comunicación</w:t>
      </w:r>
    </w:p>
    <w:p w:rsidR="009E7935" w:rsidRPr="008F762A" w:rsidRDefault="009E7935" w:rsidP="00301C60">
      <w:pPr>
        <w:pStyle w:val="ListParagraph"/>
        <w:keepNext/>
        <w:keepLines/>
        <w:spacing w:line="240" w:lineRule="auto"/>
        <w:ind w:left="0"/>
        <w:rPr>
          <w:rFonts w:ascii="Arial" w:hAnsi="Arial" w:cs="Arial"/>
          <w:u w:val="single"/>
          <w:lang w:val="es-ES"/>
        </w:rPr>
      </w:pPr>
    </w:p>
    <w:p w:rsidR="009E7935" w:rsidRPr="008F762A" w:rsidRDefault="00880E28" w:rsidP="00301C60">
      <w:pPr>
        <w:pStyle w:val="ListParagraph"/>
        <w:keepNext/>
        <w:keepLines/>
        <w:numPr>
          <w:ilvl w:val="0"/>
          <w:numId w:val="9"/>
        </w:numPr>
        <w:spacing w:line="240" w:lineRule="auto"/>
        <w:ind w:left="0" w:firstLine="0"/>
        <w:rPr>
          <w:rFonts w:ascii="Arial" w:hAnsi="Arial" w:cs="Arial"/>
          <w:lang w:val="es-ES"/>
        </w:rPr>
      </w:pPr>
      <w:r w:rsidRPr="008F762A">
        <w:rPr>
          <w:rFonts w:ascii="Arial" w:hAnsi="Arial" w:cs="Arial"/>
          <w:lang w:val="es-ES"/>
        </w:rPr>
        <w:t>Con la apertura de nuevos centros de producción de cine y t</w:t>
      </w:r>
      <w:r w:rsidR="003E04F8" w:rsidRPr="008F762A">
        <w:rPr>
          <w:rFonts w:ascii="Arial" w:hAnsi="Arial" w:cs="Arial"/>
          <w:lang w:val="es-ES"/>
        </w:rPr>
        <w:t>elevisión en todo el mundo, el C</w:t>
      </w:r>
      <w:r w:rsidRPr="008F762A">
        <w:rPr>
          <w:rFonts w:ascii="Arial" w:hAnsi="Arial" w:cs="Arial"/>
          <w:lang w:val="es-ES"/>
        </w:rPr>
        <w:t xml:space="preserve">entro ha elaborado </w:t>
      </w:r>
      <w:r w:rsidR="00D274E2" w:rsidRPr="008F762A">
        <w:rPr>
          <w:rFonts w:ascii="Arial" w:hAnsi="Arial" w:cs="Arial"/>
          <w:lang w:val="es-ES"/>
        </w:rPr>
        <w:t xml:space="preserve">el </w:t>
      </w:r>
      <w:r w:rsidRPr="008F762A">
        <w:rPr>
          <w:rFonts w:ascii="Arial" w:hAnsi="Arial" w:cs="Arial"/>
          <w:lang w:val="es-ES"/>
        </w:rPr>
        <w:t>reglamento de mediación y de a</w:t>
      </w:r>
      <w:r w:rsidR="003E04F8" w:rsidRPr="008F762A">
        <w:rPr>
          <w:rFonts w:ascii="Arial" w:hAnsi="Arial" w:cs="Arial"/>
          <w:lang w:val="es-ES"/>
        </w:rPr>
        <w:t>r</w:t>
      </w:r>
      <w:r w:rsidRPr="008F762A">
        <w:rPr>
          <w:rFonts w:ascii="Arial" w:hAnsi="Arial" w:cs="Arial"/>
          <w:lang w:val="es-ES"/>
        </w:rPr>
        <w:t xml:space="preserve">bitraje acelerado </w:t>
      </w:r>
      <w:r w:rsidR="00D274E2" w:rsidRPr="008F762A">
        <w:rPr>
          <w:rFonts w:ascii="Arial" w:hAnsi="Arial" w:cs="Arial"/>
          <w:lang w:val="es-ES"/>
        </w:rPr>
        <w:t xml:space="preserve">de la OMPI </w:t>
      </w:r>
      <w:r w:rsidRPr="008F762A">
        <w:rPr>
          <w:rFonts w:ascii="Arial" w:hAnsi="Arial" w:cs="Arial"/>
          <w:lang w:val="es-ES"/>
        </w:rPr>
        <w:t>para</w:t>
      </w:r>
      <w:r w:rsidR="00D274E2" w:rsidRPr="008F762A">
        <w:rPr>
          <w:rFonts w:ascii="Arial" w:hAnsi="Arial" w:cs="Arial"/>
          <w:lang w:val="es-ES"/>
        </w:rPr>
        <w:t xml:space="preserve"> el sector del</w:t>
      </w:r>
      <w:r w:rsidRPr="008F762A">
        <w:rPr>
          <w:rFonts w:ascii="Arial" w:hAnsi="Arial" w:cs="Arial"/>
          <w:lang w:val="es-ES"/>
        </w:rPr>
        <w:t xml:space="preserve"> cine y </w:t>
      </w:r>
      <w:r w:rsidR="00726C59">
        <w:rPr>
          <w:rFonts w:ascii="Arial" w:hAnsi="Arial" w:cs="Arial"/>
          <w:lang w:val="es-ES"/>
        </w:rPr>
        <w:t xml:space="preserve">de los </w:t>
      </w:r>
      <w:r w:rsidRPr="008F762A">
        <w:rPr>
          <w:rFonts w:ascii="Arial" w:hAnsi="Arial" w:cs="Arial"/>
          <w:lang w:val="es-ES"/>
        </w:rPr>
        <w:t>medios de comunicación</w:t>
      </w:r>
      <w:r w:rsidR="00394A64" w:rsidRPr="008F762A">
        <w:rPr>
          <w:rFonts w:ascii="Arial" w:hAnsi="Arial" w:cs="Arial"/>
          <w:lang w:val="es-ES"/>
        </w:rPr>
        <w:t>,</w:t>
      </w:r>
      <w:r w:rsidR="00394A64" w:rsidRPr="008F762A">
        <w:rPr>
          <w:rStyle w:val="FootnoteReference"/>
          <w:rFonts w:ascii="Arial" w:hAnsi="Arial"/>
          <w:lang w:val="es-ES"/>
        </w:rPr>
        <w:footnoteReference w:id="10"/>
      </w:r>
      <w:r w:rsidRPr="008F762A">
        <w:rPr>
          <w:rFonts w:ascii="Arial" w:hAnsi="Arial" w:cs="Arial"/>
          <w:lang w:val="es-ES"/>
        </w:rPr>
        <w:t xml:space="preserve"> así como</w:t>
      </w:r>
      <w:r w:rsidR="00D274E2" w:rsidRPr="008F762A">
        <w:rPr>
          <w:rFonts w:ascii="Arial" w:hAnsi="Arial" w:cs="Arial"/>
          <w:lang w:val="es-ES"/>
        </w:rPr>
        <w:t xml:space="preserve"> </w:t>
      </w:r>
      <w:r w:rsidR="00726C59">
        <w:rPr>
          <w:rFonts w:ascii="Arial" w:hAnsi="Arial" w:cs="Arial"/>
          <w:lang w:val="es-ES"/>
        </w:rPr>
        <w:t xml:space="preserve">el modelo de </w:t>
      </w:r>
      <w:r w:rsidR="00D274E2" w:rsidRPr="008F762A">
        <w:rPr>
          <w:rFonts w:ascii="Arial" w:hAnsi="Arial" w:cs="Arial"/>
          <w:lang w:val="es-ES"/>
        </w:rPr>
        <w:t xml:space="preserve">cláusulas contractuales y acuerdos de sometimiento </w:t>
      </w:r>
      <w:r w:rsidR="003E04F8" w:rsidRPr="008F762A">
        <w:rPr>
          <w:rFonts w:ascii="Arial" w:hAnsi="Arial" w:cs="Arial"/>
          <w:lang w:val="es-ES"/>
        </w:rPr>
        <w:t>con el objetivo de</w:t>
      </w:r>
      <w:r w:rsidRPr="008F762A">
        <w:rPr>
          <w:rFonts w:ascii="Arial" w:hAnsi="Arial" w:cs="Arial"/>
          <w:lang w:val="es-ES"/>
        </w:rPr>
        <w:t xml:space="preserve"> proporcionar un marco de solución extrajudicial de controversias rápido y </w:t>
      </w:r>
      <w:r w:rsidR="0090199E">
        <w:rPr>
          <w:rFonts w:ascii="Arial" w:hAnsi="Arial" w:cs="Arial"/>
          <w:lang w:val="es-ES"/>
        </w:rPr>
        <w:t>económico</w:t>
      </w:r>
      <w:r w:rsidRPr="008F762A">
        <w:rPr>
          <w:rFonts w:ascii="Arial" w:hAnsi="Arial" w:cs="Arial"/>
          <w:lang w:val="es-ES"/>
        </w:rPr>
        <w:t>.</w:t>
      </w:r>
      <w:r w:rsidR="002F61D0" w:rsidRPr="008F762A">
        <w:rPr>
          <w:rFonts w:ascii="Arial" w:hAnsi="Arial" w:cs="Arial"/>
          <w:lang w:val="es-ES"/>
        </w:rPr>
        <w:t xml:space="preserve"> </w:t>
      </w:r>
      <w:r w:rsidR="004077D4" w:rsidRPr="008F762A">
        <w:rPr>
          <w:rFonts w:ascii="Arial" w:hAnsi="Arial" w:cs="Arial"/>
          <w:lang w:val="es-ES"/>
        </w:rPr>
        <w:t xml:space="preserve"> </w:t>
      </w:r>
      <w:r w:rsidR="003E04F8" w:rsidRPr="008F762A">
        <w:rPr>
          <w:rFonts w:ascii="Arial" w:hAnsi="Arial" w:cs="Arial"/>
          <w:lang w:val="es-ES"/>
        </w:rPr>
        <w:t xml:space="preserve">Para las controversias planteadas en virtud de </w:t>
      </w:r>
      <w:r w:rsidR="00D274E2" w:rsidRPr="008F762A">
        <w:rPr>
          <w:rFonts w:ascii="Arial" w:hAnsi="Arial" w:cs="Arial"/>
          <w:lang w:val="es-ES"/>
        </w:rPr>
        <w:t xml:space="preserve">este reglamento, </w:t>
      </w:r>
      <w:r w:rsidR="003E04F8" w:rsidRPr="008F762A">
        <w:rPr>
          <w:rFonts w:ascii="Arial" w:hAnsi="Arial" w:cs="Arial"/>
          <w:lang w:val="es-ES"/>
        </w:rPr>
        <w:t>se ha ajustado el baremo de tasas y costas de la OMPI.</w:t>
      </w:r>
      <w:r w:rsidR="003E04F8" w:rsidRPr="008F762A">
        <w:rPr>
          <w:rStyle w:val="FootnoteReference"/>
          <w:rFonts w:ascii="Arial" w:hAnsi="Arial"/>
          <w:lang w:val="es-ES"/>
        </w:rPr>
        <w:footnoteReference w:id="11"/>
      </w:r>
      <w:r w:rsidR="003E04F8" w:rsidRPr="008F762A">
        <w:rPr>
          <w:rFonts w:ascii="Arial" w:hAnsi="Arial" w:cs="Arial"/>
          <w:lang w:val="es-ES"/>
        </w:rPr>
        <w:t xml:space="preserve"> </w:t>
      </w:r>
    </w:p>
    <w:p w:rsidR="009E7935" w:rsidRPr="008F762A" w:rsidRDefault="009E7935" w:rsidP="006F03B4">
      <w:pPr>
        <w:pStyle w:val="ListParagraph"/>
        <w:spacing w:line="240" w:lineRule="auto"/>
        <w:ind w:left="0"/>
        <w:rPr>
          <w:rFonts w:ascii="Arial" w:hAnsi="Arial" w:cs="Arial"/>
          <w:lang w:val="es-ES"/>
        </w:rPr>
      </w:pPr>
    </w:p>
    <w:p w:rsidR="002F61D0" w:rsidRPr="008F762A" w:rsidRDefault="003B7C74" w:rsidP="00D274E2">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 xml:space="preserve">Además, el Centro y la asociación </w:t>
      </w:r>
      <w:r w:rsidRPr="008F762A">
        <w:rPr>
          <w:rFonts w:ascii="Arial" w:hAnsi="Arial" w:cs="Arial"/>
          <w:i/>
          <w:lang w:val="es-ES"/>
        </w:rPr>
        <w:t>The Format Recognition and Protection Association</w:t>
      </w:r>
      <w:r w:rsidRPr="008F762A">
        <w:rPr>
          <w:rFonts w:ascii="Arial" w:hAnsi="Arial" w:cs="Arial"/>
          <w:lang w:val="es-ES"/>
        </w:rPr>
        <w:t xml:space="preserve"> (FRAPA) colaboran en la facilitación de </w:t>
      </w:r>
      <w:r w:rsidR="00235357">
        <w:rPr>
          <w:rFonts w:ascii="Arial" w:hAnsi="Arial" w:cs="Arial"/>
          <w:lang w:val="es-ES"/>
        </w:rPr>
        <w:t>mecanismos</w:t>
      </w:r>
      <w:r w:rsidRPr="008F762A">
        <w:rPr>
          <w:rFonts w:ascii="Arial" w:hAnsi="Arial" w:cs="Arial"/>
          <w:lang w:val="es-ES"/>
        </w:rPr>
        <w:t xml:space="preserve"> de solución extrajudicial de controversias en materia de formatos de programas de televisión</w:t>
      </w:r>
      <w:r w:rsidR="002F61D0" w:rsidRPr="008F762A">
        <w:rPr>
          <w:rFonts w:ascii="Arial" w:hAnsi="Arial" w:cs="Arial"/>
          <w:lang w:val="es-ES"/>
        </w:rPr>
        <w:t>.</w:t>
      </w:r>
    </w:p>
    <w:p w:rsidR="009E7935" w:rsidRPr="008F762A" w:rsidRDefault="009E7935" w:rsidP="00DC769C">
      <w:pPr>
        <w:pStyle w:val="ListParagraph"/>
        <w:spacing w:line="240" w:lineRule="auto"/>
        <w:ind w:left="0"/>
        <w:rPr>
          <w:rFonts w:ascii="Arial" w:hAnsi="Arial" w:cs="Arial"/>
          <w:lang w:val="es-ES"/>
        </w:rPr>
      </w:pPr>
    </w:p>
    <w:p w:rsidR="009E7935" w:rsidRPr="008F762A" w:rsidRDefault="003B7C74" w:rsidP="00301C60">
      <w:pPr>
        <w:pStyle w:val="Heading3"/>
        <w:keepNext w:val="0"/>
        <w:ind w:left="567"/>
        <w:rPr>
          <w:i/>
          <w:lang w:val="es-ES"/>
        </w:rPr>
      </w:pPr>
      <w:r w:rsidRPr="008F762A">
        <w:rPr>
          <w:u w:val="none"/>
          <w:lang w:val="es-ES"/>
        </w:rPr>
        <w:t>iii)</w:t>
      </w:r>
      <w:r w:rsidR="00301C60" w:rsidRPr="008F762A">
        <w:rPr>
          <w:u w:val="none"/>
          <w:lang w:val="es-ES"/>
        </w:rPr>
        <w:tab/>
      </w:r>
      <w:r w:rsidRPr="008F762A">
        <w:rPr>
          <w:i/>
          <w:lang w:val="es-ES"/>
        </w:rPr>
        <w:t>Tecnologías de la información y las comunicaciones</w:t>
      </w:r>
      <w:r w:rsidRPr="008F762A">
        <w:rPr>
          <w:i/>
          <w:u w:val="none"/>
          <w:lang w:val="es-ES"/>
        </w:rPr>
        <w:t xml:space="preserve"> </w:t>
      </w:r>
    </w:p>
    <w:p w:rsidR="009E7935" w:rsidRPr="008F762A" w:rsidRDefault="009E7935" w:rsidP="006F03B4">
      <w:pPr>
        <w:pStyle w:val="ListParagraph"/>
        <w:spacing w:line="240" w:lineRule="auto"/>
        <w:ind w:left="0"/>
        <w:rPr>
          <w:rFonts w:ascii="Arial" w:hAnsi="Arial" w:cs="Arial"/>
          <w:lang w:val="es-ES"/>
        </w:rPr>
      </w:pPr>
    </w:p>
    <w:p w:rsidR="002F61D0" w:rsidRPr="008F762A" w:rsidRDefault="003B7C74" w:rsidP="00D92578">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 xml:space="preserve">De todos los </w:t>
      </w:r>
      <w:r w:rsidR="00726C59">
        <w:rPr>
          <w:rFonts w:ascii="Arial" w:hAnsi="Arial" w:cs="Arial"/>
          <w:lang w:val="es-ES"/>
        </w:rPr>
        <w:t>procedimientos</w:t>
      </w:r>
      <w:r w:rsidRPr="008F762A">
        <w:rPr>
          <w:rFonts w:ascii="Arial" w:hAnsi="Arial" w:cs="Arial"/>
          <w:lang w:val="es-ES"/>
        </w:rPr>
        <w:t xml:space="preserve"> de mediación y arbitraje administrados por el Centro en virtud de los reglamentos de la OMPI, u</w:t>
      </w:r>
      <w:r w:rsidR="00394A64" w:rsidRPr="008F762A">
        <w:rPr>
          <w:rFonts w:ascii="Arial" w:hAnsi="Arial" w:cs="Arial"/>
          <w:lang w:val="es-ES"/>
        </w:rPr>
        <w:t>n 3</w:t>
      </w:r>
      <w:r w:rsidRPr="008F762A">
        <w:rPr>
          <w:rFonts w:ascii="Arial" w:hAnsi="Arial" w:cs="Arial"/>
          <w:lang w:val="es-ES"/>
        </w:rPr>
        <w:t>3% corresponde al sector de las TIC</w:t>
      </w:r>
      <w:r w:rsidR="00394A64" w:rsidRPr="008F762A">
        <w:rPr>
          <w:rFonts w:ascii="Arial" w:hAnsi="Arial" w:cs="Arial"/>
          <w:lang w:val="es-ES"/>
        </w:rPr>
        <w:t>.  E</w:t>
      </w:r>
      <w:r w:rsidR="00B52CB2" w:rsidRPr="008F762A">
        <w:rPr>
          <w:rFonts w:ascii="Arial" w:hAnsi="Arial" w:cs="Arial"/>
          <w:lang w:val="es-ES"/>
        </w:rPr>
        <w:t xml:space="preserve">l Centro ha formado una asociación con la federación de Singapur </w:t>
      </w:r>
      <w:r w:rsidR="00B52CB2" w:rsidRPr="008F762A">
        <w:rPr>
          <w:rFonts w:ascii="Arial" w:hAnsi="Arial" w:cs="Arial"/>
          <w:i/>
          <w:lang w:val="es-ES"/>
        </w:rPr>
        <w:t xml:space="preserve">Infocomm Technology Federation </w:t>
      </w:r>
      <w:r w:rsidR="00D92578" w:rsidRPr="008F762A">
        <w:rPr>
          <w:rFonts w:ascii="Arial" w:hAnsi="Arial" w:cs="Arial"/>
          <w:lang w:val="es-ES"/>
        </w:rPr>
        <w:t>(SiTF)</w:t>
      </w:r>
      <w:r w:rsidR="00394A64" w:rsidRPr="008F762A">
        <w:rPr>
          <w:rFonts w:ascii="Arial" w:hAnsi="Arial" w:cs="Arial"/>
          <w:lang w:val="es-ES"/>
        </w:rPr>
        <w:t>.  G</w:t>
      </w:r>
      <w:r w:rsidR="00D92578" w:rsidRPr="008F762A">
        <w:rPr>
          <w:rFonts w:ascii="Arial" w:hAnsi="Arial" w:cs="Arial"/>
          <w:lang w:val="es-ES"/>
        </w:rPr>
        <w:t>racias a e</w:t>
      </w:r>
      <w:r w:rsidR="00B52CB2" w:rsidRPr="008F762A">
        <w:rPr>
          <w:rFonts w:ascii="Arial" w:hAnsi="Arial" w:cs="Arial"/>
          <w:lang w:val="es-ES"/>
        </w:rPr>
        <w:t>sta asociación</w:t>
      </w:r>
      <w:r w:rsidR="00D92578" w:rsidRPr="008F762A">
        <w:rPr>
          <w:rFonts w:ascii="Arial" w:hAnsi="Arial" w:cs="Arial"/>
          <w:lang w:val="es-ES"/>
        </w:rPr>
        <w:t xml:space="preserve"> los miembros de la SiTF gozan de</w:t>
      </w:r>
      <w:r w:rsidR="00B52CB2" w:rsidRPr="008F762A">
        <w:rPr>
          <w:rFonts w:ascii="Arial" w:hAnsi="Arial" w:cs="Arial"/>
          <w:lang w:val="es-ES"/>
        </w:rPr>
        <w:t xml:space="preserve"> una reducción </w:t>
      </w:r>
      <w:r w:rsidR="00D92578" w:rsidRPr="008F762A">
        <w:rPr>
          <w:rFonts w:ascii="Arial" w:hAnsi="Arial" w:cs="Arial"/>
          <w:lang w:val="es-ES"/>
        </w:rPr>
        <w:t>en las tasas del Centro</w:t>
      </w:r>
      <w:r w:rsidR="00394A64" w:rsidRPr="008F762A">
        <w:rPr>
          <w:rFonts w:ascii="Arial" w:hAnsi="Arial" w:cs="Arial"/>
          <w:lang w:val="es-ES"/>
        </w:rPr>
        <w:t>.  A</w:t>
      </w:r>
      <w:r w:rsidR="00D92578" w:rsidRPr="008F762A">
        <w:rPr>
          <w:rFonts w:ascii="Arial" w:hAnsi="Arial" w:cs="Arial"/>
          <w:lang w:val="es-ES"/>
        </w:rPr>
        <w:t xml:space="preserve">demás, se ha agregado una cláusula de mediación de la OMPI al programa de términos normalizados de la SiTF llamado </w:t>
      </w:r>
      <w:r w:rsidR="00D92578" w:rsidRPr="008F762A">
        <w:rPr>
          <w:rFonts w:ascii="Arial" w:hAnsi="Arial" w:cs="Arial"/>
          <w:i/>
          <w:lang w:val="es-ES"/>
        </w:rPr>
        <w:t>MatchIt</w:t>
      </w:r>
      <w:r w:rsidR="00D92578" w:rsidRPr="008F762A">
        <w:rPr>
          <w:rFonts w:ascii="Arial" w:hAnsi="Arial" w:cs="Arial"/>
          <w:lang w:val="es-ES"/>
        </w:rPr>
        <w:t>, un servicio que brinda esta federación a sus miembros para poner en relación las necesidades de T.I. con lo</w:t>
      </w:r>
      <w:r w:rsidR="002F61D0" w:rsidRPr="008F762A">
        <w:rPr>
          <w:rFonts w:ascii="Arial" w:hAnsi="Arial" w:cs="Arial"/>
          <w:lang w:val="es-ES"/>
        </w:rPr>
        <w:t>s p</w:t>
      </w:r>
      <w:r w:rsidR="00D92578" w:rsidRPr="008F762A">
        <w:rPr>
          <w:rFonts w:ascii="Arial" w:hAnsi="Arial" w:cs="Arial"/>
          <w:lang w:val="es-ES"/>
        </w:rPr>
        <w:t>roveedores de soluciones pertinentes</w:t>
      </w:r>
      <w:r w:rsidR="002F61D0" w:rsidRPr="008F762A">
        <w:rPr>
          <w:rFonts w:ascii="Arial" w:hAnsi="Arial" w:cs="Arial"/>
          <w:lang w:val="es-ES"/>
        </w:rPr>
        <w:t>.</w:t>
      </w:r>
    </w:p>
    <w:p w:rsidR="009E7935" w:rsidRPr="008F762A" w:rsidRDefault="009E7935" w:rsidP="006F03B4">
      <w:pPr>
        <w:pStyle w:val="ListParagraph"/>
        <w:spacing w:line="240" w:lineRule="auto"/>
        <w:ind w:left="0"/>
        <w:rPr>
          <w:rFonts w:ascii="Arial" w:hAnsi="Arial" w:cs="Arial"/>
          <w:lang w:val="es-ES"/>
        </w:rPr>
      </w:pPr>
    </w:p>
    <w:p w:rsidR="009E7935" w:rsidRPr="008F762A" w:rsidRDefault="0088083D" w:rsidP="000724EB">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 xml:space="preserve">Asimismo, el Centro estudia, en colaboración con varios organismos normativos, entre otros, el Instituto Europeo de Normas de Telecomunicación (ETSI) y el Proyecto </w:t>
      </w:r>
      <w:r w:rsidRPr="008F762A">
        <w:rPr>
          <w:rFonts w:ascii="Arial" w:hAnsi="Arial" w:cs="Arial"/>
          <w:i/>
          <w:lang w:val="es-ES"/>
        </w:rPr>
        <w:t xml:space="preserve">Digital Video Broadcasting </w:t>
      </w:r>
      <w:r w:rsidRPr="008F762A">
        <w:rPr>
          <w:rFonts w:ascii="Arial" w:hAnsi="Arial" w:cs="Arial"/>
          <w:lang w:val="es-ES"/>
        </w:rPr>
        <w:t xml:space="preserve"> (DVB), </w:t>
      </w:r>
      <w:r w:rsidR="00712227">
        <w:rPr>
          <w:rFonts w:ascii="Arial" w:hAnsi="Arial" w:cs="Arial"/>
          <w:lang w:val="es-ES"/>
        </w:rPr>
        <w:t xml:space="preserve">la posibilidad de usar </w:t>
      </w:r>
      <w:r w:rsidR="00235357">
        <w:rPr>
          <w:rFonts w:ascii="Arial" w:hAnsi="Arial" w:cs="Arial"/>
          <w:lang w:val="es-ES"/>
        </w:rPr>
        <w:t>mecanismos</w:t>
      </w:r>
      <w:r w:rsidRPr="008F762A">
        <w:rPr>
          <w:rFonts w:ascii="Arial" w:hAnsi="Arial" w:cs="Arial"/>
          <w:lang w:val="es-ES"/>
        </w:rPr>
        <w:t xml:space="preserve"> de arbitraje de la OMPI en el marco de las patentes relativas a las normas de las tecnologías de la información y las comunicaciones</w:t>
      </w:r>
      <w:r w:rsidR="00394A64" w:rsidRPr="008F762A">
        <w:rPr>
          <w:rFonts w:ascii="Arial" w:hAnsi="Arial" w:cs="Arial"/>
          <w:lang w:val="es-ES"/>
        </w:rPr>
        <w:t>.  E</w:t>
      </w:r>
      <w:r w:rsidR="000724EB" w:rsidRPr="008F762A">
        <w:rPr>
          <w:rFonts w:ascii="Arial" w:hAnsi="Arial" w:cs="Arial"/>
          <w:lang w:val="es-ES"/>
        </w:rPr>
        <w:t xml:space="preserve">l Centro pone a disposición diferentes </w:t>
      </w:r>
      <w:hyperlink r:id="rId10" w:history="1">
        <w:r w:rsidR="00726C59">
          <w:rPr>
            <w:rStyle w:val="Hyperlink"/>
            <w:rFonts w:ascii="Arial" w:hAnsi="Arial" w:cs="Arial"/>
            <w:color w:val="auto"/>
            <w:lang w:val="es-ES"/>
          </w:rPr>
          <w:t>modelos de a</w:t>
        </w:r>
        <w:r w:rsidR="000724EB" w:rsidRPr="008F762A">
          <w:rPr>
            <w:rStyle w:val="Hyperlink"/>
            <w:rFonts w:ascii="Arial" w:hAnsi="Arial" w:cs="Arial"/>
            <w:color w:val="auto"/>
            <w:lang w:val="es-ES"/>
          </w:rPr>
          <w:t>cuerdos de sometimiento</w:t>
        </w:r>
        <w:r w:rsidR="00D274E2" w:rsidRPr="008F762A">
          <w:rPr>
            <w:rStyle w:val="Hyperlink"/>
            <w:rFonts w:ascii="Arial" w:hAnsi="Arial" w:cs="Arial"/>
            <w:color w:val="auto"/>
            <w:lang w:val="es-ES"/>
          </w:rPr>
          <w:t xml:space="preserve"> </w:t>
        </w:r>
        <w:r w:rsidR="000724EB" w:rsidRPr="008F762A">
          <w:rPr>
            <w:rStyle w:val="Hyperlink"/>
            <w:rFonts w:ascii="Arial" w:hAnsi="Arial" w:cs="Arial"/>
            <w:color w:val="auto"/>
            <w:lang w:val="es-ES"/>
          </w:rPr>
          <w:t>de la OMPI</w:t>
        </w:r>
      </w:hyperlink>
      <w:r w:rsidR="000724EB" w:rsidRPr="008F762A">
        <w:rPr>
          <w:rFonts w:ascii="Arial" w:hAnsi="Arial" w:cs="Arial"/>
          <w:lang w:val="es-ES"/>
        </w:rPr>
        <w:t xml:space="preserve"> que las partes pueden utilizar para resolver una controversia en condiciones normalizadas, justas, razonables y no discriminatorias </w:t>
      </w:r>
      <w:r w:rsidR="00716E21" w:rsidRPr="008F762A">
        <w:rPr>
          <w:rFonts w:ascii="Arial" w:hAnsi="Arial" w:cs="Arial"/>
          <w:lang w:val="es-ES"/>
        </w:rPr>
        <w:t>mediante</w:t>
      </w:r>
      <w:r w:rsidR="000724EB" w:rsidRPr="008F762A">
        <w:rPr>
          <w:rFonts w:ascii="Arial" w:hAnsi="Arial" w:cs="Arial"/>
          <w:lang w:val="es-ES"/>
        </w:rPr>
        <w:t xml:space="preserve"> los procedimientos de arbitraje o arbitraje acelerado de la OMPI.</w:t>
      </w:r>
      <w:r w:rsidR="000724EB" w:rsidRPr="008F762A">
        <w:rPr>
          <w:rStyle w:val="FootnoteReference"/>
          <w:rFonts w:ascii="Arial" w:hAnsi="Arial"/>
          <w:lang w:val="es-ES"/>
        </w:rPr>
        <w:footnoteReference w:id="12"/>
      </w:r>
      <w:r w:rsidR="000724EB" w:rsidRPr="008F762A">
        <w:rPr>
          <w:rFonts w:ascii="Arial" w:hAnsi="Arial" w:cs="Arial"/>
          <w:lang w:val="es-ES"/>
        </w:rPr>
        <w:t xml:space="preserve">  </w:t>
      </w:r>
    </w:p>
    <w:p w:rsidR="009E7935" w:rsidRPr="008F762A" w:rsidRDefault="000B3642" w:rsidP="000B3642">
      <w:pPr>
        <w:pStyle w:val="Heading3"/>
        <w:keepLines/>
        <w:ind w:left="567"/>
        <w:rPr>
          <w:lang w:val="es-ES"/>
        </w:rPr>
      </w:pPr>
      <w:r w:rsidRPr="008F762A">
        <w:rPr>
          <w:u w:val="none"/>
          <w:lang w:val="es-ES"/>
        </w:rPr>
        <w:lastRenderedPageBreak/>
        <w:t>iv)</w:t>
      </w:r>
      <w:r w:rsidRPr="008F762A">
        <w:rPr>
          <w:u w:val="none"/>
          <w:lang w:val="es-ES"/>
        </w:rPr>
        <w:tab/>
      </w:r>
      <w:r w:rsidR="001D5BE0" w:rsidRPr="008F762A">
        <w:rPr>
          <w:lang w:val="es-ES"/>
        </w:rPr>
        <w:t>Oficinas de propiedad intelectual</w:t>
      </w:r>
      <w:r w:rsidR="00051356" w:rsidRPr="008F762A">
        <w:rPr>
          <w:lang w:val="es-ES"/>
        </w:rPr>
        <w:t xml:space="preserve"> (OPI)</w:t>
      </w:r>
    </w:p>
    <w:p w:rsidR="009E7935" w:rsidRPr="008F762A" w:rsidRDefault="009E7935" w:rsidP="000B3642">
      <w:pPr>
        <w:pStyle w:val="ListParagraph"/>
        <w:keepNext/>
        <w:keepLines/>
        <w:spacing w:line="240" w:lineRule="auto"/>
        <w:ind w:left="0"/>
        <w:rPr>
          <w:rFonts w:ascii="Arial" w:hAnsi="Arial" w:cs="Arial"/>
          <w:u w:val="single"/>
          <w:lang w:val="es-ES"/>
        </w:rPr>
      </w:pPr>
    </w:p>
    <w:p w:rsidR="002F61D0" w:rsidRPr="008F762A" w:rsidRDefault="00F71F65" w:rsidP="000B3642">
      <w:pPr>
        <w:pStyle w:val="ListParagraph"/>
        <w:keepNext/>
        <w:keepLines/>
        <w:numPr>
          <w:ilvl w:val="0"/>
          <w:numId w:val="9"/>
        </w:numPr>
        <w:spacing w:line="240" w:lineRule="auto"/>
        <w:ind w:left="0" w:firstLine="0"/>
        <w:rPr>
          <w:rFonts w:ascii="Arial" w:hAnsi="Arial" w:cs="Arial"/>
          <w:lang w:val="es-ES"/>
        </w:rPr>
      </w:pPr>
      <w:r w:rsidRPr="008F762A">
        <w:rPr>
          <w:rFonts w:ascii="Arial" w:hAnsi="Arial" w:cs="Arial"/>
          <w:lang w:val="es-ES"/>
        </w:rPr>
        <w:t>Como novedad, el Cent</w:t>
      </w:r>
      <w:r w:rsidR="00726C59">
        <w:rPr>
          <w:rFonts w:ascii="Arial" w:hAnsi="Arial" w:cs="Arial"/>
          <w:lang w:val="es-ES"/>
        </w:rPr>
        <w:t>ro ofrece servicios a las OPI para</w:t>
      </w:r>
      <w:r w:rsidRPr="008F762A">
        <w:rPr>
          <w:rFonts w:ascii="Arial" w:hAnsi="Arial" w:cs="Arial"/>
          <w:lang w:val="es-ES"/>
        </w:rPr>
        <w:t xml:space="preserve"> el establecimiento de marcos facultativos de solución de controversias.</w:t>
      </w:r>
      <w:r w:rsidR="0018759B" w:rsidRPr="008F762A">
        <w:rPr>
          <w:rFonts w:ascii="Arial" w:hAnsi="Arial" w:cs="Arial"/>
          <w:lang w:val="es-ES"/>
        </w:rPr>
        <w:t xml:space="preserve">  </w:t>
      </w:r>
      <w:r w:rsidRPr="008F762A">
        <w:rPr>
          <w:rFonts w:ascii="Arial" w:hAnsi="Arial" w:cs="Arial"/>
          <w:lang w:val="es-ES"/>
        </w:rPr>
        <w:t xml:space="preserve">Dicha colaboración, que incluye asimismo programas de formación y administración de casos, tiene por finalidad ofrecer a las partes opciones </w:t>
      </w:r>
      <w:r w:rsidR="00051356" w:rsidRPr="008F762A">
        <w:rPr>
          <w:rFonts w:ascii="Arial" w:hAnsi="Arial" w:cs="Arial"/>
          <w:lang w:val="es-ES"/>
        </w:rPr>
        <w:t>económicas</w:t>
      </w:r>
      <w:r w:rsidRPr="008F762A">
        <w:rPr>
          <w:rFonts w:ascii="Arial" w:hAnsi="Arial" w:cs="Arial"/>
          <w:lang w:val="es-ES"/>
        </w:rPr>
        <w:t xml:space="preserve"> y flexibles para </w:t>
      </w:r>
      <w:r w:rsidR="00051356" w:rsidRPr="008F762A">
        <w:rPr>
          <w:rFonts w:ascii="Arial" w:hAnsi="Arial" w:cs="Arial"/>
          <w:lang w:val="es-ES"/>
        </w:rPr>
        <w:t>solucionar</w:t>
      </w:r>
      <w:r w:rsidRPr="008F762A">
        <w:rPr>
          <w:rFonts w:ascii="Arial" w:hAnsi="Arial" w:cs="Arial"/>
          <w:lang w:val="es-ES"/>
        </w:rPr>
        <w:t xml:space="preserve"> sus controversias en las OPI en relación con solicitudes pendientes y derechos concedidos</w:t>
      </w:r>
      <w:r w:rsidR="002F61D0" w:rsidRPr="008F762A">
        <w:rPr>
          <w:rFonts w:ascii="Arial" w:hAnsi="Arial" w:cs="Arial"/>
          <w:lang w:val="es-ES"/>
        </w:rPr>
        <w:t>.</w:t>
      </w:r>
    </w:p>
    <w:p w:rsidR="009E7935" w:rsidRPr="008F762A" w:rsidRDefault="009E7935" w:rsidP="00133109">
      <w:pPr>
        <w:pStyle w:val="ListParagraph"/>
        <w:keepNext/>
        <w:keepLines/>
        <w:spacing w:line="240" w:lineRule="auto"/>
        <w:ind w:left="0"/>
        <w:rPr>
          <w:rFonts w:ascii="Arial" w:hAnsi="Arial" w:cs="Arial"/>
          <w:lang w:val="es-ES"/>
        </w:rPr>
      </w:pPr>
    </w:p>
    <w:p w:rsidR="002F61D0" w:rsidRPr="008F762A" w:rsidRDefault="00F71F65" w:rsidP="00F71F65">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 xml:space="preserve">Tras el establecimiento de un procedimiento conjunto de solución de controversias destinado a facilitar la mediación en casos de oposición </w:t>
      </w:r>
      <w:r w:rsidR="004072B8">
        <w:rPr>
          <w:rFonts w:ascii="Arial" w:hAnsi="Arial" w:cs="Arial"/>
          <w:lang w:val="es-ES"/>
        </w:rPr>
        <w:t>en el ámbito de</w:t>
      </w:r>
      <w:r w:rsidRPr="008F762A">
        <w:rPr>
          <w:rFonts w:ascii="Arial" w:hAnsi="Arial" w:cs="Arial"/>
          <w:lang w:val="es-ES"/>
        </w:rPr>
        <w:t xml:space="preserve"> las marcas en la Oficina de Propiedad Intelectual de Singapur, el Centro administró el primero de tales </w:t>
      </w:r>
      <w:r w:rsidR="004072B8">
        <w:rPr>
          <w:rFonts w:ascii="Arial" w:hAnsi="Arial" w:cs="Arial"/>
          <w:lang w:val="es-ES"/>
        </w:rPr>
        <w:t>procedimientos</w:t>
      </w:r>
      <w:r w:rsidRPr="008F762A">
        <w:rPr>
          <w:rFonts w:ascii="Arial" w:hAnsi="Arial" w:cs="Arial"/>
          <w:lang w:val="es-ES"/>
        </w:rPr>
        <w:t xml:space="preserve"> de mediación.</w:t>
      </w:r>
      <w:r w:rsidRPr="008F762A">
        <w:rPr>
          <w:rStyle w:val="FootnoteReference"/>
          <w:rFonts w:ascii="Arial" w:hAnsi="Arial"/>
          <w:lang w:val="es-ES"/>
        </w:rPr>
        <w:footnoteReference w:id="13"/>
      </w:r>
      <w:r w:rsidR="0018759B" w:rsidRPr="008F762A">
        <w:rPr>
          <w:rFonts w:ascii="Arial" w:hAnsi="Arial" w:cs="Arial"/>
          <w:lang w:val="es-ES"/>
        </w:rPr>
        <w:t xml:space="preserve">  </w:t>
      </w:r>
      <w:r w:rsidRPr="008F762A">
        <w:rPr>
          <w:rFonts w:ascii="Arial" w:hAnsi="Arial" w:cs="Arial"/>
          <w:lang w:val="es-ES"/>
        </w:rPr>
        <w:t>Se está evaluando la posibilidad de aprovechar la experiencia adquirida también para los procedimientos ventilados ante la Oficina de Propiedad Intelectual de Singapur en el ámbito de las patentes y los diseños industriales</w:t>
      </w:r>
      <w:r w:rsidR="002F61D0" w:rsidRPr="008F762A">
        <w:rPr>
          <w:rFonts w:ascii="Arial" w:hAnsi="Arial" w:cs="Arial"/>
          <w:lang w:val="es-ES"/>
        </w:rPr>
        <w:t>.</w:t>
      </w:r>
    </w:p>
    <w:p w:rsidR="009E7935" w:rsidRPr="008F762A" w:rsidRDefault="009E7935" w:rsidP="006F03B4">
      <w:pPr>
        <w:pStyle w:val="ListParagraph"/>
        <w:spacing w:line="240" w:lineRule="auto"/>
        <w:ind w:left="0"/>
        <w:rPr>
          <w:rFonts w:ascii="Arial" w:hAnsi="Arial" w:cs="Arial"/>
          <w:lang w:val="es-ES"/>
        </w:rPr>
      </w:pPr>
    </w:p>
    <w:p w:rsidR="009E7935" w:rsidRPr="008F762A" w:rsidRDefault="00F71F65" w:rsidP="00F71F65">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El Centro está colaborando asimismo en la elaboración de opciones de mediación y arbitraje en los procedimientos de marcas y patentes del Instituto Nacional de Propiedad Industrial del Brasil (INPI-BR).</w:t>
      </w:r>
      <w:r w:rsidR="0018759B" w:rsidRPr="008F762A">
        <w:rPr>
          <w:rFonts w:ascii="Arial" w:hAnsi="Arial" w:cs="Arial"/>
          <w:lang w:val="es-ES"/>
        </w:rPr>
        <w:t xml:space="preserve">  </w:t>
      </w:r>
      <w:r w:rsidRPr="008F762A">
        <w:rPr>
          <w:rFonts w:ascii="Arial" w:hAnsi="Arial" w:cs="Arial"/>
          <w:lang w:val="es-ES"/>
        </w:rPr>
        <w:t>El INPI-BR ha designado al Centro como el administrador de los casos de mediación y arbitraje en que una o ambas partes tienen el domicilio fuera del Brasil.</w:t>
      </w:r>
      <w:r w:rsidRPr="008F762A">
        <w:rPr>
          <w:rStyle w:val="FootnoteReference"/>
          <w:rFonts w:ascii="Arial" w:hAnsi="Arial"/>
          <w:lang w:val="es-ES"/>
        </w:rPr>
        <w:footnoteReference w:id="14"/>
      </w:r>
      <w:r w:rsidR="0018759B" w:rsidRPr="008F762A">
        <w:rPr>
          <w:rFonts w:ascii="Arial" w:hAnsi="Arial" w:cs="Arial"/>
          <w:lang w:val="es-ES"/>
        </w:rPr>
        <w:t xml:space="preserve"> </w:t>
      </w:r>
    </w:p>
    <w:p w:rsidR="009E7935" w:rsidRPr="008F762A" w:rsidRDefault="0018759B" w:rsidP="000B3642">
      <w:pPr>
        <w:pStyle w:val="Heading3"/>
        <w:keepNext w:val="0"/>
        <w:ind w:left="567"/>
        <w:rPr>
          <w:lang w:val="es-ES"/>
        </w:rPr>
      </w:pPr>
      <w:r w:rsidRPr="008F762A">
        <w:rPr>
          <w:u w:val="none"/>
          <w:lang w:val="es-ES"/>
        </w:rPr>
        <w:t>v)</w:t>
      </w:r>
      <w:r w:rsidRPr="008F762A">
        <w:rPr>
          <w:u w:val="none"/>
          <w:lang w:val="es-ES"/>
        </w:rPr>
        <w:tab/>
      </w:r>
      <w:r w:rsidR="0017747D" w:rsidRPr="008F762A">
        <w:rPr>
          <w:lang w:val="es-ES"/>
        </w:rPr>
        <w:t>Investigación y desarrollo (I+</w:t>
      </w:r>
      <w:r w:rsidRPr="008F762A">
        <w:rPr>
          <w:lang w:val="es-ES"/>
        </w:rPr>
        <w:t>D)</w:t>
      </w:r>
      <w:r w:rsidR="0017747D" w:rsidRPr="008F762A">
        <w:rPr>
          <w:lang w:val="es-ES"/>
        </w:rPr>
        <w:t xml:space="preserve"> y transferencia de tecnología</w:t>
      </w:r>
    </w:p>
    <w:p w:rsidR="009E7935" w:rsidRPr="008F762A" w:rsidRDefault="009E7935" w:rsidP="006F03B4">
      <w:pPr>
        <w:pStyle w:val="ListParagraph"/>
        <w:spacing w:line="240" w:lineRule="auto"/>
        <w:ind w:left="0"/>
        <w:rPr>
          <w:rFonts w:ascii="Arial" w:hAnsi="Arial" w:cs="Arial"/>
          <w:lang w:val="es-ES"/>
        </w:rPr>
      </w:pPr>
    </w:p>
    <w:p w:rsidR="002F61D0" w:rsidRPr="008F762A" w:rsidRDefault="00F71F65" w:rsidP="00C20DB0">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 xml:space="preserve">Otra esfera de actividad del Centro es la prestación de servicios de asesoramiento y administración de </w:t>
      </w:r>
      <w:r w:rsidR="00FB30B2">
        <w:rPr>
          <w:rFonts w:ascii="Arial" w:hAnsi="Arial" w:cs="Arial"/>
          <w:lang w:val="es-ES"/>
        </w:rPr>
        <w:t>procedimientos</w:t>
      </w:r>
      <w:r w:rsidRPr="008F762A">
        <w:rPr>
          <w:rFonts w:ascii="Arial" w:hAnsi="Arial" w:cs="Arial"/>
          <w:lang w:val="es-ES"/>
        </w:rPr>
        <w:t xml:space="preserve"> para ayudar a las partes a resolver las controversias originadas en actividades de I+D y transferencia de tecnología.</w:t>
      </w:r>
      <w:r w:rsidR="0018759B" w:rsidRPr="008F762A">
        <w:rPr>
          <w:rFonts w:ascii="Arial" w:hAnsi="Arial" w:cs="Arial"/>
          <w:lang w:val="es-ES"/>
        </w:rPr>
        <w:t xml:space="preserve">  </w:t>
      </w:r>
      <w:r w:rsidR="00C20DB0" w:rsidRPr="008F762A">
        <w:rPr>
          <w:rFonts w:ascii="Arial" w:hAnsi="Arial" w:cs="Arial"/>
          <w:lang w:val="es-ES"/>
        </w:rPr>
        <w:t xml:space="preserve">Las partes que participan en contratos de investigación y colaboraciones de I+D se sirven muchas veces de los </w:t>
      </w:r>
      <w:r w:rsidR="004072B8" w:rsidRPr="008F762A">
        <w:rPr>
          <w:rFonts w:ascii="Arial" w:hAnsi="Arial" w:cs="Arial"/>
          <w:lang w:val="es-ES"/>
        </w:rPr>
        <w:t>modelo</w:t>
      </w:r>
      <w:r w:rsidR="004072B8">
        <w:rPr>
          <w:rFonts w:ascii="Arial" w:hAnsi="Arial" w:cs="Arial"/>
          <w:lang w:val="es-ES"/>
        </w:rPr>
        <w:t>s</w:t>
      </w:r>
      <w:r w:rsidR="004072B8" w:rsidRPr="008F762A">
        <w:rPr>
          <w:rFonts w:ascii="Arial" w:hAnsi="Arial" w:cs="Arial"/>
          <w:lang w:val="es-ES"/>
        </w:rPr>
        <w:t xml:space="preserve"> </w:t>
      </w:r>
      <w:r w:rsidR="004072B8">
        <w:rPr>
          <w:rFonts w:ascii="Arial" w:hAnsi="Arial" w:cs="Arial"/>
          <w:lang w:val="es-ES"/>
        </w:rPr>
        <w:t>de acuerdo</w:t>
      </w:r>
      <w:r w:rsidR="006B3D7C" w:rsidRPr="008F762A">
        <w:rPr>
          <w:rFonts w:ascii="Arial" w:hAnsi="Arial" w:cs="Arial"/>
          <w:lang w:val="es-ES"/>
        </w:rPr>
        <w:t xml:space="preserve"> </w:t>
      </w:r>
      <w:r w:rsidR="009E7935" w:rsidRPr="008F762A">
        <w:rPr>
          <w:rFonts w:ascii="Arial" w:hAnsi="Arial" w:cs="Arial"/>
          <w:lang w:val="es-ES"/>
        </w:rPr>
        <w:t xml:space="preserve">como </w:t>
      </w:r>
      <w:r w:rsidR="00C20DB0" w:rsidRPr="008F762A">
        <w:rPr>
          <w:rFonts w:ascii="Arial" w:hAnsi="Arial" w:cs="Arial"/>
          <w:lang w:val="es-ES"/>
        </w:rPr>
        <w:t>base para redactar y negociar sus contratos</w:t>
      </w:r>
      <w:r w:rsidR="00394A64" w:rsidRPr="008F762A">
        <w:rPr>
          <w:rFonts w:ascii="Arial" w:hAnsi="Arial" w:cs="Arial"/>
          <w:lang w:val="es-ES"/>
        </w:rPr>
        <w:t>.  A</w:t>
      </w:r>
      <w:r w:rsidRPr="008F762A">
        <w:rPr>
          <w:rFonts w:ascii="Arial" w:hAnsi="Arial" w:cs="Arial"/>
          <w:lang w:val="es-ES"/>
        </w:rPr>
        <w:t xml:space="preserve">sí sucede, por ejemplo, en las colaboraciones multilaterales financiadas con arreglo al Séptimo Programa Marco (7PM) de la Unión Europea, en el que las distintas entidades participantes utilizan el </w:t>
      </w:r>
      <w:r w:rsidR="004072B8">
        <w:rPr>
          <w:rFonts w:ascii="Arial" w:hAnsi="Arial" w:cs="Arial"/>
          <w:lang w:val="es-ES"/>
        </w:rPr>
        <w:t xml:space="preserve">modelo de </w:t>
      </w:r>
      <w:r w:rsidRPr="008F762A">
        <w:rPr>
          <w:rFonts w:ascii="Arial" w:hAnsi="Arial" w:cs="Arial"/>
          <w:lang w:val="es-ES"/>
        </w:rPr>
        <w:t>acuerdo de consorcio DESCA que, desde 2011, recomienda los servicios de mediación y arbitraje acelerado de la OMPI.</w:t>
      </w:r>
      <w:r w:rsidRPr="008F762A">
        <w:rPr>
          <w:rStyle w:val="FootnoteReference"/>
          <w:rFonts w:ascii="Arial" w:hAnsi="Arial"/>
          <w:lang w:val="es-ES"/>
        </w:rPr>
        <w:footnoteReference w:id="15"/>
      </w:r>
      <w:r w:rsidR="0018759B" w:rsidRPr="008F762A">
        <w:rPr>
          <w:rFonts w:ascii="Arial" w:hAnsi="Arial" w:cs="Arial"/>
          <w:lang w:val="es-ES"/>
        </w:rPr>
        <w:t xml:space="preserve">  </w:t>
      </w:r>
      <w:r w:rsidRPr="008F762A">
        <w:rPr>
          <w:rFonts w:ascii="Arial" w:hAnsi="Arial" w:cs="Arial"/>
          <w:lang w:val="es-ES"/>
        </w:rPr>
        <w:t>El acuerdo modelo del Proyecto DESCA abarca muchas industrias de todo el mundo, y en los consorcios de investigación que por él se rigen pueden participar instituciones ajenas a la Unión Europea.</w:t>
      </w:r>
      <w:r w:rsidR="0018759B" w:rsidRPr="008F762A">
        <w:rPr>
          <w:rFonts w:ascii="Arial" w:hAnsi="Arial" w:cs="Arial"/>
          <w:lang w:val="es-ES"/>
        </w:rPr>
        <w:t xml:space="preserve">  </w:t>
      </w:r>
      <w:r w:rsidRPr="008F762A">
        <w:rPr>
          <w:rFonts w:ascii="Arial" w:hAnsi="Arial" w:cs="Arial"/>
          <w:lang w:val="es-ES"/>
        </w:rPr>
        <w:t xml:space="preserve">Los usuarios del </w:t>
      </w:r>
      <w:r w:rsidR="004072B8">
        <w:rPr>
          <w:rFonts w:ascii="Arial" w:hAnsi="Arial" w:cs="Arial"/>
          <w:lang w:val="es-ES"/>
        </w:rPr>
        <w:t xml:space="preserve">modelo de </w:t>
      </w:r>
      <w:r w:rsidRPr="008F762A">
        <w:rPr>
          <w:rFonts w:ascii="Arial" w:hAnsi="Arial" w:cs="Arial"/>
          <w:lang w:val="es-ES"/>
        </w:rPr>
        <w:t>acuerdo del Proyecto DESCA están cambiando sus políticas internas de solución de controversias para garantizar que las cláusulas de solución de controversias de la OMPI se apliquen con coherencia.</w:t>
      </w:r>
      <w:r w:rsidR="0018759B" w:rsidRPr="008F762A">
        <w:rPr>
          <w:rFonts w:ascii="Arial" w:hAnsi="Arial" w:cs="Arial"/>
          <w:lang w:val="es-ES"/>
        </w:rPr>
        <w:t xml:space="preserve">  </w:t>
      </w:r>
      <w:r w:rsidR="00C20DB0" w:rsidRPr="008F762A">
        <w:rPr>
          <w:rFonts w:ascii="Arial" w:hAnsi="Arial" w:cs="Arial"/>
          <w:lang w:val="es-ES"/>
        </w:rPr>
        <w:t xml:space="preserve">Los usuarios de dicho </w:t>
      </w:r>
      <w:r w:rsidR="004072B8">
        <w:rPr>
          <w:rFonts w:ascii="Arial" w:hAnsi="Arial" w:cs="Arial"/>
          <w:lang w:val="es-ES"/>
        </w:rPr>
        <w:t xml:space="preserve">modelo de </w:t>
      </w:r>
      <w:r w:rsidR="00C20DB0" w:rsidRPr="008F762A">
        <w:rPr>
          <w:rFonts w:ascii="Arial" w:hAnsi="Arial" w:cs="Arial"/>
          <w:lang w:val="es-ES"/>
        </w:rPr>
        <w:t xml:space="preserve">acuerdo gozan de una reducción en </w:t>
      </w:r>
      <w:r w:rsidR="001F1EC2">
        <w:rPr>
          <w:rFonts w:ascii="Arial" w:hAnsi="Arial" w:cs="Arial"/>
          <w:lang w:val="es-ES"/>
        </w:rPr>
        <w:t xml:space="preserve">las tasas de </w:t>
      </w:r>
      <w:r w:rsidR="00C20DB0" w:rsidRPr="008F762A">
        <w:rPr>
          <w:rFonts w:ascii="Arial" w:hAnsi="Arial" w:cs="Arial"/>
          <w:lang w:val="es-ES"/>
        </w:rPr>
        <w:t>los servicios de solución de controversias del Centro</w:t>
      </w:r>
      <w:r w:rsidR="002F61D0" w:rsidRPr="008F762A">
        <w:rPr>
          <w:rFonts w:ascii="Arial" w:hAnsi="Arial" w:cs="Arial"/>
          <w:lang w:val="es-ES"/>
        </w:rPr>
        <w:t>.</w:t>
      </w:r>
    </w:p>
    <w:p w:rsidR="009E7935" w:rsidRPr="008F762A" w:rsidRDefault="009E7935" w:rsidP="006F03B4">
      <w:pPr>
        <w:pStyle w:val="ListParagraph"/>
        <w:spacing w:line="240" w:lineRule="auto"/>
        <w:ind w:left="0"/>
        <w:rPr>
          <w:rFonts w:ascii="Arial" w:hAnsi="Arial" w:cs="Arial"/>
          <w:lang w:val="es-ES"/>
        </w:rPr>
      </w:pPr>
    </w:p>
    <w:p w:rsidR="009E7935" w:rsidRPr="008F762A" w:rsidRDefault="003829B9" w:rsidP="003829B9">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lastRenderedPageBreak/>
        <w:t>Además, la</w:t>
      </w:r>
      <w:r w:rsidR="008333A7" w:rsidRPr="008F762A">
        <w:rPr>
          <w:rFonts w:ascii="Arial" w:hAnsi="Arial" w:cs="Arial"/>
          <w:lang w:val="es-ES"/>
        </w:rPr>
        <w:t xml:space="preserve"> guía</w:t>
      </w:r>
      <w:r w:rsidRPr="008F762A">
        <w:rPr>
          <w:rFonts w:ascii="Arial" w:hAnsi="Arial" w:cs="Arial"/>
          <w:lang w:val="es-ES"/>
        </w:rPr>
        <w:t xml:space="preserve"> </w:t>
      </w:r>
      <w:r w:rsidRPr="008F762A">
        <w:rPr>
          <w:rFonts w:ascii="Arial" w:hAnsi="Arial" w:cs="Arial"/>
          <w:i/>
          <w:lang w:val="es-ES"/>
        </w:rPr>
        <w:t xml:space="preserve">Intellectual Property Agreement Guide (IPAG), </w:t>
      </w:r>
      <w:r w:rsidRPr="008F762A">
        <w:rPr>
          <w:rFonts w:ascii="Arial" w:hAnsi="Arial" w:cs="Arial"/>
          <w:lang w:val="es-ES"/>
        </w:rPr>
        <w:t>creada por un grupo de universi</w:t>
      </w:r>
      <w:r w:rsidR="008333A7" w:rsidRPr="008F762A">
        <w:rPr>
          <w:rFonts w:ascii="Arial" w:hAnsi="Arial" w:cs="Arial"/>
          <w:lang w:val="es-ES"/>
        </w:rPr>
        <w:t>d</w:t>
      </w:r>
      <w:r w:rsidRPr="008F762A">
        <w:rPr>
          <w:rFonts w:ascii="Arial" w:hAnsi="Arial" w:cs="Arial"/>
          <w:lang w:val="es-ES"/>
        </w:rPr>
        <w:t>ades y empresas austríacas</w:t>
      </w:r>
      <w:r w:rsidR="00051356" w:rsidRPr="008F762A">
        <w:rPr>
          <w:rFonts w:ascii="Arial" w:hAnsi="Arial" w:cs="Arial"/>
          <w:lang w:val="es-ES"/>
        </w:rPr>
        <w:t xml:space="preserve"> y</w:t>
      </w:r>
      <w:r w:rsidRPr="008F762A">
        <w:rPr>
          <w:rFonts w:ascii="Arial" w:hAnsi="Arial" w:cs="Arial"/>
          <w:lang w:val="es-ES"/>
        </w:rPr>
        <w:t xml:space="preserve"> publicada en octubre d</w:t>
      </w:r>
      <w:r w:rsidR="00394A64" w:rsidRPr="008F762A">
        <w:rPr>
          <w:rFonts w:ascii="Arial" w:hAnsi="Arial" w:cs="Arial"/>
          <w:lang w:val="es-ES"/>
        </w:rPr>
        <w:t>e 2</w:t>
      </w:r>
      <w:r w:rsidRPr="008F762A">
        <w:rPr>
          <w:rFonts w:ascii="Arial" w:hAnsi="Arial" w:cs="Arial"/>
          <w:lang w:val="es-ES"/>
        </w:rPr>
        <w:t xml:space="preserve">013, reúne una serie de acuerdos </w:t>
      </w:r>
      <w:r w:rsidR="002C6ED3">
        <w:rPr>
          <w:rFonts w:ascii="Arial" w:hAnsi="Arial" w:cs="Arial"/>
          <w:lang w:val="es-ES"/>
        </w:rPr>
        <w:t>tipo</w:t>
      </w:r>
      <w:r w:rsidRPr="008F762A">
        <w:rPr>
          <w:rFonts w:ascii="Arial" w:hAnsi="Arial" w:cs="Arial"/>
          <w:lang w:val="es-ES"/>
        </w:rPr>
        <w:t xml:space="preserve">, tales como, una cesión, un acuerdo de confidencialidad, un acuerdo general de cooperación en materia de I+D, un acuerdo de transferencia de material, así como un acuerdo de concesión de licencias sobre patentes y uno de compra y venta de </w:t>
      </w:r>
      <w:r w:rsidR="009E7935" w:rsidRPr="008F762A">
        <w:rPr>
          <w:rFonts w:ascii="Arial" w:hAnsi="Arial" w:cs="Arial"/>
          <w:lang w:val="es-ES"/>
        </w:rPr>
        <w:t xml:space="preserve">activos de </w:t>
      </w:r>
      <w:r w:rsidRPr="008F762A">
        <w:rPr>
          <w:rFonts w:ascii="Arial" w:hAnsi="Arial" w:cs="Arial"/>
          <w:lang w:val="es-ES"/>
        </w:rPr>
        <w:t>P.I</w:t>
      </w:r>
      <w:r w:rsidR="00394A64" w:rsidRPr="008F762A">
        <w:rPr>
          <w:rFonts w:ascii="Arial" w:hAnsi="Arial" w:cs="Arial"/>
          <w:lang w:val="es-ES"/>
        </w:rPr>
        <w:t xml:space="preserve">.  </w:t>
      </w:r>
      <w:r w:rsidR="00394A64" w:rsidRPr="008F762A">
        <w:rPr>
          <w:rFonts w:ascii="Arial" w:hAnsi="Arial" w:cs="Arial"/>
          <w:bCs/>
          <w:lang w:val="es-ES"/>
        </w:rPr>
        <w:t>P</w:t>
      </w:r>
      <w:r w:rsidR="00154CB1" w:rsidRPr="008F762A">
        <w:rPr>
          <w:rFonts w:ascii="Arial" w:hAnsi="Arial" w:cs="Arial"/>
          <w:bCs/>
          <w:lang w:val="es-ES"/>
        </w:rPr>
        <w:t xml:space="preserve">ara la </w:t>
      </w:r>
      <w:r w:rsidR="00CA6A34" w:rsidRPr="008F762A">
        <w:rPr>
          <w:rFonts w:ascii="Arial" w:hAnsi="Arial" w:cs="Arial"/>
          <w:bCs/>
          <w:lang w:val="es-ES"/>
        </w:rPr>
        <w:t xml:space="preserve">solución de controversias </w:t>
      </w:r>
      <w:r w:rsidR="00154CB1" w:rsidRPr="008F762A">
        <w:rPr>
          <w:rFonts w:ascii="Arial" w:hAnsi="Arial" w:cs="Arial"/>
          <w:bCs/>
          <w:lang w:val="es-ES"/>
        </w:rPr>
        <w:t>relativas a</w:t>
      </w:r>
      <w:r w:rsidRPr="008F762A">
        <w:rPr>
          <w:rFonts w:ascii="Arial" w:hAnsi="Arial" w:cs="Arial"/>
          <w:bCs/>
          <w:lang w:val="es-ES"/>
        </w:rPr>
        <w:t xml:space="preserve"> estos acuerdos se recomiendan los procedimientos de arbitraje acelerado de la OMPI, y </w:t>
      </w:r>
      <w:r w:rsidR="00CA6A34" w:rsidRPr="008F762A">
        <w:rPr>
          <w:rFonts w:ascii="Arial" w:hAnsi="Arial" w:cs="Arial"/>
          <w:bCs/>
          <w:lang w:val="es-ES"/>
        </w:rPr>
        <w:t xml:space="preserve">la </w:t>
      </w:r>
      <w:r w:rsidRPr="008F762A">
        <w:rPr>
          <w:rFonts w:ascii="Arial" w:hAnsi="Arial" w:cs="Arial"/>
          <w:bCs/>
          <w:lang w:val="es-ES"/>
        </w:rPr>
        <w:t>mediación seguida de</w:t>
      </w:r>
      <w:r w:rsidR="00FB30B2">
        <w:rPr>
          <w:rFonts w:ascii="Arial" w:hAnsi="Arial" w:cs="Arial"/>
          <w:bCs/>
          <w:lang w:val="es-ES"/>
        </w:rPr>
        <w:t>l</w:t>
      </w:r>
      <w:r w:rsidR="00CA6A34" w:rsidRPr="008F762A">
        <w:rPr>
          <w:rFonts w:ascii="Arial" w:hAnsi="Arial" w:cs="Arial"/>
          <w:bCs/>
          <w:lang w:val="es-ES"/>
        </w:rPr>
        <w:t xml:space="preserve"> arbitraje acelerado.</w:t>
      </w:r>
      <w:r w:rsidRPr="008F762A">
        <w:rPr>
          <w:rStyle w:val="FootnoteReference"/>
          <w:rFonts w:ascii="Arial" w:hAnsi="Arial"/>
          <w:lang w:val="es-ES"/>
        </w:rPr>
        <w:footnoteReference w:id="16"/>
      </w:r>
      <w:r w:rsidR="0018759B" w:rsidRPr="008F762A">
        <w:rPr>
          <w:rFonts w:ascii="Arial" w:hAnsi="Arial" w:cs="Arial"/>
          <w:lang w:val="es-ES"/>
        </w:rPr>
        <w:t xml:space="preserve">  </w:t>
      </w:r>
    </w:p>
    <w:p w:rsidR="009E7935" w:rsidRPr="008F762A" w:rsidRDefault="009E7935" w:rsidP="00133109">
      <w:pPr>
        <w:pStyle w:val="ListParagraph"/>
        <w:rPr>
          <w:rFonts w:ascii="Arial" w:hAnsi="Arial" w:cs="Arial"/>
          <w:lang w:val="es-ES"/>
        </w:rPr>
      </w:pPr>
    </w:p>
    <w:p w:rsidR="002F61D0" w:rsidRPr="008F762A" w:rsidRDefault="00070388" w:rsidP="00070388">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 xml:space="preserve">A la luz del interés </w:t>
      </w:r>
      <w:r w:rsidR="009E7935" w:rsidRPr="008F762A">
        <w:rPr>
          <w:rFonts w:ascii="Arial" w:hAnsi="Arial" w:cs="Arial"/>
          <w:lang w:val="es-ES"/>
        </w:rPr>
        <w:t xml:space="preserve">que suscita </w:t>
      </w:r>
      <w:r w:rsidRPr="008F762A">
        <w:rPr>
          <w:rFonts w:ascii="Arial" w:hAnsi="Arial" w:cs="Arial"/>
          <w:lang w:val="es-ES"/>
        </w:rPr>
        <w:t xml:space="preserve">este tema, el Centro organiza periódicamente programas de formación sobre la solución extrajudicial de controversias junto con otras entidades y asociaciones competentes, entre otras, la </w:t>
      </w:r>
      <w:r w:rsidRPr="008F762A">
        <w:rPr>
          <w:rFonts w:ascii="Arial" w:hAnsi="Arial" w:cs="Arial"/>
          <w:i/>
          <w:lang w:val="es-ES"/>
        </w:rPr>
        <w:t>Association of University Technology Managers</w:t>
      </w:r>
      <w:r w:rsidRPr="008F762A">
        <w:rPr>
          <w:rFonts w:ascii="Arial" w:hAnsi="Arial" w:cs="Arial"/>
          <w:lang w:val="es-ES"/>
        </w:rPr>
        <w:t xml:space="preserve"> (AUTM),</w:t>
      </w:r>
      <w:r w:rsidR="000F3DF8" w:rsidRPr="008F762A">
        <w:rPr>
          <w:rFonts w:ascii="Arial" w:hAnsi="Arial" w:cs="Arial"/>
          <w:lang w:val="es-ES"/>
        </w:rPr>
        <w:t xml:space="preserve"> el Proyecto</w:t>
      </w:r>
      <w:r w:rsidRPr="008F762A">
        <w:rPr>
          <w:rFonts w:ascii="Arial" w:hAnsi="Arial" w:cs="Arial"/>
          <w:lang w:val="es-ES"/>
        </w:rPr>
        <w:t xml:space="preserve"> DESCA, la </w:t>
      </w:r>
      <w:r w:rsidRPr="008F762A">
        <w:rPr>
          <w:rFonts w:ascii="Arial" w:hAnsi="Arial" w:cs="Arial"/>
          <w:i/>
          <w:lang w:val="es-ES"/>
        </w:rPr>
        <w:t>European Industrial Research Management Association</w:t>
      </w:r>
      <w:r w:rsidRPr="008F762A">
        <w:rPr>
          <w:rFonts w:ascii="Arial" w:hAnsi="Arial" w:cs="Arial"/>
          <w:lang w:val="es-ES"/>
        </w:rPr>
        <w:t xml:space="preserve"> (EIRMA), la Oficina Europea de Enlace de las organizaciones de investigación alemanas (KOWI), </w:t>
      </w:r>
      <w:r w:rsidR="002F61D0" w:rsidRPr="008F762A">
        <w:rPr>
          <w:rFonts w:ascii="Arial" w:hAnsi="Arial" w:cs="Arial"/>
          <w:lang w:val="es-ES"/>
        </w:rPr>
        <w:t>y l</w:t>
      </w:r>
      <w:r w:rsidRPr="008F762A">
        <w:rPr>
          <w:rFonts w:ascii="Arial" w:hAnsi="Arial" w:cs="Arial"/>
          <w:lang w:val="es-ES"/>
        </w:rPr>
        <w:t xml:space="preserve">a </w:t>
      </w:r>
      <w:r w:rsidRPr="008F762A">
        <w:rPr>
          <w:rFonts w:ascii="Arial" w:hAnsi="Arial" w:cs="Arial"/>
          <w:i/>
          <w:lang w:val="es-ES"/>
        </w:rPr>
        <w:t>Licensing Executives Society</w:t>
      </w:r>
      <w:r w:rsidRPr="008F762A">
        <w:rPr>
          <w:rFonts w:ascii="Arial" w:hAnsi="Arial" w:cs="Arial"/>
          <w:lang w:val="es-ES"/>
        </w:rPr>
        <w:t xml:space="preserve"> (LES)</w:t>
      </w:r>
      <w:r w:rsidR="002F61D0" w:rsidRPr="008F762A">
        <w:rPr>
          <w:rFonts w:ascii="Arial" w:hAnsi="Arial" w:cs="Arial"/>
          <w:lang w:val="es-ES"/>
        </w:rPr>
        <w:t>.</w:t>
      </w:r>
    </w:p>
    <w:p w:rsidR="009E7935" w:rsidRPr="008F762A" w:rsidRDefault="009E7935" w:rsidP="004077D4">
      <w:pPr>
        <w:pStyle w:val="ListParagraph"/>
        <w:rPr>
          <w:rFonts w:ascii="Arial" w:hAnsi="Arial" w:cs="Arial"/>
          <w:lang w:val="es-ES"/>
        </w:rPr>
      </w:pPr>
    </w:p>
    <w:p w:rsidR="009E7935" w:rsidRPr="008F762A" w:rsidRDefault="00496A45" w:rsidP="000B3642">
      <w:pPr>
        <w:pStyle w:val="Heading2"/>
        <w:ind w:left="567" w:hanging="567"/>
        <w:rPr>
          <w:lang w:val="es-ES"/>
        </w:rPr>
      </w:pPr>
      <w:r w:rsidRPr="008F762A">
        <w:rPr>
          <w:caps w:val="0"/>
          <w:lang w:val="es-ES"/>
        </w:rPr>
        <w:t>C.</w:t>
      </w:r>
      <w:r w:rsidR="000B3642" w:rsidRPr="008F762A">
        <w:rPr>
          <w:caps w:val="0"/>
          <w:lang w:val="es-ES"/>
        </w:rPr>
        <w:tab/>
      </w:r>
      <w:r w:rsidRPr="008F762A">
        <w:rPr>
          <w:caps w:val="0"/>
          <w:lang w:val="es-ES"/>
        </w:rPr>
        <w:t>ENCUESTA DE ALCANCE INTERNACIONAL ACERCA DE LA SOLUCIÓN DE CONTROVERSIAS EN EL ÁMBITO DE LAS TRANSACCIONES SOBRE TECNOLOGÍA</w:t>
      </w:r>
    </w:p>
    <w:p w:rsidR="009E7935" w:rsidRPr="008F762A" w:rsidRDefault="009E7935" w:rsidP="006F03B4">
      <w:pPr>
        <w:pStyle w:val="ListParagraph"/>
        <w:spacing w:line="240" w:lineRule="auto"/>
        <w:ind w:left="0"/>
        <w:rPr>
          <w:rFonts w:ascii="Arial" w:hAnsi="Arial" w:cs="Arial"/>
          <w:lang w:val="es-ES"/>
        </w:rPr>
      </w:pPr>
    </w:p>
    <w:p w:rsidR="002F61D0" w:rsidRPr="008F762A" w:rsidRDefault="00DD1393" w:rsidP="00070388">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Tras la conclusión de la encuesta de alcance internacional acerca de la solución de controversias en el ámbito de las transacciones sobre tecnología</w:t>
      </w:r>
      <w:r w:rsidR="00394A64" w:rsidRPr="008F762A">
        <w:rPr>
          <w:rFonts w:ascii="Arial" w:hAnsi="Arial" w:cs="Arial"/>
          <w:lang w:val="es-ES"/>
        </w:rPr>
        <w:t>, en 2</w:t>
      </w:r>
      <w:r w:rsidRPr="008F762A">
        <w:rPr>
          <w:rFonts w:ascii="Arial" w:hAnsi="Arial" w:cs="Arial"/>
          <w:lang w:val="es-ES"/>
        </w:rPr>
        <w:t>013 el Centro puso a disposición un informe (Anexo I) en el que se presentan las prácticas y la motivación de cas</w:t>
      </w:r>
      <w:r w:rsidR="00394A64" w:rsidRPr="008F762A">
        <w:rPr>
          <w:rFonts w:ascii="Arial" w:hAnsi="Arial" w:cs="Arial"/>
          <w:lang w:val="es-ES"/>
        </w:rPr>
        <w:t>i 4</w:t>
      </w:r>
      <w:r w:rsidRPr="008F762A">
        <w:rPr>
          <w:rFonts w:ascii="Arial" w:hAnsi="Arial" w:cs="Arial"/>
          <w:lang w:val="es-ES"/>
        </w:rPr>
        <w:t>00 participantes de más d</w:t>
      </w:r>
      <w:r w:rsidR="00394A64" w:rsidRPr="008F762A">
        <w:rPr>
          <w:rFonts w:ascii="Arial" w:hAnsi="Arial" w:cs="Arial"/>
          <w:lang w:val="es-ES"/>
        </w:rPr>
        <w:t>e 6</w:t>
      </w:r>
      <w:r w:rsidRPr="008F762A">
        <w:rPr>
          <w:rFonts w:ascii="Arial" w:hAnsi="Arial" w:cs="Arial"/>
          <w:lang w:val="es-ES"/>
        </w:rPr>
        <w:t>0 países.</w:t>
      </w:r>
      <w:r w:rsidR="0018759B" w:rsidRPr="008F762A">
        <w:rPr>
          <w:rFonts w:ascii="Arial" w:hAnsi="Arial" w:cs="Arial"/>
          <w:lang w:val="es-ES"/>
        </w:rPr>
        <w:t xml:space="preserve">  </w:t>
      </w:r>
      <w:r w:rsidR="002103F0" w:rsidRPr="008F762A">
        <w:rPr>
          <w:rFonts w:ascii="Arial" w:hAnsi="Arial" w:cs="Arial"/>
          <w:lang w:val="es-ES"/>
        </w:rPr>
        <w:t>En el informe también se evalúa el uso y las ventajas comparativas actuales de los métodos de solución extrajudicial de controversias relacionadas con la tecnología.</w:t>
      </w:r>
      <w:r w:rsidR="0018759B" w:rsidRPr="008F762A">
        <w:rPr>
          <w:vertAlign w:val="superscript"/>
          <w:lang w:val="es-ES"/>
        </w:rPr>
        <w:footnoteReference w:id="17"/>
      </w:r>
      <w:r w:rsidR="0018759B" w:rsidRPr="008F762A">
        <w:rPr>
          <w:rFonts w:ascii="Arial" w:hAnsi="Arial" w:cs="Arial"/>
          <w:lang w:val="es-ES"/>
        </w:rPr>
        <w:t xml:space="preserve">  </w:t>
      </w:r>
      <w:r w:rsidR="00070388" w:rsidRPr="008F762A">
        <w:rPr>
          <w:rFonts w:ascii="Arial" w:hAnsi="Arial" w:cs="Arial"/>
          <w:lang w:val="es-ES"/>
        </w:rPr>
        <w:t xml:space="preserve">Las conclusiones de la encuesta ofrecen una base estadística para determinar las tendencias en la solución de controversias en </w:t>
      </w:r>
      <w:r w:rsidR="009E7935" w:rsidRPr="008F762A">
        <w:rPr>
          <w:rFonts w:ascii="Arial" w:hAnsi="Arial" w:cs="Arial"/>
          <w:lang w:val="es-ES"/>
        </w:rPr>
        <w:t xml:space="preserve">este </w:t>
      </w:r>
      <w:r w:rsidR="00070388" w:rsidRPr="008F762A">
        <w:rPr>
          <w:rFonts w:ascii="Arial" w:hAnsi="Arial" w:cs="Arial"/>
          <w:lang w:val="es-ES"/>
        </w:rPr>
        <w:t>ámbito</w:t>
      </w:r>
      <w:r w:rsidR="00394A64" w:rsidRPr="008F762A">
        <w:rPr>
          <w:rFonts w:ascii="Arial" w:hAnsi="Arial" w:cs="Arial"/>
          <w:lang w:val="es-ES"/>
        </w:rPr>
        <w:t>.  T</w:t>
      </w:r>
      <w:r w:rsidR="00070388" w:rsidRPr="008F762A">
        <w:rPr>
          <w:rFonts w:ascii="Arial" w:hAnsi="Arial" w:cs="Arial"/>
          <w:lang w:val="es-ES"/>
        </w:rPr>
        <w:t>ambién señalan prácticas más extendidas que pueden orientar a los sectores interesados en la P.I. en el diseño de sus estrategias de solución de controversias</w:t>
      </w:r>
      <w:r w:rsidR="00394A64" w:rsidRPr="008F762A">
        <w:rPr>
          <w:rFonts w:ascii="Arial" w:hAnsi="Arial" w:cs="Arial"/>
          <w:lang w:val="es-ES"/>
        </w:rPr>
        <w:t>.  E</w:t>
      </w:r>
      <w:r w:rsidR="00070388" w:rsidRPr="008F762A">
        <w:rPr>
          <w:rFonts w:ascii="Arial" w:hAnsi="Arial" w:cs="Arial"/>
          <w:lang w:val="es-ES"/>
        </w:rPr>
        <w:t>l informe termina facilitando algunas observaciones en relación con dichas estrategias</w:t>
      </w:r>
      <w:r w:rsidR="002F61D0" w:rsidRPr="008F762A">
        <w:rPr>
          <w:rFonts w:ascii="Arial" w:hAnsi="Arial" w:cs="Arial"/>
          <w:lang w:val="es-ES"/>
        </w:rPr>
        <w:t>.</w:t>
      </w:r>
    </w:p>
    <w:p w:rsidR="009E7935" w:rsidRPr="008F762A" w:rsidRDefault="009E7935" w:rsidP="006F03B4">
      <w:pPr>
        <w:pStyle w:val="ListParagraph"/>
        <w:spacing w:line="240" w:lineRule="auto"/>
        <w:ind w:left="0"/>
        <w:rPr>
          <w:rFonts w:ascii="Arial" w:hAnsi="Arial" w:cs="Arial"/>
          <w:lang w:val="es-ES"/>
        </w:rPr>
      </w:pPr>
    </w:p>
    <w:p w:rsidR="002F61D0" w:rsidRPr="008F762A" w:rsidRDefault="00FF20CE" w:rsidP="00A0432D">
      <w:pPr>
        <w:pStyle w:val="ListParagraph"/>
        <w:numPr>
          <w:ilvl w:val="0"/>
          <w:numId w:val="9"/>
        </w:numPr>
        <w:spacing w:line="240" w:lineRule="auto"/>
        <w:ind w:left="0" w:firstLine="0"/>
        <w:rPr>
          <w:rFonts w:ascii="Arial" w:hAnsi="Arial" w:cs="Arial"/>
          <w:lang w:val="es-ES_tradnl"/>
        </w:rPr>
      </w:pPr>
      <w:r w:rsidRPr="008F762A">
        <w:rPr>
          <w:rFonts w:ascii="Arial" w:hAnsi="Arial" w:cs="Arial"/>
          <w:lang w:val="es-ES"/>
        </w:rPr>
        <w:t>En general, la encuesta confirma que las partes en los acuerdos relativos a la tecnología están preocupadas por los costos elevados y los plazos prolongados de los procedimientos de solución de controversias, especialmente en el contexto internacional</w:t>
      </w:r>
      <w:r w:rsidR="00394A64" w:rsidRPr="008F762A">
        <w:rPr>
          <w:rFonts w:ascii="Arial" w:hAnsi="Arial" w:cs="Arial"/>
          <w:lang w:val="es-ES"/>
        </w:rPr>
        <w:t>.  A</w:t>
      </w:r>
      <w:r w:rsidRPr="008F762A">
        <w:rPr>
          <w:rFonts w:ascii="Arial" w:hAnsi="Arial" w:cs="Arial"/>
          <w:lang w:val="es-ES"/>
        </w:rPr>
        <w:t xml:space="preserve">unque los litigios judiciales siguen siendo la vía más corriente, en las respuestas a la encuesta se indica que los mecanismos de solución extrajudicial de controversias ofrecen </w:t>
      </w:r>
      <w:r w:rsidR="00FC627E">
        <w:rPr>
          <w:rFonts w:ascii="Arial" w:hAnsi="Arial" w:cs="Arial"/>
          <w:lang w:val="es-ES"/>
        </w:rPr>
        <w:t>opciones atractivas en cuanto a los</w:t>
      </w:r>
      <w:r w:rsidRPr="008F762A">
        <w:rPr>
          <w:rFonts w:ascii="Arial" w:hAnsi="Arial" w:cs="Arial"/>
          <w:lang w:val="es-ES"/>
        </w:rPr>
        <w:t xml:space="preserve"> costo</w:t>
      </w:r>
      <w:r w:rsidR="00FC627E">
        <w:rPr>
          <w:rFonts w:ascii="Arial" w:hAnsi="Arial" w:cs="Arial"/>
          <w:lang w:val="es-ES"/>
        </w:rPr>
        <w:t>s</w:t>
      </w:r>
      <w:r w:rsidRPr="008F762A">
        <w:rPr>
          <w:rFonts w:ascii="Arial" w:hAnsi="Arial" w:cs="Arial"/>
          <w:lang w:val="es-ES"/>
        </w:rPr>
        <w:t xml:space="preserve"> y </w:t>
      </w:r>
      <w:r w:rsidR="00FC627E">
        <w:rPr>
          <w:rFonts w:ascii="Arial" w:hAnsi="Arial" w:cs="Arial"/>
          <w:lang w:val="es-ES"/>
        </w:rPr>
        <w:t xml:space="preserve">los </w:t>
      </w:r>
      <w:r w:rsidR="00A0432D" w:rsidRPr="008F762A">
        <w:rPr>
          <w:rFonts w:ascii="Arial" w:hAnsi="Arial" w:cs="Arial"/>
          <w:lang w:val="es-ES"/>
        </w:rPr>
        <w:t>plazo</w:t>
      </w:r>
      <w:r w:rsidR="00FC627E">
        <w:rPr>
          <w:rFonts w:ascii="Arial" w:hAnsi="Arial" w:cs="Arial"/>
          <w:lang w:val="es-ES"/>
        </w:rPr>
        <w:t>s</w:t>
      </w:r>
      <w:r w:rsidRPr="008F762A">
        <w:rPr>
          <w:rFonts w:ascii="Arial" w:hAnsi="Arial" w:cs="Arial"/>
          <w:lang w:val="es-ES"/>
        </w:rPr>
        <w:t>, así como la aplicabilidad, la calidad de los resultados y la confidencialidad.</w:t>
      </w:r>
      <w:r w:rsidR="0018759B" w:rsidRPr="008F762A">
        <w:rPr>
          <w:rFonts w:ascii="Arial" w:hAnsi="Arial" w:cs="Arial"/>
          <w:lang w:val="es-ES"/>
        </w:rPr>
        <w:t xml:space="preserve">  </w:t>
      </w:r>
      <w:r w:rsidR="00A0432D" w:rsidRPr="008F762A">
        <w:rPr>
          <w:rFonts w:ascii="Arial" w:hAnsi="Arial" w:cs="Arial"/>
          <w:lang w:val="es-ES_tradnl"/>
        </w:rPr>
        <w:t>Si bien el número de controversias sometidas a los procedimientos de solución extrajudicial de controversias sigue en aumento, todavía queda margen para</w:t>
      </w:r>
      <w:r w:rsidR="00505242" w:rsidRPr="008F762A">
        <w:rPr>
          <w:rFonts w:ascii="Arial" w:hAnsi="Arial" w:cs="Arial"/>
          <w:lang w:val="es-ES_tradnl"/>
        </w:rPr>
        <w:t xml:space="preserve"> recortar gastos y</w:t>
      </w:r>
      <w:r w:rsidR="00A0432D" w:rsidRPr="008F762A">
        <w:rPr>
          <w:rFonts w:ascii="Arial" w:hAnsi="Arial" w:cs="Arial"/>
          <w:lang w:val="es-ES_tradnl"/>
        </w:rPr>
        <w:t xml:space="preserve"> mejorar la productividad mediante una mayor utilización de estos procedimientos.</w:t>
      </w:r>
      <w:r w:rsidR="0018759B" w:rsidRPr="008F762A">
        <w:rPr>
          <w:rFonts w:ascii="Arial" w:hAnsi="Arial" w:cs="Arial"/>
          <w:lang w:val="es-ES"/>
        </w:rPr>
        <w:t xml:space="preserve">  </w:t>
      </w:r>
      <w:r w:rsidR="00A0432D" w:rsidRPr="008F762A">
        <w:rPr>
          <w:rFonts w:ascii="Arial" w:hAnsi="Arial" w:cs="Arial"/>
          <w:lang w:val="es-ES_tradnl"/>
        </w:rPr>
        <w:t>En la encuesta, quedó claro que aún se puede fomentar una mayor utilización de los servicios de mediación</w:t>
      </w:r>
      <w:r w:rsidR="0018759B" w:rsidRPr="008F762A">
        <w:rPr>
          <w:rFonts w:ascii="Arial" w:hAnsi="Arial" w:cs="Arial"/>
          <w:lang w:val="es-ES"/>
        </w:rPr>
        <w:t xml:space="preserve"> </w:t>
      </w:r>
      <w:r w:rsidR="00A0432D" w:rsidRPr="008F762A">
        <w:rPr>
          <w:rFonts w:ascii="Arial" w:hAnsi="Arial" w:cs="Arial"/>
          <w:lang w:val="es-ES_tradnl"/>
        </w:rPr>
        <w:t>en controversias no contractuales</w:t>
      </w:r>
      <w:r w:rsidR="002F61D0" w:rsidRPr="008F762A">
        <w:rPr>
          <w:rFonts w:ascii="Arial" w:hAnsi="Arial" w:cs="Arial"/>
          <w:lang w:val="es-ES_tradnl"/>
        </w:rPr>
        <w:t>.</w:t>
      </w:r>
    </w:p>
    <w:p w:rsidR="009E7935" w:rsidRPr="008F762A" w:rsidRDefault="0018759B" w:rsidP="001011DC">
      <w:pPr>
        <w:pStyle w:val="Heading1"/>
        <w:keepLines/>
        <w:rPr>
          <w:lang w:val="es-ES"/>
        </w:rPr>
      </w:pPr>
      <w:r w:rsidRPr="008F762A">
        <w:rPr>
          <w:lang w:val="es-ES"/>
        </w:rPr>
        <w:lastRenderedPageBreak/>
        <w:t>II.</w:t>
      </w:r>
      <w:r w:rsidRPr="008F762A">
        <w:rPr>
          <w:lang w:val="es-ES"/>
        </w:rPr>
        <w:tab/>
      </w:r>
      <w:r w:rsidR="001011DC" w:rsidRPr="008F762A">
        <w:rPr>
          <w:caps w:val="0"/>
          <w:lang w:val="es-ES_tradnl"/>
        </w:rPr>
        <w:t>SOLUCIÓN DE CONTROVERSIAS EN MATERIA DE NOMBRES DE DOMINIO</w:t>
      </w:r>
    </w:p>
    <w:p w:rsidR="009E7935" w:rsidRPr="008F762A" w:rsidRDefault="000B3642" w:rsidP="000B3642">
      <w:pPr>
        <w:pStyle w:val="Heading2"/>
        <w:keepLines/>
        <w:ind w:left="567" w:hanging="567"/>
        <w:rPr>
          <w:lang w:val="es-ES"/>
        </w:rPr>
      </w:pPr>
      <w:r w:rsidRPr="008F762A">
        <w:rPr>
          <w:caps w:val="0"/>
          <w:lang w:val="es-ES"/>
        </w:rPr>
        <w:t>A.</w:t>
      </w:r>
      <w:r w:rsidRPr="008F762A">
        <w:rPr>
          <w:caps w:val="0"/>
          <w:lang w:val="es-ES"/>
        </w:rPr>
        <w:tab/>
      </w:r>
      <w:r w:rsidR="00FE6B86" w:rsidRPr="008F762A">
        <w:rPr>
          <w:caps w:val="0"/>
          <w:lang w:val="es-ES"/>
        </w:rPr>
        <w:t>POLÍTICA UNIFORME DE SOLUCIÓN DE CONTROVERSIAS EN MATERIA DE NOMBRES DE DOMINIO</w:t>
      </w:r>
    </w:p>
    <w:p w:rsidR="009E7935" w:rsidRPr="008F762A" w:rsidRDefault="009E7935" w:rsidP="00630E95">
      <w:pPr>
        <w:pStyle w:val="ListParagraph"/>
        <w:keepNext/>
        <w:keepLines/>
        <w:spacing w:line="240" w:lineRule="auto"/>
        <w:ind w:left="0"/>
        <w:rPr>
          <w:rFonts w:ascii="Arial" w:hAnsi="Arial" w:cs="Arial"/>
          <w:bCs/>
          <w:iCs/>
          <w:lang w:val="es-ES"/>
        </w:rPr>
      </w:pPr>
    </w:p>
    <w:p w:rsidR="009E7935" w:rsidRPr="008F762A" w:rsidRDefault="00FE6B86" w:rsidP="00FE6B86">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En el contexto de la protección de la P.I., el Sistema de Nombres de Dominio plantea varios desafíos que, debido al carácter mundial de Internet, obligan a adoptar un enfoque internacional.</w:t>
      </w:r>
      <w:r w:rsidR="0018759B" w:rsidRPr="008F762A">
        <w:rPr>
          <w:rFonts w:ascii="Arial" w:hAnsi="Arial" w:cs="Arial"/>
          <w:lang w:val="es-ES"/>
        </w:rPr>
        <w:t xml:space="preserve">  </w:t>
      </w:r>
      <w:r w:rsidRPr="008F762A">
        <w:rPr>
          <w:rFonts w:ascii="Arial" w:hAnsi="Arial" w:cs="Arial"/>
          <w:lang w:val="es-ES"/>
        </w:rPr>
        <w:t>Desde 1998 la OMPI hace frente a esos desafíos ideando soluciones específicas, principalmente en el marco del Primer Proceso de la OMPI</w:t>
      </w:r>
      <w:r w:rsidRPr="008F762A">
        <w:rPr>
          <w:rStyle w:val="FootnoteReference"/>
          <w:rFonts w:ascii="Arial" w:hAnsi="Arial"/>
          <w:lang w:val="es-ES"/>
        </w:rPr>
        <w:footnoteReference w:id="18"/>
      </w:r>
      <w:r w:rsidRPr="008F762A">
        <w:rPr>
          <w:rFonts w:ascii="Arial" w:hAnsi="Arial" w:cs="Arial"/>
          <w:lang w:val="es-ES"/>
        </w:rPr>
        <w:t xml:space="preserve"> relativo a los Nombres de Dominio de Internet y del Segundo Proceso de la OMPI</w:t>
      </w:r>
      <w:r w:rsidRPr="008F762A">
        <w:rPr>
          <w:rStyle w:val="FootnoteReference"/>
          <w:rFonts w:ascii="Arial" w:hAnsi="Arial"/>
          <w:lang w:val="es-ES"/>
        </w:rPr>
        <w:footnoteReference w:id="19"/>
      </w:r>
      <w:r w:rsidRPr="008F762A">
        <w:rPr>
          <w:rFonts w:ascii="Arial" w:hAnsi="Arial" w:cs="Arial"/>
          <w:lang w:val="es-ES"/>
        </w:rPr>
        <w:t xml:space="preserve"> relativo a los Nombres de Dominio de Internet.</w:t>
      </w:r>
      <w:r w:rsidR="0018759B" w:rsidRPr="008F762A">
        <w:rPr>
          <w:rFonts w:ascii="Arial" w:hAnsi="Arial" w:cs="Arial"/>
          <w:lang w:val="es-ES"/>
        </w:rPr>
        <w:t xml:space="preserve">  </w:t>
      </w:r>
      <w:r w:rsidRPr="008F762A">
        <w:rPr>
          <w:rFonts w:ascii="Arial" w:hAnsi="Arial" w:cs="Arial"/>
          <w:lang w:val="es-ES"/>
        </w:rPr>
        <w:t>En particular, el Centro pone a disposición de los propietarios de marcas mecanismos eficaces de carácter internacional para hacer frente al registro y la utilización de mala fe de nombres de dominio que vulneran los derechos que les confieren sus marcas.</w:t>
      </w:r>
    </w:p>
    <w:p w:rsidR="009E7935" w:rsidRPr="008F762A" w:rsidRDefault="009E7935" w:rsidP="006F03B4">
      <w:pPr>
        <w:pStyle w:val="ListParagraph"/>
        <w:spacing w:line="240" w:lineRule="auto"/>
        <w:ind w:left="0"/>
        <w:rPr>
          <w:rFonts w:ascii="Arial" w:hAnsi="Arial" w:cs="Arial"/>
          <w:b/>
          <w:lang w:val="es-ES"/>
        </w:rPr>
      </w:pPr>
    </w:p>
    <w:p w:rsidR="009E7935" w:rsidRPr="008F762A" w:rsidRDefault="002E633F" w:rsidP="009E7935">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El Centro administra los procedimientos de solución de controversias principalmente con arreglo a la Política Uniforme de Solución de Controversias en materia de Nombres de Dominio (Política Uniforme), adoptada por la Corporación de Asignación de Nombres y Números de Internet (ICANN) a partir de las recomendaciones formuladas por la OMPI en el Primer Proceso de la OMPI relativo a los Nombres de Dominio de Internet.</w:t>
      </w:r>
      <w:r w:rsidR="0018759B" w:rsidRPr="008F762A">
        <w:rPr>
          <w:rFonts w:ascii="Arial" w:hAnsi="Arial" w:cs="Arial"/>
          <w:lang w:val="es-ES"/>
        </w:rPr>
        <w:t xml:space="preserve">  </w:t>
      </w:r>
      <w:r w:rsidR="00FE6B86" w:rsidRPr="008F762A">
        <w:rPr>
          <w:rFonts w:ascii="Arial" w:hAnsi="Arial" w:cs="Arial"/>
          <w:lang w:val="es-ES"/>
        </w:rPr>
        <w:t xml:space="preserve">La aplicación de la Política Uniforme se limita a los casos claros de registro y uso abusivos y de mala fe de nombres de dominio, </w:t>
      </w:r>
      <w:r w:rsidR="009E7935" w:rsidRPr="008F762A">
        <w:rPr>
          <w:rFonts w:ascii="Arial" w:hAnsi="Arial" w:cs="Arial"/>
          <w:lang w:val="es-ES"/>
        </w:rPr>
        <w:t xml:space="preserve">y </w:t>
      </w:r>
      <w:r w:rsidR="009E7935" w:rsidRPr="008F762A">
        <w:rPr>
          <w:rFonts w:ascii="Arial" w:hAnsi="Arial" w:cs="Arial"/>
          <w:lang w:val="es-ES_tradnl"/>
        </w:rPr>
        <w:t>goza de la aprobación generalizada de los propietarios de marcas.</w:t>
      </w:r>
      <w:r w:rsidR="0018759B" w:rsidRPr="008F762A">
        <w:rPr>
          <w:rFonts w:ascii="Arial" w:hAnsi="Arial" w:cs="Arial"/>
          <w:lang w:val="es-ES"/>
        </w:rPr>
        <w:t xml:space="preserve">  </w:t>
      </w:r>
      <w:r w:rsidR="00FE6B86" w:rsidRPr="008F762A">
        <w:rPr>
          <w:rFonts w:ascii="Arial" w:hAnsi="Arial" w:cs="Arial"/>
          <w:lang w:val="es-ES"/>
        </w:rPr>
        <w:t>No impide que cualquiera de las partes someta la controversia a un tribunal nacional competente, sin embargo, son pocos los casos resueltos en el marco de la Política Uniforme que también hayan sido sometidos a la decisión de un tribunal nacional.</w:t>
      </w:r>
      <w:r w:rsidR="00FE6B86" w:rsidRPr="008F762A">
        <w:rPr>
          <w:rStyle w:val="FootnoteReference"/>
          <w:rFonts w:ascii="Arial" w:hAnsi="Arial"/>
          <w:lang w:val="es-ES"/>
        </w:rPr>
        <w:footnoteReference w:id="20"/>
      </w:r>
    </w:p>
    <w:p w:rsidR="009E7935" w:rsidRPr="008F762A" w:rsidRDefault="009E7935" w:rsidP="006F03B4">
      <w:pPr>
        <w:pStyle w:val="ListParagraph"/>
        <w:spacing w:line="240" w:lineRule="auto"/>
        <w:ind w:left="0"/>
        <w:rPr>
          <w:rFonts w:ascii="Arial" w:hAnsi="Arial" w:cs="Arial"/>
          <w:lang w:val="es-ES"/>
        </w:rPr>
      </w:pPr>
    </w:p>
    <w:p w:rsidR="009E7935" w:rsidRPr="008F762A" w:rsidRDefault="00F66EB9" w:rsidP="002E633F">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 xml:space="preserve">Desde diciembre de 1999 el Centro ha administrado los procedimientos en más de 27.500 demandas </w:t>
      </w:r>
      <w:r w:rsidR="00586562">
        <w:rPr>
          <w:rFonts w:ascii="Arial" w:hAnsi="Arial" w:cs="Arial"/>
          <w:lang w:val="es-ES"/>
        </w:rPr>
        <w:t xml:space="preserve">presentadas </w:t>
      </w:r>
      <w:r w:rsidRPr="008F762A">
        <w:rPr>
          <w:rFonts w:ascii="Arial" w:hAnsi="Arial" w:cs="Arial"/>
          <w:lang w:val="es-ES"/>
        </w:rPr>
        <w:t>en virtud de la Política Uniforme o por referencia a ésta.</w:t>
      </w:r>
      <w:r w:rsidR="0018759B" w:rsidRPr="008F762A">
        <w:rPr>
          <w:rFonts w:ascii="Arial" w:hAnsi="Arial" w:cs="Arial"/>
          <w:lang w:val="es-ES"/>
        </w:rPr>
        <w:t xml:space="preserve">  </w:t>
      </w:r>
      <w:r w:rsidR="002E633F" w:rsidRPr="008F762A">
        <w:rPr>
          <w:rFonts w:ascii="Arial" w:hAnsi="Arial" w:cs="Arial"/>
          <w:lang w:val="es-ES"/>
        </w:rPr>
        <w:t>La demanda de este servicio de la OMPI se mantuvo e</w:t>
      </w:r>
      <w:r w:rsidR="00394A64" w:rsidRPr="008F762A">
        <w:rPr>
          <w:rFonts w:ascii="Arial" w:hAnsi="Arial" w:cs="Arial"/>
          <w:lang w:val="es-ES"/>
        </w:rPr>
        <w:t>n 2</w:t>
      </w:r>
      <w:r w:rsidR="002E633F" w:rsidRPr="008F762A">
        <w:rPr>
          <w:rFonts w:ascii="Arial" w:hAnsi="Arial" w:cs="Arial"/>
          <w:lang w:val="es-ES"/>
        </w:rPr>
        <w:t>013, y los titulares de registros de marcas presentaron más d</w:t>
      </w:r>
      <w:r w:rsidR="00394A64" w:rsidRPr="008F762A">
        <w:rPr>
          <w:rFonts w:ascii="Arial" w:hAnsi="Arial" w:cs="Arial"/>
          <w:lang w:val="es-ES"/>
        </w:rPr>
        <w:t>e 2</w:t>
      </w:r>
      <w:r w:rsidR="002E633F" w:rsidRPr="008F762A">
        <w:rPr>
          <w:rFonts w:ascii="Arial" w:hAnsi="Arial" w:cs="Arial"/>
          <w:lang w:val="es-ES"/>
        </w:rPr>
        <w:t>.500 demandas.</w:t>
      </w:r>
      <w:r w:rsidR="0018759B" w:rsidRPr="008F762A">
        <w:rPr>
          <w:rFonts w:ascii="Arial" w:hAnsi="Arial" w:cs="Arial"/>
          <w:lang w:val="es-ES"/>
        </w:rPr>
        <w:t xml:space="preserve">  </w:t>
      </w:r>
      <w:r w:rsidRPr="008F762A">
        <w:rPr>
          <w:rFonts w:ascii="Arial" w:hAnsi="Arial" w:cs="Arial"/>
          <w:lang w:val="es-ES"/>
        </w:rPr>
        <w:t>El Centro publica en su página</w:t>
      </w:r>
      <w:r w:rsidR="002F61D0" w:rsidRPr="008F762A">
        <w:rPr>
          <w:rFonts w:ascii="Arial" w:hAnsi="Arial" w:cs="Arial"/>
          <w:lang w:val="es-ES"/>
        </w:rPr>
        <w:t xml:space="preserve"> web</w:t>
      </w:r>
      <w:r w:rsidRPr="008F762A">
        <w:rPr>
          <w:rFonts w:ascii="Arial" w:hAnsi="Arial" w:cs="Arial"/>
          <w:lang w:val="es-ES"/>
        </w:rPr>
        <w:t xml:space="preserve"> una serie de estadísticas actualizadas, de gran utilidad para las partes</w:t>
      </w:r>
      <w:r w:rsidR="007006F1" w:rsidRPr="008F762A">
        <w:rPr>
          <w:rFonts w:ascii="Arial" w:hAnsi="Arial" w:cs="Arial"/>
          <w:lang w:val="es-ES"/>
        </w:rPr>
        <w:t xml:space="preserve">, </w:t>
      </w:r>
      <w:r w:rsidR="00C70887" w:rsidRPr="008F762A">
        <w:rPr>
          <w:rFonts w:ascii="Arial" w:hAnsi="Arial" w:cs="Arial"/>
          <w:lang w:val="es-ES"/>
        </w:rPr>
        <w:t xml:space="preserve">los árbitros y mediadores, </w:t>
      </w:r>
      <w:r w:rsidRPr="008F762A">
        <w:rPr>
          <w:rFonts w:ascii="Arial" w:hAnsi="Arial" w:cs="Arial"/>
          <w:lang w:val="es-ES"/>
        </w:rPr>
        <w:t>los abogados de marcas, los encargados de formular políticas en materia de nombres de dominio, los medios de comunicación y el sector académico.</w:t>
      </w:r>
      <w:r w:rsidRPr="008F762A">
        <w:rPr>
          <w:rStyle w:val="FootnoteReference"/>
          <w:rFonts w:ascii="Arial" w:hAnsi="Arial"/>
          <w:lang w:val="es-ES"/>
        </w:rPr>
        <w:footnoteReference w:id="21"/>
      </w:r>
    </w:p>
    <w:p w:rsidR="009E7935" w:rsidRPr="008F762A" w:rsidRDefault="009E7935" w:rsidP="006F03B4">
      <w:pPr>
        <w:pStyle w:val="ListParagraph"/>
        <w:spacing w:line="240" w:lineRule="auto"/>
        <w:ind w:left="0"/>
        <w:rPr>
          <w:rFonts w:ascii="Arial" w:hAnsi="Arial" w:cs="Arial"/>
          <w:lang w:val="es-ES"/>
        </w:rPr>
      </w:pPr>
    </w:p>
    <w:p w:rsidR="009E7935" w:rsidRPr="008F762A" w:rsidRDefault="002E633F" w:rsidP="00D81810">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Los procedimientos del Centro de solución de controversias son utilizados por personas físicas, empresas, fundaciones e instituciones de ámbitos muy variados.</w:t>
      </w:r>
      <w:r w:rsidR="0018759B" w:rsidRPr="008F762A">
        <w:rPr>
          <w:rFonts w:ascii="Arial" w:hAnsi="Arial" w:cs="Arial"/>
          <w:lang w:val="es-ES"/>
        </w:rPr>
        <w:t xml:space="preserve">  </w:t>
      </w:r>
      <w:r w:rsidR="00F66EB9" w:rsidRPr="008F762A">
        <w:rPr>
          <w:rFonts w:ascii="Arial" w:hAnsi="Arial" w:cs="Arial"/>
          <w:lang w:val="es-ES"/>
        </w:rPr>
        <w:t xml:space="preserve">Los principales cinco </w:t>
      </w:r>
      <w:r w:rsidR="007006F1" w:rsidRPr="008F762A">
        <w:rPr>
          <w:rFonts w:ascii="Arial" w:hAnsi="Arial" w:cs="Arial"/>
          <w:lang w:val="es-ES"/>
        </w:rPr>
        <w:t>sectores</w:t>
      </w:r>
      <w:r w:rsidR="00F66EB9" w:rsidRPr="008F762A">
        <w:rPr>
          <w:rFonts w:ascii="Arial" w:hAnsi="Arial" w:cs="Arial"/>
          <w:lang w:val="es-ES"/>
        </w:rPr>
        <w:t xml:space="preserve"> de actividad de los demandantes son</w:t>
      </w:r>
      <w:r w:rsidR="00394A64" w:rsidRPr="008F762A">
        <w:rPr>
          <w:rFonts w:ascii="Arial" w:hAnsi="Arial" w:cs="Arial"/>
          <w:lang w:val="es-ES"/>
        </w:rPr>
        <w:t>:  c</w:t>
      </w:r>
      <w:r w:rsidR="001011DC" w:rsidRPr="008F762A">
        <w:rPr>
          <w:rFonts w:ascii="Arial" w:hAnsi="Arial" w:cs="Arial"/>
          <w:lang w:val="es-ES"/>
        </w:rPr>
        <w:t>omercio</w:t>
      </w:r>
      <w:r w:rsidR="00F66EB9" w:rsidRPr="008F762A">
        <w:rPr>
          <w:rFonts w:ascii="Arial" w:hAnsi="Arial" w:cs="Arial"/>
          <w:lang w:val="es-ES"/>
        </w:rPr>
        <w:t xml:space="preserve"> minorista</w:t>
      </w:r>
      <w:r w:rsidR="00394A64" w:rsidRPr="008F762A">
        <w:rPr>
          <w:rFonts w:ascii="Arial" w:hAnsi="Arial" w:cs="Arial"/>
          <w:lang w:val="es-ES"/>
        </w:rPr>
        <w:t>, b</w:t>
      </w:r>
      <w:r w:rsidR="00F66EB9" w:rsidRPr="008F762A">
        <w:rPr>
          <w:rFonts w:ascii="Arial" w:hAnsi="Arial" w:cs="Arial"/>
          <w:lang w:val="es-ES"/>
        </w:rPr>
        <w:t>anca y finanzas, biotecnología y farmacia, moda, Internet y tecnologías de la información.</w:t>
      </w:r>
      <w:r w:rsidR="00A27B12" w:rsidRPr="008F762A">
        <w:rPr>
          <w:rFonts w:ascii="Arial" w:hAnsi="Arial" w:cs="Arial"/>
          <w:lang w:val="es-ES"/>
        </w:rPr>
        <w:t xml:space="preserve">  </w:t>
      </w:r>
      <w:r w:rsidR="00D81810" w:rsidRPr="008F762A">
        <w:rPr>
          <w:rFonts w:ascii="Arial" w:hAnsi="Arial" w:cs="Arial"/>
          <w:lang w:val="es-ES"/>
        </w:rPr>
        <w:t>Las solicitudes presentadas en el ámbito de la moda y las marcas de lujo reflejan en parte el aumento del número de casos interpuestos por los propietarios de las marcas que alegan falsificación por medio de páginas de Internet ofrecidas en virtud del nombre de dominio objeto de controversia</w:t>
      </w:r>
      <w:r w:rsidR="00394A64" w:rsidRPr="008F762A">
        <w:rPr>
          <w:rFonts w:ascii="Arial" w:hAnsi="Arial" w:cs="Arial"/>
          <w:lang w:val="es-ES"/>
        </w:rPr>
        <w:t>.  E</w:t>
      </w:r>
      <w:r w:rsidR="00D81810" w:rsidRPr="008F762A">
        <w:rPr>
          <w:rFonts w:ascii="Arial" w:hAnsi="Arial" w:cs="Arial"/>
          <w:lang w:val="es-ES"/>
        </w:rPr>
        <w:t xml:space="preserve">n los procedimientos que se ventilaron hasta ahora ante el Centro en virtud de la Política Uniforme han intervenido partes procedentes de 173 países, lo cual </w:t>
      </w:r>
      <w:r w:rsidR="00C70887" w:rsidRPr="008F762A">
        <w:rPr>
          <w:rFonts w:ascii="Arial" w:hAnsi="Arial" w:cs="Arial"/>
          <w:lang w:val="es-ES"/>
        </w:rPr>
        <w:t>demuestra</w:t>
      </w:r>
      <w:r w:rsidR="00D81810" w:rsidRPr="008F762A">
        <w:rPr>
          <w:rFonts w:ascii="Arial" w:hAnsi="Arial" w:cs="Arial"/>
          <w:lang w:val="es-ES"/>
        </w:rPr>
        <w:t xml:space="preserve"> la verdadera naturaleza mundial de este mecanismo de solución de controversias.</w:t>
      </w:r>
      <w:r w:rsidR="0018759B" w:rsidRPr="008F762A">
        <w:rPr>
          <w:rFonts w:ascii="Arial" w:hAnsi="Arial" w:cs="Arial"/>
          <w:lang w:val="es-ES"/>
        </w:rPr>
        <w:t xml:space="preserve">  </w:t>
      </w:r>
      <w:r w:rsidR="00F66EB9" w:rsidRPr="008F762A">
        <w:rPr>
          <w:rFonts w:ascii="Arial" w:hAnsi="Arial" w:cs="Arial"/>
          <w:lang w:val="es-ES"/>
        </w:rPr>
        <w:t xml:space="preserve">En función del idioma del </w:t>
      </w:r>
      <w:r w:rsidR="00F66EB9" w:rsidRPr="008F762A">
        <w:rPr>
          <w:rFonts w:ascii="Arial" w:hAnsi="Arial" w:cs="Arial"/>
          <w:lang w:val="es-ES"/>
        </w:rPr>
        <w:lastRenderedPageBreak/>
        <w:t>contrato de registro por el que se rige el nombre de dominio en cuestión, los procedimientos relativos a la Política Uniforme de la OMPI se han administrado en 20 idiomas diferentes.</w:t>
      </w:r>
      <w:r w:rsidR="00F66EB9" w:rsidRPr="008F762A">
        <w:rPr>
          <w:rStyle w:val="FootnoteReference"/>
          <w:rFonts w:ascii="Arial" w:hAnsi="Arial"/>
          <w:lang w:val="es-ES"/>
        </w:rPr>
        <w:footnoteReference w:id="22"/>
      </w:r>
      <w:r w:rsidR="002F61D0" w:rsidRPr="008F762A">
        <w:rPr>
          <w:rFonts w:ascii="Arial" w:hAnsi="Arial" w:cs="Arial"/>
          <w:lang w:val="es-ES"/>
        </w:rPr>
        <w:t xml:space="preserve"> </w:t>
      </w:r>
      <w:r w:rsidR="0018759B" w:rsidRPr="008F762A">
        <w:rPr>
          <w:rFonts w:ascii="Arial" w:hAnsi="Arial" w:cs="Arial"/>
          <w:lang w:val="es-ES"/>
        </w:rPr>
        <w:t xml:space="preserve"> </w:t>
      </w:r>
    </w:p>
    <w:p w:rsidR="009E7935" w:rsidRPr="008F762A" w:rsidRDefault="009E7935" w:rsidP="006F03B4">
      <w:pPr>
        <w:pStyle w:val="ListParagraph"/>
        <w:spacing w:line="240" w:lineRule="auto"/>
        <w:ind w:left="0"/>
        <w:rPr>
          <w:rFonts w:ascii="Arial" w:hAnsi="Arial" w:cs="Arial"/>
          <w:lang w:val="es-ES"/>
        </w:rPr>
      </w:pPr>
    </w:p>
    <w:p w:rsidR="009E7935" w:rsidRPr="008F762A" w:rsidRDefault="00D81810" w:rsidP="00D81810">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Todas las resoluciones dictadas por los grupos de expertos se publican en el sitio</w:t>
      </w:r>
      <w:r w:rsidR="002F61D0" w:rsidRPr="008F762A">
        <w:rPr>
          <w:rFonts w:ascii="Arial" w:hAnsi="Arial" w:cs="Arial"/>
          <w:lang w:val="es-ES"/>
        </w:rPr>
        <w:t xml:space="preserve"> web</w:t>
      </w:r>
      <w:r w:rsidRPr="008F762A">
        <w:rPr>
          <w:rFonts w:ascii="Arial" w:hAnsi="Arial" w:cs="Arial"/>
          <w:lang w:val="es-ES"/>
        </w:rPr>
        <w:t xml:space="preserve"> del Centro, en el que también figura una reseña general de las tendencias en importantes cuestiones de jurisprudencia por medio de </w:t>
      </w:r>
      <w:r w:rsidR="007006F1" w:rsidRPr="008F762A">
        <w:rPr>
          <w:rFonts w:ascii="Arial" w:hAnsi="Arial" w:cs="Arial"/>
          <w:lang w:val="es-ES"/>
        </w:rPr>
        <w:t>una s</w:t>
      </w:r>
      <w:r w:rsidRPr="008F762A">
        <w:rPr>
          <w:rFonts w:ascii="Arial" w:hAnsi="Arial" w:cs="Arial"/>
          <w:lang w:val="es-ES"/>
        </w:rPr>
        <w:t>inopsis de las opiniones de los grupos de expertos de la OMPI sobre determinadas cuestiones relacionadas con la Política Uniforme (Sinopsis elaborada por la OMPI), en la que se resumen miles de procedimientos administrados por el Centro en virtud de la Política Uniforme.</w:t>
      </w:r>
      <w:r w:rsidR="0018759B" w:rsidRPr="008F762A">
        <w:rPr>
          <w:rFonts w:ascii="Arial" w:hAnsi="Arial" w:cs="Arial"/>
          <w:lang w:val="es-ES"/>
        </w:rPr>
        <w:t xml:space="preserve">  </w:t>
      </w:r>
      <w:r w:rsidR="00F66EB9" w:rsidRPr="008F762A">
        <w:rPr>
          <w:rFonts w:ascii="Arial" w:hAnsi="Arial" w:cs="Arial"/>
          <w:lang w:val="es-ES"/>
        </w:rPr>
        <w:t>Este instrumento, ponderado en todo el mundo, fue creado en respuesta a la demanda de destacar, dentro de lo posible, la opinión dominante en las resoluciones dictadas con arreglo a la Política Uniforme para mantener una jurisprudenci</w:t>
      </w:r>
      <w:r w:rsidR="002F61D0" w:rsidRPr="008F762A">
        <w:rPr>
          <w:rFonts w:ascii="Arial" w:hAnsi="Arial" w:cs="Arial"/>
          <w:lang w:val="es-ES"/>
        </w:rPr>
        <w:t>a c</w:t>
      </w:r>
      <w:r w:rsidR="00F66EB9" w:rsidRPr="008F762A">
        <w:rPr>
          <w:rFonts w:ascii="Arial" w:hAnsi="Arial" w:cs="Arial"/>
          <w:lang w:val="es-ES"/>
        </w:rPr>
        <w:t>oherente en esa materia.</w:t>
      </w:r>
      <w:r w:rsidR="00F66EB9" w:rsidRPr="008F762A">
        <w:rPr>
          <w:rStyle w:val="FootnoteReference"/>
          <w:rFonts w:ascii="Arial" w:hAnsi="Arial"/>
          <w:lang w:val="es-ES"/>
        </w:rPr>
        <w:footnoteReference w:id="23"/>
      </w:r>
      <w:r w:rsidR="0018759B" w:rsidRPr="008F762A">
        <w:rPr>
          <w:rFonts w:ascii="Arial" w:hAnsi="Arial" w:cs="Arial"/>
          <w:lang w:val="es-ES"/>
        </w:rPr>
        <w:t xml:space="preserve">  </w:t>
      </w:r>
      <w:r w:rsidR="00BF2B14" w:rsidRPr="008F762A">
        <w:rPr>
          <w:rFonts w:ascii="Arial" w:hAnsi="Arial" w:cs="Arial"/>
          <w:lang w:val="es-ES"/>
        </w:rPr>
        <w:t>Además, el Centro publica en Internet un índice de jurisprudencia que facilita la consulta de las resoluciones dictadas, por materia, y que es muy popular entre los usuarios.</w:t>
      </w:r>
      <w:r w:rsidR="00BF2B14" w:rsidRPr="008F762A">
        <w:rPr>
          <w:rStyle w:val="FootnoteReference"/>
          <w:rFonts w:ascii="Arial" w:hAnsi="Arial"/>
          <w:lang w:val="es-ES"/>
        </w:rPr>
        <w:footnoteReference w:id="24"/>
      </w:r>
    </w:p>
    <w:p w:rsidR="009E7935" w:rsidRPr="008F762A" w:rsidRDefault="009E7935" w:rsidP="006F03B4">
      <w:pPr>
        <w:pStyle w:val="ListParagraph"/>
        <w:spacing w:line="240" w:lineRule="auto"/>
        <w:ind w:left="0"/>
        <w:rPr>
          <w:rFonts w:ascii="Arial" w:hAnsi="Arial" w:cs="Arial"/>
          <w:lang w:val="es-ES"/>
        </w:rPr>
      </w:pPr>
    </w:p>
    <w:p w:rsidR="009E7935" w:rsidRPr="008F762A" w:rsidRDefault="0027013E" w:rsidP="0027013E">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En su carácter de principal institución en el ámbito de la prestación de servicios de administración de procedimientos en virtud de la Política Uniforme, el Centro supervisa los avances que se producen en el Sistema de Nombres de Dominio a fin de adaptar con regularidad sus recursos y prácticas.</w:t>
      </w:r>
      <w:r w:rsidR="0018759B" w:rsidRPr="008F762A">
        <w:rPr>
          <w:rFonts w:ascii="Arial" w:hAnsi="Arial" w:cs="Arial"/>
          <w:lang w:val="es-ES"/>
        </w:rPr>
        <w:t xml:space="preserve">  </w:t>
      </w:r>
      <w:r w:rsidRPr="008F762A">
        <w:rPr>
          <w:rFonts w:ascii="Arial" w:hAnsi="Arial" w:cs="Arial"/>
          <w:lang w:val="es-ES"/>
        </w:rPr>
        <w:t>El Centro organiza periódicamente talleres de solución de controversias en materia de nombres de dominio para las partes interesadas</w:t>
      </w:r>
      <w:r w:rsidRPr="008F762A">
        <w:rPr>
          <w:rStyle w:val="FootnoteReference"/>
          <w:rFonts w:ascii="Arial" w:hAnsi="Arial"/>
          <w:lang w:val="es-ES"/>
        </w:rPr>
        <w:footnoteReference w:id="25"/>
      </w:r>
      <w:r w:rsidRPr="008F762A">
        <w:rPr>
          <w:rFonts w:ascii="Arial" w:hAnsi="Arial" w:cs="Arial"/>
          <w:lang w:val="es-ES"/>
        </w:rPr>
        <w:t xml:space="preserve"> en relación con información actualizada de prácticas y casos precedentes, así como reuniones de sus expertos en nombres de dominio.</w:t>
      </w:r>
    </w:p>
    <w:p w:rsidR="009E7935" w:rsidRPr="008F762A" w:rsidRDefault="009E7935" w:rsidP="004077D4">
      <w:pPr>
        <w:pStyle w:val="ListParagraph"/>
        <w:rPr>
          <w:rFonts w:ascii="Arial" w:hAnsi="Arial" w:cs="Arial"/>
          <w:lang w:val="es-ES"/>
        </w:rPr>
      </w:pPr>
    </w:p>
    <w:p w:rsidR="009E7935" w:rsidRPr="008F762A" w:rsidRDefault="000B3642" w:rsidP="000B3642">
      <w:pPr>
        <w:pStyle w:val="Heading2"/>
        <w:keepNext w:val="0"/>
        <w:rPr>
          <w:lang w:val="es-ES"/>
        </w:rPr>
      </w:pPr>
      <w:r w:rsidRPr="008F762A">
        <w:rPr>
          <w:caps w:val="0"/>
          <w:lang w:val="es-ES"/>
        </w:rPr>
        <w:t>B.</w:t>
      </w:r>
      <w:r w:rsidRPr="008F762A">
        <w:rPr>
          <w:caps w:val="0"/>
          <w:lang w:val="es-ES"/>
        </w:rPr>
        <w:tab/>
      </w:r>
      <w:r w:rsidR="0027013E" w:rsidRPr="008F762A">
        <w:rPr>
          <w:caps w:val="0"/>
          <w:lang w:val="es-ES"/>
        </w:rPr>
        <w:t>DOMINIOS DE NIVEL SUPERIOR CORRESPONDIENTES A CÓDIGOS DE PAÍSES</w:t>
      </w:r>
    </w:p>
    <w:p w:rsidR="009E7935" w:rsidRPr="008F762A" w:rsidRDefault="009E7935" w:rsidP="000B3642">
      <w:pPr>
        <w:pStyle w:val="ListParagraph"/>
        <w:spacing w:line="240" w:lineRule="auto"/>
        <w:ind w:left="0"/>
        <w:rPr>
          <w:rFonts w:ascii="Arial" w:hAnsi="Arial" w:cs="Arial"/>
          <w:lang w:val="es-ES"/>
        </w:rPr>
      </w:pPr>
    </w:p>
    <w:p w:rsidR="009E7935" w:rsidRPr="008F762A" w:rsidRDefault="0027013E" w:rsidP="00436F6B">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Si bien la aplicación obligatoria de la Política Uniforme se limita a los nombres de dominio registrados en la categoría de los gTLD, como</w:t>
      </w:r>
      <w:r w:rsidR="00394A64" w:rsidRPr="008F762A">
        <w:rPr>
          <w:rFonts w:ascii="Arial" w:hAnsi="Arial" w:cs="Arial"/>
          <w:lang w:val="es-ES"/>
        </w:rPr>
        <w:t xml:space="preserve"> </w:t>
      </w:r>
      <w:r w:rsidRPr="008F762A">
        <w:rPr>
          <w:rFonts w:ascii="Arial" w:hAnsi="Arial" w:cs="Arial"/>
          <w:lang w:val="es-ES"/>
        </w:rPr>
        <w:t>.com,</w:t>
      </w:r>
      <w:r w:rsidR="00394A64" w:rsidRPr="008F762A">
        <w:rPr>
          <w:rFonts w:ascii="Arial" w:hAnsi="Arial" w:cs="Arial"/>
          <w:lang w:val="es-ES"/>
        </w:rPr>
        <w:t xml:space="preserve"> </w:t>
      </w:r>
      <w:r w:rsidR="002F61D0" w:rsidRPr="008F762A">
        <w:rPr>
          <w:rFonts w:ascii="Arial" w:hAnsi="Arial" w:cs="Arial"/>
          <w:lang w:val="es-ES"/>
        </w:rPr>
        <w:t>.</w:t>
      </w:r>
      <w:r w:rsidRPr="008F762A">
        <w:rPr>
          <w:rFonts w:ascii="Arial" w:hAnsi="Arial" w:cs="Arial"/>
          <w:lang w:val="es-ES"/>
        </w:rPr>
        <w:t>net y</w:t>
      </w:r>
      <w:r w:rsidR="00394A64" w:rsidRPr="008F762A">
        <w:rPr>
          <w:rFonts w:ascii="Arial" w:hAnsi="Arial" w:cs="Arial"/>
          <w:lang w:val="es-ES"/>
        </w:rPr>
        <w:t xml:space="preserve"> </w:t>
      </w:r>
      <w:r w:rsidR="002F61D0" w:rsidRPr="008F762A">
        <w:rPr>
          <w:rFonts w:ascii="Arial" w:hAnsi="Arial" w:cs="Arial"/>
          <w:lang w:val="es-ES"/>
        </w:rPr>
        <w:t>.</w:t>
      </w:r>
      <w:r w:rsidRPr="008F762A">
        <w:rPr>
          <w:rFonts w:ascii="Arial" w:hAnsi="Arial" w:cs="Arial"/>
          <w:lang w:val="es-ES"/>
        </w:rPr>
        <w:t>org, el Centro también presta asistencia a muchos administradores de registros de códigos de países (ccTLD) a la hora de establecer condiciones de registro y procedimientos de solución de controversias que respondan a los criterios internacionales de protección de la P.I.  En su mayoría, esos procedimientos se inspiran en la Política Uniforme, pero pueden responder específicamente a las circunstancias y necesidades particulares de cada uno de los ccTLD.</w:t>
      </w:r>
      <w:r w:rsidR="0018759B" w:rsidRPr="008F762A">
        <w:rPr>
          <w:rFonts w:ascii="Arial" w:hAnsi="Arial" w:cs="Arial"/>
          <w:lang w:val="es-ES"/>
        </w:rPr>
        <w:t xml:space="preserve">  </w:t>
      </w:r>
      <w:r w:rsidR="00D81810" w:rsidRPr="008F762A">
        <w:rPr>
          <w:rFonts w:ascii="Arial" w:hAnsi="Arial" w:cs="Arial"/>
          <w:lang w:val="es-ES"/>
        </w:rPr>
        <w:t>Actualmente, el Centro presta servicios de solución de controversias en materia de nombres de dominio a 70 administradores de registros de ccTLD, lo que incluye, más recientemente, los espacios de dominio</w:t>
      </w:r>
      <w:r w:rsidR="00394A64" w:rsidRPr="008F762A">
        <w:rPr>
          <w:rFonts w:ascii="Arial" w:hAnsi="Arial" w:cs="Arial"/>
          <w:lang w:val="es-ES"/>
        </w:rPr>
        <w:t xml:space="preserve"> </w:t>
      </w:r>
      <w:r w:rsidR="002F61D0" w:rsidRPr="008F762A">
        <w:rPr>
          <w:rFonts w:ascii="Arial" w:hAnsi="Arial" w:cs="Arial"/>
          <w:lang w:val="es-ES"/>
        </w:rPr>
        <w:t>.</w:t>
      </w:r>
      <w:r w:rsidR="00D81810" w:rsidRPr="008F762A">
        <w:rPr>
          <w:rFonts w:ascii="Arial" w:hAnsi="Arial" w:cs="Arial"/>
          <w:lang w:val="es-ES"/>
        </w:rPr>
        <w:t>FM (Micronesia (Estados Federados de)),</w:t>
      </w:r>
      <w:r w:rsidR="00394A64" w:rsidRPr="008F762A">
        <w:rPr>
          <w:rFonts w:ascii="Arial" w:hAnsi="Arial" w:cs="Arial"/>
          <w:lang w:val="es-ES"/>
        </w:rPr>
        <w:t xml:space="preserve"> </w:t>
      </w:r>
      <w:r w:rsidR="002F61D0" w:rsidRPr="008F762A">
        <w:rPr>
          <w:rFonts w:ascii="Arial" w:hAnsi="Arial" w:cs="Arial"/>
          <w:lang w:val="es-ES"/>
        </w:rPr>
        <w:t>.</w:t>
      </w:r>
      <w:r w:rsidR="00D81810" w:rsidRPr="008F762A">
        <w:rPr>
          <w:rFonts w:ascii="Arial" w:hAnsi="Arial" w:cs="Arial"/>
          <w:lang w:val="es-ES"/>
        </w:rPr>
        <w:t>ML (Malí),</w:t>
      </w:r>
      <w:r w:rsidR="00394A64" w:rsidRPr="008F762A">
        <w:rPr>
          <w:rFonts w:ascii="Arial" w:hAnsi="Arial" w:cs="Arial"/>
          <w:lang w:val="es-ES"/>
        </w:rPr>
        <w:t xml:space="preserve"> </w:t>
      </w:r>
      <w:r w:rsidR="002F61D0" w:rsidRPr="008F762A">
        <w:rPr>
          <w:rFonts w:ascii="Arial" w:hAnsi="Arial" w:cs="Arial"/>
          <w:lang w:val="es-ES"/>
        </w:rPr>
        <w:t>.</w:t>
      </w:r>
      <w:r w:rsidR="00D81810" w:rsidRPr="008F762A">
        <w:rPr>
          <w:rFonts w:ascii="Arial" w:hAnsi="Arial" w:cs="Arial"/>
          <w:lang w:val="es-ES"/>
        </w:rPr>
        <w:t>PW (Palau).</w:t>
      </w:r>
      <w:r w:rsidR="00D81810" w:rsidRPr="008F762A">
        <w:rPr>
          <w:rStyle w:val="FootnoteReference"/>
          <w:rFonts w:ascii="Arial" w:hAnsi="Arial"/>
          <w:lang w:val="es-ES"/>
        </w:rPr>
        <w:footnoteReference w:id="26"/>
      </w:r>
    </w:p>
    <w:p w:rsidR="00D43FB4" w:rsidRPr="008F762A" w:rsidRDefault="00D43FB4" w:rsidP="00D43FB4">
      <w:pPr>
        <w:pStyle w:val="ListParagraph"/>
        <w:spacing w:line="240" w:lineRule="auto"/>
        <w:ind w:left="0"/>
        <w:rPr>
          <w:rFonts w:ascii="Arial" w:hAnsi="Arial" w:cs="Arial"/>
          <w:lang w:val="es-ES"/>
        </w:rPr>
      </w:pPr>
    </w:p>
    <w:p w:rsidR="009E7935" w:rsidRPr="008F762A" w:rsidRDefault="00F41DE7" w:rsidP="00F41DE7">
      <w:pPr>
        <w:pStyle w:val="Heading2"/>
        <w:keepNext w:val="0"/>
        <w:ind w:left="567" w:hanging="567"/>
        <w:rPr>
          <w:lang w:val="es-ES"/>
        </w:rPr>
      </w:pPr>
      <w:r w:rsidRPr="008F762A">
        <w:rPr>
          <w:caps w:val="0"/>
          <w:lang w:val="es-ES"/>
        </w:rPr>
        <w:t>C.</w:t>
      </w:r>
      <w:r w:rsidRPr="008F762A">
        <w:rPr>
          <w:caps w:val="0"/>
          <w:lang w:val="es-ES"/>
        </w:rPr>
        <w:tab/>
      </w:r>
      <w:r w:rsidR="007006F1" w:rsidRPr="008F762A">
        <w:rPr>
          <w:caps w:val="0"/>
          <w:lang w:val="es-ES"/>
        </w:rPr>
        <w:t>EVOLUCIÓN</w:t>
      </w:r>
      <w:r w:rsidR="00D81810" w:rsidRPr="008F762A">
        <w:rPr>
          <w:caps w:val="0"/>
          <w:lang w:val="es-ES"/>
        </w:rPr>
        <w:t xml:space="preserve"> EN MATERIA DE POLÍTICA</w:t>
      </w:r>
      <w:r w:rsidR="00394A64" w:rsidRPr="008F762A">
        <w:rPr>
          <w:caps w:val="0"/>
          <w:lang w:val="es-ES"/>
        </w:rPr>
        <w:t>:  N</w:t>
      </w:r>
      <w:r w:rsidR="00D81810" w:rsidRPr="008F762A">
        <w:rPr>
          <w:caps w:val="0"/>
          <w:lang w:val="es-ES"/>
        </w:rPr>
        <w:t>UEVOS DOMINIOS GENÉRICOS DE NIVEL SUPERIOR</w:t>
      </w:r>
      <w:r w:rsidR="00394A64" w:rsidRPr="008F762A">
        <w:rPr>
          <w:rStyle w:val="FootnoteReference"/>
          <w:caps w:val="0"/>
          <w:lang w:val="es-ES"/>
        </w:rPr>
        <w:footnoteReference w:id="27"/>
      </w:r>
      <w:r w:rsidR="00D81810" w:rsidRPr="008F762A">
        <w:rPr>
          <w:caps w:val="0"/>
          <w:lang w:val="es-ES"/>
        </w:rPr>
        <w:t xml:space="preserve"> </w:t>
      </w:r>
    </w:p>
    <w:p w:rsidR="009E7935" w:rsidRPr="008F762A" w:rsidRDefault="009E7935" w:rsidP="00D43FB4">
      <w:pPr>
        <w:pStyle w:val="ListParagraph"/>
        <w:spacing w:line="240" w:lineRule="auto"/>
        <w:ind w:left="0"/>
        <w:rPr>
          <w:rFonts w:ascii="Arial" w:hAnsi="Arial" w:cs="Arial"/>
          <w:lang w:val="es-ES"/>
        </w:rPr>
      </w:pPr>
    </w:p>
    <w:p w:rsidR="009E7935" w:rsidRPr="008F762A" w:rsidRDefault="0027013E" w:rsidP="0027013E">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 xml:space="preserve">Varias iniciativas en materia de política general de la ICANN crearán oportunidades pero también plantearán dificultades para los titulares y usuarios de los derechos de P.I.  La más </w:t>
      </w:r>
      <w:r w:rsidRPr="008F762A">
        <w:rPr>
          <w:rFonts w:ascii="Arial" w:hAnsi="Arial" w:cs="Arial"/>
          <w:lang w:val="es-ES"/>
        </w:rPr>
        <w:lastRenderedPageBreak/>
        <w:t>importante es la creación prevista por la ICANN de hasta 1.400 nuevos gTLD.</w:t>
      </w:r>
      <w:r w:rsidR="0018759B" w:rsidRPr="008F762A">
        <w:rPr>
          <w:rFonts w:ascii="Arial" w:hAnsi="Arial" w:cs="Arial"/>
          <w:lang w:val="es-ES"/>
        </w:rPr>
        <w:t xml:space="preserve">  </w:t>
      </w:r>
      <w:r w:rsidRPr="008F762A">
        <w:rPr>
          <w:rFonts w:ascii="Arial" w:hAnsi="Arial" w:cs="Arial"/>
          <w:lang w:val="es-ES"/>
        </w:rPr>
        <w:t>Esos nuevos gTLD podrán ser de carácter “abierto” (semejantes a los “.com”) o presentar características particulares o restrictivas, por ejemplo adoptando la forma de</w:t>
      </w:r>
      <w:r w:rsidR="00394A64" w:rsidRPr="008F762A">
        <w:rPr>
          <w:rFonts w:ascii="Arial" w:hAnsi="Arial" w:cs="Arial"/>
          <w:lang w:val="es-ES"/>
        </w:rPr>
        <w:t xml:space="preserve"> </w:t>
      </w:r>
      <w:r w:rsidR="002F61D0" w:rsidRPr="008F762A">
        <w:rPr>
          <w:rFonts w:ascii="Arial" w:hAnsi="Arial" w:cs="Arial"/>
          <w:lang w:val="es-ES"/>
        </w:rPr>
        <w:t>.</w:t>
      </w:r>
      <w:r w:rsidRPr="008F762A">
        <w:rPr>
          <w:rFonts w:ascii="Arial" w:hAnsi="Arial" w:cs="Arial"/>
          <w:lang w:val="es-ES"/>
        </w:rPr>
        <w:t>[marca],</w:t>
      </w:r>
      <w:r w:rsidR="00394A64" w:rsidRPr="008F762A">
        <w:rPr>
          <w:rFonts w:ascii="Arial" w:hAnsi="Arial" w:cs="Arial"/>
          <w:lang w:val="es-ES"/>
        </w:rPr>
        <w:t xml:space="preserve"> </w:t>
      </w:r>
      <w:r w:rsidR="002F61D0" w:rsidRPr="008F762A">
        <w:rPr>
          <w:rFonts w:ascii="Arial" w:hAnsi="Arial" w:cs="Arial"/>
          <w:lang w:val="es-ES"/>
        </w:rPr>
        <w:t>.</w:t>
      </w:r>
      <w:r w:rsidRPr="008F762A">
        <w:rPr>
          <w:rFonts w:ascii="Arial" w:hAnsi="Arial" w:cs="Arial"/>
          <w:lang w:val="es-ES"/>
        </w:rPr>
        <w:t>[ciudad],</w:t>
      </w:r>
      <w:r w:rsidR="00394A64" w:rsidRPr="008F762A">
        <w:rPr>
          <w:rFonts w:ascii="Arial" w:hAnsi="Arial" w:cs="Arial"/>
          <w:lang w:val="es-ES"/>
        </w:rPr>
        <w:t xml:space="preserve"> </w:t>
      </w:r>
      <w:r w:rsidR="002F61D0" w:rsidRPr="008F762A">
        <w:rPr>
          <w:rFonts w:ascii="Arial" w:hAnsi="Arial" w:cs="Arial"/>
          <w:lang w:val="es-ES"/>
        </w:rPr>
        <w:t>.</w:t>
      </w:r>
      <w:r w:rsidRPr="008F762A">
        <w:rPr>
          <w:rFonts w:ascii="Arial" w:hAnsi="Arial" w:cs="Arial"/>
          <w:lang w:val="es-ES"/>
        </w:rPr>
        <w:t>[comunidad],</w:t>
      </w:r>
      <w:r w:rsidR="00394A64" w:rsidRPr="008F762A">
        <w:rPr>
          <w:rFonts w:ascii="Arial" w:hAnsi="Arial" w:cs="Arial"/>
          <w:lang w:val="es-ES"/>
        </w:rPr>
        <w:t xml:space="preserve"> </w:t>
      </w:r>
      <w:r w:rsidR="002F61D0" w:rsidRPr="008F762A">
        <w:rPr>
          <w:rFonts w:ascii="Arial" w:hAnsi="Arial" w:cs="Arial"/>
          <w:lang w:val="es-ES"/>
        </w:rPr>
        <w:t>.</w:t>
      </w:r>
      <w:r w:rsidRPr="008F762A">
        <w:rPr>
          <w:rFonts w:ascii="Arial" w:hAnsi="Arial" w:cs="Arial"/>
          <w:lang w:val="es-ES"/>
        </w:rPr>
        <w:t>[cultura],</w:t>
      </w:r>
      <w:r w:rsidR="00394A64" w:rsidRPr="008F762A">
        <w:rPr>
          <w:rFonts w:ascii="Arial" w:hAnsi="Arial" w:cs="Arial"/>
          <w:lang w:val="es-ES"/>
        </w:rPr>
        <w:t xml:space="preserve"> </w:t>
      </w:r>
      <w:r w:rsidR="002F61D0" w:rsidRPr="008F762A">
        <w:rPr>
          <w:rFonts w:ascii="Arial" w:hAnsi="Arial" w:cs="Arial"/>
          <w:lang w:val="es-ES"/>
        </w:rPr>
        <w:t>.</w:t>
      </w:r>
      <w:r w:rsidRPr="008F762A">
        <w:rPr>
          <w:rFonts w:ascii="Arial" w:hAnsi="Arial" w:cs="Arial"/>
          <w:lang w:val="es-ES"/>
        </w:rPr>
        <w:t>[industria] o</w:t>
      </w:r>
      <w:r w:rsidR="00394A64" w:rsidRPr="008F762A">
        <w:rPr>
          <w:rFonts w:ascii="Arial" w:hAnsi="Arial" w:cs="Arial"/>
          <w:lang w:val="es-ES"/>
        </w:rPr>
        <w:t xml:space="preserve"> </w:t>
      </w:r>
      <w:r w:rsidR="002F61D0" w:rsidRPr="008F762A">
        <w:rPr>
          <w:rFonts w:ascii="Arial" w:hAnsi="Arial" w:cs="Arial"/>
          <w:lang w:val="es-ES"/>
        </w:rPr>
        <w:t>.</w:t>
      </w:r>
      <w:r w:rsidRPr="008F762A">
        <w:rPr>
          <w:rFonts w:ascii="Arial" w:hAnsi="Arial" w:cs="Arial"/>
          <w:lang w:val="es-ES"/>
        </w:rPr>
        <w:t>[idioma].</w:t>
      </w:r>
      <w:r w:rsidR="0018759B" w:rsidRPr="008F762A">
        <w:rPr>
          <w:rFonts w:ascii="Arial" w:hAnsi="Arial" w:cs="Arial"/>
          <w:lang w:val="es-ES"/>
        </w:rPr>
        <w:t xml:space="preserve">  </w:t>
      </w:r>
      <w:r w:rsidRPr="008F762A">
        <w:rPr>
          <w:rFonts w:ascii="Arial" w:hAnsi="Arial" w:cs="Arial"/>
          <w:lang w:val="es-ES"/>
        </w:rPr>
        <w:t>La segunda iniciativa es la creación de nombres de dominio internacionalizados (IDN, por sus siglas en inglés) y su inclusión en el nivel superior.</w:t>
      </w:r>
      <w:r w:rsidR="0018759B" w:rsidRPr="008F762A">
        <w:rPr>
          <w:rFonts w:ascii="Arial" w:hAnsi="Arial" w:cs="Arial"/>
          <w:lang w:val="es-ES"/>
        </w:rPr>
        <w:t xml:space="preserve">  </w:t>
      </w:r>
      <w:r w:rsidRPr="008F762A">
        <w:rPr>
          <w:rFonts w:ascii="Arial" w:hAnsi="Arial" w:cs="Arial"/>
          <w:lang w:val="es-ES"/>
        </w:rPr>
        <w:t xml:space="preserve">Por último, la intención de la ICANN de </w:t>
      </w:r>
      <w:r w:rsidR="008C5710">
        <w:rPr>
          <w:rFonts w:ascii="Arial" w:hAnsi="Arial" w:cs="Arial"/>
          <w:lang w:val="es-ES"/>
        </w:rPr>
        <w:t>ampliar</w:t>
      </w:r>
      <w:r w:rsidRPr="008F762A">
        <w:rPr>
          <w:rFonts w:ascii="Arial" w:hAnsi="Arial" w:cs="Arial"/>
          <w:lang w:val="es-ES"/>
        </w:rPr>
        <w:t xml:space="preserve"> el Sistema de Nombres de Dominio suscita interrogantes en lo que se refiere a la protección de derechos en relación con el Segundo Proceso de la OMPI relativo a los Nombres de Dominio de Internet.</w:t>
      </w:r>
    </w:p>
    <w:p w:rsidR="009E7935" w:rsidRPr="008F762A" w:rsidRDefault="009E7935" w:rsidP="006F03B4">
      <w:pPr>
        <w:pStyle w:val="ListParagraph"/>
        <w:spacing w:line="240" w:lineRule="auto"/>
        <w:ind w:left="0"/>
        <w:rPr>
          <w:rFonts w:ascii="Arial" w:hAnsi="Arial" w:cs="Arial"/>
          <w:lang w:val="es-ES"/>
        </w:rPr>
      </w:pPr>
    </w:p>
    <w:p w:rsidR="009E7935" w:rsidRPr="008F762A" w:rsidRDefault="0027013E" w:rsidP="006E746F">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En la reunión celebrada en Singapur el 20 de junio de 2011, la Junta de Gobierno de la ICANN votó la puesta en marcha del Programa de Nuevos gTLD.</w:t>
      </w:r>
      <w:r w:rsidRPr="008F762A">
        <w:rPr>
          <w:rStyle w:val="FootnoteReference"/>
          <w:rFonts w:ascii="Arial" w:hAnsi="Arial"/>
          <w:lang w:val="es-ES"/>
        </w:rPr>
        <w:footnoteReference w:id="28"/>
      </w:r>
      <w:r w:rsidR="0018759B" w:rsidRPr="008F762A">
        <w:rPr>
          <w:rFonts w:ascii="Arial" w:hAnsi="Arial" w:cs="Arial"/>
          <w:lang w:val="es-ES"/>
        </w:rPr>
        <w:t xml:space="preserve">  </w:t>
      </w:r>
      <w:r w:rsidRPr="008F762A">
        <w:rPr>
          <w:rFonts w:ascii="Arial" w:hAnsi="Arial" w:cs="Arial"/>
          <w:lang w:val="es-ES"/>
        </w:rPr>
        <w:t>Se ha publicado información al respecto en la “Guía del solicitante” que ha sido objeto de numerosas revisiones.</w:t>
      </w:r>
      <w:r w:rsidRPr="008F762A">
        <w:rPr>
          <w:rStyle w:val="FootnoteReference"/>
          <w:rFonts w:ascii="Arial" w:hAnsi="Arial"/>
          <w:lang w:val="es-ES"/>
        </w:rPr>
        <w:footnoteReference w:id="29"/>
      </w:r>
      <w:r w:rsidR="0018759B" w:rsidRPr="008F762A">
        <w:rPr>
          <w:rFonts w:ascii="Arial" w:hAnsi="Arial" w:cs="Arial"/>
          <w:lang w:val="es-ES"/>
        </w:rPr>
        <w:t xml:space="preserve">  </w:t>
      </w:r>
      <w:r w:rsidR="006E746F" w:rsidRPr="008F762A">
        <w:rPr>
          <w:rFonts w:ascii="Arial" w:hAnsi="Arial" w:cs="Arial"/>
          <w:lang w:val="es-ES"/>
        </w:rPr>
        <w:t>La adjudicación de los primeros gTLD ha comenzado a fines d</w:t>
      </w:r>
      <w:r w:rsidR="00394A64" w:rsidRPr="008F762A">
        <w:rPr>
          <w:rFonts w:ascii="Arial" w:hAnsi="Arial" w:cs="Arial"/>
          <w:lang w:val="es-ES"/>
        </w:rPr>
        <w:t>e 2</w:t>
      </w:r>
      <w:r w:rsidR="006E746F" w:rsidRPr="008F762A">
        <w:rPr>
          <w:rFonts w:ascii="Arial" w:hAnsi="Arial" w:cs="Arial"/>
          <w:lang w:val="es-ES"/>
        </w:rPr>
        <w:t>013 (se prevé organizar, a su debido momento, nuevas rondas de presentación de solicitudes).</w:t>
      </w:r>
    </w:p>
    <w:p w:rsidR="009E7935" w:rsidRPr="008F762A" w:rsidRDefault="009E7935" w:rsidP="006F03B4">
      <w:pPr>
        <w:pStyle w:val="ListParagraph"/>
        <w:spacing w:line="240" w:lineRule="auto"/>
        <w:ind w:left="0"/>
        <w:rPr>
          <w:rFonts w:ascii="Arial" w:hAnsi="Arial" w:cs="Arial"/>
          <w:lang w:val="es-ES"/>
        </w:rPr>
      </w:pPr>
    </w:p>
    <w:p w:rsidR="009E7935" w:rsidRPr="008F762A" w:rsidRDefault="00770458" w:rsidP="00770458">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Aunque el Centro sigue decidido a trabajar con las partes interesadas en la P.I. para salvaguardar la observancia de los principios generales de protección de la P.I. que amparan a las nuevas categorías de gTLD que finalmente apruebe la ICANN, se considera que tras una serie de procesos y debates mantenidos en distintos comités de la ICANN, se ha desvirtuado la eficacia de que se preveía dotar a los mecanismos de protección de derechos, tanto en lo referente a su naturaleza como a los aspectos prácticos.</w:t>
      </w:r>
      <w:r w:rsidRPr="008F762A">
        <w:rPr>
          <w:rStyle w:val="FootnoteReference"/>
          <w:rFonts w:ascii="Arial" w:hAnsi="Arial"/>
          <w:lang w:val="es-ES"/>
        </w:rPr>
        <w:footnoteReference w:id="30"/>
      </w:r>
      <w:r w:rsidR="0018759B" w:rsidRPr="008F762A">
        <w:rPr>
          <w:rFonts w:ascii="Arial" w:hAnsi="Arial" w:cs="Arial"/>
          <w:lang w:val="es-ES"/>
        </w:rPr>
        <w:t xml:space="preserve">  </w:t>
      </w:r>
      <w:r w:rsidRPr="008F762A">
        <w:rPr>
          <w:rFonts w:ascii="Arial" w:hAnsi="Arial" w:cs="Arial"/>
          <w:lang w:val="es-ES"/>
        </w:rPr>
        <w:t>A continuación se exponen sucintamente los mecanismos de protección de derechos adoptados por la ICANN, para los nombres de dominio de nivel superior y de segundo nivel, respectivamente.</w:t>
      </w:r>
    </w:p>
    <w:p w:rsidR="009E7935" w:rsidRPr="008F762A" w:rsidRDefault="00770458" w:rsidP="00D43FB4">
      <w:pPr>
        <w:pStyle w:val="Heading3"/>
        <w:ind w:left="1134" w:hanging="567"/>
        <w:rPr>
          <w:lang w:val="es-ES"/>
        </w:rPr>
      </w:pPr>
      <w:r w:rsidRPr="008F762A">
        <w:rPr>
          <w:u w:val="none"/>
          <w:lang w:val="es-ES"/>
        </w:rPr>
        <w:t>i)</w:t>
      </w:r>
      <w:r w:rsidR="00D43FB4" w:rsidRPr="008F762A">
        <w:rPr>
          <w:u w:val="none"/>
          <w:lang w:val="es-ES"/>
        </w:rPr>
        <w:tab/>
      </w:r>
      <w:r w:rsidRPr="008F762A">
        <w:rPr>
          <w:lang w:val="es-ES"/>
        </w:rPr>
        <w:t>Mecanismos de protección de derechos correspondientes a los dominios de nivel superior</w:t>
      </w:r>
    </w:p>
    <w:p w:rsidR="009E7935" w:rsidRPr="008F762A" w:rsidRDefault="009E7935" w:rsidP="006F03B4">
      <w:pPr>
        <w:rPr>
          <w:lang w:val="es-ES"/>
        </w:rPr>
      </w:pPr>
    </w:p>
    <w:p w:rsidR="009E7935" w:rsidRPr="008F762A" w:rsidRDefault="00D43FB4" w:rsidP="00770458">
      <w:pPr>
        <w:ind w:left="1134"/>
        <w:rPr>
          <w:lang w:val="es-ES"/>
        </w:rPr>
      </w:pPr>
      <w:r w:rsidRPr="008F762A">
        <w:rPr>
          <w:lang w:val="es-ES"/>
        </w:rPr>
        <w:t>–</w:t>
      </w:r>
      <w:r w:rsidRPr="008F762A">
        <w:rPr>
          <w:lang w:val="es-ES"/>
        </w:rPr>
        <w:tab/>
      </w:r>
      <w:r w:rsidR="00770458" w:rsidRPr="008F762A">
        <w:rPr>
          <w:lang w:val="es-ES"/>
        </w:rPr>
        <w:t>Procedimiento de solución de controversias para la etapa previa a la adjudicación</w:t>
      </w:r>
    </w:p>
    <w:p w:rsidR="009E7935" w:rsidRPr="008F762A" w:rsidRDefault="009E7935" w:rsidP="006F03B4">
      <w:pPr>
        <w:pStyle w:val="ListParagraph"/>
        <w:spacing w:line="240" w:lineRule="auto"/>
        <w:ind w:left="0"/>
        <w:rPr>
          <w:rFonts w:ascii="Arial" w:hAnsi="Arial" w:cs="Arial"/>
          <w:color w:val="000000"/>
          <w:lang w:val="es-ES"/>
        </w:rPr>
      </w:pPr>
    </w:p>
    <w:p w:rsidR="009E7935" w:rsidRPr="008F762A" w:rsidRDefault="00770458" w:rsidP="00D43FB4">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Este mecanismo permitió a los propietarios de marcas presentar objeciones relativas a los derechos de terceros a solicitudes de nuevos gTLD de nivel superior cuando se cumplan determinados requisitos sustantivos (otros motivos para formular objeciones reconocidos por la ICANN son</w:t>
      </w:r>
      <w:r w:rsidR="00394A64" w:rsidRPr="008F762A">
        <w:rPr>
          <w:rFonts w:ascii="Arial" w:hAnsi="Arial" w:cs="Arial"/>
          <w:lang w:val="es-ES"/>
        </w:rPr>
        <w:t>:  o</w:t>
      </w:r>
      <w:r w:rsidR="001011DC" w:rsidRPr="008F762A">
        <w:rPr>
          <w:rFonts w:ascii="Arial" w:hAnsi="Arial" w:cs="Arial"/>
          <w:lang w:val="es-ES"/>
        </w:rPr>
        <w:t>bjeciones</w:t>
      </w:r>
      <w:r w:rsidRPr="008F762A">
        <w:rPr>
          <w:rFonts w:ascii="Arial" w:hAnsi="Arial" w:cs="Arial"/>
          <w:lang w:val="es-ES"/>
        </w:rPr>
        <w:t xml:space="preserve"> por confusión de la cadena de caracteres, objeciones de la comunidad y objeciones de interés público limitado</w:t>
      </w:r>
      <w:r w:rsidRPr="008F762A">
        <w:rPr>
          <w:rStyle w:val="FootnoteReference"/>
          <w:rFonts w:ascii="Arial" w:hAnsi="Arial"/>
          <w:lang w:val="es-ES"/>
        </w:rPr>
        <w:footnoteReference w:id="31"/>
      </w:r>
      <w:r w:rsidRPr="008F762A">
        <w:rPr>
          <w:rFonts w:ascii="Arial" w:hAnsi="Arial" w:cs="Arial"/>
          <w:lang w:val="es-ES"/>
        </w:rPr>
        <w:t>).</w:t>
      </w:r>
      <w:r w:rsidR="0018759B" w:rsidRPr="008F762A">
        <w:rPr>
          <w:rFonts w:ascii="Arial" w:hAnsi="Arial" w:cs="Arial"/>
          <w:lang w:val="es-ES"/>
        </w:rPr>
        <w:t xml:space="preserve">  </w:t>
      </w:r>
      <w:r w:rsidRPr="008F762A">
        <w:rPr>
          <w:rFonts w:ascii="Arial" w:hAnsi="Arial" w:cs="Arial"/>
          <w:lang w:val="es-ES"/>
        </w:rPr>
        <w:t>El Centro ha prestado asistencia a la ICANN en el establecimiento de los criterios sustantivos del procedimiento de objeciones relativas a derechos de terceros basados en la “Recomendación Conjunta relativa a las Disposiciones sobre la Protección de las Marcas, y otros Derechos de Propiedad Industrial sobre Signos, en Internet”</w:t>
      </w:r>
      <w:r w:rsidRPr="008F762A">
        <w:rPr>
          <w:rStyle w:val="FootnoteReference"/>
          <w:rFonts w:ascii="Arial" w:hAnsi="Arial"/>
          <w:lang w:val="es-ES"/>
        </w:rPr>
        <w:footnoteReference w:id="32"/>
      </w:r>
      <w:r w:rsidRPr="008F762A">
        <w:rPr>
          <w:rFonts w:ascii="Arial" w:hAnsi="Arial" w:cs="Arial"/>
          <w:lang w:val="es-ES"/>
        </w:rPr>
        <w:t xml:space="preserve"> (Recomendación Conjunta), adoptada por la Asamblea General de la OMPI en septiembre de 2001.</w:t>
      </w:r>
    </w:p>
    <w:p w:rsidR="009E7935" w:rsidRPr="008F762A" w:rsidRDefault="009E7935" w:rsidP="00133109">
      <w:pPr>
        <w:pStyle w:val="ListParagraph"/>
        <w:spacing w:line="240" w:lineRule="auto"/>
        <w:ind w:left="0"/>
        <w:rPr>
          <w:rFonts w:ascii="Arial" w:hAnsi="Arial" w:cs="Arial"/>
          <w:lang w:val="es-ES"/>
        </w:rPr>
      </w:pPr>
    </w:p>
    <w:p w:rsidR="009E7935" w:rsidRPr="008F762A" w:rsidRDefault="00BB6ECC" w:rsidP="00B35B85">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lastRenderedPageBreak/>
        <w:t>El Centro fue designado por la ICANN como proveedor exclusivo de servicios de solución de controversias en relación con objeciones relativas a derechos de terceros.</w:t>
      </w:r>
      <w:r w:rsidRPr="008F762A">
        <w:rPr>
          <w:rStyle w:val="FootnoteReference"/>
          <w:rFonts w:ascii="Arial" w:hAnsi="Arial"/>
          <w:lang w:val="es-ES"/>
        </w:rPr>
        <w:footnoteReference w:id="33"/>
      </w:r>
      <w:r w:rsidR="0018759B" w:rsidRPr="008F762A">
        <w:rPr>
          <w:rFonts w:ascii="Arial" w:hAnsi="Arial" w:cs="Arial"/>
          <w:lang w:val="es-ES"/>
        </w:rPr>
        <w:t xml:space="preserve">  </w:t>
      </w:r>
      <w:r w:rsidRPr="008F762A">
        <w:rPr>
          <w:rFonts w:ascii="Arial" w:hAnsi="Arial" w:cs="Arial"/>
          <w:bCs/>
          <w:lang w:val="es-ES"/>
        </w:rPr>
        <w:t>Al término del plazo para la presentación de objeciones relativas a derechos de terceros en marzo de 2013, el Centro había recibido 69 objeciones presentadas de conformidad con los requisitos de procedimiento.</w:t>
      </w:r>
      <w:r w:rsidRPr="008F762A">
        <w:rPr>
          <w:rStyle w:val="FootnoteReference"/>
          <w:rFonts w:ascii="Arial" w:hAnsi="Arial"/>
          <w:lang w:val="es-ES"/>
        </w:rPr>
        <w:footnoteReference w:id="34"/>
      </w:r>
      <w:r w:rsidR="0018759B" w:rsidRPr="008F762A">
        <w:rPr>
          <w:rFonts w:ascii="Arial" w:hAnsi="Arial" w:cs="Arial"/>
          <w:lang w:val="es-ES"/>
        </w:rPr>
        <w:t xml:space="preserve">  </w:t>
      </w:r>
      <w:r w:rsidRPr="008F762A">
        <w:rPr>
          <w:rFonts w:ascii="Arial" w:hAnsi="Arial" w:cs="Arial"/>
          <w:lang w:val="es-ES"/>
        </w:rPr>
        <w:t>Las primeras decisiones respecto a esas objeciones fueron notificadas a las partes y publicadas</w:t>
      </w:r>
      <w:r w:rsidR="001B2C87">
        <w:rPr>
          <w:rFonts w:ascii="Arial" w:hAnsi="Arial" w:cs="Arial"/>
          <w:lang w:val="es-ES"/>
        </w:rPr>
        <w:t xml:space="preserve"> en</w:t>
      </w:r>
      <w:r w:rsidR="004A2939">
        <w:rPr>
          <w:rFonts w:ascii="Arial" w:hAnsi="Arial" w:cs="Arial"/>
          <w:lang w:val="es-ES"/>
        </w:rPr>
        <w:t xml:space="preserve"> julio de 2013, y el Centro</w:t>
      </w:r>
      <w:r w:rsidRPr="008F762A">
        <w:rPr>
          <w:rFonts w:ascii="Arial" w:hAnsi="Arial" w:cs="Arial"/>
          <w:lang w:val="es-ES"/>
        </w:rPr>
        <w:t xml:space="preserve"> </w:t>
      </w:r>
      <w:r w:rsidR="004A2939">
        <w:rPr>
          <w:rFonts w:ascii="Arial" w:hAnsi="Arial" w:cs="Arial"/>
          <w:lang w:val="es-ES"/>
        </w:rPr>
        <w:t xml:space="preserve">llevó a cabo </w:t>
      </w:r>
      <w:r w:rsidRPr="008F762A">
        <w:rPr>
          <w:rFonts w:ascii="Arial" w:hAnsi="Arial" w:cs="Arial"/>
          <w:lang w:val="es-ES"/>
        </w:rPr>
        <w:t>la parte esencial de</w:t>
      </w:r>
      <w:r w:rsidR="004A2939">
        <w:rPr>
          <w:rFonts w:ascii="Arial" w:hAnsi="Arial" w:cs="Arial"/>
          <w:lang w:val="es-ES"/>
        </w:rPr>
        <w:t xml:space="preserve"> </w:t>
      </w:r>
      <w:r w:rsidRPr="008F762A">
        <w:rPr>
          <w:rFonts w:ascii="Arial" w:hAnsi="Arial" w:cs="Arial"/>
          <w:lang w:val="es-ES"/>
        </w:rPr>
        <w:t>l</w:t>
      </w:r>
      <w:r w:rsidR="004A2939">
        <w:rPr>
          <w:rFonts w:ascii="Arial" w:hAnsi="Arial" w:cs="Arial"/>
          <w:lang w:val="es-ES"/>
        </w:rPr>
        <w:t>os procedimientos</w:t>
      </w:r>
      <w:r w:rsidRPr="008F762A">
        <w:rPr>
          <w:rFonts w:ascii="Arial" w:hAnsi="Arial" w:cs="Arial"/>
          <w:lang w:val="es-ES"/>
        </w:rPr>
        <w:t xml:space="preserve"> </w:t>
      </w:r>
      <w:r w:rsidR="004A2939">
        <w:rPr>
          <w:rFonts w:ascii="Arial" w:hAnsi="Arial" w:cs="Arial"/>
          <w:lang w:val="es-ES"/>
        </w:rPr>
        <w:t xml:space="preserve">relativos a </w:t>
      </w:r>
      <w:r w:rsidRPr="008F762A">
        <w:rPr>
          <w:rFonts w:ascii="Arial" w:hAnsi="Arial" w:cs="Arial"/>
          <w:lang w:val="es-ES"/>
        </w:rPr>
        <w:t>esas cuestiones a principios de se</w:t>
      </w:r>
      <w:r w:rsidR="001B2C87">
        <w:rPr>
          <w:rFonts w:ascii="Arial" w:hAnsi="Arial" w:cs="Arial"/>
          <w:lang w:val="es-ES"/>
        </w:rPr>
        <w:t>p</w:t>
      </w:r>
      <w:r w:rsidRPr="008F762A">
        <w:rPr>
          <w:rFonts w:ascii="Arial" w:hAnsi="Arial" w:cs="Arial"/>
          <w:lang w:val="es-ES"/>
        </w:rPr>
        <w:t>tiembre de 2013.</w:t>
      </w:r>
      <w:r w:rsidR="0018759B" w:rsidRPr="008F762A">
        <w:rPr>
          <w:rFonts w:ascii="Arial" w:hAnsi="Arial" w:cs="Arial"/>
          <w:lang w:val="es-ES"/>
        </w:rPr>
        <w:t xml:space="preserve">  </w:t>
      </w:r>
      <w:r w:rsidR="00B35B85" w:rsidRPr="008F762A">
        <w:rPr>
          <w:rFonts w:ascii="Arial" w:hAnsi="Arial" w:cs="Arial"/>
          <w:lang w:val="es-ES"/>
        </w:rPr>
        <w:t>Todas las decisiones del grupo de expertos de la OMPI están disponibles en el sitio</w:t>
      </w:r>
      <w:r w:rsidR="002F61D0" w:rsidRPr="008F762A">
        <w:rPr>
          <w:rFonts w:ascii="Arial" w:hAnsi="Arial" w:cs="Arial"/>
          <w:lang w:val="es-ES"/>
        </w:rPr>
        <w:t xml:space="preserve"> web</w:t>
      </w:r>
      <w:r w:rsidR="00B35B85" w:rsidRPr="008F762A">
        <w:rPr>
          <w:rFonts w:ascii="Arial" w:hAnsi="Arial" w:cs="Arial"/>
          <w:lang w:val="es-ES"/>
        </w:rPr>
        <w:t xml:space="preserve"> del Centro.</w:t>
      </w:r>
      <w:r w:rsidR="00B35B85" w:rsidRPr="008F762A">
        <w:rPr>
          <w:rStyle w:val="FootnoteReference"/>
          <w:rFonts w:ascii="Arial" w:hAnsi="Arial"/>
          <w:lang w:val="es-ES"/>
        </w:rPr>
        <w:footnoteReference w:id="35"/>
      </w:r>
    </w:p>
    <w:p w:rsidR="009E7935" w:rsidRPr="008F762A" w:rsidRDefault="009E7935" w:rsidP="00742406">
      <w:pPr>
        <w:pStyle w:val="ListParagraph"/>
        <w:spacing w:line="240" w:lineRule="auto"/>
        <w:ind w:left="0"/>
        <w:rPr>
          <w:rFonts w:ascii="Arial" w:hAnsi="Arial" w:cs="Arial"/>
          <w:lang w:val="es-ES"/>
        </w:rPr>
      </w:pPr>
    </w:p>
    <w:p w:rsidR="002F61D0" w:rsidRPr="008F762A" w:rsidRDefault="00A9031F" w:rsidP="000622A3">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En su informe final sobre el procedimiento para formular objeciones relativas a derechos de terceros d</w:t>
      </w:r>
      <w:r w:rsidR="00394A64" w:rsidRPr="008F762A">
        <w:rPr>
          <w:rFonts w:ascii="Arial" w:hAnsi="Arial" w:cs="Arial"/>
          <w:lang w:val="es-ES"/>
        </w:rPr>
        <w:t>e 2</w:t>
      </w:r>
      <w:r w:rsidRPr="008F762A">
        <w:rPr>
          <w:rFonts w:ascii="Arial" w:hAnsi="Arial" w:cs="Arial"/>
          <w:lang w:val="es-ES"/>
        </w:rPr>
        <w:t>013,</w:t>
      </w:r>
      <w:r w:rsidRPr="008F762A">
        <w:rPr>
          <w:rStyle w:val="FootnoteReference"/>
          <w:rFonts w:ascii="Arial" w:hAnsi="Arial"/>
          <w:lang w:val="es-ES"/>
        </w:rPr>
        <w:footnoteReference w:id="36"/>
      </w:r>
      <w:r w:rsidRPr="008F762A">
        <w:rPr>
          <w:rFonts w:ascii="Arial" w:hAnsi="Arial" w:cs="Arial"/>
          <w:lang w:val="es-ES"/>
        </w:rPr>
        <w:t xml:space="preserve"> el Centro ha elaborado un análisis de este proceso a fin </w:t>
      </w:r>
      <w:r w:rsidR="001011DC" w:rsidRPr="008F762A">
        <w:rPr>
          <w:rFonts w:ascii="Arial" w:hAnsi="Arial" w:cs="Arial"/>
          <w:lang w:val="es-ES"/>
        </w:rPr>
        <w:t>de ofrecer</w:t>
      </w:r>
      <w:r w:rsidRPr="008F762A">
        <w:rPr>
          <w:rFonts w:ascii="Arial" w:hAnsi="Arial" w:cs="Arial"/>
          <w:lang w:val="es-ES"/>
        </w:rPr>
        <w:t xml:space="preserve"> una reseña histórica y estadística de las realidades de este proyecto, y dar cuerpo a las futuras prácticas y medidas de actuación en la solución de controversias relativas a nombres de dominio</w:t>
      </w:r>
      <w:r w:rsidR="00394A64" w:rsidRPr="008F762A">
        <w:rPr>
          <w:rFonts w:ascii="Arial" w:hAnsi="Arial" w:cs="Arial"/>
          <w:lang w:val="es-ES"/>
        </w:rPr>
        <w:t>.  E</w:t>
      </w:r>
      <w:r w:rsidR="000622A3" w:rsidRPr="008F762A">
        <w:rPr>
          <w:rFonts w:ascii="Arial" w:hAnsi="Arial" w:cs="Arial"/>
          <w:lang w:val="es-ES"/>
        </w:rPr>
        <w:t>n el Informe se presenta un panorama sobre el proceso de elaboración de políticas relativas a los nuevos gTLD, así como los nuevos reglamentos de procedimiento y proveedor aplicables</w:t>
      </w:r>
      <w:r w:rsidR="00394A64" w:rsidRPr="008F762A">
        <w:rPr>
          <w:rFonts w:ascii="Arial" w:hAnsi="Arial" w:cs="Arial"/>
          <w:lang w:val="es-ES"/>
        </w:rPr>
        <w:t>.  T</w:t>
      </w:r>
      <w:r w:rsidR="000622A3" w:rsidRPr="008F762A">
        <w:rPr>
          <w:rFonts w:ascii="Arial" w:hAnsi="Arial" w:cs="Arial"/>
          <w:lang w:val="es-ES"/>
        </w:rPr>
        <w:t>ambién, se describe la administración por el Centro de las objeciones relativas a derechos de terceros</w:t>
      </w:r>
      <w:r w:rsidR="00394A64" w:rsidRPr="008F762A">
        <w:rPr>
          <w:rFonts w:ascii="Arial" w:hAnsi="Arial" w:cs="Arial"/>
          <w:lang w:val="es-ES"/>
        </w:rPr>
        <w:t>.  A</w:t>
      </w:r>
      <w:r w:rsidR="000622A3" w:rsidRPr="008F762A">
        <w:rPr>
          <w:rFonts w:ascii="Arial" w:hAnsi="Arial" w:cs="Arial"/>
          <w:lang w:val="es-ES"/>
        </w:rPr>
        <w:t>l final del informe figuran constataciones sustantivas que parecen ser ampliamente representativas de las decisiones tomadas por los expertos</w:t>
      </w:r>
      <w:r w:rsidR="002F61D0" w:rsidRPr="008F762A">
        <w:rPr>
          <w:rFonts w:ascii="Arial" w:hAnsi="Arial" w:cs="Arial"/>
          <w:lang w:val="es-ES"/>
        </w:rPr>
        <w:t>.</w:t>
      </w:r>
    </w:p>
    <w:p w:rsidR="009E7935" w:rsidRPr="008F762A" w:rsidRDefault="00AD23EF" w:rsidP="00AD23EF">
      <w:pPr>
        <w:ind w:left="1134"/>
        <w:rPr>
          <w:lang w:val="es-ES"/>
        </w:rPr>
      </w:pPr>
      <w:r w:rsidRPr="008F762A">
        <w:rPr>
          <w:lang w:val="es-ES"/>
        </w:rPr>
        <w:t>–</w:t>
      </w:r>
      <w:r w:rsidRPr="008F762A">
        <w:rPr>
          <w:lang w:val="es-ES"/>
        </w:rPr>
        <w:tab/>
      </w:r>
      <w:r w:rsidR="00B35B85" w:rsidRPr="008F762A">
        <w:rPr>
          <w:lang w:val="es-ES"/>
        </w:rPr>
        <w:t>Procedimiento de solución de controversias para la etapa posterior a la adjudicación (PDDRP)</w:t>
      </w:r>
      <w:r w:rsidR="0018759B" w:rsidRPr="008F762A">
        <w:rPr>
          <w:lang w:val="es-ES"/>
        </w:rPr>
        <w:t xml:space="preserve"> </w:t>
      </w:r>
    </w:p>
    <w:p w:rsidR="009E7935" w:rsidRPr="008F762A" w:rsidRDefault="009E7935" w:rsidP="006F03B4">
      <w:pPr>
        <w:pStyle w:val="ListParagraph"/>
        <w:spacing w:line="240" w:lineRule="auto"/>
        <w:ind w:left="0"/>
        <w:rPr>
          <w:rFonts w:ascii="Arial" w:hAnsi="Arial" w:cs="Arial"/>
          <w:lang w:val="es-ES"/>
        </w:rPr>
      </w:pPr>
    </w:p>
    <w:p w:rsidR="009E7935" w:rsidRPr="008F762A" w:rsidRDefault="00B35B85" w:rsidP="0015506B">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Desde inicios de 2008, el Centro ha examinado con la ICANN la utilidad de disponer de un procedimiento administrativo con carácter permanente que permita la presentación de demandas relacionadas con un nuevo administrador de registro de gTLD que haya sido aprobado,</w:t>
      </w:r>
      <w:r w:rsidR="00C53AF5">
        <w:rPr>
          <w:rFonts w:ascii="Arial" w:hAnsi="Arial" w:cs="Arial"/>
          <w:lang w:val="es-ES"/>
        </w:rPr>
        <w:t xml:space="preserve"> cuando la forma en que funcione</w:t>
      </w:r>
      <w:r w:rsidRPr="008F762A">
        <w:rPr>
          <w:rFonts w:ascii="Arial" w:hAnsi="Arial" w:cs="Arial"/>
          <w:lang w:val="es-ES"/>
        </w:rPr>
        <w:t xml:space="preserve"> </w:t>
      </w:r>
      <w:r w:rsidR="00C53AF5">
        <w:rPr>
          <w:rFonts w:ascii="Arial" w:hAnsi="Arial" w:cs="Arial"/>
          <w:lang w:val="es-ES"/>
        </w:rPr>
        <w:t>o utilice</w:t>
      </w:r>
      <w:r w:rsidRPr="008F762A">
        <w:rPr>
          <w:rFonts w:ascii="Arial" w:hAnsi="Arial" w:cs="Arial"/>
          <w:lang w:val="es-ES"/>
        </w:rPr>
        <w:t xml:space="preserve"> en la práctica el registro dé lugar supuestamente al uso abusivo de una marca o contribuya sustancialmente a ello.</w:t>
      </w:r>
      <w:r w:rsidR="0018759B" w:rsidRPr="008F762A">
        <w:rPr>
          <w:rFonts w:ascii="Arial" w:hAnsi="Arial" w:cs="Arial"/>
          <w:lang w:val="es-ES"/>
        </w:rPr>
        <w:t xml:space="preserve">  </w:t>
      </w:r>
      <w:r w:rsidR="0015506B" w:rsidRPr="008F762A">
        <w:rPr>
          <w:rFonts w:ascii="Arial" w:hAnsi="Arial" w:cs="Arial"/>
          <w:lang w:val="es-ES"/>
        </w:rPr>
        <w:t>A comienzos de 2009, el Centro transmitió a la ICANN una propuesta concreta sobre el contenido de un procedimiento de solución de controversias, en relación con las marcas, para la etapa posterior a la adjudicación.</w:t>
      </w:r>
      <w:r w:rsidR="0015506B" w:rsidRPr="008F762A">
        <w:rPr>
          <w:rStyle w:val="FootnoteReference"/>
          <w:rFonts w:ascii="Arial" w:hAnsi="Arial"/>
          <w:lang w:val="es-ES"/>
        </w:rPr>
        <w:footnoteReference w:id="37"/>
      </w:r>
      <w:r w:rsidR="00F02917" w:rsidRPr="008F762A">
        <w:rPr>
          <w:rFonts w:ascii="Arial" w:hAnsi="Arial" w:cs="Arial"/>
          <w:lang w:val="es-ES"/>
        </w:rPr>
        <w:t xml:space="preserve"> </w:t>
      </w:r>
      <w:r w:rsidR="0018759B" w:rsidRPr="008F762A">
        <w:rPr>
          <w:rFonts w:ascii="Arial" w:hAnsi="Arial" w:cs="Arial"/>
          <w:lang w:val="es-ES"/>
        </w:rPr>
        <w:t xml:space="preserve"> </w:t>
      </w:r>
      <w:r w:rsidR="0015506B" w:rsidRPr="008F762A">
        <w:rPr>
          <w:rFonts w:ascii="Arial" w:hAnsi="Arial" w:cs="Arial"/>
          <w:lang w:val="es-ES"/>
        </w:rPr>
        <w:t>La propuesta tiene por finalidad brindar una forma de asistencia normalizada a la labor de supervisión que realiza la ICANN, proporcionando una alternativa de naturaleza administrativa a los procedimientos judiciales, fomentando una conducta responsable por parte de los actores pertinentes, con inclusión de las salvaguardias apropiadas.</w:t>
      </w:r>
      <w:r w:rsidR="0015506B" w:rsidRPr="008F762A">
        <w:rPr>
          <w:rStyle w:val="FootnoteReference"/>
          <w:rFonts w:ascii="Arial" w:hAnsi="Arial"/>
          <w:lang w:val="es-ES"/>
        </w:rPr>
        <w:footnoteReference w:id="38"/>
      </w:r>
      <w:r w:rsidR="0018759B" w:rsidRPr="008F762A">
        <w:rPr>
          <w:rFonts w:ascii="Arial" w:hAnsi="Arial" w:cs="Arial"/>
          <w:lang w:val="es-ES"/>
        </w:rPr>
        <w:t xml:space="preserve">  </w:t>
      </w:r>
    </w:p>
    <w:p w:rsidR="009E7935" w:rsidRPr="008F762A" w:rsidRDefault="009E7935" w:rsidP="006F03B4">
      <w:pPr>
        <w:pStyle w:val="ListParagraph"/>
        <w:spacing w:line="240" w:lineRule="auto"/>
        <w:ind w:left="0"/>
        <w:rPr>
          <w:rFonts w:ascii="Arial" w:hAnsi="Arial" w:cs="Arial"/>
          <w:lang w:val="es-ES"/>
        </w:rPr>
      </w:pPr>
    </w:p>
    <w:p w:rsidR="009E7935" w:rsidRPr="008F762A" w:rsidRDefault="0015506B" w:rsidP="007747B5">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 xml:space="preserve">Tras la labor realizada por diversos comités de la ICANN y las consultas mantenidas con los administradores de registros, dista de verse la eficacia del procedimiento de solución de controversias para la etapa posterior a la adjudicación (PDDRP) que fue adoptado por la ICANN, sobre todo considerando que se añadieron etapas procedimentales que se </w:t>
      </w:r>
      <w:r w:rsidRPr="008F762A">
        <w:rPr>
          <w:rFonts w:ascii="Arial" w:hAnsi="Arial" w:cs="Arial"/>
          <w:lang w:val="es-ES"/>
        </w:rPr>
        <w:lastRenderedPageBreak/>
        <w:t>superponen, y que hay dudas sobre el alcance que se pretende dar a ese mecanismo.</w:t>
      </w:r>
      <w:r w:rsidRPr="008F762A">
        <w:rPr>
          <w:rStyle w:val="FootnoteReference"/>
          <w:rFonts w:ascii="Arial" w:hAnsi="Arial"/>
          <w:lang w:val="es-ES"/>
        </w:rPr>
        <w:footnoteReference w:id="39"/>
      </w:r>
      <w:r w:rsidR="0018759B" w:rsidRPr="008F762A">
        <w:rPr>
          <w:rFonts w:ascii="Arial" w:hAnsi="Arial" w:cs="Arial"/>
          <w:lang w:val="es-ES"/>
        </w:rPr>
        <w:t xml:space="preserve">  </w:t>
      </w:r>
      <w:r w:rsidRPr="008F762A">
        <w:rPr>
          <w:rFonts w:ascii="Arial" w:hAnsi="Arial" w:cs="Arial"/>
          <w:lang w:val="es-ES"/>
        </w:rPr>
        <w:t>Pese a esa incertidumbre, teniendo en cuenta las cuestiones de política general consideradas, el Centro firmó el 18 de septiembre de 2013 un memorándum de entendimiento con la ICANN para convertirse en proveedor en el marco del PDDRP respecto de las marcas.</w:t>
      </w:r>
    </w:p>
    <w:p w:rsidR="009E7935" w:rsidRPr="008F762A" w:rsidRDefault="0015506B" w:rsidP="007747B5">
      <w:pPr>
        <w:pStyle w:val="Heading3"/>
        <w:keepNext w:val="0"/>
        <w:ind w:left="1134" w:hanging="567"/>
        <w:rPr>
          <w:lang w:val="es-ES"/>
        </w:rPr>
      </w:pPr>
      <w:r w:rsidRPr="008F762A">
        <w:rPr>
          <w:u w:val="none"/>
          <w:lang w:val="es-ES"/>
        </w:rPr>
        <w:t>ii)</w:t>
      </w:r>
      <w:r w:rsidR="007747B5" w:rsidRPr="008F762A">
        <w:rPr>
          <w:u w:val="none"/>
          <w:lang w:val="es-ES"/>
        </w:rPr>
        <w:tab/>
      </w:r>
      <w:r w:rsidRPr="008F762A">
        <w:rPr>
          <w:lang w:val="es-ES"/>
        </w:rPr>
        <w:t>Mecanismos de protección de derechos correspondientes a los dominios de segundo nivel</w:t>
      </w:r>
    </w:p>
    <w:p w:rsidR="009E7935" w:rsidRPr="008F762A" w:rsidRDefault="009E7935" w:rsidP="006F03B4">
      <w:pPr>
        <w:rPr>
          <w:lang w:val="es-ES"/>
        </w:rPr>
      </w:pPr>
    </w:p>
    <w:p w:rsidR="009E7935" w:rsidRPr="008F762A" w:rsidRDefault="007747B5" w:rsidP="0015506B">
      <w:pPr>
        <w:ind w:left="1701" w:hanging="567"/>
        <w:rPr>
          <w:lang w:val="es-ES"/>
        </w:rPr>
      </w:pPr>
      <w:r w:rsidRPr="008F762A">
        <w:rPr>
          <w:lang w:val="es-ES"/>
        </w:rPr>
        <w:t>–</w:t>
      </w:r>
      <w:r w:rsidRPr="008F762A">
        <w:rPr>
          <w:lang w:val="es-ES"/>
        </w:rPr>
        <w:tab/>
      </w:r>
      <w:r w:rsidR="001011DC" w:rsidRPr="008F762A">
        <w:rPr>
          <w:lang w:val="es-ES"/>
        </w:rPr>
        <w:t>Mecanismo</w:t>
      </w:r>
      <w:r w:rsidR="0015506B" w:rsidRPr="008F762A">
        <w:rPr>
          <w:lang w:val="es-ES"/>
        </w:rPr>
        <w:t xml:space="preserve"> de validación del registro de marcas</w:t>
      </w:r>
      <w:r w:rsidR="0018759B" w:rsidRPr="008F762A">
        <w:rPr>
          <w:lang w:val="es-ES"/>
        </w:rPr>
        <w:t xml:space="preserve"> </w:t>
      </w:r>
    </w:p>
    <w:p w:rsidR="009E7935" w:rsidRPr="008F762A" w:rsidRDefault="009E7935" w:rsidP="006F03B4">
      <w:pPr>
        <w:rPr>
          <w:lang w:val="es-ES"/>
        </w:rPr>
      </w:pPr>
    </w:p>
    <w:p w:rsidR="009E7935" w:rsidRPr="008F762A" w:rsidRDefault="00196459" w:rsidP="007747B5">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En el Programa de Nuevos gTLD de la ICANN se recoge el denominado “mecanismo de validación de marcas”, que es un archivo central de marcas que han sido autenticadas con el fin de que se las pueda invocar a la hora de presentar la solicitud de los nuevos gTLD, en el marco de los mecanismos de protección de los derechos.</w:t>
      </w:r>
      <w:r w:rsidRPr="008F762A">
        <w:rPr>
          <w:rStyle w:val="FootnoteReference"/>
          <w:rFonts w:ascii="Arial" w:hAnsi="Arial"/>
          <w:lang w:val="es-ES"/>
        </w:rPr>
        <w:footnoteReference w:id="40"/>
      </w:r>
      <w:r w:rsidR="0018759B" w:rsidRPr="008F762A">
        <w:rPr>
          <w:rFonts w:ascii="Arial" w:hAnsi="Arial" w:cs="Arial"/>
          <w:lang w:val="es-ES"/>
        </w:rPr>
        <w:t xml:space="preserve">  </w:t>
      </w:r>
      <w:r w:rsidRPr="008F762A">
        <w:rPr>
          <w:rFonts w:ascii="Arial" w:hAnsi="Arial" w:cs="Arial"/>
          <w:lang w:val="es-ES"/>
        </w:rPr>
        <w:t>La adopción de ese concepto obligó a examinar detenidamente diversos aspectos de la cuestión, entre otros, la relación con las decisiones de las oficinas de marcas.</w:t>
      </w:r>
      <w:r w:rsidR="00CF3FC5" w:rsidRPr="008F762A">
        <w:rPr>
          <w:rFonts w:ascii="Arial" w:hAnsi="Arial" w:cs="Arial"/>
          <w:lang w:val="es-ES"/>
        </w:rPr>
        <w:t xml:space="preserve">  </w:t>
      </w:r>
      <w:r w:rsidRPr="008F762A">
        <w:rPr>
          <w:rFonts w:ascii="Arial" w:hAnsi="Arial" w:cs="Arial"/>
          <w:lang w:val="es-ES"/>
        </w:rPr>
        <w:t>El mecanismo de validación de marcas se ha abierto a la presentación y validación de marcas desde marzo de 2013,</w:t>
      </w:r>
      <w:r w:rsidRPr="008F762A">
        <w:rPr>
          <w:rStyle w:val="FootnoteReference"/>
          <w:rFonts w:ascii="Arial" w:hAnsi="Arial"/>
          <w:lang w:val="es-ES"/>
        </w:rPr>
        <w:footnoteReference w:id="41"/>
      </w:r>
      <w:r w:rsidRPr="008F762A">
        <w:rPr>
          <w:rFonts w:ascii="Arial" w:hAnsi="Arial" w:cs="Arial"/>
          <w:lang w:val="es-ES"/>
        </w:rPr>
        <w:t xml:space="preserve"> y el Centro sigue atentamente los avances relativos a ese mecanismo.</w:t>
      </w:r>
      <w:r w:rsidRPr="008F762A">
        <w:rPr>
          <w:rStyle w:val="FootnoteReference"/>
          <w:rFonts w:ascii="Arial" w:hAnsi="Arial"/>
          <w:lang w:val="es-ES"/>
        </w:rPr>
        <w:footnoteReference w:id="42"/>
      </w:r>
    </w:p>
    <w:p w:rsidR="009E7935" w:rsidRPr="008F762A" w:rsidRDefault="00196459" w:rsidP="00196459">
      <w:pPr>
        <w:ind w:left="1134"/>
        <w:rPr>
          <w:lang w:val="es-ES"/>
        </w:rPr>
      </w:pPr>
      <w:r w:rsidRPr="008F762A">
        <w:rPr>
          <w:lang w:val="es-ES"/>
        </w:rPr>
        <w:t>−</w:t>
      </w:r>
      <w:r w:rsidR="00F140FD" w:rsidRPr="008F762A">
        <w:rPr>
          <w:lang w:val="es-ES"/>
        </w:rPr>
        <w:tab/>
      </w:r>
      <w:r w:rsidRPr="008F762A">
        <w:rPr>
          <w:lang w:val="es-ES"/>
        </w:rPr>
        <w:t>Sistema Uniforme de Suspensión Rápida (URS)</w:t>
      </w:r>
    </w:p>
    <w:p w:rsidR="009E7935" w:rsidRPr="008F762A" w:rsidRDefault="009E7935" w:rsidP="006F03B4">
      <w:pPr>
        <w:pStyle w:val="ListParagraph"/>
        <w:spacing w:line="240" w:lineRule="auto"/>
        <w:ind w:left="0"/>
        <w:rPr>
          <w:rFonts w:ascii="Arial" w:hAnsi="Arial" w:cs="Arial"/>
          <w:lang w:val="es-ES"/>
        </w:rPr>
      </w:pPr>
    </w:p>
    <w:p w:rsidR="009E7935" w:rsidRPr="008F762A" w:rsidRDefault="00196459" w:rsidP="00E175D5">
      <w:pPr>
        <w:pStyle w:val="ListParagraph"/>
        <w:numPr>
          <w:ilvl w:val="0"/>
          <w:numId w:val="9"/>
        </w:numPr>
        <w:spacing w:line="240" w:lineRule="auto"/>
        <w:ind w:left="0" w:firstLine="0"/>
        <w:rPr>
          <w:rFonts w:ascii="Arial" w:hAnsi="Arial" w:cs="Arial"/>
          <w:lang w:val="es-ES"/>
        </w:rPr>
      </w:pPr>
      <w:r w:rsidRPr="008F762A">
        <w:rPr>
          <w:rFonts w:ascii="Arial" w:hAnsi="Arial" w:cs="Arial"/>
          <w:lang w:val="es-ES"/>
        </w:rPr>
        <w:t>Si bien la Política Uniforme seguirá siendo un importante instrumento para resolver las controversias relativas a los nuevos gTLD sobre la cesión de un nombre de dominio en litigio al titular de la marca, la ICANN ha creado lo que deberá ser un mecanismo de derechos de características menos rigurosas para el caso de los dominios de segundo nivel.</w:t>
      </w:r>
      <w:r w:rsidRPr="008F762A">
        <w:rPr>
          <w:rStyle w:val="FootnoteReference"/>
          <w:rFonts w:ascii="Arial" w:hAnsi="Arial"/>
          <w:lang w:val="es-ES"/>
        </w:rPr>
        <w:footnoteReference w:id="43"/>
      </w:r>
      <w:r w:rsidR="0018759B" w:rsidRPr="008F762A">
        <w:rPr>
          <w:rFonts w:ascii="Arial" w:hAnsi="Arial" w:cs="Arial"/>
          <w:lang w:val="es-ES"/>
        </w:rPr>
        <w:t xml:space="preserve">  </w:t>
      </w:r>
      <w:r w:rsidR="00E175D5" w:rsidRPr="008F762A">
        <w:rPr>
          <w:rFonts w:ascii="Arial" w:hAnsi="Arial" w:cs="Arial"/>
          <w:lang w:val="es-ES"/>
        </w:rPr>
        <w:t xml:space="preserve">Quedan </w:t>
      </w:r>
      <w:r w:rsidR="00E175D5" w:rsidRPr="008F762A">
        <w:rPr>
          <w:rFonts w:ascii="Arial" w:hAnsi="Arial" w:cs="Arial"/>
          <w:lang w:val="es-ES"/>
        </w:rPr>
        <w:lastRenderedPageBreak/>
        <w:t xml:space="preserve">numerosas cuestiones por resolver, en particular la de saber si el </w:t>
      </w:r>
      <w:r w:rsidR="004A2939">
        <w:rPr>
          <w:rFonts w:ascii="Arial" w:hAnsi="Arial" w:cs="Arial"/>
          <w:lang w:val="es-ES"/>
        </w:rPr>
        <w:t xml:space="preserve">sistema </w:t>
      </w:r>
      <w:r w:rsidR="00E175D5" w:rsidRPr="008F762A">
        <w:rPr>
          <w:rFonts w:ascii="Arial" w:hAnsi="Arial" w:cs="Arial"/>
          <w:lang w:val="es-ES"/>
        </w:rPr>
        <w:t>URS puede funcionar de manera eficaz y viable como complemento de los principios de la alternativa rápida que representa la Política Uniforme y determinar su vínculo con los procedimientos de esa política.</w:t>
      </w:r>
      <w:r w:rsidR="00E175D5" w:rsidRPr="008F762A">
        <w:rPr>
          <w:rStyle w:val="FootnoteReference"/>
          <w:rFonts w:ascii="Arial" w:hAnsi="Arial"/>
          <w:lang w:val="es-ES"/>
        </w:rPr>
        <w:footnoteReference w:id="44"/>
      </w:r>
      <w:r w:rsidR="0018759B" w:rsidRPr="008F762A">
        <w:rPr>
          <w:rFonts w:ascii="Arial" w:hAnsi="Arial" w:cs="Arial"/>
          <w:lang w:val="es-ES"/>
        </w:rPr>
        <w:t xml:space="preserve">  </w:t>
      </w:r>
      <w:r w:rsidR="00E175D5" w:rsidRPr="008F762A">
        <w:rPr>
          <w:rFonts w:ascii="Arial" w:hAnsi="Arial" w:cs="Arial"/>
          <w:lang w:val="es-ES"/>
        </w:rPr>
        <w:t xml:space="preserve">La ICANN invitó a los proveedores potenciales de servicios de suspensión uniforme rápida a presentar sus propuestas </w:t>
      </w:r>
      <w:r w:rsidR="00054E4A">
        <w:rPr>
          <w:rFonts w:ascii="Arial" w:hAnsi="Arial" w:cs="Arial"/>
          <w:lang w:val="es-ES"/>
        </w:rPr>
        <w:t xml:space="preserve">de licitación </w:t>
      </w:r>
      <w:r w:rsidR="00E175D5" w:rsidRPr="008F762A">
        <w:rPr>
          <w:rFonts w:ascii="Arial" w:hAnsi="Arial" w:cs="Arial"/>
          <w:lang w:val="es-ES"/>
        </w:rPr>
        <w:t>y, tras un examen detenido del modelo de la ICANN y de las cuestiones de recursos conexas, el Centro no presentó ninguna oferta.</w:t>
      </w:r>
      <w:r w:rsidR="00E175D5" w:rsidRPr="008F762A">
        <w:rPr>
          <w:rStyle w:val="FootnoteReference"/>
          <w:rFonts w:ascii="Arial" w:hAnsi="Arial"/>
          <w:lang w:val="es-ES"/>
        </w:rPr>
        <w:footnoteReference w:id="45"/>
      </w:r>
      <w:r w:rsidR="0018759B" w:rsidRPr="008F762A">
        <w:rPr>
          <w:rFonts w:ascii="Arial" w:hAnsi="Arial" w:cs="Arial"/>
          <w:lang w:val="es-ES"/>
        </w:rPr>
        <w:t xml:space="preserve">  </w:t>
      </w:r>
    </w:p>
    <w:p w:rsidR="009E7935" w:rsidRPr="008F762A" w:rsidRDefault="009E7935" w:rsidP="006F03B4">
      <w:pPr>
        <w:pStyle w:val="ListParagraph"/>
        <w:spacing w:line="240" w:lineRule="auto"/>
        <w:ind w:left="0"/>
        <w:rPr>
          <w:rFonts w:ascii="Arial" w:hAnsi="Arial" w:cs="Arial"/>
          <w:lang w:val="es-ES"/>
        </w:rPr>
      </w:pPr>
    </w:p>
    <w:p w:rsidR="009E7935" w:rsidRPr="008F762A" w:rsidRDefault="009E7935" w:rsidP="006F03B4">
      <w:pPr>
        <w:pStyle w:val="ListParagraph"/>
        <w:spacing w:line="240" w:lineRule="auto"/>
        <w:ind w:left="0"/>
        <w:rPr>
          <w:rFonts w:ascii="Arial" w:hAnsi="Arial" w:cs="Arial"/>
          <w:lang w:val="es-ES"/>
        </w:rPr>
      </w:pPr>
    </w:p>
    <w:p w:rsidR="009E7935" w:rsidRPr="008F762A" w:rsidRDefault="009E7935" w:rsidP="006F03B4">
      <w:pPr>
        <w:pStyle w:val="ListParagraph"/>
        <w:spacing w:line="240" w:lineRule="auto"/>
        <w:ind w:left="0"/>
        <w:rPr>
          <w:rFonts w:ascii="Arial" w:hAnsi="Arial" w:cs="Arial"/>
          <w:lang w:val="es-ES"/>
        </w:rPr>
      </w:pPr>
    </w:p>
    <w:p w:rsidR="00D92679" w:rsidRPr="008F762A" w:rsidRDefault="00E175D5" w:rsidP="00E175D5">
      <w:pPr>
        <w:pStyle w:val="Endofdocument-Annex"/>
        <w:rPr>
          <w:lang w:val="es-ES"/>
        </w:rPr>
        <w:sectPr w:rsidR="00D92679" w:rsidRPr="008F762A" w:rsidSect="00DA5938">
          <w:headerReference w:type="default" r:id="rId11"/>
          <w:endnotePr>
            <w:numFmt w:val="decimal"/>
          </w:endnotePr>
          <w:pgSz w:w="11907" w:h="16840" w:code="9"/>
          <w:pgMar w:top="567" w:right="1134" w:bottom="1418" w:left="1418" w:header="510" w:footer="1021" w:gutter="0"/>
          <w:cols w:space="720"/>
          <w:titlePg/>
          <w:docGrid w:linePitch="299"/>
        </w:sectPr>
      </w:pPr>
      <w:r w:rsidRPr="008F762A">
        <w:rPr>
          <w:lang w:val="es-ES"/>
        </w:rPr>
        <w:t>[Sigue el Anexo]</w:t>
      </w:r>
    </w:p>
    <w:p w:rsidR="009E7935" w:rsidRPr="008F762A" w:rsidRDefault="00A06685" w:rsidP="0077643E">
      <w:pPr>
        <w:pStyle w:val="Heading1"/>
        <w:keepNext w:val="0"/>
        <w:rPr>
          <w:lang w:val="es-ES"/>
        </w:rPr>
      </w:pPr>
      <w:r w:rsidRPr="008F762A">
        <w:rPr>
          <w:caps w:val="0"/>
          <w:lang w:val="es-ES"/>
        </w:rPr>
        <w:lastRenderedPageBreak/>
        <w:t>RESULTADOS DE LA ENCUESTA DE ALCANCE INTERNACIONAL ACERCA DE LA SOLUCIÓN DE CONTROVERSIAS EN EL ÁMBITO DE LAS TRANSACCIONES SOBRE TECNOLOGÍA</w:t>
      </w:r>
    </w:p>
    <w:p w:rsidR="009E7935" w:rsidRPr="008F762A" w:rsidRDefault="00A06685" w:rsidP="0077643E">
      <w:pPr>
        <w:pStyle w:val="Heading1"/>
        <w:keepNext w:val="0"/>
        <w:rPr>
          <w:lang w:val="es-ES"/>
        </w:rPr>
      </w:pPr>
      <w:r w:rsidRPr="008F762A">
        <w:rPr>
          <w:caps w:val="0"/>
          <w:lang w:val="es-ES"/>
        </w:rPr>
        <w:t>RESUMEN GENERAL</w:t>
      </w:r>
    </w:p>
    <w:p w:rsidR="009E7935" w:rsidRPr="008F762A" w:rsidRDefault="009E7935" w:rsidP="00D92679">
      <w:pPr>
        <w:rPr>
          <w:rFonts w:eastAsia="Batang"/>
          <w:b/>
          <w:bCs/>
          <w:szCs w:val="22"/>
          <w:lang w:val="es-ES" w:eastAsia="ko-KR"/>
        </w:rPr>
      </w:pPr>
    </w:p>
    <w:p w:rsidR="009E7935" w:rsidRPr="008F762A" w:rsidRDefault="009E7935" w:rsidP="00D92679">
      <w:pPr>
        <w:rPr>
          <w:rFonts w:eastAsia="Batang"/>
          <w:b/>
          <w:bCs/>
          <w:szCs w:val="22"/>
          <w:lang w:val="es-ES" w:eastAsia="ko-KR"/>
        </w:rPr>
      </w:pPr>
    </w:p>
    <w:p w:rsidR="009E7935" w:rsidRPr="008F762A" w:rsidRDefault="00F70E38" w:rsidP="00F70E38">
      <w:pPr>
        <w:rPr>
          <w:rFonts w:eastAsia="Batang"/>
          <w:b/>
          <w:bCs/>
          <w:szCs w:val="22"/>
          <w:lang w:val="es-ES" w:eastAsia="ko-KR"/>
        </w:rPr>
      </w:pPr>
      <w:r w:rsidRPr="008F762A">
        <w:rPr>
          <w:rFonts w:eastAsia="Batang"/>
          <w:b/>
          <w:bCs/>
          <w:szCs w:val="22"/>
          <w:lang w:val="es-ES" w:eastAsia="ko-KR"/>
        </w:rPr>
        <w:t xml:space="preserve">El informe completo puede consultarse en: </w:t>
      </w:r>
      <w:hyperlink r:id="rId12" w:history="1">
        <w:r w:rsidR="005235F5" w:rsidRPr="008F762A">
          <w:rPr>
            <w:rStyle w:val="Hyperlink"/>
            <w:rFonts w:eastAsia="Batang" w:cs="Arial"/>
            <w:b/>
            <w:bCs/>
            <w:szCs w:val="22"/>
            <w:lang w:val="es-ES" w:eastAsia="ko-KR"/>
          </w:rPr>
          <w:t>http://www.wipo.int/export/sites/www/amc/en/docs/surveyresults.pdf</w:t>
        </w:r>
      </w:hyperlink>
      <w:r w:rsidR="005235F5" w:rsidRPr="008F762A">
        <w:rPr>
          <w:rFonts w:eastAsia="Batang"/>
          <w:b/>
          <w:bCs/>
          <w:szCs w:val="22"/>
          <w:lang w:val="es-ES" w:eastAsia="ko-KR"/>
        </w:rPr>
        <w:t xml:space="preserve"> </w:t>
      </w:r>
    </w:p>
    <w:p w:rsidR="009E7935" w:rsidRPr="008F762A" w:rsidRDefault="009E7935" w:rsidP="00D92679">
      <w:pPr>
        <w:rPr>
          <w:rFonts w:eastAsia="Batang"/>
          <w:b/>
          <w:bCs/>
          <w:szCs w:val="22"/>
          <w:lang w:val="es-ES" w:eastAsia="ko-KR"/>
        </w:rPr>
      </w:pPr>
    </w:p>
    <w:p w:rsidR="009E7935" w:rsidRPr="008F762A" w:rsidRDefault="00D92679" w:rsidP="0077643E">
      <w:pPr>
        <w:spacing w:before="240" w:after="60"/>
        <w:outlineLvl w:val="0"/>
        <w:rPr>
          <w:b/>
          <w:bCs/>
          <w:caps/>
          <w:kern w:val="32"/>
          <w:szCs w:val="32"/>
          <w:lang w:val="es-ES" w:eastAsia="ko-KR"/>
        </w:rPr>
      </w:pPr>
      <w:r w:rsidRPr="008F762A">
        <w:rPr>
          <w:b/>
          <w:bCs/>
          <w:caps/>
          <w:kern w:val="32"/>
          <w:szCs w:val="32"/>
          <w:lang w:val="es-ES" w:eastAsia="ko-KR"/>
        </w:rPr>
        <w:t>Objectiv</w:t>
      </w:r>
      <w:r w:rsidR="002D741B" w:rsidRPr="008F762A">
        <w:rPr>
          <w:b/>
          <w:bCs/>
          <w:caps/>
          <w:kern w:val="32"/>
          <w:szCs w:val="32"/>
          <w:lang w:val="es-ES" w:eastAsia="ko-KR"/>
        </w:rPr>
        <w:t>O</w:t>
      </w:r>
    </w:p>
    <w:p w:rsidR="009E7935" w:rsidRPr="008F762A" w:rsidRDefault="009E7935" w:rsidP="00D92679">
      <w:pPr>
        <w:rPr>
          <w:rFonts w:eastAsia="Batang"/>
          <w:szCs w:val="22"/>
          <w:lang w:val="es-ES" w:eastAsia="ko-KR"/>
        </w:rPr>
      </w:pPr>
    </w:p>
    <w:p w:rsidR="009E7935" w:rsidRPr="008F762A" w:rsidRDefault="0077592D" w:rsidP="00D92679">
      <w:pPr>
        <w:rPr>
          <w:rFonts w:eastAsia="Batang"/>
          <w:szCs w:val="22"/>
          <w:lang w:val="es-ES" w:eastAsia="ko-KR"/>
        </w:rPr>
      </w:pPr>
      <w:r w:rsidRPr="008F762A">
        <w:rPr>
          <w:rFonts w:eastAsia="Batang"/>
          <w:szCs w:val="22"/>
          <w:lang w:val="es-ES" w:eastAsia="ko-KR"/>
        </w:rPr>
        <w:t xml:space="preserve">El Centro de Arbitraje y Mediación de la Organización Mundial de la Propiedad Intelectual (en lo sucesivo “el Centro”) ha </w:t>
      </w:r>
      <w:r w:rsidR="00144A27">
        <w:rPr>
          <w:rFonts w:eastAsia="Batang"/>
          <w:szCs w:val="22"/>
          <w:lang w:val="es-ES" w:eastAsia="ko-KR"/>
        </w:rPr>
        <w:t xml:space="preserve">preparado </w:t>
      </w:r>
      <w:r w:rsidR="0022061C" w:rsidRPr="008F762A">
        <w:rPr>
          <w:rFonts w:eastAsia="Batang"/>
          <w:szCs w:val="22"/>
          <w:lang w:val="es-ES" w:eastAsia="ko-KR"/>
        </w:rPr>
        <w:t>una</w:t>
      </w:r>
      <w:r w:rsidRPr="008F762A">
        <w:rPr>
          <w:rFonts w:eastAsia="Batang"/>
          <w:szCs w:val="22"/>
          <w:lang w:val="es-ES" w:eastAsia="ko-KR"/>
        </w:rPr>
        <w:t xml:space="preserve"> encuesta de alcance internacional acerca de la solución de controversias en el ámbito de las transacciones sobre tecnología </w:t>
      </w:r>
      <w:r w:rsidR="00704B86" w:rsidRPr="008F762A">
        <w:rPr>
          <w:rFonts w:eastAsia="Batang"/>
          <w:szCs w:val="22"/>
          <w:lang w:val="es-ES" w:eastAsia="ko-KR"/>
        </w:rPr>
        <w:t>(en lo sucesivo "la E</w:t>
      </w:r>
      <w:r w:rsidRPr="008F762A">
        <w:rPr>
          <w:rFonts w:eastAsia="Batang"/>
          <w:szCs w:val="22"/>
          <w:lang w:val="es-ES" w:eastAsia="ko-KR"/>
        </w:rPr>
        <w:t xml:space="preserve">ncuesta") para evaluar el uso de los métodos de solución extrajudicial de controversias en </w:t>
      </w:r>
      <w:r w:rsidR="00B855EB" w:rsidRPr="008F762A">
        <w:rPr>
          <w:rFonts w:eastAsia="Batang"/>
          <w:szCs w:val="22"/>
          <w:lang w:val="es-ES" w:eastAsia="ko-KR"/>
        </w:rPr>
        <w:t xml:space="preserve">este </w:t>
      </w:r>
      <w:r w:rsidRPr="008F762A">
        <w:rPr>
          <w:rFonts w:eastAsia="Batang"/>
          <w:szCs w:val="22"/>
          <w:lang w:val="es-ES" w:eastAsia="ko-KR"/>
        </w:rPr>
        <w:t>ámbito compara</w:t>
      </w:r>
      <w:r w:rsidR="00B855EB" w:rsidRPr="008F762A">
        <w:rPr>
          <w:rFonts w:eastAsia="Batang"/>
          <w:szCs w:val="22"/>
          <w:lang w:val="es-ES" w:eastAsia="ko-KR"/>
        </w:rPr>
        <w:t>do</w:t>
      </w:r>
      <w:r w:rsidRPr="008F762A">
        <w:rPr>
          <w:rFonts w:eastAsia="Batang"/>
          <w:szCs w:val="22"/>
          <w:lang w:val="es-ES" w:eastAsia="ko-KR"/>
        </w:rPr>
        <w:t xml:space="preserve"> con la vía judicial</w:t>
      </w:r>
      <w:r w:rsidR="00394A64" w:rsidRPr="008F762A">
        <w:rPr>
          <w:rFonts w:eastAsia="Batang"/>
          <w:szCs w:val="22"/>
          <w:lang w:val="es-ES" w:eastAsia="ko-KR"/>
        </w:rPr>
        <w:t>.  A</w:t>
      </w:r>
      <w:r w:rsidRPr="008F762A">
        <w:rPr>
          <w:rFonts w:eastAsia="Batang"/>
          <w:szCs w:val="22"/>
          <w:lang w:val="es-ES" w:eastAsia="ko-KR"/>
        </w:rPr>
        <w:t>demás, incluye una evaluación cualitativa sobre estas opciones de solución de controversias.</w:t>
      </w:r>
    </w:p>
    <w:p w:rsidR="009E7935" w:rsidRPr="008F762A" w:rsidRDefault="009E7935" w:rsidP="00D92679">
      <w:pPr>
        <w:rPr>
          <w:rFonts w:eastAsia="Batang"/>
          <w:szCs w:val="22"/>
          <w:lang w:val="es-ES" w:eastAsia="ko-KR"/>
        </w:rPr>
      </w:pPr>
    </w:p>
    <w:p w:rsidR="002F61D0" w:rsidRPr="008F762A" w:rsidRDefault="009C7DA1" w:rsidP="009C7DA1">
      <w:pPr>
        <w:rPr>
          <w:rFonts w:eastAsia="Batang"/>
          <w:szCs w:val="22"/>
          <w:lang w:val="es-ES" w:eastAsia="ko-KR"/>
        </w:rPr>
      </w:pPr>
      <w:r w:rsidRPr="008F762A">
        <w:rPr>
          <w:rFonts w:eastAsia="Batang"/>
          <w:szCs w:val="22"/>
          <w:lang w:val="es-ES" w:eastAsia="ko-KR"/>
        </w:rPr>
        <w:t>Las conclusiones de la encuesta ofrecen una base estadística para determinar las tendencias en la solución de controversias en el ámbito de la tecnología</w:t>
      </w:r>
      <w:r w:rsidR="00394A64" w:rsidRPr="008F762A">
        <w:rPr>
          <w:rFonts w:eastAsia="Batang"/>
          <w:szCs w:val="22"/>
          <w:lang w:val="es-ES" w:eastAsia="ko-KR"/>
        </w:rPr>
        <w:t>.  T</w:t>
      </w:r>
      <w:r w:rsidRPr="008F762A">
        <w:rPr>
          <w:rFonts w:eastAsia="Batang"/>
          <w:szCs w:val="22"/>
          <w:lang w:val="es-ES" w:eastAsia="ko-KR"/>
        </w:rPr>
        <w:t>ambién señalan prácticas más extendidas que pueden orientar a los sectores interesados en la P.I. en el diseño de sus estrategias de solución de controversias.  El informe termina facilitando algunas observaciones en relación con dichas estrategias.</w:t>
      </w:r>
      <w:r w:rsidR="00D92679" w:rsidRPr="008F762A">
        <w:rPr>
          <w:rFonts w:eastAsia="Batang"/>
          <w:szCs w:val="22"/>
          <w:lang w:val="es-ES" w:eastAsia="ko-KR"/>
        </w:rPr>
        <w:t xml:space="preserve">  </w:t>
      </w:r>
      <w:r w:rsidRPr="008F762A">
        <w:rPr>
          <w:rFonts w:eastAsia="Batang"/>
          <w:szCs w:val="22"/>
          <w:lang w:val="es-ES" w:eastAsia="ko-KR"/>
        </w:rPr>
        <w:t xml:space="preserve">Asimismo, </w:t>
      </w:r>
      <w:r w:rsidR="00144A27">
        <w:rPr>
          <w:rFonts w:eastAsia="Batang"/>
          <w:szCs w:val="22"/>
          <w:lang w:val="es-ES" w:eastAsia="ko-KR"/>
        </w:rPr>
        <w:t xml:space="preserve">gracias a ello </w:t>
      </w:r>
      <w:r w:rsidRPr="008F762A">
        <w:rPr>
          <w:rFonts w:eastAsia="Batang"/>
          <w:szCs w:val="22"/>
          <w:lang w:val="es-ES" w:eastAsia="ko-KR"/>
        </w:rPr>
        <w:t xml:space="preserve">los servicios de solución extrajudicial de controversias se mantienen </w:t>
      </w:r>
      <w:r w:rsidR="00144A27">
        <w:rPr>
          <w:rFonts w:eastAsia="Batang"/>
          <w:szCs w:val="22"/>
          <w:lang w:val="es-ES" w:eastAsia="ko-KR"/>
        </w:rPr>
        <w:t xml:space="preserve">al corriente de </w:t>
      </w:r>
      <w:r w:rsidRPr="008F762A">
        <w:rPr>
          <w:rFonts w:eastAsia="Batang"/>
          <w:szCs w:val="22"/>
          <w:lang w:val="es-ES" w:eastAsia="ko-KR"/>
        </w:rPr>
        <w:t>las necesidades señaladas por los encuestados</w:t>
      </w:r>
      <w:r w:rsidR="002F61D0" w:rsidRPr="008F762A">
        <w:rPr>
          <w:rFonts w:eastAsia="Batang"/>
          <w:szCs w:val="22"/>
          <w:lang w:val="es-ES" w:eastAsia="ko-KR"/>
        </w:rPr>
        <w:t>.</w:t>
      </w:r>
    </w:p>
    <w:p w:rsidR="009E7935" w:rsidRPr="008F762A" w:rsidRDefault="009E7935" w:rsidP="00D92679">
      <w:pPr>
        <w:rPr>
          <w:rFonts w:eastAsia="Batang"/>
          <w:szCs w:val="22"/>
          <w:lang w:val="es-ES" w:eastAsia="ko-KR"/>
        </w:rPr>
      </w:pPr>
    </w:p>
    <w:p w:rsidR="009E7935" w:rsidRPr="008F762A" w:rsidRDefault="007567EE" w:rsidP="007567EE">
      <w:pPr>
        <w:rPr>
          <w:rFonts w:eastAsia="Batang"/>
          <w:szCs w:val="22"/>
          <w:lang w:val="es-ES" w:eastAsia="ko-KR"/>
        </w:rPr>
      </w:pPr>
      <w:r w:rsidRPr="008F762A">
        <w:rPr>
          <w:rFonts w:eastAsia="Batang"/>
          <w:szCs w:val="22"/>
          <w:lang w:val="es-ES" w:eastAsia="ko-KR"/>
        </w:rPr>
        <w:t xml:space="preserve">Esta Encuesta ha sido preparada con el apoyo de la Asociación Internacional para la Protección de la Propiedad Intelectual (AIPPI), la </w:t>
      </w:r>
      <w:r w:rsidRPr="008F762A">
        <w:rPr>
          <w:rFonts w:eastAsia="Batang"/>
          <w:i/>
          <w:szCs w:val="22"/>
          <w:lang w:val="es-ES" w:eastAsia="ko-KR"/>
        </w:rPr>
        <w:t>Association of University Technology Managers</w:t>
      </w:r>
      <w:r w:rsidRPr="008F762A">
        <w:rPr>
          <w:rFonts w:eastAsia="Batang"/>
          <w:szCs w:val="22"/>
          <w:lang w:val="es-ES" w:eastAsia="ko-KR"/>
        </w:rPr>
        <w:t xml:space="preserve"> (AUTM), la Federación Internacional de Abogados de Propiedad Industrial (FICPI) y la </w:t>
      </w:r>
      <w:r w:rsidRPr="008F762A">
        <w:rPr>
          <w:rFonts w:eastAsia="Batang"/>
          <w:i/>
          <w:szCs w:val="22"/>
          <w:lang w:val="es-ES" w:eastAsia="ko-KR"/>
        </w:rPr>
        <w:t>Licensing Executives Society International</w:t>
      </w:r>
      <w:r w:rsidRPr="008F762A">
        <w:rPr>
          <w:rFonts w:eastAsia="Batang"/>
          <w:szCs w:val="22"/>
          <w:lang w:val="es-ES" w:eastAsia="ko-KR"/>
        </w:rPr>
        <w:t xml:space="preserve"> (LESI), y en colaboración con </w:t>
      </w:r>
      <w:r w:rsidR="00CD0189">
        <w:rPr>
          <w:rFonts w:eastAsia="Batang"/>
          <w:szCs w:val="22"/>
          <w:lang w:val="es-ES" w:eastAsia="ko-KR"/>
        </w:rPr>
        <w:t xml:space="preserve">asesores </w:t>
      </w:r>
      <w:r w:rsidRPr="008F762A">
        <w:rPr>
          <w:rFonts w:eastAsia="Batang"/>
          <w:szCs w:val="22"/>
          <w:lang w:val="es-ES" w:eastAsia="ko-KR"/>
        </w:rPr>
        <w:t>jurídico</w:t>
      </w:r>
      <w:r w:rsidR="00CD0189">
        <w:rPr>
          <w:rFonts w:eastAsia="Batang"/>
          <w:szCs w:val="22"/>
          <w:lang w:val="es-ES" w:eastAsia="ko-KR"/>
        </w:rPr>
        <w:t>s</w:t>
      </w:r>
      <w:r w:rsidRPr="008F762A">
        <w:rPr>
          <w:rFonts w:eastAsia="Batang"/>
          <w:szCs w:val="22"/>
          <w:lang w:val="es-ES" w:eastAsia="ko-KR"/>
        </w:rPr>
        <w:t xml:space="preserve"> interno</w:t>
      </w:r>
      <w:r w:rsidR="00CD0189">
        <w:rPr>
          <w:rFonts w:eastAsia="Batang"/>
          <w:szCs w:val="22"/>
          <w:lang w:val="es-ES" w:eastAsia="ko-KR"/>
        </w:rPr>
        <w:t>s</w:t>
      </w:r>
      <w:r w:rsidRPr="008F762A">
        <w:rPr>
          <w:rFonts w:eastAsia="Batang"/>
          <w:szCs w:val="22"/>
          <w:lang w:val="es-ES" w:eastAsia="ko-KR"/>
        </w:rPr>
        <w:t xml:space="preserve"> y con expertos externos en controversias </w:t>
      </w:r>
      <w:r w:rsidR="00144A27">
        <w:rPr>
          <w:rFonts w:eastAsia="Batang"/>
          <w:szCs w:val="22"/>
          <w:lang w:val="es-ES" w:eastAsia="ko-KR"/>
        </w:rPr>
        <w:t>en e</w:t>
      </w:r>
      <w:r w:rsidR="00E0089F" w:rsidRPr="008F762A">
        <w:rPr>
          <w:rFonts w:eastAsia="Batang"/>
          <w:szCs w:val="22"/>
          <w:lang w:val="es-ES" w:eastAsia="ko-KR"/>
        </w:rPr>
        <w:t>l</w:t>
      </w:r>
      <w:r w:rsidRPr="008F762A">
        <w:rPr>
          <w:rFonts w:eastAsia="Batang"/>
          <w:szCs w:val="22"/>
          <w:lang w:val="es-ES" w:eastAsia="ko-KR"/>
        </w:rPr>
        <w:t xml:space="preserve"> ámbito de la tecnología de distintas jurisdicciones y esferas del comercio, cuya experiencia colectiva en ese tipo de controversias queda reflejada en el contenido, el alcance y la estructura del cuestionario, y que contribuyen asimismo a su distribución.</w:t>
      </w:r>
    </w:p>
    <w:p w:rsidR="009E7935" w:rsidRPr="008F762A" w:rsidRDefault="009E7935" w:rsidP="00D92679">
      <w:pPr>
        <w:rPr>
          <w:rFonts w:eastAsia="Batang"/>
          <w:b/>
          <w:bCs/>
          <w:szCs w:val="22"/>
          <w:lang w:val="es-ES" w:eastAsia="ko-KR"/>
        </w:rPr>
      </w:pPr>
    </w:p>
    <w:p w:rsidR="009E7935" w:rsidRPr="008F762A" w:rsidRDefault="00FF0401" w:rsidP="0077643E">
      <w:pPr>
        <w:spacing w:before="240" w:after="60"/>
        <w:outlineLvl w:val="0"/>
        <w:rPr>
          <w:b/>
          <w:bCs/>
          <w:caps/>
          <w:kern w:val="32"/>
          <w:szCs w:val="32"/>
          <w:lang w:val="es-ES" w:eastAsia="ko-KR"/>
        </w:rPr>
      </w:pPr>
      <w:r w:rsidRPr="008F762A">
        <w:rPr>
          <w:b/>
          <w:bCs/>
          <w:caps/>
          <w:kern w:val="32"/>
          <w:szCs w:val="32"/>
          <w:lang w:val="es-ES" w:eastAsia="ko-KR"/>
        </w:rPr>
        <w:t>CARACTERÍSTICAS</w:t>
      </w:r>
      <w:r w:rsidR="00656DA8" w:rsidRPr="008F762A">
        <w:rPr>
          <w:b/>
          <w:bCs/>
          <w:caps/>
          <w:kern w:val="32"/>
          <w:szCs w:val="32"/>
          <w:lang w:val="es-ES" w:eastAsia="ko-KR"/>
        </w:rPr>
        <w:t xml:space="preserve"> Y RESULTADOS</w:t>
      </w:r>
      <w:r w:rsidRPr="008F762A">
        <w:rPr>
          <w:b/>
          <w:bCs/>
          <w:caps/>
          <w:kern w:val="32"/>
          <w:szCs w:val="32"/>
          <w:lang w:val="es-ES" w:eastAsia="ko-KR"/>
        </w:rPr>
        <w:t xml:space="preserve"> DE LA ENCUESTA</w:t>
      </w:r>
    </w:p>
    <w:p w:rsidR="009E7935" w:rsidRPr="008F762A" w:rsidRDefault="009E7935" w:rsidP="00D92679">
      <w:pPr>
        <w:rPr>
          <w:rFonts w:eastAsia="Batang"/>
          <w:szCs w:val="22"/>
          <w:lang w:val="es-ES" w:eastAsia="ko-KR"/>
        </w:rPr>
      </w:pPr>
    </w:p>
    <w:p w:rsidR="009E7935" w:rsidRPr="008F762A" w:rsidRDefault="007567EE" w:rsidP="007567EE">
      <w:pPr>
        <w:rPr>
          <w:rFonts w:eastAsia="Batang"/>
          <w:szCs w:val="22"/>
          <w:lang w:val="es-ES" w:eastAsia="ko-KR"/>
        </w:rPr>
      </w:pPr>
      <w:r w:rsidRPr="008F762A">
        <w:rPr>
          <w:rFonts w:eastAsia="Batang"/>
          <w:szCs w:val="22"/>
          <w:lang w:val="es-ES" w:eastAsia="ko-KR"/>
        </w:rPr>
        <w:t xml:space="preserve">A continuación se ofrecen las conclusiones principales de la Encuesta:  </w:t>
      </w:r>
    </w:p>
    <w:p w:rsidR="009E7935" w:rsidRPr="008F762A" w:rsidRDefault="009E7935" w:rsidP="00D92679">
      <w:pPr>
        <w:rPr>
          <w:rFonts w:eastAsia="Batang"/>
          <w:b/>
          <w:bCs/>
          <w:szCs w:val="22"/>
          <w:lang w:val="es-ES" w:eastAsia="ko-KR"/>
        </w:rPr>
      </w:pPr>
    </w:p>
    <w:p w:rsidR="009E7935" w:rsidRPr="008F762A" w:rsidRDefault="007567EE" w:rsidP="0077643E">
      <w:pPr>
        <w:tabs>
          <w:tab w:val="left" w:pos="567"/>
        </w:tabs>
        <w:spacing w:before="240" w:after="60"/>
        <w:outlineLvl w:val="1"/>
        <w:rPr>
          <w:bCs/>
          <w:iCs/>
          <w:caps/>
          <w:szCs w:val="28"/>
          <w:lang w:val="es-ES" w:eastAsia="ko-KR"/>
        </w:rPr>
      </w:pPr>
      <w:r w:rsidRPr="008F762A">
        <w:rPr>
          <w:bCs/>
          <w:iCs/>
          <w:szCs w:val="28"/>
          <w:lang w:val="es-ES" w:eastAsia="ko-KR"/>
        </w:rPr>
        <w:t>1.</w:t>
      </w:r>
      <w:r w:rsidR="0077643E" w:rsidRPr="008F762A">
        <w:rPr>
          <w:bCs/>
          <w:iCs/>
          <w:szCs w:val="28"/>
          <w:lang w:val="es-ES" w:eastAsia="ko-KR"/>
        </w:rPr>
        <w:tab/>
      </w:r>
      <w:r w:rsidRPr="008F762A">
        <w:rPr>
          <w:bCs/>
          <w:iCs/>
          <w:szCs w:val="28"/>
          <w:lang w:val="es-ES" w:eastAsia="ko-KR"/>
        </w:rPr>
        <w:t>LOS ENCUESTADOS</w:t>
      </w:r>
    </w:p>
    <w:p w:rsidR="009E7935" w:rsidRPr="008F762A" w:rsidRDefault="009E7935" w:rsidP="00D92679">
      <w:pPr>
        <w:rPr>
          <w:rFonts w:eastAsia="Batang"/>
          <w:szCs w:val="22"/>
          <w:lang w:val="es-ES" w:eastAsia="ko-KR"/>
        </w:rPr>
      </w:pPr>
    </w:p>
    <w:p w:rsidR="002F61D0" w:rsidRPr="008F762A" w:rsidRDefault="007567EE" w:rsidP="007567EE">
      <w:pPr>
        <w:rPr>
          <w:rFonts w:eastAsia="Batang"/>
          <w:szCs w:val="22"/>
          <w:lang w:val="es-ES" w:eastAsia="ko-KR"/>
        </w:rPr>
      </w:pPr>
      <w:r w:rsidRPr="008F762A">
        <w:rPr>
          <w:rFonts w:eastAsia="Batang"/>
          <w:szCs w:val="22"/>
          <w:lang w:val="es-ES" w:eastAsia="ko-KR"/>
        </w:rPr>
        <w:t>La Encuesta contó con la participación d</w:t>
      </w:r>
      <w:r w:rsidR="00394A64" w:rsidRPr="008F762A">
        <w:rPr>
          <w:rFonts w:eastAsia="Batang"/>
          <w:szCs w:val="22"/>
          <w:lang w:val="es-ES" w:eastAsia="ko-KR"/>
        </w:rPr>
        <w:t>e 3</w:t>
      </w:r>
      <w:r w:rsidRPr="008F762A">
        <w:rPr>
          <w:rFonts w:eastAsia="Batang"/>
          <w:szCs w:val="22"/>
          <w:lang w:val="es-ES" w:eastAsia="ko-KR"/>
        </w:rPr>
        <w:t>92 encuestados d</w:t>
      </w:r>
      <w:r w:rsidR="00394A64" w:rsidRPr="008F762A">
        <w:rPr>
          <w:rFonts w:eastAsia="Batang"/>
          <w:szCs w:val="22"/>
          <w:lang w:val="es-ES" w:eastAsia="ko-KR"/>
        </w:rPr>
        <w:t>e 6</w:t>
      </w:r>
      <w:r w:rsidRPr="008F762A">
        <w:rPr>
          <w:rFonts w:eastAsia="Batang"/>
          <w:szCs w:val="22"/>
          <w:lang w:val="es-ES" w:eastAsia="ko-KR"/>
        </w:rPr>
        <w:t>2 países</w:t>
      </w:r>
      <w:r w:rsidR="00394A64" w:rsidRPr="008F762A">
        <w:rPr>
          <w:rFonts w:eastAsia="Batang"/>
          <w:szCs w:val="22"/>
          <w:lang w:val="es-ES" w:eastAsia="ko-KR"/>
        </w:rPr>
        <w:t>.  A</w:t>
      </w:r>
      <w:r w:rsidRPr="008F762A">
        <w:rPr>
          <w:rFonts w:eastAsia="Batang"/>
          <w:szCs w:val="22"/>
          <w:lang w:val="es-ES" w:eastAsia="ko-KR"/>
        </w:rPr>
        <w:t xml:space="preserve">demás de las observaciones por escrito, 63 </w:t>
      </w:r>
      <w:r w:rsidR="001011DC" w:rsidRPr="008F762A">
        <w:rPr>
          <w:rFonts w:eastAsia="Batang"/>
          <w:szCs w:val="22"/>
          <w:lang w:val="es-ES" w:eastAsia="ko-KR"/>
        </w:rPr>
        <w:t>encuestados</w:t>
      </w:r>
      <w:r w:rsidRPr="008F762A">
        <w:rPr>
          <w:rFonts w:eastAsia="Batang"/>
          <w:szCs w:val="22"/>
          <w:lang w:val="es-ES" w:eastAsia="ko-KR"/>
        </w:rPr>
        <w:t xml:space="preserve"> d</w:t>
      </w:r>
      <w:r w:rsidR="00394A64" w:rsidRPr="008F762A">
        <w:rPr>
          <w:rFonts w:eastAsia="Batang"/>
          <w:szCs w:val="22"/>
          <w:lang w:val="es-ES" w:eastAsia="ko-KR"/>
        </w:rPr>
        <w:t>e 2</w:t>
      </w:r>
      <w:r w:rsidRPr="008F762A">
        <w:rPr>
          <w:rFonts w:eastAsia="Batang"/>
          <w:szCs w:val="22"/>
          <w:lang w:val="es-ES" w:eastAsia="ko-KR"/>
        </w:rPr>
        <w:t>8 países participaron en entrevistas telefónicas</w:t>
      </w:r>
      <w:r w:rsidR="002F61D0" w:rsidRPr="008F762A">
        <w:rPr>
          <w:rFonts w:eastAsia="Batang"/>
          <w:szCs w:val="22"/>
          <w:lang w:val="es-ES" w:eastAsia="ko-KR"/>
        </w:rPr>
        <w:t>.</w:t>
      </w:r>
    </w:p>
    <w:p w:rsidR="009E7935" w:rsidRPr="008F762A" w:rsidRDefault="009E7935" w:rsidP="00D92679">
      <w:pPr>
        <w:rPr>
          <w:rFonts w:eastAsia="Batang"/>
          <w:szCs w:val="22"/>
          <w:lang w:val="es-ES" w:eastAsia="ko-KR"/>
        </w:rPr>
      </w:pPr>
    </w:p>
    <w:p w:rsidR="002F61D0" w:rsidRPr="008F762A" w:rsidRDefault="007567EE" w:rsidP="007567EE">
      <w:pPr>
        <w:rPr>
          <w:rFonts w:eastAsia="Batang"/>
          <w:szCs w:val="22"/>
          <w:lang w:val="es-ES" w:eastAsia="ko-KR"/>
        </w:rPr>
      </w:pPr>
      <w:r w:rsidRPr="008F762A">
        <w:rPr>
          <w:rFonts w:eastAsia="Batang"/>
          <w:szCs w:val="22"/>
          <w:lang w:val="es-ES" w:eastAsia="ko-KR"/>
        </w:rPr>
        <w:t>Los encuestados están radicados en Europa, Norteamérica, Asia, Sudamérica, Oceanía, el Caribe, América Central y África</w:t>
      </w:r>
      <w:r w:rsidR="002F61D0" w:rsidRPr="008F762A">
        <w:rPr>
          <w:rFonts w:eastAsia="Batang"/>
          <w:szCs w:val="22"/>
          <w:lang w:val="es-ES" w:eastAsia="ko-KR"/>
        </w:rPr>
        <w:t>.</w:t>
      </w:r>
    </w:p>
    <w:p w:rsidR="009E7935" w:rsidRPr="008F762A" w:rsidRDefault="009E7935" w:rsidP="00D92679">
      <w:pPr>
        <w:rPr>
          <w:rFonts w:eastAsia="Batang"/>
          <w:szCs w:val="22"/>
          <w:lang w:val="es-ES" w:eastAsia="ko-KR"/>
        </w:rPr>
      </w:pPr>
    </w:p>
    <w:p w:rsidR="002F61D0" w:rsidRPr="008F762A" w:rsidRDefault="003B735C" w:rsidP="003B735C">
      <w:pPr>
        <w:rPr>
          <w:rFonts w:eastAsia="Batang"/>
          <w:szCs w:val="22"/>
          <w:lang w:val="es-ES" w:eastAsia="ko-KR"/>
        </w:rPr>
      </w:pPr>
      <w:r w:rsidRPr="008F762A">
        <w:rPr>
          <w:rFonts w:eastAsia="Batang"/>
          <w:szCs w:val="22"/>
          <w:lang w:val="es-ES" w:eastAsia="ko-KR"/>
        </w:rPr>
        <w:t xml:space="preserve">La encuesta se distribuyó entre empresas, organismos de investigación, universidades, organismos gubernamentales, </w:t>
      </w:r>
      <w:r w:rsidR="00E0089F" w:rsidRPr="008F762A">
        <w:rPr>
          <w:rFonts w:eastAsia="Batang"/>
          <w:szCs w:val="22"/>
          <w:lang w:val="es-ES" w:eastAsia="ko-KR"/>
        </w:rPr>
        <w:t>estudios</w:t>
      </w:r>
      <w:r w:rsidRPr="008F762A">
        <w:rPr>
          <w:rFonts w:eastAsia="Batang"/>
          <w:szCs w:val="22"/>
          <w:lang w:val="es-ES" w:eastAsia="ko-KR"/>
        </w:rPr>
        <w:t xml:space="preserve"> de abogados o trabajadores autónomos</w:t>
      </w:r>
      <w:r w:rsidR="00394A64" w:rsidRPr="008F762A">
        <w:rPr>
          <w:rFonts w:eastAsia="Batang"/>
          <w:szCs w:val="22"/>
          <w:lang w:val="es-ES" w:eastAsia="ko-KR"/>
        </w:rPr>
        <w:t>.  L</w:t>
      </w:r>
      <w:r w:rsidR="00E0089F" w:rsidRPr="008F762A">
        <w:rPr>
          <w:rFonts w:eastAsia="Batang"/>
          <w:szCs w:val="22"/>
          <w:lang w:val="es-ES" w:eastAsia="ko-KR"/>
        </w:rPr>
        <w:t>os encuestados forman parte de entidades que</w:t>
      </w:r>
      <w:r w:rsidR="00B07E6D" w:rsidRPr="008F762A">
        <w:rPr>
          <w:rFonts w:eastAsia="Batang"/>
          <w:szCs w:val="22"/>
          <w:lang w:val="es-ES" w:eastAsia="ko-KR"/>
        </w:rPr>
        <w:t xml:space="preserve"> pueden</w:t>
      </w:r>
      <w:r w:rsidR="00E0089F" w:rsidRPr="008F762A">
        <w:rPr>
          <w:rFonts w:eastAsia="Batang"/>
          <w:szCs w:val="22"/>
          <w:lang w:val="es-ES" w:eastAsia="ko-KR"/>
        </w:rPr>
        <w:t xml:space="preserve"> emplea</w:t>
      </w:r>
      <w:r w:rsidR="00B07E6D" w:rsidRPr="008F762A">
        <w:rPr>
          <w:rFonts w:eastAsia="Batang"/>
          <w:szCs w:val="22"/>
          <w:lang w:val="es-ES" w:eastAsia="ko-KR"/>
        </w:rPr>
        <w:t>r desd</w:t>
      </w:r>
      <w:r w:rsidR="00394A64" w:rsidRPr="008F762A">
        <w:rPr>
          <w:rFonts w:eastAsia="Batang"/>
          <w:szCs w:val="22"/>
          <w:lang w:val="es-ES" w:eastAsia="ko-KR"/>
        </w:rPr>
        <w:t>e 1</w:t>
      </w:r>
      <w:r w:rsidR="00E0089F" w:rsidRPr="008F762A">
        <w:rPr>
          <w:rFonts w:eastAsia="Batang"/>
          <w:szCs w:val="22"/>
          <w:lang w:val="es-ES" w:eastAsia="ko-KR"/>
        </w:rPr>
        <w:t xml:space="preserve">0 colaboradores hasta </w:t>
      </w:r>
      <w:r w:rsidR="00E0089F" w:rsidRPr="008F762A">
        <w:rPr>
          <w:rFonts w:eastAsia="Batang"/>
          <w:szCs w:val="22"/>
          <w:lang w:val="es-ES" w:eastAsia="ko-KR"/>
        </w:rPr>
        <w:lastRenderedPageBreak/>
        <w:t>entidades que cuentan co</w:t>
      </w:r>
      <w:r w:rsidR="00394A64" w:rsidRPr="008F762A">
        <w:rPr>
          <w:rFonts w:eastAsia="Batang"/>
          <w:szCs w:val="22"/>
          <w:lang w:val="es-ES" w:eastAsia="ko-KR"/>
        </w:rPr>
        <w:t>n 1</w:t>
      </w:r>
      <w:r w:rsidR="00E0089F" w:rsidRPr="008F762A">
        <w:rPr>
          <w:rFonts w:eastAsia="Batang"/>
          <w:szCs w:val="22"/>
          <w:lang w:val="es-ES" w:eastAsia="ko-KR"/>
        </w:rPr>
        <w:t>0.000 empleados</w:t>
      </w:r>
      <w:r w:rsidR="00B07E6D" w:rsidRPr="008F762A">
        <w:rPr>
          <w:rFonts w:eastAsia="Batang"/>
          <w:szCs w:val="22"/>
          <w:lang w:val="es-ES" w:eastAsia="ko-KR"/>
        </w:rPr>
        <w:t>, y</w:t>
      </w:r>
      <w:r w:rsidRPr="008F762A">
        <w:rPr>
          <w:rFonts w:eastAsia="Batang"/>
          <w:szCs w:val="22"/>
          <w:lang w:val="es-ES" w:eastAsia="ko-KR"/>
        </w:rPr>
        <w:t xml:space="preserve"> desarrollan su actividad en áreas muy diversas, como la industria farmacéutica, la biotecnología, la</w:t>
      </w:r>
      <w:r w:rsidR="00144A27">
        <w:rPr>
          <w:rFonts w:eastAsia="Batang"/>
          <w:szCs w:val="22"/>
          <w:lang w:val="es-ES" w:eastAsia="ko-KR"/>
        </w:rPr>
        <w:t>s</w:t>
      </w:r>
      <w:r w:rsidRPr="008F762A">
        <w:rPr>
          <w:rFonts w:eastAsia="Batang"/>
          <w:szCs w:val="22"/>
          <w:lang w:val="es-ES" w:eastAsia="ko-KR"/>
        </w:rPr>
        <w:t xml:space="preserve"> tecnología</w:t>
      </w:r>
      <w:r w:rsidR="00144A27">
        <w:rPr>
          <w:rFonts w:eastAsia="Batang"/>
          <w:szCs w:val="22"/>
          <w:lang w:val="es-ES" w:eastAsia="ko-KR"/>
        </w:rPr>
        <w:t>s</w:t>
      </w:r>
      <w:r w:rsidRPr="008F762A">
        <w:rPr>
          <w:rFonts w:eastAsia="Batang"/>
          <w:szCs w:val="22"/>
          <w:lang w:val="es-ES" w:eastAsia="ko-KR"/>
        </w:rPr>
        <w:t xml:space="preserve"> de la información, la electrónica de consumo, las telecomunicaciones, las ciencias biológicas, la química, los bienes de consumo o la ingeniería mecánica</w:t>
      </w:r>
      <w:r w:rsidR="002F61D0" w:rsidRPr="008F762A">
        <w:rPr>
          <w:rFonts w:eastAsia="Batang"/>
          <w:szCs w:val="22"/>
          <w:lang w:val="es-ES" w:eastAsia="ko-KR"/>
        </w:rPr>
        <w:t>.</w:t>
      </w:r>
    </w:p>
    <w:p w:rsidR="009E7935" w:rsidRPr="008F762A" w:rsidRDefault="009E7935" w:rsidP="00D92679">
      <w:pPr>
        <w:rPr>
          <w:rFonts w:eastAsia="Batang"/>
          <w:b/>
          <w:bCs/>
          <w:szCs w:val="22"/>
          <w:lang w:val="es-ES" w:eastAsia="ko-KR"/>
        </w:rPr>
      </w:pPr>
    </w:p>
    <w:p w:rsidR="009E7935" w:rsidRPr="008F762A" w:rsidRDefault="00FF0401" w:rsidP="005235F5">
      <w:pPr>
        <w:tabs>
          <w:tab w:val="left" w:pos="567"/>
        </w:tabs>
        <w:spacing w:before="240" w:after="60"/>
        <w:outlineLvl w:val="1"/>
        <w:rPr>
          <w:bCs/>
          <w:iCs/>
          <w:caps/>
          <w:szCs w:val="28"/>
          <w:lang w:val="es-ES" w:eastAsia="ko-KR"/>
        </w:rPr>
      </w:pPr>
      <w:r w:rsidRPr="008F762A">
        <w:rPr>
          <w:bCs/>
          <w:iCs/>
          <w:szCs w:val="28"/>
          <w:lang w:val="es-ES" w:eastAsia="ko-KR"/>
        </w:rPr>
        <w:t>2</w:t>
      </w:r>
      <w:r w:rsidR="005235F5" w:rsidRPr="008F762A">
        <w:rPr>
          <w:bCs/>
          <w:iCs/>
          <w:szCs w:val="28"/>
          <w:lang w:val="es-ES" w:eastAsia="ko-KR"/>
        </w:rPr>
        <w:t>.</w:t>
      </w:r>
      <w:r w:rsidR="005235F5" w:rsidRPr="008F762A">
        <w:rPr>
          <w:bCs/>
          <w:iCs/>
          <w:szCs w:val="28"/>
          <w:lang w:val="es-ES" w:eastAsia="ko-KR"/>
        </w:rPr>
        <w:tab/>
      </w:r>
      <w:r w:rsidR="003B735C" w:rsidRPr="008F762A">
        <w:rPr>
          <w:bCs/>
          <w:iCs/>
          <w:szCs w:val="28"/>
          <w:lang w:val="es-ES" w:eastAsia="ko-KR"/>
        </w:rPr>
        <w:t>ACUERDOS SOBRE TECNOLOGÍA CELEBRADOS EN LOS DOS ÚLTIMOS AÑOS</w:t>
      </w:r>
    </w:p>
    <w:p w:rsidR="009E7935" w:rsidRPr="008F762A" w:rsidRDefault="009E7935" w:rsidP="005235F5">
      <w:pPr>
        <w:rPr>
          <w:rFonts w:eastAsia="Batang"/>
          <w:szCs w:val="22"/>
          <w:lang w:val="es-ES" w:eastAsia="ko-KR"/>
        </w:rPr>
      </w:pPr>
    </w:p>
    <w:p w:rsidR="009E7935" w:rsidRPr="008F762A" w:rsidRDefault="003B735C" w:rsidP="003B735C">
      <w:pPr>
        <w:rPr>
          <w:rFonts w:eastAsia="Batang"/>
          <w:szCs w:val="22"/>
          <w:lang w:val="es-ES" w:eastAsia="ko-KR"/>
        </w:rPr>
      </w:pPr>
      <w:r w:rsidRPr="008F762A">
        <w:rPr>
          <w:rFonts w:eastAsia="Batang"/>
          <w:szCs w:val="22"/>
          <w:lang w:val="es-ES" w:eastAsia="ko-KR"/>
        </w:rPr>
        <w:t xml:space="preserve">De los tipos de acuerdos que recoge la encuesta, los que celebraron con mayor frecuencia los encuestados son los acuerdos de no divulgación, seguidos de los de cesiones, </w:t>
      </w:r>
      <w:r w:rsidR="005E5230" w:rsidRPr="008F762A">
        <w:rPr>
          <w:rFonts w:eastAsia="Batang"/>
          <w:szCs w:val="22"/>
          <w:lang w:val="es-ES" w:eastAsia="ko-KR"/>
        </w:rPr>
        <w:t xml:space="preserve">las </w:t>
      </w:r>
      <w:r w:rsidRPr="008F762A">
        <w:rPr>
          <w:rFonts w:eastAsia="Batang"/>
          <w:szCs w:val="22"/>
          <w:lang w:val="es-ES" w:eastAsia="ko-KR"/>
        </w:rPr>
        <w:t xml:space="preserve">licencias, </w:t>
      </w:r>
      <w:r w:rsidR="005E5230" w:rsidRPr="008F762A">
        <w:rPr>
          <w:rFonts w:eastAsia="Batang"/>
          <w:szCs w:val="22"/>
          <w:lang w:val="es-ES" w:eastAsia="ko-KR"/>
        </w:rPr>
        <w:t>lo</w:t>
      </w:r>
      <w:r w:rsidR="002F61D0" w:rsidRPr="008F762A">
        <w:rPr>
          <w:rFonts w:eastAsia="Batang"/>
          <w:szCs w:val="22"/>
          <w:lang w:val="es-ES" w:eastAsia="ko-KR"/>
        </w:rPr>
        <w:t>s a</w:t>
      </w:r>
      <w:r w:rsidRPr="008F762A">
        <w:rPr>
          <w:rFonts w:eastAsia="Batang"/>
          <w:szCs w:val="22"/>
          <w:lang w:val="es-ES" w:eastAsia="ko-KR"/>
        </w:rPr>
        <w:t xml:space="preserve">cuerdos de conciliación, </w:t>
      </w:r>
      <w:r w:rsidR="005E5230" w:rsidRPr="008F762A">
        <w:rPr>
          <w:rFonts w:eastAsia="Batang"/>
          <w:szCs w:val="22"/>
          <w:lang w:val="es-ES" w:eastAsia="ko-KR"/>
        </w:rPr>
        <w:t xml:space="preserve">los </w:t>
      </w:r>
      <w:r w:rsidRPr="008F762A">
        <w:rPr>
          <w:rFonts w:eastAsia="Batang"/>
          <w:szCs w:val="22"/>
          <w:lang w:val="es-ES" w:eastAsia="ko-KR"/>
        </w:rPr>
        <w:t>acuerdos de investigación y desarrollo (I+D) y</w:t>
      </w:r>
      <w:r w:rsidR="005E5230" w:rsidRPr="008F762A">
        <w:rPr>
          <w:rFonts w:eastAsia="Batang"/>
          <w:szCs w:val="22"/>
          <w:lang w:val="es-ES" w:eastAsia="ko-KR"/>
        </w:rPr>
        <w:t xml:space="preserve"> los</w:t>
      </w:r>
      <w:r w:rsidRPr="008F762A">
        <w:rPr>
          <w:rFonts w:eastAsia="Batang"/>
          <w:szCs w:val="22"/>
          <w:lang w:val="es-ES" w:eastAsia="ko-KR"/>
        </w:rPr>
        <w:t xml:space="preserve"> acuerdos sobre fusiones y adquisiciones.</w:t>
      </w:r>
    </w:p>
    <w:p w:rsidR="009E7935" w:rsidRPr="008F762A" w:rsidRDefault="009E7935" w:rsidP="00D92679">
      <w:pPr>
        <w:rPr>
          <w:rFonts w:eastAsia="Batang"/>
          <w:szCs w:val="22"/>
          <w:lang w:val="es-ES" w:eastAsia="ko-KR"/>
        </w:rPr>
      </w:pPr>
    </w:p>
    <w:p w:rsidR="009E7935" w:rsidRPr="008F762A" w:rsidRDefault="003B735C" w:rsidP="003B735C">
      <w:pPr>
        <w:rPr>
          <w:rFonts w:eastAsia="Batang"/>
          <w:szCs w:val="22"/>
          <w:lang w:val="es-ES" w:eastAsia="ko-KR"/>
        </w:rPr>
      </w:pPr>
      <w:r w:rsidRPr="008F762A">
        <w:rPr>
          <w:rFonts w:eastAsia="Batang"/>
          <w:szCs w:val="22"/>
          <w:lang w:val="es-ES" w:eastAsia="ko-KR"/>
        </w:rPr>
        <w:t>El objeto de dichos acuerdos se refiere con mayor frecuencia a las patentes que a los conocimientos técnicos o los derechos de autor.</w:t>
      </w:r>
    </w:p>
    <w:p w:rsidR="009E7935" w:rsidRPr="008F762A" w:rsidRDefault="009E7935" w:rsidP="00D92679">
      <w:pPr>
        <w:rPr>
          <w:rFonts w:eastAsia="Batang"/>
          <w:szCs w:val="22"/>
          <w:lang w:val="es-ES" w:eastAsia="ko-KR"/>
        </w:rPr>
      </w:pPr>
    </w:p>
    <w:p w:rsidR="002F61D0" w:rsidRPr="008F762A" w:rsidRDefault="003B735C" w:rsidP="003B735C">
      <w:pPr>
        <w:rPr>
          <w:rFonts w:eastAsia="Batang"/>
          <w:szCs w:val="22"/>
          <w:lang w:val="es-ES" w:eastAsia="ko-KR"/>
        </w:rPr>
      </w:pPr>
      <w:r w:rsidRPr="008F762A">
        <w:rPr>
          <w:rFonts w:eastAsia="Batang"/>
          <w:szCs w:val="22"/>
          <w:lang w:val="es-ES" w:eastAsia="ko-KR"/>
        </w:rPr>
        <w:t>Más de</w:t>
      </w:r>
      <w:r w:rsidR="00394A64" w:rsidRPr="008F762A">
        <w:rPr>
          <w:rFonts w:eastAsia="Batang"/>
          <w:szCs w:val="22"/>
          <w:lang w:val="es-ES" w:eastAsia="ko-KR"/>
        </w:rPr>
        <w:t>l 9</w:t>
      </w:r>
      <w:r w:rsidRPr="008F762A">
        <w:rPr>
          <w:rFonts w:eastAsia="Batang"/>
          <w:szCs w:val="22"/>
          <w:lang w:val="es-ES" w:eastAsia="ko-KR"/>
        </w:rPr>
        <w:t>0% de los encuestados ha concertado acuerdos con partes de otras jurisdicciones</w:t>
      </w:r>
      <w:r w:rsidR="00394A64" w:rsidRPr="008F762A">
        <w:rPr>
          <w:rFonts w:eastAsia="Batang"/>
          <w:szCs w:val="22"/>
          <w:lang w:val="es-ES" w:eastAsia="ko-KR"/>
        </w:rPr>
        <w:t>, y</w:t>
      </w:r>
      <w:r w:rsidRPr="008F762A">
        <w:rPr>
          <w:rFonts w:eastAsia="Batang"/>
          <w:szCs w:val="22"/>
          <w:lang w:val="es-ES" w:eastAsia="ko-KR"/>
        </w:rPr>
        <w:t xml:space="preserve"> el 80% ha celebrado acuerdos en materia de patentes con partes de otras jurisdicciones en al menos dos países</w:t>
      </w:r>
      <w:r w:rsidR="002F61D0" w:rsidRPr="008F762A">
        <w:rPr>
          <w:rFonts w:eastAsia="Batang"/>
          <w:szCs w:val="22"/>
          <w:lang w:val="es-ES" w:eastAsia="ko-KR"/>
        </w:rPr>
        <w:t>.</w:t>
      </w:r>
    </w:p>
    <w:p w:rsidR="009E7935" w:rsidRPr="008F762A" w:rsidRDefault="009E7935" w:rsidP="00D92679">
      <w:pPr>
        <w:rPr>
          <w:rFonts w:eastAsia="Batang"/>
          <w:szCs w:val="22"/>
          <w:lang w:val="es-ES" w:eastAsia="ko-KR"/>
        </w:rPr>
      </w:pPr>
    </w:p>
    <w:p w:rsidR="009E7935" w:rsidRPr="008F762A" w:rsidRDefault="003B735C" w:rsidP="003B735C">
      <w:pPr>
        <w:rPr>
          <w:rFonts w:eastAsia="Batang"/>
          <w:szCs w:val="22"/>
          <w:lang w:val="es-ES" w:eastAsia="ko-KR"/>
        </w:rPr>
      </w:pPr>
      <w:r w:rsidRPr="008F762A">
        <w:rPr>
          <w:rFonts w:eastAsia="Batang"/>
          <w:szCs w:val="22"/>
          <w:lang w:val="es-ES" w:eastAsia="ko-KR"/>
        </w:rPr>
        <w:t>En la elección de</w:t>
      </w:r>
      <w:r w:rsidR="002C6ED3">
        <w:rPr>
          <w:rFonts w:eastAsia="Batang"/>
          <w:szCs w:val="22"/>
          <w:lang w:val="es-ES" w:eastAsia="ko-KR"/>
        </w:rPr>
        <w:t>l Derecho</w:t>
      </w:r>
      <w:r w:rsidRPr="008F762A">
        <w:rPr>
          <w:rFonts w:eastAsia="Batang"/>
          <w:szCs w:val="22"/>
          <w:lang w:val="es-ES" w:eastAsia="ko-KR"/>
        </w:rPr>
        <w:t xml:space="preserve"> aplicable en estos acuerdos influye especialmente la ubicación de la sede de los participantes y el lugar principal donde llevan a cabo sus actividades.</w:t>
      </w:r>
    </w:p>
    <w:p w:rsidR="009E7935" w:rsidRPr="008F762A" w:rsidRDefault="009E7935" w:rsidP="00D92679">
      <w:pPr>
        <w:rPr>
          <w:rFonts w:eastAsia="Batang"/>
          <w:b/>
          <w:bCs/>
          <w:szCs w:val="22"/>
          <w:lang w:val="es-ES" w:eastAsia="ko-KR"/>
        </w:rPr>
      </w:pPr>
    </w:p>
    <w:p w:rsidR="009E7935" w:rsidRPr="008F762A" w:rsidRDefault="00FF0401" w:rsidP="005235F5">
      <w:pPr>
        <w:tabs>
          <w:tab w:val="left" w:pos="567"/>
        </w:tabs>
        <w:spacing w:before="240" w:after="60"/>
        <w:outlineLvl w:val="1"/>
        <w:rPr>
          <w:bCs/>
          <w:iCs/>
          <w:caps/>
          <w:szCs w:val="28"/>
          <w:lang w:val="es-ES" w:eastAsia="ko-KR"/>
        </w:rPr>
      </w:pPr>
      <w:r w:rsidRPr="008F762A">
        <w:rPr>
          <w:bCs/>
          <w:iCs/>
          <w:szCs w:val="28"/>
          <w:lang w:val="es-ES" w:eastAsia="ko-KR"/>
        </w:rPr>
        <w:t>3</w:t>
      </w:r>
      <w:r w:rsidR="003B735C" w:rsidRPr="008F762A">
        <w:rPr>
          <w:bCs/>
          <w:iCs/>
          <w:szCs w:val="28"/>
          <w:lang w:val="es-ES" w:eastAsia="ko-KR"/>
        </w:rPr>
        <w:t>.</w:t>
      </w:r>
      <w:r w:rsidR="005235F5" w:rsidRPr="008F762A">
        <w:rPr>
          <w:bCs/>
          <w:iCs/>
          <w:szCs w:val="28"/>
          <w:lang w:val="es-ES" w:eastAsia="ko-KR"/>
        </w:rPr>
        <w:tab/>
      </w:r>
      <w:r w:rsidR="003B735C" w:rsidRPr="008F762A">
        <w:rPr>
          <w:bCs/>
          <w:iCs/>
          <w:szCs w:val="28"/>
          <w:lang w:val="es-ES" w:eastAsia="ko-KR"/>
        </w:rPr>
        <w:t>ACUERDOS QUE DAN LUGAR A CONTROVERSIAS CON MAYOR FRECUENCIA</w:t>
      </w:r>
    </w:p>
    <w:p w:rsidR="009E7935" w:rsidRPr="008F762A" w:rsidRDefault="009E7935" w:rsidP="00D92679">
      <w:pPr>
        <w:rPr>
          <w:rFonts w:eastAsia="Batang"/>
          <w:szCs w:val="22"/>
          <w:lang w:val="es-ES" w:eastAsia="ko-KR"/>
        </w:rPr>
      </w:pPr>
    </w:p>
    <w:p w:rsidR="002F61D0" w:rsidRPr="008F762A" w:rsidRDefault="008610B0" w:rsidP="008610B0">
      <w:pPr>
        <w:rPr>
          <w:rFonts w:eastAsia="Batang"/>
          <w:szCs w:val="22"/>
          <w:lang w:val="es-ES" w:eastAsia="ko-KR"/>
        </w:rPr>
      </w:pPr>
      <w:r w:rsidRPr="008F762A">
        <w:rPr>
          <w:rFonts w:eastAsia="Batang"/>
          <w:szCs w:val="22"/>
          <w:lang w:val="es-ES" w:eastAsia="ko-KR"/>
        </w:rPr>
        <w:t>Se pidió a los encuestados que calcularan el porcentaje de los acuerdos concertados relativos a la tecnología que hubieran dad</w:t>
      </w:r>
      <w:r w:rsidR="002F61D0" w:rsidRPr="008F762A">
        <w:rPr>
          <w:rFonts w:eastAsia="Batang"/>
          <w:szCs w:val="22"/>
          <w:lang w:val="es-ES" w:eastAsia="ko-KR"/>
        </w:rPr>
        <w:t>o l</w:t>
      </w:r>
      <w:r w:rsidRPr="008F762A">
        <w:rPr>
          <w:rFonts w:eastAsia="Batang"/>
          <w:szCs w:val="22"/>
          <w:lang w:val="es-ES" w:eastAsia="ko-KR"/>
        </w:rPr>
        <w:t>ugar a controversias</w:t>
      </w:r>
      <w:r w:rsidR="00394A64" w:rsidRPr="008F762A">
        <w:rPr>
          <w:rFonts w:eastAsia="Batang"/>
          <w:szCs w:val="22"/>
          <w:lang w:val="es-ES" w:eastAsia="ko-KR"/>
        </w:rPr>
        <w:t>.  D</w:t>
      </w:r>
      <w:r w:rsidR="00EB63E4" w:rsidRPr="008F762A">
        <w:rPr>
          <w:rFonts w:eastAsia="Batang"/>
          <w:szCs w:val="22"/>
          <w:lang w:val="es-ES" w:eastAsia="ko-KR"/>
        </w:rPr>
        <w:t>e este tipo de acuerdos, en el cuestionario figuraban, en este orden, los acuerdos de no divulgación, los acuerdos de investigación y desarrollo (I+D), las licencias, los acuerdos de conciliación, los acuerdos sobre fusiones y adquisiciones y los acuerdos de cesiones</w:t>
      </w:r>
      <w:r w:rsidR="002F61D0" w:rsidRPr="008F762A">
        <w:rPr>
          <w:rFonts w:eastAsia="Batang"/>
          <w:szCs w:val="22"/>
          <w:lang w:val="es-ES" w:eastAsia="ko-KR"/>
        </w:rPr>
        <w:t>.</w:t>
      </w:r>
    </w:p>
    <w:p w:rsidR="009E7935" w:rsidRPr="008F762A" w:rsidRDefault="009E7935" w:rsidP="00D92679">
      <w:pPr>
        <w:rPr>
          <w:rFonts w:eastAsia="Batang"/>
          <w:szCs w:val="22"/>
          <w:lang w:val="es-ES" w:eastAsia="ko-KR"/>
        </w:rPr>
      </w:pPr>
    </w:p>
    <w:p w:rsidR="002F61D0" w:rsidRPr="008F762A" w:rsidRDefault="005E5230" w:rsidP="00BD068F">
      <w:pPr>
        <w:rPr>
          <w:rFonts w:eastAsia="Batang"/>
          <w:szCs w:val="22"/>
          <w:lang w:val="es-ES" w:eastAsia="ko-KR"/>
        </w:rPr>
      </w:pPr>
      <w:r w:rsidRPr="008F762A">
        <w:rPr>
          <w:rFonts w:eastAsia="Batang"/>
          <w:szCs w:val="22"/>
          <w:lang w:val="es-ES" w:eastAsia="ko-KR"/>
        </w:rPr>
        <w:t>Si bien, en general</w:t>
      </w:r>
      <w:r w:rsidR="00394A64" w:rsidRPr="008F762A">
        <w:rPr>
          <w:rFonts w:eastAsia="Batang"/>
          <w:szCs w:val="22"/>
          <w:lang w:val="es-ES" w:eastAsia="ko-KR"/>
        </w:rPr>
        <w:t>, s</w:t>
      </w:r>
      <w:r w:rsidRPr="008F762A">
        <w:rPr>
          <w:rFonts w:eastAsia="Batang"/>
          <w:szCs w:val="22"/>
          <w:lang w:val="es-ES" w:eastAsia="ko-KR"/>
        </w:rPr>
        <w:t>e produjeron controversias en relación con aproximadamente un 2% de los acuerdos sobre tecnología celebrados por los encuestados, más de la mitad declaró que, de los tipos de acuerdos que recoge la encuesta, menos de</w:t>
      </w:r>
      <w:r w:rsidR="00394A64" w:rsidRPr="008F762A">
        <w:rPr>
          <w:rFonts w:eastAsia="Batang"/>
          <w:szCs w:val="22"/>
          <w:lang w:val="es-ES" w:eastAsia="ko-KR"/>
        </w:rPr>
        <w:t>l 1</w:t>
      </w:r>
      <w:r w:rsidRPr="008F762A">
        <w:rPr>
          <w:rFonts w:eastAsia="Batang"/>
          <w:szCs w:val="22"/>
          <w:lang w:val="es-ES" w:eastAsia="ko-KR"/>
        </w:rPr>
        <w:t>% de l</w:t>
      </w:r>
      <w:r w:rsidR="00B22C7C" w:rsidRPr="008F762A">
        <w:rPr>
          <w:rFonts w:eastAsia="Batang"/>
          <w:szCs w:val="22"/>
          <w:lang w:val="es-ES" w:eastAsia="ko-KR"/>
        </w:rPr>
        <w:t>as</w:t>
      </w:r>
      <w:r w:rsidRPr="008F762A">
        <w:rPr>
          <w:rFonts w:eastAsia="Batang"/>
          <w:szCs w:val="22"/>
          <w:lang w:val="es-ES" w:eastAsia="ko-KR"/>
        </w:rPr>
        <w:t xml:space="preserve"> licencias, I+D, conciliación, cesiones o fusiones y adquisiciones daban lugar a controversias</w:t>
      </w:r>
      <w:r w:rsidR="00394A64" w:rsidRPr="008F762A">
        <w:rPr>
          <w:rFonts w:eastAsia="Batang"/>
          <w:szCs w:val="22"/>
          <w:lang w:val="es-ES" w:eastAsia="ko-KR"/>
        </w:rPr>
        <w:t>.  P</w:t>
      </w:r>
      <w:r w:rsidR="00BD068F" w:rsidRPr="008F762A">
        <w:rPr>
          <w:rFonts w:eastAsia="Batang"/>
          <w:szCs w:val="22"/>
          <w:lang w:val="es-ES" w:eastAsia="ko-KR"/>
        </w:rPr>
        <w:t>or otro lado, e</w:t>
      </w:r>
      <w:r w:rsidR="00394A64" w:rsidRPr="008F762A">
        <w:rPr>
          <w:rFonts w:eastAsia="Batang"/>
          <w:szCs w:val="22"/>
          <w:lang w:val="es-ES" w:eastAsia="ko-KR"/>
        </w:rPr>
        <w:t>l 7</w:t>
      </w:r>
      <w:r w:rsidR="00BD068F" w:rsidRPr="008F762A">
        <w:rPr>
          <w:rFonts w:eastAsia="Batang"/>
          <w:szCs w:val="22"/>
          <w:lang w:val="es-ES" w:eastAsia="ko-KR"/>
        </w:rPr>
        <w:t>% de los encuestados afirmó que más de</w:t>
      </w:r>
      <w:r w:rsidR="00394A64" w:rsidRPr="008F762A">
        <w:rPr>
          <w:rFonts w:eastAsia="Batang"/>
          <w:szCs w:val="22"/>
          <w:lang w:val="es-ES" w:eastAsia="ko-KR"/>
        </w:rPr>
        <w:t>l 1</w:t>
      </w:r>
      <w:r w:rsidR="00BD068F" w:rsidRPr="008F762A">
        <w:rPr>
          <w:rFonts w:eastAsia="Batang"/>
          <w:szCs w:val="22"/>
          <w:lang w:val="es-ES" w:eastAsia="ko-KR"/>
        </w:rPr>
        <w:t>0% de los acuerdos de licencias daba lugar a controversias</w:t>
      </w:r>
      <w:r w:rsidR="002F61D0" w:rsidRPr="008F762A">
        <w:rPr>
          <w:rFonts w:eastAsia="Batang"/>
          <w:szCs w:val="22"/>
          <w:lang w:val="es-ES" w:eastAsia="ko-KR"/>
        </w:rPr>
        <w:t>.</w:t>
      </w:r>
    </w:p>
    <w:p w:rsidR="009E7935" w:rsidRPr="008F762A" w:rsidRDefault="009E7935" w:rsidP="00D92679">
      <w:pPr>
        <w:rPr>
          <w:rFonts w:eastAsia="Batang"/>
          <w:szCs w:val="22"/>
          <w:lang w:val="es-ES" w:eastAsia="ko-KR"/>
        </w:rPr>
      </w:pPr>
    </w:p>
    <w:p w:rsidR="009E7935" w:rsidRPr="008F762A" w:rsidRDefault="00BD068F" w:rsidP="00BD068F">
      <w:pPr>
        <w:rPr>
          <w:rFonts w:eastAsia="Batang"/>
          <w:szCs w:val="22"/>
          <w:lang w:val="es-ES" w:eastAsia="ko-KR"/>
        </w:rPr>
      </w:pPr>
      <w:r w:rsidRPr="008F762A">
        <w:rPr>
          <w:rFonts w:eastAsia="Batang"/>
          <w:szCs w:val="22"/>
          <w:lang w:val="es-ES" w:eastAsia="ko-KR"/>
        </w:rPr>
        <w:t xml:space="preserve">De hecho, dentro de los acuerdos sobre tecnología, </w:t>
      </w:r>
      <w:r w:rsidR="00B22C7C" w:rsidRPr="008F762A">
        <w:rPr>
          <w:rFonts w:eastAsia="Batang"/>
          <w:szCs w:val="22"/>
          <w:lang w:val="es-ES" w:eastAsia="ko-KR"/>
        </w:rPr>
        <w:t>las controversias surgieron con mayor frecuencia en relación con las licencias (25% de los encuestados), seguidas de los acuerdos de investigación y desarrollo (18%), los acuerdos de no divulgación (16%), los acuerdos de conciliación (15%), las cesiones (13%) y los acuerdos de fusiones y adquisiciones (13%).</w:t>
      </w:r>
    </w:p>
    <w:p w:rsidR="009E7935" w:rsidRPr="008F762A" w:rsidRDefault="009E7935" w:rsidP="00D92679">
      <w:pPr>
        <w:rPr>
          <w:rFonts w:eastAsia="Batang"/>
          <w:b/>
          <w:bCs/>
          <w:szCs w:val="22"/>
          <w:lang w:val="es-ES" w:eastAsia="ko-KR"/>
        </w:rPr>
      </w:pPr>
    </w:p>
    <w:p w:rsidR="009E7935" w:rsidRPr="008F762A" w:rsidRDefault="005235F5" w:rsidP="005235F5">
      <w:pPr>
        <w:tabs>
          <w:tab w:val="left" w:pos="567"/>
        </w:tabs>
        <w:spacing w:before="240" w:after="60"/>
        <w:outlineLvl w:val="1"/>
        <w:rPr>
          <w:bCs/>
          <w:iCs/>
          <w:caps/>
          <w:szCs w:val="28"/>
          <w:lang w:val="es-ES" w:eastAsia="ko-KR"/>
        </w:rPr>
      </w:pPr>
      <w:r w:rsidRPr="008F762A">
        <w:rPr>
          <w:bCs/>
          <w:iCs/>
          <w:szCs w:val="28"/>
          <w:lang w:val="es-ES" w:eastAsia="ko-KR"/>
        </w:rPr>
        <w:t>4.</w:t>
      </w:r>
      <w:r w:rsidRPr="008F762A">
        <w:rPr>
          <w:bCs/>
          <w:iCs/>
          <w:szCs w:val="28"/>
          <w:lang w:val="es-ES" w:eastAsia="ko-KR"/>
        </w:rPr>
        <w:tab/>
      </w:r>
      <w:r w:rsidR="00BD068F" w:rsidRPr="008F762A">
        <w:rPr>
          <w:bCs/>
          <w:iCs/>
          <w:szCs w:val="28"/>
          <w:lang w:val="es-ES" w:eastAsia="ko-KR"/>
        </w:rPr>
        <w:t>ELECCIÓN DE CLÁUSULAS SOBRE SOLUCIÓN DE CONTROVERSIAS</w:t>
      </w:r>
    </w:p>
    <w:p w:rsidR="009E7935" w:rsidRPr="008F762A" w:rsidRDefault="009E7935" w:rsidP="00D92679">
      <w:pPr>
        <w:rPr>
          <w:rFonts w:eastAsia="Batang"/>
          <w:szCs w:val="22"/>
          <w:lang w:val="es-ES" w:eastAsia="ko-KR"/>
        </w:rPr>
      </w:pPr>
    </w:p>
    <w:p w:rsidR="009E7935" w:rsidRPr="008F762A" w:rsidRDefault="00990262" w:rsidP="00990262">
      <w:pPr>
        <w:rPr>
          <w:rFonts w:eastAsia="Batang"/>
          <w:szCs w:val="22"/>
          <w:lang w:val="es-ES" w:eastAsia="ko-KR"/>
        </w:rPr>
      </w:pPr>
      <w:r w:rsidRPr="008F762A">
        <w:rPr>
          <w:rFonts w:eastAsia="Batang"/>
          <w:szCs w:val="22"/>
          <w:lang w:val="es-ES" w:eastAsia="ko-KR"/>
        </w:rPr>
        <w:t>El 94% de los encuestados afirm</w:t>
      </w:r>
      <w:r w:rsidR="00B07E6D" w:rsidRPr="008F762A">
        <w:rPr>
          <w:rFonts w:eastAsia="Batang"/>
          <w:szCs w:val="22"/>
          <w:lang w:val="es-ES" w:eastAsia="ko-KR"/>
        </w:rPr>
        <w:t xml:space="preserve">ó que la negociación de </w:t>
      </w:r>
      <w:r w:rsidRPr="008F762A">
        <w:rPr>
          <w:rFonts w:eastAsia="Batang"/>
          <w:szCs w:val="22"/>
          <w:lang w:val="es-ES" w:eastAsia="ko-KR"/>
        </w:rPr>
        <w:t>cláusulas sobre solución de controversias forma parte de las negociaciones del contrato.</w:t>
      </w:r>
    </w:p>
    <w:p w:rsidR="009E7935" w:rsidRPr="008F762A" w:rsidRDefault="009E7935" w:rsidP="00D92679">
      <w:pPr>
        <w:rPr>
          <w:rFonts w:eastAsia="Batang"/>
          <w:szCs w:val="22"/>
          <w:lang w:val="es-ES" w:eastAsia="ko-KR"/>
        </w:rPr>
      </w:pPr>
    </w:p>
    <w:p w:rsidR="009E7935" w:rsidRPr="008F762A" w:rsidRDefault="001011DC" w:rsidP="00990262">
      <w:pPr>
        <w:rPr>
          <w:rFonts w:eastAsia="Batang"/>
          <w:szCs w:val="22"/>
          <w:lang w:val="es-ES" w:eastAsia="ko-KR"/>
        </w:rPr>
      </w:pPr>
      <w:r w:rsidRPr="008F762A">
        <w:rPr>
          <w:rFonts w:eastAsia="Batang"/>
          <w:szCs w:val="22"/>
          <w:lang w:val="es-ES" w:eastAsia="ko-KR"/>
        </w:rPr>
        <w:t>El litigio judicial</w:t>
      </w:r>
      <w:r w:rsidR="00990262" w:rsidRPr="008F762A">
        <w:rPr>
          <w:rFonts w:eastAsia="Batang"/>
          <w:szCs w:val="22"/>
          <w:lang w:val="es-ES" w:eastAsia="ko-KR"/>
        </w:rPr>
        <w:t xml:space="preserve"> es la cláusula independiente más común de solución de controversia</w:t>
      </w:r>
      <w:r w:rsidR="00B07E6D" w:rsidRPr="008F762A">
        <w:rPr>
          <w:rFonts w:eastAsia="Batang"/>
          <w:szCs w:val="22"/>
          <w:lang w:val="es-ES" w:eastAsia="ko-KR"/>
        </w:rPr>
        <w:t>s (32%), seguida del arbitraje acelerado</w:t>
      </w:r>
      <w:r w:rsidR="00990262" w:rsidRPr="008F762A">
        <w:rPr>
          <w:rFonts w:eastAsia="Batang"/>
          <w:szCs w:val="22"/>
          <w:lang w:val="es-ES" w:eastAsia="ko-KR"/>
        </w:rPr>
        <w:t xml:space="preserve"> (30%) y la mediación (12%).</w:t>
      </w:r>
      <w:r w:rsidR="00D92679" w:rsidRPr="008F762A">
        <w:rPr>
          <w:rFonts w:eastAsia="Batang"/>
          <w:szCs w:val="22"/>
          <w:lang w:val="es-ES" w:eastAsia="ko-KR"/>
        </w:rPr>
        <w:t xml:space="preserve">  </w:t>
      </w:r>
      <w:r w:rsidR="00B07E6D" w:rsidRPr="008F762A">
        <w:rPr>
          <w:rFonts w:eastAsia="Batang"/>
          <w:szCs w:val="22"/>
          <w:lang w:val="es-ES" w:eastAsia="ko-KR"/>
        </w:rPr>
        <w:t>Esta última</w:t>
      </w:r>
      <w:r w:rsidR="00990262" w:rsidRPr="008F762A">
        <w:rPr>
          <w:rFonts w:eastAsia="Batang"/>
          <w:szCs w:val="22"/>
          <w:lang w:val="es-ES" w:eastAsia="ko-KR"/>
        </w:rPr>
        <w:t xml:space="preserve"> también se incluye cuando las partes utilizan cláusulas de varios niveles (17% de todas las cláusulas)</w:t>
      </w:r>
      <w:r w:rsidR="00D343FF">
        <w:rPr>
          <w:rFonts w:eastAsia="Batang"/>
          <w:szCs w:val="22"/>
          <w:lang w:val="es-ES" w:eastAsia="ko-KR"/>
        </w:rPr>
        <w:t xml:space="preserve"> antes de</w:t>
      </w:r>
      <w:r w:rsidR="00990262" w:rsidRPr="008F762A">
        <w:rPr>
          <w:rFonts w:eastAsia="Batang"/>
          <w:szCs w:val="22"/>
          <w:lang w:val="es-ES" w:eastAsia="ko-KR"/>
        </w:rPr>
        <w:t xml:space="preserve"> los procedimi</w:t>
      </w:r>
      <w:r w:rsidR="00B07E6D" w:rsidRPr="008F762A">
        <w:rPr>
          <w:rFonts w:eastAsia="Batang"/>
          <w:szCs w:val="22"/>
          <w:lang w:val="es-ES" w:eastAsia="ko-KR"/>
        </w:rPr>
        <w:t xml:space="preserve">entos judiciales, el arbitraje </w:t>
      </w:r>
      <w:r w:rsidR="00990262" w:rsidRPr="008F762A">
        <w:rPr>
          <w:rFonts w:eastAsia="Batang"/>
          <w:szCs w:val="22"/>
          <w:lang w:val="es-ES" w:eastAsia="ko-KR"/>
        </w:rPr>
        <w:t>acelerado o la decisión de expertos.</w:t>
      </w:r>
    </w:p>
    <w:p w:rsidR="009E7935" w:rsidRPr="008F762A" w:rsidRDefault="009E7935" w:rsidP="00D92679">
      <w:pPr>
        <w:rPr>
          <w:rFonts w:eastAsia="Batang"/>
          <w:szCs w:val="22"/>
          <w:lang w:val="es-ES" w:eastAsia="ko-KR"/>
        </w:rPr>
      </w:pPr>
    </w:p>
    <w:p w:rsidR="009E7935" w:rsidRPr="008F762A" w:rsidRDefault="009F4EEF" w:rsidP="009F4EEF">
      <w:pPr>
        <w:rPr>
          <w:rFonts w:eastAsia="Batang"/>
          <w:szCs w:val="22"/>
          <w:lang w:val="es-ES" w:eastAsia="ko-KR"/>
        </w:rPr>
      </w:pPr>
      <w:r w:rsidRPr="008F762A">
        <w:rPr>
          <w:rFonts w:eastAsia="Batang"/>
          <w:szCs w:val="22"/>
          <w:lang w:val="es-ES" w:eastAsia="ko-KR"/>
        </w:rPr>
        <w:lastRenderedPageBreak/>
        <w:t>En general, los encuestados constatan una tendencia hacia mecanismos de solución extrajudicial d</w:t>
      </w:r>
      <w:r w:rsidR="002F61D0" w:rsidRPr="008F762A">
        <w:rPr>
          <w:rFonts w:eastAsia="Batang"/>
          <w:szCs w:val="22"/>
          <w:lang w:val="es-ES" w:eastAsia="ko-KR"/>
        </w:rPr>
        <w:t>e c</w:t>
      </w:r>
      <w:r w:rsidRPr="008F762A">
        <w:rPr>
          <w:rFonts w:eastAsia="Batang"/>
          <w:szCs w:val="22"/>
          <w:lang w:val="es-ES" w:eastAsia="ko-KR"/>
        </w:rPr>
        <w:t xml:space="preserve">ontroversias. </w:t>
      </w:r>
      <w:r w:rsidR="00D92679" w:rsidRPr="008F762A">
        <w:rPr>
          <w:rFonts w:eastAsia="Batang"/>
          <w:szCs w:val="22"/>
          <w:lang w:val="es-ES" w:eastAsia="ko-KR"/>
        </w:rPr>
        <w:t xml:space="preserve"> </w:t>
      </w:r>
      <w:r w:rsidRPr="008F762A">
        <w:rPr>
          <w:rFonts w:eastAsia="Batang"/>
          <w:szCs w:val="22"/>
          <w:lang w:val="es-ES" w:eastAsia="ko-KR"/>
        </w:rPr>
        <w:t>La elección de la institución arbitral corresponde en términos generales a la ubicación de la sede de los encuestados.</w:t>
      </w:r>
    </w:p>
    <w:p w:rsidR="009E7935" w:rsidRPr="008F762A" w:rsidRDefault="009E7935" w:rsidP="00D92679">
      <w:pPr>
        <w:rPr>
          <w:rFonts w:eastAsia="Batang"/>
          <w:szCs w:val="22"/>
          <w:lang w:val="es-ES" w:eastAsia="ko-KR"/>
        </w:rPr>
      </w:pPr>
    </w:p>
    <w:p w:rsidR="002F61D0" w:rsidRPr="008F762A" w:rsidRDefault="007D7FBE" w:rsidP="007D7FBE">
      <w:pPr>
        <w:rPr>
          <w:rFonts w:eastAsia="Batang"/>
          <w:szCs w:val="22"/>
          <w:lang w:val="es-ES" w:eastAsia="ko-KR"/>
        </w:rPr>
      </w:pPr>
      <w:r w:rsidRPr="008F762A">
        <w:rPr>
          <w:rFonts w:eastAsia="Batang"/>
          <w:szCs w:val="22"/>
          <w:lang w:val="es-ES" w:eastAsia="ko-KR"/>
        </w:rPr>
        <w:t xml:space="preserve">El costo y el tiempo son las consideraciones principales que guían a los encuestados al negociar las cláusulas de solución de </w:t>
      </w:r>
      <w:r w:rsidR="00704B86" w:rsidRPr="008F762A">
        <w:rPr>
          <w:rFonts w:eastAsia="Batang"/>
          <w:szCs w:val="22"/>
          <w:lang w:val="es-ES" w:eastAsia="ko-KR"/>
        </w:rPr>
        <w:t>controversias</w:t>
      </w:r>
      <w:r w:rsidRPr="008F762A">
        <w:rPr>
          <w:rFonts w:eastAsia="Batang"/>
          <w:szCs w:val="22"/>
          <w:lang w:val="es-ES" w:eastAsia="ko-KR"/>
        </w:rPr>
        <w:t xml:space="preserve">, tanto en los acuerdos nacionales, como </w:t>
      </w:r>
      <w:r w:rsidR="00144A27">
        <w:rPr>
          <w:rFonts w:eastAsia="Batang"/>
          <w:szCs w:val="22"/>
          <w:lang w:val="es-ES" w:eastAsia="ko-KR"/>
        </w:rPr>
        <w:t xml:space="preserve">en </w:t>
      </w:r>
      <w:r w:rsidRPr="008F762A">
        <w:rPr>
          <w:rFonts w:eastAsia="Batang"/>
          <w:szCs w:val="22"/>
          <w:lang w:val="es-ES" w:eastAsia="ko-KR"/>
        </w:rPr>
        <w:t>los internacionales</w:t>
      </w:r>
      <w:r w:rsidR="002F61D0" w:rsidRPr="008F762A">
        <w:rPr>
          <w:rFonts w:eastAsia="Batang"/>
          <w:szCs w:val="22"/>
          <w:lang w:val="es-ES" w:eastAsia="ko-KR"/>
        </w:rPr>
        <w:t>.</w:t>
      </w:r>
    </w:p>
    <w:p w:rsidR="009E7935" w:rsidRPr="008F762A" w:rsidRDefault="009E7935" w:rsidP="00D92679">
      <w:pPr>
        <w:rPr>
          <w:rFonts w:eastAsia="Batang"/>
          <w:szCs w:val="22"/>
          <w:lang w:val="es-ES" w:eastAsia="ko-KR"/>
        </w:rPr>
      </w:pPr>
    </w:p>
    <w:p w:rsidR="002F61D0" w:rsidRPr="008F762A" w:rsidRDefault="00FF0401" w:rsidP="007D7FBE">
      <w:pPr>
        <w:rPr>
          <w:rFonts w:eastAsia="Batang"/>
          <w:szCs w:val="22"/>
          <w:lang w:val="es-ES" w:eastAsia="ko-KR"/>
        </w:rPr>
      </w:pPr>
      <w:r w:rsidRPr="008F762A">
        <w:rPr>
          <w:rFonts w:eastAsia="Batang"/>
          <w:szCs w:val="22"/>
          <w:lang w:val="es-ES" w:eastAsia="ko-KR"/>
        </w:rPr>
        <w:t>A diferencia de los acuerdos nacionales, en los acuerdos internacionales, los encuestados atribuyen mayor importancia a la posibilidad de hacer valer el acuerdo de que se trate (el carácter ejecutorio) y a la neutralidad de la instancia</w:t>
      </w:r>
      <w:r w:rsidR="002F61D0" w:rsidRPr="008F762A">
        <w:rPr>
          <w:rFonts w:eastAsia="Batang"/>
          <w:szCs w:val="22"/>
          <w:lang w:val="es-ES" w:eastAsia="ko-KR"/>
        </w:rPr>
        <w:t>.</w:t>
      </w:r>
    </w:p>
    <w:p w:rsidR="009E7935" w:rsidRPr="008F762A" w:rsidRDefault="009E7935" w:rsidP="007D7FBE">
      <w:pPr>
        <w:rPr>
          <w:rFonts w:eastAsia="Batang"/>
          <w:szCs w:val="22"/>
          <w:lang w:val="es-ES" w:eastAsia="ko-KR"/>
        </w:rPr>
      </w:pPr>
    </w:p>
    <w:p w:rsidR="002F61D0" w:rsidRPr="008F762A" w:rsidRDefault="007D7FBE" w:rsidP="007D7FBE">
      <w:pPr>
        <w:rPr>
          <w:rFonts w:eastAsia="Batang"/>
          <w:szCs w:val="22"/>
          <w:lang w:val="es-ES" w:eastAsia="ko-KR"/>
        </w:rPr>
      </w:pPr>
      <w:r w:rsidRPr="008F762A">
        <w:rPr>
          <w:rFonts w:eastAsia="Batang"/>
          <w:szCs w:val="22"/>
          <w:lang w:val="es-ES" w:eastAsia="ko-KR"/>
        </w:rPr>
        <w:t>El carácter ejecutorio también es un importante incentivo entre los encuestados que escogen la vía judicial y las cláusulas de arbitraje</w:t>
      </w:r>
      <w:r w:rsidR="00394A64" w:rsidRPr="008F762A">
        <w:rPr>
          <w:rFonts w:eastAsia="Batang"/>
          <w:szCs w:val="22"/>
          <w:lang w:val="es-ES" w:eastAsia="ko-KR"/>
        </w:rPr>
        <w:t>.  L</w:t>
      </w:r>
      <w:r w:rsidRPr="008F762A">
        <w:rPr>
          <w:rFonts w:eastAsia="Batang"/>
          <w:szCs w:val="22"/>
          <w:lang w:val="es-ES" w:eastAsia="ko-KR"/>
        </w:rPr>
        <w:t>as soluciones comerciales son de gran importancia para los encuestados que eligen la mediación</w:t>
      </w:r>
      <w:r w:rsidR="002F61D0" w:rsidRPr="008F762A">
        <w:rPr>
          <w:rFonts w:eastAsia="Batang"/>
          <w:szCs w:val="22"/>
          <w:lang w:val="es-ES" w:eastAsia="ko-KR"/>
        </w:rPr>
        <w:t>.</w:t>
      </w:r>
    </w:p>
    <w:p w:rsidR="009E7935" w:rsidRPr="008F762A" w:rsidRDefault="009E7935" w:rsidP="00D92679">
      <w:pPr>
        <w:rPr>
          <w:rFonts w:eastAsia="Batang"/>
          <w:szCs w:val="22"/>
          <w:lang w:val="es-ES" w:eastAsia="ko-KR"/>
        </w:rPr>
      </w:pPr>
    </w:p>
    <w:p w:rsidR="009E7935" w:rsidRPr="008F762A" w:rsidRDefault="00D16D80" w:rsidP="00D92679">
      <w:pPr>
        <w:jc w:val="center"/>
        <w:rPr>
          <w:rFonts w:eastAsia="Batang"/>
          <w:szCs w:val="22"/>
          <w:lang w:val="es-ES" w:eastAsia="ko-KR"/>
        </w:rPr>
      </w:pPr>
      <w:r w:rsidRPr="00D16D80">
        <w:drawing>
          <wp:inline distT="0" distB="0" distL="0" distR="0" wp14:anchorId="7A4F4DBF" wp14:editId="4F6682DC">
            <wp:extent cx="5940425" cy="50194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5019477"/>
                    </a:xfrm>
                    <a:prstGeom prst="rect">
                      <a:avLst/>
                    </a:prstGeom>
                    <a:noFill/>
                    <a:ln>
                      <a:noFill/>
                    </a:ln>
                  </pic:spPr>
                </pic:pic>
              </a:graphicData>
            </a:graphic>
          </wp:inline>
        </w:drawing>
      </w:r>
    </w:p>
    <w:p w:rsidR="009E7935" w:rsidRPr="008F762A" w:rsidRDefault="009E7935" w:rsidP="00D92679">
      <w:pPr>
        <w:rPr>
          <w:rFonts w:eastAsia="Batang"/>
          <w:b/>
          <w:bCs/>
          <w:szCs w:val="22"/>
          <w:lang w:val="es-ES" w:eastAsia="ko-KR"/>
        </w:rPr>
      </w:pPr>
    </w:p>
    <w:p w:rsidR="009E7935" w:rsidRPr="008F762A" w:rsidRDefault="00C77DAF" w:rsidP="005235F5">
      <w:pPr>
        <w:tabs>
          <w:tab w:val="left" w:pos="567"/>
        </w:tabs>
        <w:spacing w:before="240" w:after="60"/>
        <w:ind w:left="567" w:hanging="567"/>
        <w:outlineLvl w:val="1"/>
        <w:rPr>
          <w:bCs/>
          <w:iCs/>
          <w:caps/>
          <w:szCs w:val="28"/>
          <w:lang w:val="es-ES" w:eastAsia="ko-KR"/>
        </w:rPr>
      </w:pPr>
      <w:r w:rsidRPr="008F762A">
        <w:rPr>
          <w:bCs/>
          <w:iCs/>
          <w:color w:val="000000"/>
          <w:szCs w:val="28"/>
          <w:lang w:val="es-ES" w:eastAsia="ko-KR"/>
        </w:rPr>
        <w:t>5.</w:t>
      </w:r>
      <w:r w:rsidR="005235F5" w:rsidRPr="008F762A">
        <w:rPr>
          <w:bCs/>
          <w:iCs/>
          <w:color w:val="000000"/>
          <w:szCs w:val="28"/>
          <w:lang w:val="es-ES" w:eastAsia="ko-KR"/>
        </w:rPr>
        <w:tab/>
      </w:r>
      <w:r w:rsidRPr="008F762A">
        <w:rPr>
          <w:bCs/>
          <w:iCs/>
          <w:color w:val="000000"/>
          <w:szCs w:val="28"/>
          <w:lang w:val="es-ES" w:eastAsia="ko-KR"/>
        </w:rPr>
        <w:t>TIPOS DE CONTROVERSIAS RELATIVAS A LA TECNOLOGÍA Y OBJETIVOS DE LAS PARTES</w:t>
      </w:r>
    </w:p>
    <w:p w:rsidR="009E7935" w:rsidRPr="008F762A" w:rsidRDefault="009E7935" w:rsidP="00D92679">
      <w:pPr>
        <w:rPr>
          <w:rFonts w:eastAsia="Batang"/>
          <w:szCs w:val="22"/>
          <w:lang w:val="es-ES" w:eastAsia="ko-KR"/>
        </w:rPr>
      </w:pPr>
    </w:p>
    <w:p w:rsidR="009E7935" w:rsidRPr="008F762A" w:rsidRDefault="00C77DAF" w:rsidP="00C77DAF">
      <w:pPr>
        <w:rPr>
          <w:rFonts w:eastAsia="Batang"/>
          <w:szCs w:val="22"/>
          <w:lang w:val="es-ES" w:eastAsia="ko-KR"/>
        </w:rPr>
      </w:pPr>
      <w:r w:rsidRPr="008F762A">
        <w:rPr>
          <w:rFonts w:eastAsia="Batang"/>
          <w:color w:val="000000"/>
          <w:szCs w:val="22"/>
          <w:lang w:val="es-ES" w:eastAsia="ko-KR"/>
        </w:rPr>
        <w:t>En cuanto a las controversias contractuales y no contractuales, las cuestiones relativas a las patentes tuvieron una frecuencia de casi el doble de las relativas al derecho de autor o los conocimientos técnicos.</w:t>
      </w:r>
    </w:p>
    <w:p w:rsidR="009E7935" w:rsidRPr="008F762A" w:rsidRDefault="009E7935" w:rsidP="00D92679">
      <w:pPr>
        <w:rPr>
          <w:rFonts w:eastAsia="Batang"/>
          <w:szCs w:val="22"/>
          <w:lang w:val="es-ES" w:eastAsia="ko-KR"/>
        </w:rPr>
      </w:pPr>
    </w:p>
    <w:p w:rsidR="002F61D0" w:rsidRPr="008F762A" w:rsidRDefault="00F8395E" w:rsidP="00F8395E">
      <w:pPr>
        <w:rPr>
          <w:rFonts w:eastAsia="Batang"/>
          <w:color w:val="000000"/>
          <w:szCs w:val="22"/>
          <w:lang w:val="es-ES" w:eastAsia="ko-KR"/>
        </w:rPr>
      </w:pPr>
      <w:r w:rsidRPr="008F762A">
        <w:rPr>
          <w:rFonts w:eastAsia="Batang"/>
          <w:color w:val="000000"/>
          <w:szCs w:val="22"/>
          <w:lang w:val="es-ES" w:eastAsia="ko-KR"/>
        </w:rPr>
        <w:t>Los objetivos principales de los demandantes son obtener compensaciones o regalías (78%), una declaración de infracción de patente (74%), y/o sanciones (53%)</w:t>
      </w:r>
      <w:r w:rsidR="002F61D0" w:rsidRPr="008F762A">
        <w:rPr>
          <w:rFonts w:eastAsia="Batang"/>
          <w:color w:val="000000"/>
          <w:szCs w:val="22"/>
          <w:lang w:val="es-ES" w:eastAsia="ko-KR"/>
        </w:rPr>
        <w:t>.</w:t>
      </w:r>
    </w:p>
    <w:p w:rsidR="009E7935" w:rsidRPr="008F762A" w:rsidRDefault="009E7935" w:rsidP="00D92679">
      <w:pPr>
        <w:rPr>
          <w:rFonts w:eastAsia="Batang"/>
          <w:szCs w:val="22"/>
          <w:lang w:val="es-ES" w:eastAsia="ko-KR"/>
        </w:rPr>
      </w:pPr>
    </w:p>
    <w:p w:rsidR="009E7935" w:rsidRPr="008F762A" w:rsidRDefault="00F8395E" w:rsidP="00F8395E">
      <w:pPr>
        <w:rPr>
          <w:rFonts w:eastAsia="Batang"/>
          <w:szCs w:val="22"/>
          <w:lang w:val="es-ES" w:eastAsia="ko-KR"/>
        </w:rPr>
      </w:pPr>
      <w:r w:rsidRPr="008F762A">
        <w:rPr>
          <w:rFonts w:eastAsia="Batang"/>
          <w:szCs w:val="22"/>
          <w:lang w:val="es-ES" w:eastAsia="ko-KR"/>
        </w:rPr>
        <w:t xml:space="preserve">Los principales objetivos de las partes demandadas en los litigios sobre patentes son la declaración de nulidad de </w:t>
      </w:r>
      <w:r w:rsidR="00144A27">
        <w:rPr>
          <w:rFonts w:eastAsia="Batang"/>
          <w:szCs w:val="22"/>
          <w:lang w:val="es-ES" w:eastAsia="ko-KR"/>
        </w:rPr>
        <w:t xml:space="preserve">las </w:t>
      </w:r>
      <w:r w:rsidRPr="008F762A">
        <w:rPr>
          <w:rFonts w:eastAsia="Batang"/>
          <w:szCs w:val="22"/>
          <w:lang w:val="es-ES" w:eastAsia="ko-KR"/>
        </w:rPr>
        <w:t>patentes (73%), una sentencia declarativa negativa (33%), o una declaración de infracción de patente (33%).</w:t>
      </w:r>
    </w:p>
    <w:p w:rsidR="009E7935" w:rsidRPr="008F762A" w:rsidRDefault="009E7935" w:rsidP="00D92679">
      <w:pPr>
        <w:rPr>
          <w:rFonts w:eastAsia="Batang"/>
          <w:b/>
          <w:bCs/>
          <w:szCs w:val="22"/>
          <w:lang w:val="es-ES" w:eastAsia="ko-KR"/>
        </w:rPr>
      </w:pPr>
    </w:p>
    <w:p w:rsidR="009E7935" w:rsidRPr="008F762A" w:rsidRDefault="005235F5" w:rsidP="005235F5">
      <w:pPr>
        <w:tabs>
          <w:tab w:val="left" w:pos="567"/>
        </w:tabs>
        <w:spacing w:before="240" w:after="60"/>
        <w:ind w:left="567" w:hanging="567"/>
        <w:outlineLvl w:val="1"/>
        <w:rPr>
          <w:bCs/>
          <w:iCs/>
          <w:caps/>
          <w:szCs w:val="28"/>
          <w:lang w:val="es-ES" w:eastAsia="ko-KR"/>
        </w:rPr>
      </w:pPr>
      <w:r w:rsidRPr="008F762A">
        <w:rPr>
          <w:bCs/>
          <w:iCs/>
          <w:color w:val="000000"/>
          <w:szCs w:val="28"/>
          <w:lang w:val="es-ES" w:eastAsia="ko-KR"/>
        </w:rPr>
        <w:t>6.</w:t>
      </w:r>
      <w:r w:rsidRPr="008F762A">
        <w:rPr>
          <w:bCs/>
          <w:iCs/>
          <w:color w:val="000000"/>
          <w:szCs w:val="28"/>
          <w:lang w:val="es-ES" w:eastAsia="ko-KR"/>
        </w:rPr>
        <w:tab/>
      </w:r>
      <w:r w:rsidR="00F8395E" w:rsidRPr="008F762A">
        <w:rPr>
          <w:bCs/>
          <w:iCs/>
          <w:color w:val="000000"/>
          <w:szCs w:val="28"/>
          <w:lang w:val="es-ES" w:eastAsia="ko-KR"/>
        </w:rPr>
        <w:t>MECANISMOS UTILIZADOS PARA SOLUCIONAR CONTROVERSIAS</w:t>
      </w:r>
      <w:r w:rsidR="00394A64" w:rsidRPr="008F762A">
        <w:rPr>
          <w:bCs/>
          <w:iCs/>
          <w:color w:val="000000"/>
          <w:szCs w:val="28"/>
          <w:lang w:val="es-ES" w:eastAsia="ko-KR"/>
        </w:rPr>
        <w:t>:  T</w:t>
      </w:r>
      <w:r w:rsidR="00F8395E" w:rsidRPr="008F762A">
        <w:rPr>
          <w:bCs/>
          <w:iCs/>
          <w:color w:val="000000"/>
          <w:szCs w:val="28"/>
          <w:lang w:val="es-ES" w:eastAsia="ko-KR"/>
        </w:rPr>
        <w:t xml:space="preserve">IPO, TIEMPO Y COSTO </w:t>
      </w:r>
    </w:p>
    <w:p w:rsidR="009E7935" w:rsidRPr="008F762A" w:rsidRDefault="005235F5" w:rsidP="005235F5">
      <w:pPr>
        <w:spacing w:before="240" w:after="60"/>
        <w:outlineLvl w:val="2"/>
        <w:rPr>
          <w:bCs/>
          <w:szCs w:val="26"/>
          <w:u w:val="single"/>
          <w:lang w:val="es-ES" w:eastAsia="ko-KR"/>
        </w:rPr>
      </w:pPr>
      <w:bookmarkStart w:id="1" w:name="_GoBack"/>
      <w:bookmarkEnd w:id="1"/>
      <w:r w:rsidRPr="008F762A">
        <w:rPr>
          <w:bCs/>
          <w:szCs w:val="26"/>
          <w:u w:val="single"/>
          <w:lang w:val="es-ES" w:eastAsia="ko-KR"/>
        </w:rPr>
        <w:t>6.1.</w:t>
      </w:r>
      <w:r w:rsidRPr="008F762A">
        <w:rPr>
          <w:bCs/>
          <w:szCs w:val="26"/>
          <w:u w:val="single"/>
          <w:lang w:val="es-ES" w:eastAsia="ko-KR"/>
        </w:rPr>
        <w:tab/>
      </w:r>
      <w:r w:rsidR="00CA40AC" w:rsidRPr="008F762A">
        <w:rPr>
          <w:bCs/>
          <w:szCs w:val="26"/>
          <w:u w:val="single"/>
          <w:lang w:val="es-ES" w:eastAsia="ko-KR"/>
        </w:rPr>
        <w:t>Ti</w:t>
      </w:r>
      <w:r w:rsidR="00D92679" w:rsidRPr="008F762A">
        <w:rPr>
          <w:bCs/>
          <w:szCs w:val="26"/>
          <w:u w:val="single"/>
          <w:lang w:val="es-ES" w:eastAsia="ko-KR"/>
        </w:rPr>
        <w:t>p</w:t>
      </w:r>
      <w:r w:rsidR="00CA40AC" w:rsidRPr="008F762A">
        <w:rPr>
          <w:bCs/>
          <w:szCs w:val="26"/>
          <w:u w:val="single"/>
          <w:lang w:val="es-ES" w:eastAsia="ko-KR"/>
        </w:rPr>
        <w:t>o</w:t>
      </w:r>
    </w:p>
    <w:p w:rsidR="009E7935" w:rsidRPr="008F762A" w:rsidRDefault="009E7935" w:rsidP="00D92679">
      <w:pPr>
        <w:rPr>
          <w:rFonts w:eastAsia="Batang"/>
          <w:szCs w:val="22"/>
          <w:lang w:val="es-ES" w:eastAsia="ko-KR"/>
        </w:rPr>
      </w:pPr>
    </w:p>
    <w:p w:rsidR="009E7935" w:rsidRPr="008F762A" w:rsidRDefault="00F8395E" w:rsidP="00F8395E">
      <w:pPr>
        <w:rPr>
          <w:rFonts w:eastAsia="Batang"/>
          <w:szCs w:val="22"/>
          <w:lang w:val="es-ES" w:eastAsia="ko-KR"/>
        </w:rPr>
      </w:pPr>
      <w:r w:rsidRPr="008F762A">
        <w:rPr>
          <w:rFonts w:eastAsia="Batang"/>
          <w:color w:val="000000"/>
          <w:szCs w:val="22"/>
          <w:lang w:val="es-ES" w:eastAsia="ko-KR"/>
        </w:rPr>
        <w:t>En congruencia con las conclusiones expuestas sobre la elección de las cláusulas de solución de controversias, el mecanismo utilizado más corrientemente para solucionar controversias es el de los litigios judiciales en la jurisdicción nacional de los encuestados, seguido de los litigios judiciales en las jurisdicciones de otros países, y a continuación figuran los mecanismos de solución extrajudicial de controversias, como el arbitraje, la mediación, el arbitraje acelerado y la decisión de los expertos.</w:t>
      </w:r>
    </w:p>
    <w:p w:rsidR="009E7935" w:rsidRPr="008F762A" w:rsidRDefault="009E7935" w:rsidP="00D92679">
      <w:pPr>
        <w:rPr>
          <w:rFonts w:eastAsia="Batang"/>
          <w:szCs w:val="22"/>
          <w:lang w:val="es-ES" w:eastAsia="ko-KR"/>
        </w:rPr>
      </w:pPr>
    </w:p>
    <w:p w:rsidR="002F61D0" w:rsidRDefault="00B47045" w:rsidP="00B47045">
      <w:pPr>
        <w:rPr>
          <w:rFonts w:eastAsia="Batang"/>
          <w:color w:val="000000"/>
          <w:szCs w:val="22"/>
          <w:lang w:val="es-ES" w:eastAsia="ko-KR"/>
        </w:rPr>
      </w:pPr>
      <w:r w:rsidRPr="008F762A">
        <w:rPr>
          <w:rFonts w:eastAsia="Batang"/>
          <w:color w:val="000000"/>
          <w:szCs w:val="22"/>
          <w:lang w:val="es-ES" w:eastAsia="ko-KR"/>
        </w:rPr>
        <w:t>E</w:t>
      </w:r>
      <w:r w:rsidR="00394A64" w:rsidRPr="008F762A">
        <w:rPr>
          <w:rFonts w:eastAsia="Batang"/>
          <w:color w:val="000000"/>
          <w:szCs w:val="22"/>
          <w:lang w:val="es-ES" w:eastAsia="ko-KR"/>
        </w:rPr>
        <w:t>l 2</w:t>
      </w:r>
      <w:r w:rsidRPr="008F762A">
        <w:rPr>
          <w:rFonts w:eastAsia="Batang"/>
          <w:color w:val="000000"/>
          <w:szCs w:val="22"/>
          <w:lang w:val="es-ES" w:eastAsia="ko-KR"/>
        </w:rPr>
        <w:t>9% de los encuestados afirmó que había sometido una controversia a mediación antes o durante un litigio judicial relativo a cuestiones contractuales sobre patentes, derechos de autor o conocimientos técnicos</w:t>
      </w:r>
      <w:r w:rsidR="002F61D0" w:rsidRPr="008F762A">
        <w:rPr>
          <w:rFonts w:eastAsia="Batang"/>
          <w:color w:val="000000"/>
          <w:szCs w:val="22"/>
          <w:lang w:val="es-ES" w:eastAsia="ko-KR"/>
        </w:rPr>
        <w:t>.</w:t>
      </w:r>
    </w:p>
    <w:p w:rsidR="00A8536A" w:rsidRPr="008F762A" w:rsidRDefault="00A8536A" w:rsidP="00B47045">
      <w:pPr>
        <w:rPr>
          <w:rFonts w:eastAsia="Batang"/>
          <w:color w:val="000000"/>
          <w:szCs w:val="22"/>
          <w:lang w:val="es-ES" w:eastAsia="ko-KR"/>
        </w:rPr>
      </w:pPr>
    </w:p>
    <w:p w:rsidR="009E7935" w:rsidRPr="008F762A" w:rsidRDefault="00AC41F3" w:rsidP="00D92679">
      <w:pPr>
        <w:jc w:val="center"/>
        <w:rPr>
          <w:rFonts w:eastAsia="Batang"/>
          <w:szCs w:val="22"/>
          <w:lang w:val="es-ES" w:eastAsia="ko-KR"/>
        </w:rPr>
      </w:pPr>
      <w:r w:rsidRPr="00AC41F3">
        <w:drawing>
          <wp:inline distT="0" distB="0" distL="0" distR="0" wp14:anchorId="14A0FB3A" wp14:editId="7ED2AB38">
            <wp:extent cx="5940425" cy="358403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584035"/>
                    </a:xfrm>
                    <a:prstGeom prst="rect">
                      <a:avLst/>
                    </a:prstGeom>
                    <a:noFill/>
                    <a:ln>
                      <a:noFill/>
                    </a:ln>
                  </pic:spPr>
                </pic:pic>
              </a:graphicData>
            </a:graphic>
          </wp:inline>
        </w:drawing>
      </w:r>
    </w:p>
    <w:p w:rsidR="009E7935" w:rsidRPr="008F762A" w:rsidRDefault="009E7935" w:rsidP="00D92679">
      <w:pPr>
        <w:rPr>
          <w:rFonts w:eastAsia="Batang"/>
          <w:b/>
          <w:bCs/>
          <w:szCs w:val="22"/>
          <w:lang w:val="es-ES" w:eastAsia="ko-KR"/>
        </w:rPr>
      </w:pPr>
    </w:p>
    <w:p w:rsidR="009E7935" w:rsidRPr="008F762A" w:rsidRDefault="00B47045" w:rsidP="005235F5">
      <w:pPr>
        <w:spacing w:before="240" w:after="60"/>
        <w:outlineLvl w:val="2"/>
        <w:rPr>
          <w:bCs/>
          <w:szCs w:val="26"/>
          <w:u w:val="single"/>
          <w:lang w:val="es-ES" w:eastAsia="ko-KR"/>
        </w:rPr>
      </w:pPr>
      <w:r w:rsidRPr="008F762A">
        <w:rPr>
          <w:bCs/>
          <w:color w:val="000000"/>
          <w:szCs w:val="26"/>
          <w:u w:val="single"/>
          <w:lang w:val="es-ES" w:eastAsia="ko-KR"/>
        </w:rPr>
        <w:t>6.2</w:t>
      </w:r>
      <w:r w:rsidR="005235F5" w:rsidRPr="008F762A">
        <w:rPr>
          <w:bCs/>
          <w:color w:val="000000"/>
          <w:szCs w:val="26"/>
          <w:u w:val="single"/>
          <w:lang w:val="es-ES" w:eastAsia="ko-KR"/>
        </w:rPr>
        <w:t>.</w:t>
      </w:r>
      <w:r w:rsidR="005235F5" w:rsidRPr="008F762A">
        <w:rPr>
          <w:bCs/>
          <w:color w:val="000000"/>
          <w:szCs w:val="26"/>
          <w:u w:val="single"/>
          <w:lang w:val="es-ES" w:eastAsia="ko-KR"/>
        </w:rPr>
        <w:tab/>
      </w:r>
      <w:r w:rsidR="00AF3AC2">
        <w:rPr>
          <w:bCs/>
          <w:color w:val="000000"/>
          <w:szCs w:val="26"/>
          <w:u w:val="single"/>
          <w:lang w:val="es-ES" w:eastAsia="ko-KR"/>
        </w:rPr>
        <w:t xml:space="preserve">Plazos </w:t>
      </w:r>
      <w:r w:rsidRPr="008F762A">
        <w:rPr>
          <w:bCs/>
          <w:color w:val="000000"/>
          <w:szCs w:val="26"/>
          <w:u w:val="single"/>
          <w:lang w:val="es-ES" w:eastAsia="ko-KR"/>
        </w:rPr>
        <w:t>y costo</w:t>
      </w:r>
      <w:r w:rsidR="00AF3AC2">
        <w:rPr>
          <w:bCs/>
          <w:color w:val="000000"/>
          <w:szCs w:val="26"/>
          <w:u w:val="single"/>
          <w:lang w:val="es-ES" w:eastAsia="ko-KR"/>
        </w:rPr>
        <w:t>s</w:t>
      </w:r>
    </w:p>
    <w:p w:rsidR="009E7935" w:rsidRPr="008F762A" w:rsidRDefault="009E7935" w:rsidP="00D92679">
      <w:pPr>
        <w:rPr>
          <w:rFonts w:eastAsia="Batang"/>
          <w:szCs w:val="22"/>
          <w:lang w:val="es-ES" w:eastAsia="ko-KR"/>
        </w:rPr>
      </w:pPr>
    </w:p>
    <w:p w:rsidR="009E7935" w:rsidRPr="008F762A" w:rsidRDefault="00B47045" w:rsidP="00B47045">
      <w:pPr>
        <w:rPr>
          <w:rFonts w:eastAsia="Batang"/>
          <w:szCs w:val="22"/>
          <w:lang w:val="es-ES" w:eastAsia="ko-KR"/>
        </w:rPr>
      </w:pPr>
      <w:r w:rsidRPr="008F762A">
        <w:rPr>
          <w:rFonts w:eastAsia="Batang"/>
          <w:szCs w:val="22"/>
          <w:lang w:val="es-ES" w:eastAsia="ko-KR"/>
        </w:rPr>
        <w:t xml:space="preserve">Los encuestados indicaron que empleaban más tiempo e incurrían en costos bastante más elevados en los litigios judiciales que en </w:t>
      </w:r>
      <w:r w:rsidR="008F07E0" w:rsidRPr="008F762A">
        <w:rPr>
          <w:rFonts w:eastAsia="Batang"/>
          <w:szCs w:val="22"/>
          <w:lang w:val="es-ES" w:eastAsia="ko-KR"/>
        </w:rPr>
        <w:t>los procedimientos de</w:t>
      </w:r>
      <w:r w:rsidRPr="008F762A">
        <w:rPr>
          <w:rFonts w:eastAsia="Batang"/>
          <w:szCs w:val="22"/>
          <w:lang w:val="es-ES" w:eastAsia="ko-KR"/>
        </w:rPr>
        <w:t xml:space="preserve"> arbitraje y mediación.</w:t>
      </w:r>
    </w:p>
    <w:p w:rsidR="009E7935" w:rsidRPr="008F762A" w:rsidRDefault="009E7935" w:rsidP="00D92679">
      <w:pPr>
        <w:rPr>
          <w:rFonts w:eastAsia="Batang"/>
          <w:szCs w:val="22"/>
          <w:lang w:val="es-ES" w:eastAsia="ko-KR"/>
        </w:rPr>
      </w:pPr>
    </w:p>
    <w:p w:rsidR="002F61D0" w:rsidRPr="008F762A" w:rsidRDefault="00B47045" w:rsidP="00B47045">
      <w:pPr>
        <w:rPr>
          <w:rFonts w:eastAsia="Batang"/>
          <w:color w:val="000000"/>
          <w:szCs w:val="22"/>
          <w:lang w:val="es-ES" w:eastAsia="ko-KR"/>
        </w:rPr>
      </w:pPr>
      <w:r w:rsidRPr="008F762A">
        <w:rPr>
          <w:rFonts w:eastAsia="Batang"/>
          <w:color w:val="000000"/>
          <w:szCs w:val="22"/>
          <w:lang w:val="es-ES" w:eastAsia="ko-KR"/>
        </w:rPr>
        <w:lastRenderedPageBreak/>
        <w:t>Los encuestados calcularon que los litigios judiciales en las jurisdicciones nacionales duraban como media aproximadament</w:t>
      </w:r>
      <w:r w:rsidR="00394A64" w:rsidRPr="008F762A">
        <w:rPr>
          <w:rFonts w:eastAsia="Batang"/>
          <w:color w:val="000000"/>
          <w:szCs w:val="22"/>
          <w:lang w:val="es-ES" w:eastAsia="ko-KR"/>
        </w:rPr>
        <w:t>e 3</w:t>
      </w:r>
      <w:r w:rsidRPr="008F762A">
        <w:rPr>
          <w:rFonts w:eastAsia="Batang"/>
          <w:color w:val="000000"/>
          <w:szCs w:val="22"/>
          <w:lang w:val="es-ES" w:eastAsia="ko-KR"/>
        </w:rPr>
        <w:t xml:space="preserve"> años y los que tenían lugar en jurisdicciones de otros países uno</w:t>
      </w:r>
      <w:r w:rsidR="00394A64" w:rsidRPr="008F762A">
        <w:rPr>
          <w:rFonts w:eastAsia="Batang"/>
          <w:color w:val="000000"/>
          <w:szCs w:val="22"/>
          <w:lang w:val="es-ES" w:eastAsia="ko-KR"/>
        </w:rPr>
        <w:t>s 6</w:t>
      </w:r>
      <w:r w:rsidRPr="008F762A">
        <w:rPr>
          <w:rFonts w:eastAsia="Batang"/>
          <w:color w:val="000000"/>
          <w:szCs w:val="22"/>
          <w:lang w:val="es-ES" w:eastAsia="ko-KR"/>
        </w:rPr>
        <w:t xml:space="preserve"> meses más</w:t>
      </w:r>
      <w:r w:rsidR="002F61D0" w:rsidRPr="008F762A">
        <w:rPr>
          <w:rFonts w:eastAsia="Batang"/>
          <w:color w:val="000000"/>
          <w:szCs w:val="22"/>
          <w:lang w:val="es-ES" w:eastAsia="ko-KR"/>
        </w:rPr>
        <w:t>.</w:t>
      </w:r>
    </w:p>
    <w:p w:rsidR="009E7935" w:rsidRPr="008F762A" w:rsidRDefault="009E7935" w:rsidP="00D92679">
      <w:pPr>
        <w:rPr>
          <w:rFonts w:eastAsia="Batang"/>
          <w:szCs w:val="22"/>
          <w:lang w:val="es-ES" w:eastAsia="ko-KR"/>
        </w:rPr>
      </w:pPr>
    </w:p>
    <w:p w:rsidR="009E7935" w:rsidRPr="008F762A" w:rsidRDefault="00B47045" w:rsidP="00B47045">
      <w:pPr>
        <w:rPr>
          <w:rFonts w:eastAsia="Batang"/>
          <w:szCs w:val="22"/>
          <w:lang w:val="es-ES" w:eastAsia="ko-KR"/>
        </w:rPr>
      </w:pPr>
      <w:r w:rsidRPr="008F762A">
        <w:rPr>
          <w:rFonts w:eastAsia="Batang"/>
          <w:color w:val="000000"/>
          <w:szCs w:val="22"/>
          <w:lang w:val="es-ES" w:eastAsia="ko-KR"/>
        </w:rPr>
        <w:t>Los encuestados calcularon que las costas de los litigios judiciales resueltos en las jurisdicciones nacionales ascendían a una media d</w:t>
      </w:r>
      <w:r w:rsidR="00394A64" w:rsidRPr="008F762A">
        <w:rPr>
          <w:rFonts w:eastAsia="Batang"/>
          <w:color w:val="000000"/>
          <w:szCs w:val="22"/>
          <w:lang w:val="es-ES" w:eastAsia="ko-KR"/>
        </w:rPr>
        <w:t>e 4</w:t>
      </w:r>
      <w:r w:rsidRPr="008F762A">
        <w:rPr>
          <w:rFonts w:eastAsia="Batang"/>
          <w:color w:val="000000"/>
          <w:szCs w:val="22"/>
          <w:lang w:val="es-ES" w:eastAsia="ko-KR"/>
        </w:rPr>
        <w:t>75.000 dólares de los EE.UU., y los correspondientes a los litigios ventilados ante tribunales de otros países superaban ligeramente lo</w:t>
      </w:r>
      <w:r w:rsidR="00394A64" w:rsidRPr="008F762A">
        <w:rPr>
          <w:rFonts w:eastAsia="Batang"/>
          <w:color w:val="000000"/>
          <w:szCs w:val="22"/>
          <w:lang w:val="es-ES" w:eastAsia="ko-KR"/>
        </w:rPr>
        <w:t>s 8</w:t>
      </w:r>
      <w:r w:rsidRPr="008F762A">
        <w:rPr>
          <w:rFonts w:eastAsia="Batang"/>
          <w:color w:val="000000"/>
          <w:szCs w:val="22"/>
          <w:lang w:val="es-ES" w:eastAsia="ko-KR"/>
        </w:rPr>
        <w:t>50.000 dólares de los EE.UU.</w:t>
      </w:r>
    </w:p>
    <w:p w:rsidR="009E7935" w:rsidRPr="008F762A" w:rsidRDefault="009E7935" w:rsidP="00D92679">
      <w:pPr>
        <w:rPr>
          <w:rFonts w:eastAsia="Batang"/>
          <w:szCs w:val="22"/>
          <w:lang w:val="es-ES" w:eastAsia="ko-KR"/>
        </w:rPr>
      </w:pPr>
    </w:p>
    <w:p w:rsidR="009E7935" w:rsidRPr="008F762A" w:rsidRDefault="00B47045" w:rsidP="00B47045">
      <w:pPr>
        <w:rPr>
          <w:rFonts w:eastAsia="Batang"/>
          <w:szCs w:val="22"/>
          <w:lang w:val="es-ES" w:eastAsia="ko-KR"/>
        </w:rPr>
      </w:pPr>
      <w:r w:rsidRPr="008F762A">
        <w:rPr>
          <w:rFonts w:eastAsia="Batang"/>
          <w:szCs w:val="22"/>
          <w:lang w:val="es-ES" w:eastAsia="ko-KR"/>
        </w:rPr>
        <w:t>Los encuestados afirmaron que los procedimientos de mediación duraban una media de ocho meses, y e</w:t>
      </w:r>
      <w:r w:rsidR="00394A64" w:rsidRPr="008F762A">
        <w:rPr>
          <w:rFonts w:eastAsia="Batang"/>
          <w:szCs w:val="22"/>
          <w:lang w:val="es-ES" w:eastAsia="ko-KR"/>
        </w:rPr>
        <w:t>l 9</w:t>
      </w:r>
      <w:r w:rsidRPr="008F762A">
        <w:rPr>
          <w:rFonts w:eastAsia="Batang"/>
          <w:szCs w:val="22"/>
          <w:lang w:val="es-ES" w:eastAsia="ko-KR"/>
        </w:rPr>
        <w:t>1% de los mismos señaló que los costos de la mediación no superaban habitualmente lo</w:t>
      </w:r>
      <w:r w:rsidR="00394A64" w:rsidRPr="008F762A">
        <w:rPr>
          <w:rFonts w:eastAsia="Batang"/>
          <w:szCs w:val="22"/>
          <w:lang w:val="es-ES" w:eastAsia="ko-KR"/>
        </w:rPr>
        <w:t>s 1</w:t>
      </w:r>
      <w:r w:rsidRPr="008F762A">
        <w:rPr>
          <w:rFonts w:eastAsia="Batang"/>
          <w:szCs w:val="22"/>
          <w:lang w:val="es-ES" w:eastAsia="ko-KR"/>
        </w:rPr>
        <w:t>00.000 dólares de los EE.UU.</w:t>
      </w:r>
    </w:p>
    <w:p w:rsidR="009E7935" w:rsidRPr="008F762A" w:rsidRDefault="009E7935" w:rsidP="00D92679">
      <w:pPr>
        <w:rPr>
          <w:rFonts w:eastAsia="Batang"/>
          <w:szCs w:val="22"/>
          <w:lang w:val="es-ES" w:eastAsia="ko-KR"/>
        </w:rPr>
      </w:pPr>
    </w:p>
    <w:p w:rsidR="009E7935" w:rsidRPr="008F762A" w:rsidRDefault="00B47045" w:rsidP="00B47045">
      <w:pPr>
        <w:rPr>
          <w:rFonts w:eastAsia="Batang"/>
          <w:szCs w:val="22"/>
          <w:lang w:val="es-ES" w:eastAsia="ko-KR"/>
        </w:rPr>
      </w:pPr>
      <w:r w:rsidRPr="008F762A">
        <w:rPr>
          <w:rFonts w:eastAsia="Batang"/>
          <w:color w:val="000000"/>
          <w:szCs w:val="22"/>
          <w:lang w:val="es-ES" w:eastAsia="ko-KR"/>
        </w:rPr>
        <w:t>Los encuestados indicaron que los procedimientos de arbitraje duraban algo más de un año como media y conllevaban unos costos medios justo por encima de lo</w:t>
      </w:r>
      <w:r w:rsidR="00394A64" w:rsidRPr="008F762A">
        <w:rPr>
          <w:rFonts w:eastAsia="Batang"/>
          <w:color w:val="000000"/>
          <w:szCs w:val="22"/>
          <w:lang w:val="es-ES" w:eastAsia="ko-KR"/>
        </w:rPr>
        <w:t>s 4</w:t>
      </w:r>
      <w:r w:rsidRPr="008F762A">
        <w:rPr>
          <w:rFonts w:eastAsia="Batang"/>
          <w:color w:val="000000"/>
          <w:szCs w:val="22"/>
          <w:lang w:val="es-ES" w:eastAsia="ko-KR"/>
        </w:rPr>
        <w:t>00.000 dólares de los EE.UU.</w:t>
      </w:r>
    </w:p>
    <w:p w:rsidR="009E7935" w:rsidRPr="008F762A" w:rsidRDefault="009E7935" w:rsidP="00D92679">
      <w:pPr>
        <w:rPr>
          <w:rFonts w:eastAsia="Batang"/>
          <w:szCs w:val="22"/>
          <w:lang w:val="es-ES" w:eastAsia="ko-KR"/>
        </w:rPr>
      </w:pPr>
    </w:p>
    <w:p w:rsidR="002F61D0" w:rsidRPr="008F762A" w:rsidRDefault="0073053A" w:rsidP="0073053A">
      <w:pPr>
        <w:rPr>
          <w:rFonts w:eastAsia="Batang"/>
          <w:color w:val="000000"/>
          <w:szCs w:val="22"/>
          <w:lang w:val="es-ES" w:eastAsia="ko-KR"/>
        </w:rPr>
      </w:pPr>
      <w:r w:rsidRPr="008F762A">
        <w:rPr>
          <w:rFonts w:eastAsia="Batang"/>
          <w:color w:val="000000"/>
          <w:szCs w:val="22"/>
          <w:lang w:val="es-ES" w:eastAsia="ko-KR"/>
        </w:rPr>
        <w:t>Al margen de</w:t>
      </w:r>
      <w:r w:rsidR="004A5C2B" w:rsidRPr="008F762A">
        <w:rPr>
          <w:rFonts w:eastAsia="Batang"/>
          <w:color w:val="000000"/>
          <w:szCs w:val="22"/>
          <w:lang w:val="es-ES" w:eastAsia="ko-KR"/>
        </w:rPr>
        <w:t xml:space="preserve">l importe </w:t>
      </w:r>
      <w:r w:rsidRPr="008F762A">
        <w:rPr>
          <w:rFonts w:eastAsia="Batang"/>
          <w:color w:val="000000"/>
          <w:szCs w:val="22"/>
          <w:lang w:val="es-ES" w:eastAsia="ko-KR"/>
        </w:rPr>
        <w:t>monetari</w:t>
      </w:r>
      <w:r w:rsidR="004A5C2B" w:rsidRPr="008F762A">
        <w:rPr>
          <w:rFonts w:eastAsia="Batang"/>
          <w:color w:val="000000"/>
          <w:szCs w:val="22"/>
          <w:lang w:val="es-ES" w:eastAsia="ko-KR"/>
        </w:rPr>
        <w:t>o</w:t>
      </w:r>
      <w:r w:rsidRPr="008F762A">
        <w:rPr>
          <w:rFonts w:eastAsia="Batang"/>
          <w:color w:val="000000"/>
          <w:szCs w:val="22"/>
          <w:lang w:val="es-ES" w:eastAsia="ko-KR"/>
        </w:rPr>
        <w:t>, los encuestados sumaron</w:t>
      </w:r>
      <w:r w:rsidR="008F07E0" w:rsidRPr="008F762A">
        <w:rPr>
          <w:rFonts w:eastAsia="Batang"/>
          <w:color w:val="000000"/>
          <w:szCs w:val="22"/>
          <w:lang w:val="es-ES" w:eastAsia="ko-KR"/>
        </w:rPr>
        <w:t xml:space="preserve"> a los costos incurridos</w:t>
      </w:r>
      <w:r w:rsidRPr="008F762A">
        <w:rPr>
          <w:rFonts w:eastAsia="Batang"/>
          <w:color w:val="000000"/>
          <w:szCs w:val="22"/>
          <w:lang w:val="es-ES" w:eastAsia="ko-KR"/>
        </w:rPr>
        <w:t xml:space="preserve"> la gestión del tiempo de los </w:t>
      </w:r>
      <w:r w:rsidR="00AF3AC2">
        <w:rPr>
          <w:rFonts w:eastAsia="Batang"/>
          <w:color w:val="000000"/>
          <w:szCs w:val="22"/>
          <w:lang w:val="es-ES" w:eastAsia="ko-KR"/>
        </w:rPr>
        <w:t>directivos empresariales</w:t>
      </w:r>
      <w:r w:rsidRPr="008F762A">
        <w:rPr>
          <w:rFonts w:eastAsia="Batang"/>
          <w:color w:val="000000"/>
          <w:szCs w:val="22"/>
          <w:lang w:val="es-ES" w:eastAsia="ko-KR"/>
        </w:rPr>
        <w:t>, el tiempo perdido durante los procedimientos,</w:t>
      </w:r>
      <w:r w:rsidR="008F07E0" w:rsidRPr="008F762A">
        <w:rPr>
          <w:rFonts w:eastAsia="Batang"/>
          <w:color w:val="000000"/>
          <w:szCs w:val="22"/>
          <w:lang w:val="es-ES" w:eastAsia="ko-KR"/>
        </w:rPr>
        <w:t xml:space="preserve"> y</w:t>
      </w:r>
      <w:r w:rsidRPr="008F762A">
        <w:rPr>
          <w:rFonts w:eastAsia="Batang"/>
          <w:color w:val="000000"/>
          <w:szCs w:val="22"/>
          <w:lang w:val="es-ES" w:eastAsia="ko-KR"/>
        </w:rPr>
        <w:t xml:space="preserve"> la pérdida de productividad y de oportunidades comerciales</w:t>
      </w:r>
      <w:r w:rsidR="002F61D0" w:rsidRPr="008F762A">
        <w:rPr>
          <w:rFonts w:eastAsia="Batang"/>
          <w:color w:val="000000"/>
          <w:szCs w:val="22"/>
          <w:lang w:val="es-ES" w:eastAsia="ko-KR"/>
        </w:rPr>
        <w:t>.</w:t>
      </w:r>
    </w:p>
    <w:p w:rsidR="009E7935" w:rsidRPr="008F762A" w:rsidRDefault="009E7935" w:rsidP="00D92679">
      <w:pPr>
        <w:rPr>
          <w:rFonts w:eastAsia="Batang"/>
          <w:szCs w:val="22"/>
          <w:lang w:val="es-ES" w:eastAsia="ko-KR"/>
        </w:rPr>
      </w:pPr>
    </w:p>
    <w:p w:rsidR="009E7935" w:rsidRPr="008F762A" w:rsidRDefault="00A70C52" w:rsidP="00D92679">
      <w:pPr>
        <w:jc w:val="center"/>
        <w:rPr>
          <w:rFonts w:eastAsia="Batang"/>
          <w:szCs w:val="22"/>
          <w:lang w:val="es-ES" w:eastAsia="ko-KR"/>
        </w:rPr>
      </w:pPr>
      <w:r w:rsidRPr="00A70C52">
        <w:drawing>
          <wp:inline distT="0" distB="0" distL="0" distR="0" wp14:anchorId="48AF2CC3" wp14:editId="035521DD">
            <wp:extent cx="5940425" cy="28227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2822758"/>
                    </a:xfrm>
                    <a:prstGeom prst="rect">
                      <a:avLst/>
                    </a:prstGeom>
                    <a:noFill/>
                    <a:ln>
                      <a:noFill/>
                    </a:ln>
                  </pic:spPr>
                </pic:pic>
              </a:graphicData>
            </a:graphic>
          </wp:inline>
        </w:drawing>
      </w:r>
    </w:p>
    <w:p w:rsidR="009E7935" w:rsidRPr="008F762A" w:rsidRDefault="009E7935" w:rsidP="00D92679">
      <w:pPr>
        <w:ind w:left="5534"/>
        <w:rPr>
          <w:lang w:val="es-ES"/>
        </w:rPr>
      </w:pPr>
    </w:p>
    <w:p w:rsidR="009E7935" w:rsidRPr="008F762A" w:rsidRDefault="009E7935" w:rsidP="00D92679">
      <w:pPr>
        <w:ind w:left="5534"/>
        <w:rPr>
          <w:lang w:val="es-ES"/>
        </w:rPr>
      </w:pPr>
    </w:p>
    <w:p w:rsidR="009E7935" w:rsidRPr="008F762A" w:rsidRDefault="009E7935" w:rsidP="00D92679">
      <w:pPr>
        <w:ind w:left="5534"/>
        <w:rPr>
          <w:lang w:val="es-ES"/>
        </w:rPr>
      </w:pPr>
    </w:p>
    <w:p w:rsidR="009E7935" w:rsidRPr="008F762A" w:rsidRDefault="009E7935" w:rsidP="00D92679">
      <w:pPr>
        <w:ind w:left="5534"/>
        <w:rPr>
          <w:lang w:val="es-ES"/>
        </w:rPr>
      </w:pPr>
    </w:p>
    <w:p w:rsidR="009E7935" w:rsidRDefault="005235F5" w:rsidP="005235F5">
      <w:pPr>
        <w:pStyle w:val="Endofdocument-Annex"/>
        <w:rPr>
          <w:lang w:val="es-ES"/>
        </w:rPr>
      </w:pPr>
      <w:r w:rsidRPr="008F762A">
        <w:rPr>
          <w:lang w:val="es-ES"/>
        </w:rPr>
        <w:t>[</w:t>
      </w:r>
      <w:r w:rsidR="0073053A" w:rsidRPr="008F762A">
        <w:rPr>
          <w:lang w:val="es-ES"/>
        </w:rPr>
        <w:t>Fin del Anexo y del documento</w:t>
      </w:r>
      <w:r w:rsidRPr="008F762A">
        <w:rPr>
          <w:lang w:val="es-ES"/>
        </w:rPr>
        <w:t>]</w:t>
      </w:r>
    </w:p>
    <w:p w:rsidR="009E7935" w:rsidRDefault="009E7935" w:rsidP="00D92679">
      <w:pPr>
        <w:pStyle w:val="Endofdocument-Annex"/>
        <w:ind w:left="0"/>
        <w:rPr>
          <w:lang w:val="es-ES"/>
        </w:rPr>
      </w:pPr>
    </w:p>
    <w:sectPr w:rsidR="009E7935" w:rsidSect="00D92679">
      <w:headerReference w:type="default" r:id="rId16"/>
      <w:headerReference w:type="first" r:id="rId17"/>
      <w:foot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401" w:rsidRDefault="00FF0401">
      <w:r>
        <w:separator/>
      </w:r>
    </w:p>
  </w:endnote>
  <w:endnote w:type="continuationSeparator" w:id="0">
    <w:p w:rsidR="00FF0401" w:rsidRDefault="00FF0401" w:rsidP="003B38C1">
      <w:r>
        <w:separator/>
      </w:r>
    </w:p>
    <w:p w:rsidR="00FF0401" w:rsidRPr="003B38C1" w:rsidRDefault="00FF0401" w:rsidP="003B38C1">
      <w:pPr>
        <w:spacing w:after="60"/>
        <w:rPr>
          <w:sz w:val="17"/>
        </w:rPr>
      </w:pPr>
      <w:r>
        <w:rPr>
          <w:sz w:val="17"/>
        </w:rPr>
        <w:t>[Endnote continued from previous page]</w:t>
      </w:r>
    </w:p>
  </w:endnote>
  <w:endnote w:type="continuationNotice" w:id="1">
    <w:p w:rsidR="00FF0401" w:rsidRPr="003B38C1" w:rsidRDefault="00FF040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01" w:rsidRDefault="00FF0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401" w:rsidRDefault="00FF0401">
      <w:r>
        <w:separator/>
      </w:r>
    </w:p>
  </w:footnote>
  <w:footnote w:type="continuationSeparator" w:id="0">
    <w:p w:rsidR="00FF0401" w:rsidRDefault="00FF0401" w:rsidP="008B60B2">
      <w:r>
        <w:separator/>
      </w:r>
    </w:p>
    <w:p w:rsidR="00FF0401" w:rsidRPr="00ED77FB" w:rsidRDefault="00FF0401" w:rsidP="008B60B2">
      <w:pPr>
        <w:spacing w:after="60"/>
        <w:rPr>
          <w:sz w:val="17"/>
          <w:szCs w:val="17"/>
        </w:rPr>
      </w:pPr>
      <w:r w:rsidRPr="00ED77FB">
        <w:rPr>
          <w:sz w:val="17"/>
          <w:szCs w:val="17"/>
        </w:rPr>
        <w:t>[Footnote continued from previous page]</w:t>
      </w:r>
    </w:p>
  </w:footnote>
  <w:footnote w:type="continuationNotice" w:id="1">
    <w:p w:rsidR="00FF0401" w:rsidRPr="00ED77FB" w:rsidRDefault="00FF0401" w:rsidP="008B60B2">
      <w:pPr>
        <w:spacing w:before="60"/>
        <w:jc w:val="right"/>
        <w:rPr>
          <w:sz w:val="17"/>
          <w:szCs w:val="17"/>
        </w:rPr>
      </w:pPr>
      <w:r w:rsidRPr="00ED77FB">
        <w:rPr>
          <w:sz w:val="17"/>
          <w:szCs w:val="17"/>
        </w:rPr>
        <w:t>[Footnote continued on next page]</w:t>
      </w:r>
    </w:p>
  </w:footnote>
  <w:footnote w:id="2">
    <w:p w:rsidR="00FF0401" w:rsidRPr="00942E1D" w:rsidRDefault="00FF0401" w:rsidP="00201DAB">
      <w:pPr>
        <w:pStyle w:val="FootnoteText"/>
        <w:rPr>
          <w:lang w:val="es-ES"/>
        </w:rPr>
      </w:pPr>
      <w:r>
        <w:rPr>
          <w:rStyle w:val="FootnoteReference"/>
        </w:rPr>
        <w:footnoteRef/>
      </w:r>
      <w:r w:rsidRPr="00942E1D">
        <w:rPr>
          <w:lang w:val="es-ES"/>
        </w:rPr>
        <w:t xml:space="preserve"> </w:t>
      </w:r>
      <w:r w:rsidRPr="00942E1D">
        <w:rPr>
          <w:lang w:val="es-ES"/>
        </w:rPr>
        <w:tab/>
      </w:r>
      <w:r w:rsidRPr="00201DAB">
        <w:rPr>
          <w:color w:val="000000"/>
          <w:lang w:val="es-ES_tradnl"/>
        </w:rPr>
        <w:t>Para más detalles sobre los procedimientos de solución</w:t>
      </w:r>
      <w:r>
        <w:rPr>
          <w:color w:val="000000"/>
          <w:lang w:val="es-ES_tradnl"/>
        </w:rPr>
        <w:t xml:space="preserve"> extrajudicial</w:t>
      </w:r>
      <w:r w:rsidRPr="00201DAB">
        <w:rPr>
          <w:color w:val="000000"/>
          <w:lang w:val="es-ES_tradnl"/>
        </w:rPr>
        <w:t xml:space="preserve"> de controversias, véase </w:t>
      </w:r>
      <w:r w:rsidR="00D232CF">
        <w:rPr>
          <w:color w:val="000000"/>
          <w:u w:val="single"/>
          <w:lang w:val="es-ES_tradnl"/>
        </w:rPr>
        <w:t>http://www.wipo.int/amc/es</w:t>
      </w:r>
      <w:r w:rsidRPr="00201DAB">
        <w:rPr>
          <w:color w:val="000000"/>
          <w:u w:val="single"/>
          <w:lang w:val="es-ES_tradnl"/>
        </w:rPr>
        <w:t>/center/wipo-adr.html.</w:t>
      </w:r>
      <w:r w:rsidRPr="00201DAB">
        <w:rPr>
          <w:color w:val="000000"/>
          <w:lang w:val="es-ES_tradnl"/>
        </w:rPr>
        <w:t xml:space="preserve"> </w:t>
      </w:r>
    </w:p>
  </w:footnote>
  <w:footnote w:id="3">
    <w:p w:rsidR="00FF0401" w:rsidRPr="00942E1D" w:rsidRDefault="00FF0401" w:rsidP="0022317E">
      <w:pPr>
        <w:pStyle w:val="FootnoteText"/>
        <w:rPr>
          <w:lang w:val="es-ES"/>
        </w:rPr>
      </w:pPr>
      <w:r>
        <w:rPr>
          <w:rStyle w:val="FootnoteReference"/>
        </w:rPr>
        <w:footnoteRef/>
      </w:r>
      <w:r w:rsidRPr="00942E1D">
        <w:rPr>
          <w:lang w:val="es-ES"/>
        </w:rPr>
        <w:t xml:space="preserve"> </w:t>
      </w:r>
      <w:r w:rsidRPr="00942E1D">
        <w:rPr>
          <w:lang w:val="es-ES"/>
        </w:rPr>
        <w:tab/>
      </w:r>
      <w:r w:rsidRPr="0022317E">
        <w:rPr>
          <w:color w:val="000000"/>
          <w:lang w:val="es-ES_tradnl"/>
        </w:rPr>
        <w:t xml:space="preserve">Las estadísticas de los casos del Centro se encuentran disponibles en: </w:t>
      </w:r>
      <w:r w:rsidRPr="0022317E">
        <w:rPr>
          <w:color w:val="000000"/>
          <w:u w:val="single"/>
          <w:lang w:val="es-ES_tradnl"/>
        </w:rPr>
        <w:t>http://www.wipo.int/amc/</w:t>
      </w:r>
      <w:r w:rsidR="00D232CF">
        <w:rPr>
          <w:color w:val="000000"/>
          <w:u w:val="single"/>
          <w:lang w:val="es-ES_tradnl"/>
        </w:rPr>
        <w:t>es</w:t>
      </w:r>
      <w:r w:rsidRPr="0022317E">
        <w:rPr>
          <w:color w:val="000000"/>
          <w:u w:val="single"/>
          <w:lang w:val="es-ES_tradnl"/>
        </w:rPr>
        <w:t>/center/caseload.html.</w:t>
      </w:r>
    </w:p>
  </w:footnote>
  <w:footnote w:id="4">
    <w:p w:rsidR="00394A64" w:rsidRPr="00942E1D" w:rsidRDefault="00394A64" w:rsidP="00204BED">
      <w:pPr>
        <w:pStyle w:val="FootnoteText"/>
        <w:rPr>
          <w:lang w:val="es-ES"/>
        </w:rPr>
      </w:pPr>
      <w:r>
        <w:rPr>
          <w:rStyle w:val="FootnoteReference"/>
        </w:rPr>
        <w:footnoteRef/>
      </w:r>
      <w:r w:rsidRPr="00942E1D">
        <w:rPr>
          <w:lang w:val="es-ES"/>
        </w:rPr>
        <w:t xml:space="preserve"> </w:t>
      </w:r>
      <w:r w:rsidRPr="00942E1D">
        <w:rPr>
          <w:lang w:val="es-ES"/>
        </w:rPr>
        <w:tab/>
      </w:r>
      <w:r w:rsidRPr="00204BED">
        <w:rPr>
          <w:color w:val="000000"/>
          <w:lang w:val="es-ES_tradnl"/>
        </w:rPr>
        <w:t xml:space="preserve">Para mayor información sobre las actividades de apoyo relacionadas con los </w:t>
      </w:r>
      <w:r w:rsidR="004072B8">
        <w:rPr>
          <w:color w:val="000000"/>
          <w:lang w:val="es-ES_tradnl"/>
        </w:rPr>
        <w:t>procedimientos</w:t>
      </w:r>
      <w:r w:rsidRPr="00204BED">
        <w:rPr>
          <w:color w:val="000000"/>
          <w:lang w:val="es-ES_tradnl"/>
        </w:rPr>
        <w:t xml:space="preserve">, véase: </w:t>
      </w:r>
      <w:r w:rsidRPr="00204BED">
        <w:rPr>
          <w:color w:val="000000"/>
          <w:u w:val="single"/>
          <w:lang w:val="es-ES_tradnl"/>
        </w:rPr>
        <w:t>http://www.wipo.int/amc/en/center/faq/index.htm</w:t>
      </w:r>
      <w:r w:rsidRPr="00204BED">
        <w:rPr>
          <w:color w:val="000000"/>
          <w:lang w:val="es-ES_tradnl"/>
        </w:rPr>
        <w:t xml:space="preserve">l y   </w:t>
      </w:r>
      <w:r w:rsidRPr="00204BED">
        <w:rPr>
          <w:color w:val="000000"/>
          <w:u w:val="single"/>
          <w:lang w:val="es-ES_tradnl"/>
        </w:rPr>
        <w:t>http://www.wipo.int/export/sites/www/freepublications/en/arbitration/446/wipo_pub_446.pdf.</w:t>
      </w:r>
    </w:p>
  </w:footnote>
  <w:footnote w:id="5">
    <w:p w:rsidR="00FF0401" w:rsidRPr="002E633F" w:rsidRDefault="00FF0401" w:rsidP="007A4D51">
      <w:pPr>
        <w:pStyle w:val="FootnoteText"/>
        <w:rPr>
          <w:lang w:val="es-ES"/>
        </w:rPr>
      </w:pPr>
      <w:r>
        <w:rPr>
          <w:rStyle w:val="FootnoteReference"/>
        </w:rPr>
        <w:footnoteRef/>
      </w:r>
      <w:r w:rsidRPr="002E633F">
        <w:rPr>
          <w:lang w:val="es-ES"/>
        </w:rPr>
        <w:t xml:space="preserve"> </w:t>
      </w:r>
      <w:r w:rsidRPr="002E633F">
        <w:rPr>
          <w:lang w:val="es-ES"/>
        </w:rPr>
        <w:tab/>
      </w:r>
      <w:r w:rsidRPr="007A4D51">
        <w:rPr>
          <w:color w:val="000000"/>
          <w:lang w:val="es-ES_tradnl"/>
        </w:rPr>
        <w:t>Para más información sobre ECAF, véase:</w:t>
      </w:r>
      <w:r w:rsidRPr="007A4D51">
        <w:rPr>
          <w:color w:val="000000"/>
          <w:u w:val="single"/>
          <w:lang w:val="es-ES_tradnl"/>
        </w:rPr>
        <w:t xml:space="preserve"> http://www.wipo.int/amc/en/ecaf/index.html.</w:t>
      </w:r>
    </w:p>
  </w:footnote>
  <w:footnote w:id="6">
    <w:p w:rsidR="00FF0401" w:rsidRPr="002E633F" w:rsidRDefault="00FF0401" w:rsidP="006E4771">
      <w:pPr>
        <w:pStyle w:val="FootnoteText"/>
        <w:rPr>
          <w:lang w:val="es-ES"/>
        </w:rPr>
      </w:pPr>
      <w:r>
        <w:rPr>
          <w:rStyle w:val="FootnoteReference"/>
        </w:rPr>
        <w:footnoteRef/>
      </w:r>
      <w:r w:rsidRPr="002E633F">
        <w:rPr>
          <w:lang w:val="es-ES"/>
        </w:rPr>
        <w:t xml:space="preserve"> </w:t>
      </w:r>
      <w:r w:rsidRPr="002E633F">
        <w:rPr>
          <w:lang w:val="es-ES"/>
        </w:rPr>
        <w:tab/>
      </w:r>
      <w:r w:rsidRPr="006E4771">
        <w:rPr>
          <w:color w:val="000000"/>
          <w:lang w:val="es-ES_tradnl"/>
        </w:rPr>
        <w:t xml:space="preserve">El baremo de tasas y costas reducidas para los procedimientos de mediación, arbitraje y arbitraje acelerado, y decisión de expertos de la OMPI se encuentran disponibles en: </w:t>
      </w:r>
      <w:r w:rsidRPr="006E4771">
        <w:rPr>
          <w:color w:val="000000"/>
          <w:u w:val="single"/>
          <w:lang w:val="es-ES_tradnl"/>
        </w:rPr>
        <w:t xml:space="preserve">http://www.wipo.int/amc/en/mediation/fees/amended.html, http://www.wipo.int/amc/en/arbitration/fees/amended.html </w:t>
      </w:r>
      <w:r w:rsidRPr="006E4771">
        <w:rPr>
          <w:color w:val="000000"/>
          <w:lang w:val="es-ES_tradnl"/>
        </w:rPr>
        <w:t>y</w:t>
      </w:r>
      <w:r w:rsidRPr="006E4771">
        <w:rPr>
          <w:color w:val="000000"/>
          <w:u w:val="single"/>
          <w:lang w:val="es-ES_tradnl"/>
        </w:rPr>
        <w:t xml:space="preserve"> http://www.wipo.int/amc/en/expert-determination/fees/amended.htm</w:t>
      </w:r>
      <w:r w:rsidRPr="006E4771">
        <w:rPr>
          <w:color w:val="000000"/>
          <w:lang w:val="es-ES_tradnl"/>
        </w:rPr>
        <w:t>l, respectivamente.</w:t>
      </w:r>
      <w:r w:rsidRPr="002E633F">
        <w:rPr>
          <w:lang w:val="es-ES"/>
        </w:rPr>
        <w:t xml:space="preserve">  </w:t>
      </w:r>
    </w:p>
  </w:footnote>
  <w:footnote w:id="7">
    <w:p w:rsidR="00FF0401" w:rsidRPr="002E633F" w:rsidRDefault="00FF0401" w:rsidP="00313320">
      <w:pPr>
        <w:pStyle w:val="FootnoteText"/>
        <w:rPr>
          <w:lang w:val="es-ES"/>
        </w:rPr>
      </w:pPr>
      <w:r>
        <w:rPr>
          <w:rStyle w:val="FootnoteReference"/>
        </w:rPr>
        <w:footnoteRef/>
      </w:r>
      <w:r w:rsidRPr="002E633F">
        <w:rPr>
          <w:lang w:val="es-ES"/>
        </w:rPr>
        <w:t xml:space="preserve"> </w:t>
      </w:r>
      <w:r w:rsidRPr="002E633F">
        <w:rPr>
          <w:lang w:val="es-ES"/>
        </w:rPr>
        <w:tab/>
      </w:r>
      <w:r w:rsidRPr="00313320">
        <w:rPr>
          <w:color w:val="000000"/>
          <w:lang w:val="es-ES_tradnl"/>
        </w:rPr>
        <w:t xml:space="preserve">Para mayor información sobre los servicios de solución extrajudicial de controversias para sectores específicos, véase: http://www.wipo.int/amc/en/center/specific-sectors/. </w:t>
      </w:r>
    </w:p>
  </w:footnote>
  <w:footnote w:id="8">
    <w:p w:rsidR="00FF0401" w:rsidRPr="00051EFA" w:rsidRDefault="00FF0401" w:rsidP="00FA1B7F">
      <w:pPr>
        <w:pStyle w:val="FootnoteText"/>
        <w:rPr>
          <w:lang w:val="es-ES"/>
        </w:rPr>
      </w:pPr>
      <w:r>
        <w:rPr>
          <w:rStyle w:val="FootnoteReference"/>
        </w:rPr>
        <w:footnoteRef/>
      </w:r>
      <w:r w:rsidRPr="002E633F">
        <w:rPr>
          <w:lang w:val="es-ES"/>
        </w:rPr>
        <w:t xml:space="preserve"> </w:t>
      </w:r>
      <w:r w:rsidRPr="002E633F">
        <w:rPr>
          <w:lang w:val="es-ES"/>
        </w:rPr>
        <w:tab/>
      </w:r>
      <w:r w:rsidRPr="00051EFA">
        <w:rPr>
          <w:lang w:val="es-ES_tradnl"/>
        </w:rPr>
        <w:t xml:space="preserve">La lista de los talleres y demás actividades organizadas por el Centro figura en:  </w:t>
      </w:r>
      <w:r w:rsidRPr="00051EFA">
        <w:rPr>
          <w:u w:val="single"/>
          <w:lang w:val="es-ES_tradnl"/>
        </w:rPr>
        <w:t>http://www.wipo.int/amc/es/events</w:t>
      </w:r>
      <w:r w:rsidRPr="00051EFA">
        <w:rPr>
          <w:lang w:val="es-ES_tradnl"/>
        </w:rPr>
        <w:t>.</w:t>
      </w:r>
    </w:p>
  </w:footnote>
  <w:footnote w:id="9">
    <w:p w:rsidR="00FF0401" w:rsidRPr="003E04F8" w:rsidRDefault="00FF0401" w:rsidP="00572072">
      <w:pPr>
        <w:pStyle w:val="FootnoteText"/>
        <w:rPr>
          <w:lang w:val="es-ES"/>
        </w:rPr>
      </w:pPr>
      <w:r>
        <w:rPr>
          <w:rStyle w:val="FootnoteReference"/>
        </w:rPr>
        <w:footnoteRef/>
      </w:r>
      <w:r w:rsidRPr="003E04F8">
        <w:rPr>
          <w:lang w:val="es-ES"/>
        </w:rPr>
        <w:t xml:space="preserve"> </w:t>
      </w:r>
      <w:r w:rsidRPr="003E04F8">
        <w:rPr>
          <w:lang w:val="es-ES"/>
        </w:rPr>
        <w:tab/>
      </w:r>
      <w:r w:rsidRPr="00572072">
        <w:rPr>
          <w:color w:val="000000"/>
          <w:lang w:val="es-ES_tradnl"/>
        </w:rPr>
        <w:t>Para mayor información sobre la mediación relativa al patri</w:t>
      </w:r>
      <w:r>
        <w:rPr>
          <w:color w:val="000000"/>
          <w:lang w:val="es-ES_tradnl"/>
        </w:rPr>
        <w:t>monio artíst</w:t>
      </w:r>
      <w:r w:rsidR="00726C59">
        <w:rPr>
          <w:color w:val="000000"/>
          <w:lang w:val="es-ES_tradnl"/>
        </w:rPr>
        <w:t xml:space="preserve">ico y cultural de </w:t>
      </w:r>
      <w:r w:rsidRPr="00572072">
        <w:rPr>
          <w:color w:val="000000"/>
          <w:lang w:val="es-ES_tradnl"/>
        </w:rPr>
        <w:t xml:space="preserve">ICOM-OMPI, véase: </w:t>
      </w:r>
      <w:r w:rsidRPr="00572072">
        <w:rPr>
          <w:color w:val="000000"/>
          <w:u w:val="single"/>
          <w:lang w:val="es-ES_tradnl"/>
        </w:rPr>
        <w:t>http://www.wipo.int/amc/en/center/specific-sectors/art/icom/.</w:t>
      </w:r>
    </w:p>
  </w:footnote>
  <w:footnote w:id="10">
    <w:p w:rsidR="00394A64" w:rsidRPr="007B2748" w:rsidRDefault="00394A64">
      <w:pPr>
        <w:pStyle w:val="FootnoteText"/>
        <w:rPr>
          <w:u w:val="single"/>
          <w:lang w:val="es-ES"/>
        </w:rPr>
      </w:pPr>
      <w:r>
        <w:rPr>
          <w:rStyle w:val="FootnoteReference"/>
        </w:rPr>
        <w:footnoteRef/>
      </w:r>
      <w:r w:rsidRPr="007B2748">
        <w:rPr>
          <w:lang w:val="es-ES"/>
        </w:rPr>
        <w:t xml:space="preserve"> </w:t>
      </w:r>
      <w:r w:rsidRPr="007B2748">
        <w:rPr>
          <w:lang w:val="es-ES"/>
        </w:rPr>
        <w:tab/>
        <w:t>Para consultar un panorama general sobre la mediación y arbitraje acelerado de la OMPI para el cine y lo</w:t>
      </w:r>
      <w:r>
        <w:rPr>
          <w:lang w:val="es-ES"/>
        </w:rPr>
        <w:t>s</w:t>
      </w:r>
      <w:r w:rsidRPr="007B2748">
        <w:rPr>
          <w:lang w:val="es-ES"/>
        </w:rPr>
        <w:t xml:space="preserve"> m</w:t>
      </w:r>
      <w:r>
        <w:rPr>
          <w:lang w:val="es-ES"/>
        </w:rPr>
        <w:t>e</w:t>
      </w:r>
      <w:r w:rsidRPr="007B2748">
        <w:rPr>
          <w:lang w:val="es-ES"/>
        </w:rPr>
        <w:t>dios de</w:t>
      </w:r>
      <w:r>
        <w:rPr>
          <w:lang w:val="es-ES"/>
        </w:rPr>
        <w:t xml:space="preserve"> comunicación, véase</w:t>
      </w:r>
      <w:r w:rsidRPr="007B2748">
        <w:rPr>
          <w:u w:val="single"/>
          <w:lang w:val="es-ES"/>
        </w:rPr>
        <w:t>: //www.wipo.int/amc/en/film/,</w:t>
      </w:r>
      <w:r w:rsidRPr="007B2748">
        <w:rPr>
          <w:lang w:val="es-ES"/>
        </w:rPr>
        <w:t xml:space="preserve"> </w:t>
      </w:r>
      <w:r>
        <w:rPr>
          <w:lang w:val="es-ES"/>
        </w:rPr>
        <w:t xml:space="preserve">y para los reglamentos, véase: </w:t>
      </w:r>
      <w:r w:rsidRPr="007B2748">
        <w:rPr>
          <w:lang w:val="es-ES"/>
        </w:rPr>
        <w:t xml:space="preserve"> </w:t>
      </w:r>
      <w:r w:rsidRPr="007B2748">
        <w:rPr>
          <w:u w:val="single"/>
          <w:lang w:val="es-ES"/>
        </w:rPr>
        <w:t>http://www.wipo.int/amc/en/film/rules/.</w:t>
      </w:r>
    </w:p>
  </w:footnote>
  <w:footnote w:id="11">
    <w:p w:rsidR="00FF0401" w:rsidRPr="00EF79B4" w:rsidRDefault="00FF0401">
      <w:pPr>
        <w:pStyle w:val="FootnoteText"/>
        <w:rPr>
          <w:lang w:val="fr-CH"/>
        </w:rPr>
      </w:pPr>
      <w:r>
        <w:rPr>
          <w:rStyle w:val="FootnoteReference"/>
        </w:rPr>
        <w:footnoteRef/>
      </w:r>
      <w:r w:rsidRPr="00EF79B4">
        <w:rPr>
          <w:lang w:val="fr-CH"/>
        </w:rPr>
        <w:t xml:space="preserve"> </w:t>
      </w:r>
      <w:r w:rsidRPr="00EF79B4">
        <w:rPr>
          <w:lang w:val="fr-CH"/>
        </w:rPr>
        <w:tab/>
        <w:t xml:space="preserve">Véase: </w:t>
      </w:r>
      <w:r w:rsidRPr="00EF79B4">
        <w:rPr>
          <w:u w:val="single"/>
          <w:lang w:val="fr-CH"/>
        </w:rPr>
        <w:t>http://www.wipo.int/amc/en/film/fees/index.html.</w:t>
      </w:r>
    </w:p>
  </w:footnote>
  <w:footnote w:id="12">
    <w:p w:rsidR="00FF0401" w:rsidRPr="00D274E2" w:rsidRDefault="00FF0401">
      <w:pPr>
        <w:pStyle w:val="FootnoteText"/>
        <w:rPr>
          <w:u w:val="single"/>
          <w:lang w:val="es-ES"/>
        </w:rPr>
      </w:pPr>
      <w:r>
        <w:rPr>
          <w:rStyle w:val="FootnoteReference"/>
        </w:rPr>
        <w:footnoteRef/>
      </w:r>
      <w:r w:rsidRPr="0017747D">
        <w:rPr>
          <w:lang w:val="es-ES"/>
        </w:rPr>
        <w:t xml:space="preserve"> </w:t>
      </w:r>
      <w:r w:rsidRPr="0017747D">
        <w:rPr>
          <w:lang w:val="es-ES"/>
        </w:rPr>
        <w:tab/>
        <w:t xml:space="preserve">Estos acuerdos de sometimiento se encuentran disponibles en: </w:t>
      </w:r>
      <w:r w:rsidRPr="00D274E2">
        <w:rPr>
          <w:u w:val="single"/>
          <w:lang w:val="es-ES"/>
        </w:rPr>
        <w:t>http://www.wipo.int/amc/en/center/specific-sectors/ict/frand/.</w:t>
      </w:r>
    </w:p>
  </w:footnote>
  <w:footnote w:id="13">
    <w:p w:rsidR="00FF0401" w:rsidRPr="00154CB1" w:rsidRDefault="00FF0401" w:rsidP="00154CB1">
      <w:pPr>
        <w:pStyle w:val="FootnoteText"/>
        <w:rPr>
          <w:lang w:val="es-ES"/>
        </w:rPr>
      </w:pPr>
      <w:r>
        <w:rPr>
          <w:rStyle w:val="FootnoteReference"/>
        </w:rPr>
        <w:footnoteRef/>
      </w:r>
      <w:r w:rsidRPr="00154CB1">
        <w:rPr>
          <w:lang w:val="es-ES"/>
        </w:rPr>
        <w:t xml:space="preserve"> </w:t>
      </w:r>
      <w:r w:rsidRPr="00154CB1">
        <w:rPr>
          <w:lang w:val="es-ES"/>
        </w:rPr>
        <w:tab/>
      </w:r>
      <w:r w:rsidRPr="00154CB1">
        <w:rPr>
          <w:color w:val="000000"/>
          <w:lang w:val="es-ES_tradnl"/>
        </w:rPr>
        <w:t>La información sobre la mediación de la OMPI para procedimientos establecidos en la Oficina de Propiedad Inte</w:t>
      </w:r>
      <w:r>
        <w:rPr>
          <w:color w:val="000000"/>
          <w:lang w:val="es-ES_tradnl"/>
        </w:rPr>
        <w:t>lectual de Singapur (IPOS</w:t>
      </w:r>
      <w:r w:rsidRPr="00154CB1">
        <w:rPr>
          <w:color w:val="000000"/>
          <w:lang w:val="es-ES_tradnl"/>
        </w:rPr>
        <w:t>) puede consultarse en:</w:t>
      </w:r>
      <w:r w:rsidRPr="00154CB1">
        <w:rPr>
          <w:color w:val="000000"/>
          <w:u w:val="single"/>
          <w:lang w:val="es-ES_tradnl"/>
        </w:rPr>
        <w:t xml:space="preserve"> http://www.wipo.int/amc/en/center/specific-sectors/ipos/mediation/.</w:t>
      </w:r>
      <w:r w:rsidRPr="00154CB1">
        <w:rPr>
          <w:lang w:val="es-ES"/>
        </w:rPr>
        <w:t xml:space="preserve"> </w:t>
      </w:r>
    </w:p>
  </w:footnote>
  <w:footnote w:id="14">
    <w:p w:rsidR="00FF0401" w:rsidRPr="009E7935" w:rsidRDefault="00FF0401" w:rsidP="00154CB1">
      <w:pPr>
        <w:pStyle w:val="FootnoteText"/>
        <w:rPr>
          <w:lang w:val="es-ES"/>
        </w:rPr>
      </w:pPr>
      <w:r>
        <w:rPr>
          <w:rStyle w:val="FootnoteReference"/>
        </w:rPr>
        <w:footnoteRef/>
      </w:r>
      <w:r w:rsidRPr="009E7935">
        <w:rPr>
          <w:lang w:val="es-ES"/>
        </w:rPr>
        <w:t xml:space="preserve"> </w:t>
      </w:r>
      <w:r w:rsidRPr="009E7935">
        <w:rPr>
          <w:lang w:val="es-ES"/>
        </w:rPr>
        <w:tab/>
      </w:r>
      <w:r w:rsidRPr="00154CB1">
        <w:rPr>
          <w:color w:val="000000"/>
          <w:lang w:val="es-ES_tradnl"/>
        </w:rPr>
        <w:t xml:space="preserve">La información sobre la mediación de la OMPI para procedimientos establecidos en el Instituto Nacional de Propiedad Industrial del Brasil (INPI-BR) puede consultarse en: </w:t>
      </w:r>
      <w:r w:rsidRPr="00154CB1">
        <w:rPr>
          <w:color w:val="000000"/>
          <w:u w:val="single"/>
          <w:lang w:val="es-ES_tradnl"/>
        </w:rPr>
        <w:t>http://www.wipo.int/amc/en/center/specific-sectors/inpibr/.</w:t>
      </w:r>
    </w:p>
  </w:footnote>
  <w:footnote w:id="15">
    <w:p w:rsidR="00FF0401" w:rsidRPr="00051EFA" w:rsidRDefault="00FF0401" w:rsidP="00BF6EBD">
      <w:pPr>
        <w:pStyle w:val="FootnoteText"/>
        <w:rPr>
          <w:lang w:val="es-ES"/>
        </w:rPr>
      </w:pPr>
      <w:r>
        <w:rPr>
          <w:rStyle w:val="FootnoteReference"/>
        </w:rPr>
        <w:footnoteRef/>
      </w:r>
      <w:r w:rsidRPr="00942E1D">
        <w:rPr>
          <w:lang w:val="es-ES"/>
        </w:rPr>
        <w:t xml:space="preserve"> </w:t>
      </w:r>
      <w:r w:rsidRPr="00942E1D">
        <w:rPr>
          <w:lang w:val="es-ES"/>
        </w:rPr>
        <w:tab/>
      </w:r>
      <w:r w:rsidRPr="00051EFA">
        <w:rPr>
          <w:lang w:val="es-ES_tradnl"/>
        </w:rPr>
        <w:t>La sigla DESCA corresponde a “Development of a Simplified Consortium Agreement” (“Modelo simplificado de acuerdo de consorcio”) y designa un modelo de acuerdo de consorcio de investigación concebido inicialmente para los proyectos de investigación financiados por la Comisión Europea al amparo del Séptimo Programa Marco (7PM) con los auspicios del Comité Ejecutivo de la DESCA.</w:t>
      </w:r>
      <w:r w:rsidRPr="00051EFA">
        <w:rPr>
          <w:lang w:val="es-ES"/>
        </w:rPr>
        <w:t xml:space="preserve">  </w:t>
      </w:r>
      <w:r w:rsidRPr="00051EFA">
        <w:rPr>
          <w:lang w:val="es-ES_tradnl"/>
        </w:rPr>
        <w:t xml:space="preserve">Según los cálculos, se rige por el modelo de </w:t>
      </w:r>
      <w:r w:rsidR="002C6ED3">
        <w:rPr>
          <w:lang w:val="es-ES_tradnl"/>
        </w:rPr>
        <w:t>acuerdo</w:t>
      </w:r>
      <w:r w:rsidRPr="00051EFA">
        <w:rPr>
          <w:lang w:val="es-ES_tradnl"/>
        </w:rPr>
        <w:t xml:space="preserve"> el 75% de las empresas, los institutos de investigación, las universidades y los particulares que intervienen en los proyectos de investigación de carácter internacional ejecutados con fondos del 7PM.</w:t>
      </w:r>
      <w:r w:rsidRPr="00051EFA">
        <w:rPr>
          <w:lang w:val="es-ES"/>
        </w:rPr>
        <w:t xml:space="preserve">  </w:t>
      </w:r>
      <w:r w:rsidRPr="00051EFA">
        <w:rPr>
          <w:lang w:val="es-ES_tradnl"/>
        </w:rPr>
        <w:t xml:space="preserve">Este programa abarca todas las iniciativas de la UE relacionadas con la investigación e incluye las áreas de la salud, la alimentación, la agricultura, la pesca, la biotecnología, las tecnologías de la información y de las comunicaciones, </w:t>
      </w:r>
      <w:r w:rsidRPr="00051EFA">
        <w:rPr>
          <w:lang w:val="es-ES"/>
        </w:rPr>
        <w:t xml:space="preserve"> </w:t>
      </w:r>
    </w:p>
    <w:p w:rsidR="00FF0401" w:rsidRPr="00051EFA" w:rsidRDefault="00FF0401" w:rsidP="006B3D7C">
      <w:pPr>
        <w:pStyle w:val="FootnoteText"/>
        <w:rPr>
          <w:lang w:val="es-ES"/>
        </w:rPr>
      </w:pPr>
      <w:r w:rsidRPr="00051EFA">
        <w:rPr>
          <w:lang w:val="es-ES_tradnl"/>
        </w:rPr>
        <w:t xml:space="preserve">las nanotecnologías,  los materiales y las nuevas tecnologías de producción, la energía, el medio ambiente, los transportes (incluida la aeronáutica), las ciencias socioeconómicas, la seguridad y el espacio. </w:t>
      </w:r>
      <w:r w:rsidRPr="00051EFA">
        <w:rPr>
          <w:lang w:val="es-ES"/>
        </w:rPr>
        <w:t xml:space="preserve">  Véase </w:t>
      </w:r>
      <w:r w:rsidRPr="00051EFA">
        <w:rPr>
          <w:u w:val="single"/>
          <w:lang w:val="es-ES"/>
        </w:rPr>
        <w:t>http://www.desca-fp7.eu/.</w:t>
      </w:r>
      <w:r w:rsidRPr="00051EFA">
        <w:rPr>
          <w:lang w:val="es-ES"/>
        </w:rPr>
        <w:t xml:space="preserve">    </w:t>
      </w:r>
    </w:p>
  </w:footnote>
  <w:footnote w:id="16">
    <w:p w:rsidR="00FF0401" w:rsidRPr="002E633F" w:rsidRDefault="00FF0401" w:rsidP="008333A7">
      <w:pPr>
        <w:pStyle w:val="FootnoteText"/>
        <w:rPr>
          <w:lang w:val="es-ES"/>
        </w:rPr>
      </w:pPr>
      <w:r>
        <w:rPr>
          <w:rStyle w:val="FootnoteReference"/>
        </w:rPr>
        <w:footnoteRef/>
      </w:r>
      <w:r w:rsidRPr="002E633F">
        <w:rPr>
          <w:lang w:val="es-ES"/>
        </w:rPr>
        <w:t xml:space="preserve"> </w:t>
      </w:r>
      <w:r w:rsidRPr="002E633F">
        <w:rPr>
          <w:lang w:val="es-ES"/>
        </w:rPr>
        <w:tab/>
      </w:r>
      <w:r w:rsidRPr="008333A7">
        <w:rPr>
          <w:color w:val="000000"/>
          <w:lang w:val="es-ES_tradnl"/>
        </w:rPr>
        <w:t xml:space="preserve">La IPAG abarca un número de acuerdos modelo que pueden utilizarse para transacciones de I+D y de comercio internacionalmente y en Austria. </w:t>
      </w:r>
      <w:r w:rsidRPr="002E633F">
        <w:rPr>
          <w:lang w:val="es-ES"/>
        </w:rPr>
        <w:t xml:space="preserve">  </w:t>
      </w:r>
      <w:r w:rsidRPr="008333A7">
        <w:rPr>
          <w:color w:val="000000"/>
          <w:lang w:val="es-ES_tradnl"/>
        </w:rPr>
        <w:t>Las universida</w:t>
      </w:r>
      <w:r>
        <w:rPr>
          <w:color w:val="000000"/>
          <w:lang w:val="es-ES_tradnl"/>
        </w:rPr>
        <w:t>des austríacas y las empresas d</w:t>
      </w:r>
      <w:r w:rsidRPr="008333A7">
        <w:rPr>
          <w:color w:val="000000"/>
          <w:lang w:val="es-ES_tradnl"/>
        </w:rPr>
        <w:t xml:space="preserve">iseñaron conjuntamente esta serie de acuerdos modelo para facilitar </w:t>
      </w:r>
      <w:r>
        <w:rPr>
          <w:color w:val="000000"/>
          <w:lang w:val="es-ES_tradnl"/>
        </w:rPr>
        <w:t>una</w:t>
      </w:r>
      <w:r w:rsidRPr="008333A7">
        <w:rPr>
          <w:color w:val="000000"/>
          <w:lang w:val="es-ES_tradnl"/>
        </w:rPr>
        <w:t xml:space="preserve"> tran</w:t>
      </w:r>
      <w:r>
        <w:rPr>
          <w:color w:val="000000"/>
          <w:lang w:val="es-ES_tradnl"/>
        </w:rPr>
        <w:t>sferencia de tecnología eficaz. La</w:t>
      </w:r>
      <w:r w:rsidRPr="00076A20">
        <w:rPr>
          <w:lang w:val="es-ES"/>
        </w:rPr>
        <w:t xml:space="preserve"> </w:t>
      </w:r>
      <w:r w:rsidRPr="008333A7">
        <w:rPr>
          <w:color w:val="000000"/>
          <w:lang w:val="es-ES_tradnl"/>
        </w:rPr>
        <w:t>IPAG es un proyecto de las "Universidades de Austria" que cuenta con el apoyo del punto nacional de contacto en materia de propiedad intelectual de</w:t>
      </w:r>
      <w:r>
        <w:rPr>
          <w:color w:val="000000"/>
          <w:lang w:val="es-ES_tradnl"/>
        </w:rPr>
        <w:t>l</w:t>
      </w:r>
      <w:r w:rsidRPr="008333A7">
        <w:rPr>
          <w:color w:val="000000"/>
          <w:lang w:val="es-ES_tradnl"/>
        </w:rPr>
        <w:t xml:space="preserve"> Ministerio Federal de Ciencia e Investigación, el Ministerio Federal de Economía, Familia y Juventud, y el Ministerio de Transporte, Innovación y Tecnología. </w:t>
      </w:r>
      <w:r w:rsidRPr="002E633F">
        <w:rPr>
          <w:lang w:val="es-ES"/>
        </w:rPr>
        <w:t xml:space="preserve">  </w:t>
      </w:r>
      <w:r w:rsidRPr="008333A7">
        <w:rPr>
          <w:color w:val="000000"/>
          <w:lang w:val="es-ES_tradnl"/>
        </w:rPr>
        <w:t xml:space="preserve">Los acuerdos modelo de la IPAG se encuentran disponibles en: </w:t>
      </w:r>
      <w:r w:rsidRPr="008333A7">
        <w:rPr>
          <w:color w:val="000000"/>
          <w:u w:val="single"/>
          <w:lang w:val="es-ES_tradnl"/>
        </w:rPr>
        <w:t>www.ipag.at</w:t>
      </w:r>
      <w:r w:rsidRPr="008333A7">
        <w:rPr>
          <w:i/>
          <w:color w:val="000000"/>
          <w:lang w:val="es-ES_tradnl"/>
        </w:rPr>
        <w:t xml:space="preserve"> </w:t>
      </w:r>
      <w:r w:rsidRPr="008333A7">
        <w:rPr>
          <w:color w:val="000000"/>
          <w:lang w:val="es-ES_tradnl"/>
        </w:rPr>
        <w:t xml:space="preserve"> (hacer clic en el cuadro titulado Expertinnen-/Expertenzugang”) y en: </w:t>
      </w:r>
      <w:r w:rsidRPr="008333A7">
        <w:rPr>
          <w:color w:val="000000"/>
          <w:u w:val="single"/>
          <w:lang w:val="es-ES_tradnl"/>
        </w:rPr>
        <w:t>http://www.wipo.int/amc/en/center/specific-sectors/rd/ipag/.</w:t>
      </w:r>
      <w:r w:rsidRPr="008333A7">
        <w:rPr>
          <w:color w:val="000000"/>
          <w:lang w:val="es-ES_tradnl"/>
        </w:rPr>
        <w:t xml:space="preserve"> </w:t>
      </w:r>
      <w:r w:rsidRPr="002E633F">
        <w:rPr>
          <w:lang w:val="es-ES"/>
        </w:rPr>
        <w:t xml:space="preserve">  </w:t>
      </w:r>
    </w:p>
  </w:footnote>
  <w:footnote w:id="17">
    <w:p w:rsidR="00FF0401" w:rsidRPr="00051EFA" w:rsidRDefault="00FF0401" w:rsidP="00FF20CE">
      <w:pPr>
        <w:pStyle w:val="FootnoteText"/>
        <w:rPr>
          <w:lang w:val="es-ES"/>
        </w:rPr>
      </w:pPr>
      <w:r w:rsidRPr="002E622A">
        <w:rPr>
          <w:rStyle w:val="FootnoteReference"/>
        </w:rPr>
        <w:footnoteRef/>
      </w:r>
      <w:r w:rsidRPr="002E633F">
        <w:rPr>
          <w:lang w:val="es-ES"/>
        </w:rPr>
        <w:t xml:space="preserve"> </w:t>
      </w:r>
      <w:r w:rsidRPr="002E633F">
        <w:rPr>
          <w:lang w:val="es-ES"/>
        </w:rPr>
        <w:tab/>
      </w:r>
      <w:r w:rsidRPr="00051EFA">
        <w:rPr>
          <w:lang w:val="es-ES_tradnl"/>
        </w:rPr>
        <w:t xml:space="preserve">Véase el Informe de la encuesta y un resumen en:  </w:t>
      </w:r>
      <w:r w:rsidRPr="00051EFA">
        <w:rPr>
          <w:u w:val="single"/>
          <w:lang w:val="es-ES_tradnl"/>
        </w:rPr>
        <w:t>http://www.wipo.int/amc/en/center/survey/results.html</w:t>
      </w:r>
      <w:r w:rsidRPr="00051EFA">
        <w:rPr>
          <w:lang w:val="es-ES_tradnl"/>
        </w:rPr>
        <w:t>.</w:t>
      </w:r>
    </w:p>
  </w:footnote>
  <w:footnote w:id="18">
    <w:p w:rsidR="00FF0401" w:rsidRPr="00051EFA" w:rsidRDefault="00FF0401" w:rsidP="00FE6B86">
      <w:pPr>
        <w:pStyle w:val="FootnoteText"/>
        <w:rPr>
          <w:lang w:val="es-ES"/>
        </w:rPr>
      </w:pPr>
      <w:r>
        <w:rPr>
          <w:rStyle w:val="FootnoteReference"/>
        </w:rPr>
        <w:footnoteRef/>
      </w:r>
      <w:r w:rsidRPr="00942E1D">
        <w:rPr>
          <w:lang w:val="es-ES"/>
        </w:rPr>
        <w:t xml:space="preserve"> </w:t>
      </w:r>
      <w:r w:rsidRPr="00942E1D">
        <w:rPr>
          <w:lang w:val="es-ES"/>
        </w:rPr>
        <w:tab/>
      </w:r>
      <w:r w:rsidRPr="00051EFA">
        <w:rPr>
          <w:lang w:val="es-ES_tradnl"/>
        </w:rPr>
        <w:t xml:space="preserve">La gestión de los nombres y direcciones de Internet: Cuestiones de propiedad intelectual.  Informe Final sobre el Proceso de la OMPI relativo a los Nombres de Dominio de Internet.  Publicación No. 439 de la OMPI.  Puede consultarse en:  </w:t>
      </w:r>
      <w:r w:rsidRPr="00051EFA">
        <w:rPr>
          <w:u w:val="single"/>
          <w:lang w:val="es-ES_tradnl"/>
        </w:rPr>
        <w:t>http://www.wipo.int/amc/es/processes/process1/report.</w:t>
      </w:r>
    </w:p>
  </w:footnote>
  <w:footnote w:id="19">
    <w:p w:rsidR="00FF0401" w:rsidRPr="00051EFA" w:rsidRDefault="00FF0401" w:rsidP="00FE6B86">
      <w:pPr>
        <w:pStyle w:val="FootnoteText"/>
        <w:rPr>
          <w:lang w:val="es-ES"/>
        </w:rPr>
      </w:pPr>
      <w:r w:rsidRPr="00051EFA">
        <w:rPr>
          <w:rStyle w:val="FootnoteReference"/>
        </w:rPr>
        <w:footnoteRef/>
      </w:r>
      <w:r w:rsidRPr="00051EFA">
        <w:rPr>
          <w:lang w:val="es-ES"/>
        </w:rPr>
        <w:t xml:space="preserve"> </w:t>
      </w:r>
      <w:r w:rsidRPr="00051EFA">
        <w:rPr>
          <w:lang w:val="es-ES"/>
        </w:rPr>
        <w:tab/>
      </w:r>
      <w:r w:rsidRPr="00051EFA">
        <w:rPr>
          <w:lang w:val="es-ES_tradnl"/>
        </w:rPr>
        <w:t xml:space="preserve">El reconocimiento de los derechos y el uso de nombres en el Sistema de Nombres de Dominio de Internet.  Informe del Segundo Proceso de la OMPI relativo a los Nombres de Dominio de Internet.  Publicación No. 843 de la OMPI.  Puede consultarse en:  </w:t>
      </w:r>
      <w:r w:rsidRPr="00051EFA">
        <w:rPr>
          <w:u w:val="single"/>
          <w:lang w:val="es-ES_tradnl"/>
        </w:rPr>
        <w:t>http://www.wipo.int/amc/es/processes/process2/report.</w:t>
      </w:r>
    </w:p>
  </w:footnote>
  <w:footnote w:id="20">
    <w:p w:rsidR="00FF0401" w:rsidRPr="00051EFA" w:rsidRDefault="00FF0401" w:rsidP="00FE6B86">
      <w:pPr>
        <w:pStyle w:val="FootnoteText"/>
        <w:rPr>
          <w:lang w:val="es-ES"/>
        </w:rPr>
      </w:pPr>
      <w:r w:rsidRPr="00051EFA">
        <w:rPr>
          <w:rStyle w:val="FootnoteReference"/>
        </w:rPr>
        <w:footnoteRef/>
      </w:r>
      <w:r w:rsidRPr="00051EFA">
        <w:rPr>
          <w:lang w:val="es-ES"/>
        </w:rPr>
        <w:t xml:space="preserve"> </w:t>
      </w:r>
      <w:r w:rsidRPr="00051EFA">
        <w:rPr>
          <w:lang w:val="es-ES"/>
        </w:rPr>
        <w:tab/>
      </w:r>
      <w:r w:rsidRPr="00051EFA">
        <w:rPr>
          <w:lang w:val="es-ES_tradnl"/>
        </w:rPr>
        <w:t xml:space="preserve">Selección de casos judiciales relacionados con la Política Uniforme de Solución de Controversias en </w:t>
      </w:r>
      <w:r w:rsidR="00C70887" w:rsidRPr="00051EFA">
        <w:rPr>
          <w:lang w:val="es-ES_tradnl"/>
        </w:rPr>
        <w:t xml:space="preserve">materia de Nombres de Dominio: </w:t>
      </w:r>
      <w:r w:rsidRPr="00051EFA">
        <w:rPr>
          <w:u w:val="single"/>
          <w:lang w:val="es-ES_tradnl"/>
        </w:rPr>
        <w:t>http://www.wipo.int/amc/es/domains/challenged.</w:t>
      </w:r>
    </w:p>
  </w:footnote>
  <w:footnote w:id="21">
    <w:p w:rsidR="00FF0401" w:rsidRPr="00051EFA" w:rsidRDefault="00FF0401" w:rsidP="00F66EB9">
      <w:pPr>
        <w:pStyle w:val="FootnoteText"/>
        <w:rPr>
          <w:lang w:val="es-ES"/>
        </w:rPr>
      </w:pPr>
      <w:r w:rsidRPr="00051EFA">
        <w:rPr>
          <w:rStyle w:val="FootnoteReference"/>
        </w:rPr>
        <w:footnoteRef/>
      </w:r>
      <w:r w:rsidRPr="00051EFA">
        <w:rPr>
          <w:lang w:val="es-ES"/>
        </w:rPr>
        <w:t xml:space="preserve"> </w:t>
      </w:r>
      <w:r w:rsidRPr="00051EFA">
        <w:rPr>
          <w:lang w:val="es-ES"/>
        </w:rPr>
        <w:tab/>
      </w:r>
      <w:r w:rsidRPr="00051EFA">
        <w:rPr>
          <w:lang w:val="es-ES_tradnl"/>
        </w:rPr>
        <w:t>Hay diversas categorías de estadísticas, por ejemplo: “Ramo de actividad del demandante”, “Partes demandadas”, “Idioma del nombre de dominio” y “Las 25 resoluciones más citadas en las demandas”.</w:t>
      </w:r>
      <w:r w:rsidRPr="00051EFA">
        <w:rPr>
          <w:lang w:val="es-ES"/>
        </w:rPr>
        <w:t xml:space="preserve">  </w:t>
      </w:r>
      <w:r w:rsidRPr="00051EFA">
        <w:rPr>
          <w:lang w:val="es-ES_tradnl"/>
        </w:rPr>
        <w:t xml:space="preserve">Véase </w:t>
      </w:r>
      <w:r w:rsidRPr="00051EFA">
        <w:rPr>
          <w:u w:val="single"/>
          <w:lang w:val="es-ES_tradnl"/>
        </w:rPr>
        <w:t>http://www.wipo.int/amc/en/domains/statistics</w:t>
      </w:r>
      <w:r w:rsidRPr="00051EFA">
        <w:rPr>
          <w:lang w:val="es-ES_tradnl"/>
        </w:rPr>
        <w:t>.</w:t>
      </w:r>
      <w:r w:rsidRPr="00051EFA">
        <w:rPr>
          <w:lang w:val="es-ES"/>
        </w:rPr>
        <w:t xml:space="preserve"> </w:t>
      </w:r>
    </w:p>
  </w:footnote>
  <w:footnote w:id="22">
    <w:p w:rsidR="00FF0401" w:rsidRPr="00051EFA" w:rsidRDefault="00FF0401" w:rsidP="00F66EB9">
      <w:pPr>
        <w:pStyle w:val="FootnoteText"/>
        <w:rPr>
          <w:lang w:val="es-ES"/>
        </w:rPr>
      </w:pPr>
      <w:r>
        <w:rPr>
          <w:rStyle w:val="FootnoteReference"/>
        </w:rPr>
        <w:footnoteRef/>
      </w:r>
      <w:r w:rsidRPr="00942E1D">
        <w:rPr>
          <w:lang w:val="es-ES"/>
        </w:rPr>
        <w:t xml:space="preserve"> </w:t>
      </w:r>
      <w:r w:rsidRPr="00942E1D">
        <w:rPr>
          <w:lang w:val="es-ES"/>
        </w:rPr>
        <w:tab/>
      </w:r>
      <w:r w:rsidRPr="00051EFA">
        <w:rPr>
          <w:lang w:val="es-ES_tradnl"/>
        </w:rPr>
        <w:t>Por orden alfabético: alemán, checo, chino, coreano, danés, eslovaco, español, francés, hebreo, inglés, italiano, japonés, neerlandés, noruego, polaco, portugués, rumano, ruso, sueco y turco.</w:t>
      </w:r>
    </w:p>
  </w:footnote>
  <w:footnote w:id="23">
    <w:p w:rsidR="00FF0401" w:rsidRPr="00051EFA" w:rsidRDefault="00FF0401" w:rsidP="00F66EB9">
      <w:pPr>
        <w:pStyle w:val="FootnoteText"/>
        <w:rPr>
          <w:lang w:val="es-ES"/>
        </w:rPr>
      </w:pPr>
      <w:r w:rsidRPr="00051EFA">
        <w:rPr>
          <w:rStyle w:val="FootnoteReference"/>
        </w:rPr>
        <w:footnoteRef/>
      </w:r>
      <w:r w:rsidRPr="00051EFA">
        <w:rPr>
          <w:lang w:val="es-ES"/>
        </w:rPr>
        <w:t xml:space="preserve"> </w:t>
      </w:r>
      <w:r w:rsidRPr="00051EFA">
        <w:rPr>
          <w:lang w:val="es-ES"/>
        </w:rPr>
        <w:tab/>
      </w:r>
      <w:r w:rsidRPr="00051EFA">
        <w:rPr>
          <w:lang w:val="es-ES_tradnl"/>
        </w:rPr>
        <w:t>La Sinopsis puede consultarse en: http://www.wipo.int/amc/en/domains/search/overview.</w:t>
      </w:r>
    </w:p>
  </w:footnote>
  <w:footnote w:id="24">
    <w:p w:rsidR="00FF0401" w:rsidRPr="00051EFA" w:rsidRDefault="00FF0401" w:rsidP="00BF2B14">
      <w:pPr>
        <w:pStyle w:val="FootnoteText"/>
        <w:rPr>
          <w:lang w:val="es-ES"/>
        </w:rPr>
      </w:pPr>
      <w:r w:rsidRPr="00051EFA">
        <w:rPr>
          <w:rStyle w:val="FootnoteReference"/>
        </w:rPr>
        <w:footnoteRef/>
      </w:r>
      <w:r w:rsidRPr="00051EFA">
        <w:rPr>
          <w:lang w:val="es-ES"/>
        </w:rPr>
        <w:t xml:space="preserve"> </w:t>
      </w:r>
      <w:r w:rsidRPr="00051EFA">
        <w:rPr>
          <w:lang w:val="es-ES"/>
        </w:rPr>
        <w:tab/>
      </w:r>
      <w:r w:rsidRPr="00051EFA">
        <w:rPr>
          <w:lang w:val="es-ES_tradnl"/>
        </w:rPr>
        <w:t>El Índice de jurisprudencia de la OMPI se ha convertido en una herramienta profesional de uso muy frecuente para los grupos de expertos, las partes, los círculos académicos y cualquier persona interesada en consultar la jurisprudencia de la OMPI.</w:t>
      </w:r>
      <w:r w:rsidRPr="00051EFA">
        <w:rPr>
          <w:lang w:val="es-ES"/>
        </w:rPr>
        <w:t xml:space="preserve">  </w:t>
      </w:r>
      <w:r w:rsidRPr="00051EFA">
        <w:rPr>
          <w:lang w:val="es-ES_tradnl"/>
        </w:rPr>
        <w:t>El Índice se actualiza de forma periódica para incluir las nuevas categorías de búsqueda que reflejan, principalmente, los avances más recientes del propio Sistema de Nombres de Dominio y que pueden consultarse en:  http://www.wipo.int/cgi-bin/domains/search/legalindex.</w:t>
      </w:r>
    </w:p>
  </w:footnote>
  <w:footnote w:id="25">
    <w:p w:rsidR="00FF0401" w:rsidRPr="00051EFA" w:rsidRDefault="00FF0401" w:rsidP="0027013E">
      <w:pPr>
        <w:pStyle w:val="FootnoteText"/>
        <w:rPr>
          <w:lang w:val="es-ES"/>
        </w:rPr>
      </w:pPr>
      <w:r w:rsidRPr="00051EFA">
        <w:rPr>
          <w:rStyle w:val="FootnoteReference"/>
        </w:rPr>
        <w:footnoteRef/>
      </w:r>
      <w:r w:rsidRPr="00051EFA">
        <w:rPr>
          <w:lang w:val="es-ES"/>
        </w:rPr>
        <w:t xml:space="preserve"> </w:t>
      </w:r>
      <w:r w:rsidRPr="00051EFA">
        <w:rPr>
          <w:lang w:val="es-ES"/>
        </w:rPr>
        <w:tab/>
      </w:r>
      <w:r w:rsidRPr="00051EFA">
        <w:rPr>
          <w:lang w:val="es-ES_tradnl"/>
        </w:rPr>
        <w:t xml:space="preserve">Véase la nota 2, </w:t>
      </w:r>
      <w:r w:rsidRPr="00051EFA">
        <w:rPr>
          <w:i/>
          <w:lang w:val="es-ES_tradnl"/>
        </w:rPr>
        <w:t>supra</w:t>
      </w:r>
      <w:r w:rsidRPr="00051EFA">
        <w:rPr>
          <w:lang w:val="es-ES_tradnl"/>
        </w:rPr>
        <w:t>.</w:t>
      </w:r>
    </w:p>
  </w:footnote>
  <w:footnote w:id="26">
    <w:p w:rsidR="00FF0401" w:rsidRPr="00D81810" w:rsidRDefault="00FF0401">
      <w:pPr>
        <w:pStyle w:val="FootnoteText"/>
        <w:rPr>
          <w:lang w:val="es-ES"/>
        </w:rPr>
      </w:pPr>
      <w:r>
        <w:rPr>
          <w:rStyle w:val="FootnoteReference"/>
        </w:rPr>
        <w:footnoteRef/>
      </w:r>
      <w:r w:rsidRPr="00D81810">
        <w:rPr>
          <w:lang w:val="es-ES"/>
        </w:rPr>
        <w:t xml:space="preserve"> </w:t>
      </w:r>
      <w:r>
        <w:rPr>
          <w:lang w:val="es-ES"/>
        </w:rPr>
        <w:tab/>
        <w:t>La lista completa de ccTLD que han mantenido al Centro como proveedor de solución de controversias de nombres de dominio está disponible en:  http://www.wipo.int/amc/en/domains/cctld.</w:t>
      </w:r>
    </w:p>
  </w:footnote>
  <w:footnote w:id="27">
    <w:p w:rsidR="00394A64" w:rsidRPr="00D81810" w:rsidRDefault="00394A64">
      <w:pPr>
        <w:pStyle w:val="FootnoteText"/>
        <w:rPr>
          <w:lang w:val="es-ES"/>
        </w:rPr>
      </w:pPr>
      <w:r>
        <w:rPr>
          <w:rStyle w:val="FootnoteReference"/>
        </w:rPr>
        <w:footnoteRef/>
      </w:r>
      <w:r w:rsidRPr="00D81810">
        <w:rPr>
          <w:lang w:val="es-ES"/>
        </w:rPr>
        <w:t xml:space="preserve"> </w:t>
      </w:r>
      <w:r>
        <w:rPr>
          <w:lang w:val="es-ES"/>
        </w:rPr>
        <w:tab/>
        <w:t xml:space="preserve">Véase el documento WO/GA/43/17.  </w:t>
      </w:r>
    </w:p>
  </w:footnote>
  <w:footnote w:id="28">
    <w:p w:rsidR="00FF0401" w:rsidRPr="00051EFA" w:rsidRDefault="00FF0401" w:rsidP="00770458">
      <w:pPr>
        <w:pStyle w:val="FootnoteText"/>
        <w:rPr>
          <w:lang w:val="es-ES"/>
        </w:rPr>
      </w:pPr>
      <w:r>
        <w:rPr>
          <w:rStyle w:val="FootnoteReference"/>
        </w:rPr>
        <w:footnoteRef/>
      </w:r>
      <w:r w:rsidRPr="00EF79B4">
        <w:rPr>
          <w:lang w:val="fr-CH"/>
        </w:rPr>
        <w:t xml:space="preserve"> </w:t>
      </w:r>
      <w:r w:rsidRPr="00EF79B4">
        <w:rPr>
          <w:lang w:val="fr-CH"/>
        </w:rPr>
        <w:tab/>
        <w:t xml:space="preserve">Véase </w:t>
      </w:r>
      <w:r w:rsidRPr="00EF79B4">
        <w:rPr>
          <w:u w:val="single"/>
          <w:lang w:val="fr-CH"/>
        </w:rPr>
        <w:t>http://www.icann.org/es/minutes/resolutions-20jun11-es.htm</w:t>
      </w:r>
      <w:r w:rsidRPr="00EF79B4">
        <w:rPr>
          <w:lang w:val="fr-CH"/>
        </w:rPr>
        <w:t xml:space="preserve">.  </w:t>
      </w:r>
      <w:r w:rsidRPr="00051EFA">
        <w:rPr>
          <w:lang w:val="es-ES_tradnl"/>
        </w:rPr>
        <w:t>La cuestión se trata con más detenimiento en el documento WO/GA/39/10, en el párrafo 14 en particular.</w:t>
      </w:r>
    </w:p>
  </w:footnote>
  <w:footnote w:id="29">
    <w:p w:rsidR="00FF0401" w:rsidRPr="00051EFA" w:rsidRDefault="00FF0401" w:rsidP="00770458">
      <w:pPr>
        <w:pStyle w:val="FootnoteText"/>
        <w:rPr>
          <w:lang w:val="es-ES"/>
        </w:rPr>
      </w:pPr>
      <w:r w:rsidRPr="00051EFA">
        <w:rPr>
          <w:rStyle w:val="FootnoteReference"/>
        </w:rPr>
        <w:footnoteRef/>
      </w:r>
      <w:r w:rsidRPr="00051EFA">
        <w:rPr>
          <w:lang w:val="es-ES"/>
        </w:rPr>
        <w:t xml:space="preserve"> </w:t>
      </w:r>
      <w:r w:rsidRPr="00051EFA">
        <w:rPr>
          <w:lang w:val="es-ES"/>
        </w:rPr>
        <w:tab/>
      </w:r>
      <w:r w:rsidRPr="00051EFA">
        <w:rPr>
          <w:lang w:val="es-ES_tradnl"/>
        </w:rPr>
        <w:t>La versión vigente de la Guía del Solicitante, de la ICANN,</w:t>
      </w:r>
      <w:r w:rsidRPr="00051EFA">
        <w:rPr>
          <w:i/>
          <w:lang w:val="es-ES_tradnl"/>
        </w:rPr>
        <w:t xml:space="preserve"> </w:t>
      </w:r>
      <w:r w:rsidRPr="00051EFA">
        <w:rPr>
          <w:lang w:val="es-ES_tradnl"/>
        </w:rPr>
        <w:t xml:space="preserve">puede consultarse en:  </w:t>
      </w:r>
      <w:r w:rsidRPr="00051EFA">
        <w:rPr>
          <w:u w:val="single"/>
          <w:lang w:val="es-ES_tradnl"/>
        </w:rPr>
        <w:t>http://newgtlds.icann.org/en/applicants/agb</w:t>
      </w:r>
      <w:r w:rsidRPr="00051EFA">
        <w:rPr>
          <w:lang w:val="es-ES_tradnl"/>
        </w:rPr>
        <w:t>.</w:t>
      </w:r>
      <w:r w:rsidRPr="00051EFA">
        <w:rPr>
          <w:lang w:val="es-ES"/>
        </w:rPr>
        <w:t xml:space="preserve"> </w:t>
      </w:r>
    </w:p>
  </w:footnote>
  <w:footnote w:id="30">
    <w:p w:rsidR="00FF0401" w:rsidRPr="00051EFA" w:rsidRDefault="00FF0401" w:rsidP="00770458">
      <w:pPr>
        <w:pStyle w:val="FootnoteText"/>
        <w:rPr>
          <w:lang w:val="es-ES"/>
        </w:rPr>
      </w:pPr>
      <w:r w:rsidRPr="00051EFA">
        <w:rPr>
          <w:rStyle w:val="FootnoteReference"/>
        </w:rPr>
        <w:footnoteRef/>
      </w:r>
      <w:r w:rsidRPr="00051EFA">
        <w:rPr>
          <w:lang w:val="es-ES"/>
        </w:rPr>
        <w:t xml:space="preserve"> </w:t>
      </w:r>
      <w:r w:rsidRPr="00051EFA">
        <w:rPr>
          <w:lang w:val="es-ES"/>
        </w:rPr>
        <w:tab/>
      </w:r>
      <w:r w:rsidRPr="00051EFA">
        <w:rPr>
          <w:lang w:val="es-ES_tradnl"/>
        </w:rPr>
        <w:t>Para obtener más información de referencia, véase el documento WO/GA/39/10, en concreto los párrafos 23 a 30.  Cabe señalar que la ICANN rechazó sumariamente una propuesta de establecer una “Lista de marcas protegidas a escala mundial”.</w:t>
      </w:r>
    </w:p>
  </w:footnote>
  <w:footnote w:id="31">
    <w:p w:rsidR="00FF0401" w:rsidRPr="00051EFA" w:rsidRDefault="00FF0401" w:rsidP="00770458">
      <w:pPr>
        <w:pStyle w:val="FootnoteText"/>
        <w:rPr>
          <w:lang w:val="es-ES"/>
        </w:rPr>
      </w:pPr>
      <w:r>
        <w:rPr>
          <w:rStyle w:val="FootnoteReference"/>
        </w:rPr>
        <w:footnoteRef/>
      </w:r>
      <w:r w:rsidRPr="00942E1D">
        <w:rPr>
          <w:lang w:val="es-ES"/>
        </w:rPr>
        <w:t xml:space="preserve"> </w:t>
      </w:r>
      <w:r w:rsidRPr="00942E1D">
        <w:rPr>
          <w:lang w:val="es-ES"/>
        </w:rPr>
        <w:tab/>
      </w:r>
      <w:r w:rsidRPr="00051EFA">
        <w:rPr>
          <w:lang w:val="es-ES_tradnl"/>
        </w:rPr>
        <w:t>En la Guía del Solicitante se prevén además otros procedimientos que pueden hacer valer los gobiernos a raíz del anuncio de la ICANN de que se podrán presentar solicitudes de nuevos gTLD.</w:t>
      </w:r>
      <w:r w:rsidRPr="00051EFA">
        <w:rPr>
          <w:lang w:val="es-ES"/>
        </w:rPr>
        <w:t xml:space="preserve">  </w:t>
      </w:r>
      <w:r w:rsidRPr="00051EFA">
        <w:rPr>
          <w:lang w:val="es-ES_tradnl"/>
        </w:rPr>
        <w:t>Especialmente, en el aparatado 1.1.2.4 se prevé el envío por el GAC de un aviso de alerta temprana y en la sección 1.1.2.7 se prevé la recepción del asesoramiento del GAC sobre los nuevos gTLD a fin de que sea examinada por la Junta de Gobierno de la ICANN.</w:t>
      </w:r>
    </w:p>
  </w:footnote>
  <w:footnote w:id="32">
    <w:p w:rsidR="00FF0401" w:rsidRPr="00EF79B4" w:rsidRDefault="00FF0401" w:rsidP="00770458">
      <w:pPr>
        <w:pStyle w:val="FootnoteText"/>
        <w:rPr>
          <w:lang w:val="fr-CH"/>
        </w:rPr>
      </w:pPr>
      <w:r w:rsidRPr="00051EFA">
        <w:rPr>
          <w:rStyle w:val="FootnoteReference"/>
        </w:rPr>
        <w:footnoteRef/>
      </w:r>
      <w:r w:rsidRPr="00EF79B4">
        <w:rPr>
          <w:lang w:val="fr-CH"/>
        </w:rPr>
        <w:t xml:space="preserve"> </w:t>
      </w:r>
      <w:r w:rsidRPr="00EF79B4">
        <w:rPr>
          <w:lang w:val="fr-CH"/>
        </w:rPr>
        <w:tab/>
        <w:t xml:space="preserve">Véase </w:t>
      </w:r>
      <w:r w:rsidRPr="00EF79B4">
        <w:rPr>
          <w:u w:val="single"/>
          <w:lang w:val="fr-CH"/>
        </w:rPr>
        <w:t>http://www.wipo.int/about-ip/es/development_iplaw/pub845-toc.htm</w:t>
      </w:r>
      <w:r w:rsidRPr="00EF79B4">
        <w:rPr>
          <w:lang w:val="fr-CH"/>
        </w:rPr>
        <w:t>.</w:t>
      </w:r>
    </w:p>
  </w:footnote>
  <w:footnote w:id="33">
    <w:p w:rsidR="00FF0401" w:rsidRPr="00051EFA" w:rsidRDefault="00FF0401" w:rsidP="00B35B85">
      <w:pPr>
        <w:pStyle w:val="FootnoteText"/>
        <w:rPr>
          <w:lang w:val="es-ES"/>
        </w:rPr>
      </w:pPr>
      <w:r w:rsidRPr="00051EFA">
        <w:rPr>
          <w:rStyle w:val="FootnoteReference"/>
        </w:rPr>
        <w:footnoteRef/>
      </w:r>
      <w:r w:rsidRPr="00051EFA">
        <w:rPr>
          <w:lang w:val="es-ES"/>
        </w:rPr>
        <w:t xml:space="preserve"> </w:t>
      </w:r>
      <w:r w:rsidRPr="00051EFA">
        <w:rPr>
          <w:lang w:val="es-ES"/>
        </w:rPr>
        <w:tab/>
      </w:r>
      <w:r w:rsidRPr="00051EFA">
        <w:rPr>
          <w:lang w:val="es-ES_tradnl"/>
        </w:rPr>
        <w:t>Con respecto a las normas del procedimiento de objeciones relativas a derechos de terceros, véase la sección 3.2 de la Guía del Solicitante de la ICANN.</w:t>
      </w:r>
    </w:p>
  </w:footnote>
  <w:footnote w:id="34">
    <w:p w:rsidR="00FF0401" w:rsidRPr="00051EFA" w:rsidRDefault="00FF0401" w:rsidP="00B35B85">
      <w:pPr>
        <w:pStyle w:val="FootnoteText"/>
        <w:rPr>
          <w:lang w:val="es-ES"/>
        </w:rPr>
      </w:pPr>
      <w:r w:rsidRPr="00051EFA">
        <w:rPr>
          <w:rStyle w:val="FootnoteReference"/>
        </w:rPr>
        <w:footnoteRef/>
      </w:r>
      <w:r w:rsidRPr="00051EFA">
        <w:rPr>
          <w:lang w:val="es-ES"/>
        </w:rPr>
        <w:t xml:space="preserve"> </w:t>
      </w:r>
      <w:r w:rsidRPr="00051EFA">
        <w:rPr>
          <w:lang w:val="es-ES"/>
        </w:rPr>
        <w:tab/>
      </w:r>
      <w:r w:rsidRPr="00051EFA">
        <w:rPr>
          <w:lang w:val="es-ES_tradnl"/>
        </w:rPr>
        <w:t>Véanse </w:t>
      </w:r>
      <w:r w:rsidRPr="00051EFA">
        <w:rPr>
          <w:i/>
          <w:lang w:val="es-ES_tradnl"/>
        </w:rPr>
        <w:t>WIPO Rules for New gTLD Dispute Resolution, and Schedule of Fees and Costs</w:t>
      </w:r>
      <w:r w:rsidRPr="00051EFA">
        <w:rPr>
          <w:lang w:val="es-ES_tradnl"/>
        </w:rPr>
        <w:t xml:space="preserve">, respectivamente en </w:t>
      </w:r>
      <w:r w:rsidRPr="00051EFA">
        <w:rPr>
          <w:u w:val="single"/>
          <w:lang w:val="es-ES_tradnl"/>
        </w:rPr>
        <w:t>http://www.wipo.int/amc/en/docs/wipolrorules.pdf</w:t>
      </w:r>
      <w:r w:rsidRPr="00051EFA">
        <w:rPr>
          <w:lang w:val="es-ES_tradnl"/>
        </w:rPr>
        <w:t xml:space="preserve">, y los casos relativos de objeciones relativas a derechos de terceros registrados en la OMPI en </w:t>
      </w:r>
      <w:r w:rsidRPr="00051EFA">
        <w:rPr>
          <w:u w:val="single"/>
          <w:lang w:val="es-ES_tradnl"/>
        </w:rPr>
        <w:t>http://www.wipo.int/amc/en/domains/lODTfees/</w:t>
      </w:r>
      <w:r w:rsidRPr="00051EFA">
        <w:rPr>
          <w:lang w:val="es-ES_tradnl"/>
        </w:rPr>
        <w:t xml:space="preserve">;  véase los casos de objeciones relativas a derechos de terceros interpuestas ante la WIPO en </w:t>
      </w:r>
      <w:r w:rsidRPr="00051EFA">
        <w:rPr>
          <w:u w:val="single"/>
          <w:lang w:val="es-ES_tradnl"/>
        </w:rPr>
        <w:t>http://www.wipo.int/amc/en/domains/lODTcases/</w:t>
      </w:r>
      <w:r w:rsidRPr="00051EFA">
        <w:rPr>
          <w:lang w:val="es-ES_tradnl"/>
        </w:rPr>
        <w:t>.</w:t>
      </w:r>
      <w:r w:rsidRPr="00051EFA">
        <w:rPr>
          <w:lang w:val="es-ES"/>
        </w:rPr>
        <w:t xml:space="preserve"> </w:t>
      </w:r>
    </w:p>
  </w:footnote>
  <w:footnote w:id="35">
    <w:p w:rsidR="00FF0401" w:rsidRPr="00EF79B4" w:rsidRDefault="00FF0401" w:rsidP="00B35B85">
      <w:pPr>
        <w:pStyle w:val="FootnoteText"/>
        <w:rPr>
          <w:lang w:val="fr-CH"/>
        </w:rPr>
      </w:pPr>
      <w:r w:rsidRPr="00051EFA">
        <w:rPr>
          <w:rStyle w:val="FootnoteReference"/>
        </w:rPr>
        <w:footnoteRef/>
      </w:r>
      <w:r w:rsidRPr="00EF79B4">
        <w:rPr>
          <w:lang w:val="fr-CH"/>
        </w:rPr>
        <w:t xml:space="preserve"> </w:t>
      </w:r>
      <w:r w:rsidRPr="00EF79B4">
        <w:rPr>
          <w:lang w:val="fr-CH"/>
        </w:rPr>
        <w:tab/>
        <w:t xml:space="preserve">Véase </w:t>
      </w:r>
      <w:r w:rsidRPr="00EF79B4">
        <w:rPr>
          <w:u w:val="single"/>
          <w:lang w:val="fr-CH"/>
        </w:rPr>
        <w:t>http://www.wipo.int/amc/en/domains/lro/cases/.</w:t>
      </w:r>
      <w:r w:rsidRPr="00EF79B4">
        <w:rPr>
          <w:lang w:val="fr-CH"/>
        </w:rPr>
        <w:t xml:space="preserve"> </w:t>
      </w:r>
    </w:p>
  </w:footnote>
  <w:footnote w:id="36">
    <w:p w:rsidR="00FF0401" w:rsidRPr="00EF79B4" w:rsidRDefault="00FF0401" w:rsidP="000622A3">
      <w:pPr>
        <w:pStyle w:val="FootnoteText"/>
        <w:rPr>
          <w:lang w:val="fr-CH"/>
        </w:rPr>
      </w:pPr>
      <w:r w:rsidRPr="00051EFA">
        <w:rPr>
          <w:rStyle w:val="FootnoteReference"/>
        </w:rPr>
        <w:footnoteRef/>
      </w:r>
      <w:r w:rsidRPr="00EF79B4">
        <w:rPr>
          <w:lang w:val="fr-CH"/>
        </w:rPr>
        <w:t xml:space="preserve"> </w:t>
      </w:r>
      <w:r w:rsidRPr="00EF79B4">
        <w:rPr>
          <w:lang w:val="fr-CH"/>
        </w:rPr>
        <w:tab/>
        <w:t xml:space="preserve">Véase http://www.wipo.int/amc/en/domains/lro/. </w:t>
      </w:r>
    </w:p>
  </w:footnote>
  <w:footnote w:id="37">
    <w:p w:rsidR="00FF0401" w:rsidRPr="00EF79B4" w:rsidRDefault="00FF0401" w:rsidP="0015506B">
      <w:pPr>
        <w:pStyle w:val="FootnoteText"/>
        <w:rPr>
          <w:lang w:val="fr-CH"/>
        </w:rPr>
      </w:pPr>
      <w:r>
        <w:rPr>
          <w:rStyle w:val="FootnoteReference"/>
        </w:rPr>
        <w:footnoteRef/>
      </w:r>
      <w:r w:rsidRPr="00EF79B4">
        <w:rPr>
          <w:lang w:val="fr-CH"/>
        </w:rPr>
        <w:t xml:space="preserve"> </w:t>
      </w:r>
      <w:r w:rsidRPr="00EF79B4">
        <w:rPr>
          <w:lang w:val="fr-CH"/>
        </w:rPr>
        <w:tab/>
        <w:t xml:space="preserve">Véase </w:t>
      </w:r>
      <w:r w:rsidRPr="00EF79B4">
        <w:rPr>
          <w:u w:val="single"/>
          <w:lang w:val="fr-CH"/>
        </w:rPr>
        <w:t>http://www.wipo.int/amc/en/docs/icann130309.pdf</w:t>
      </w:r>
      <w:r w:rsidRPr="00EF79B4">
        <w:rPr>
          <w:lang w:val="fr-CH"/>
        </w:rPr>
        <w:t>.</w:t>
      </w:r>
    </w:p>
  </w:footnote>
  <w:footnote w:id="38">
    <w:p w:rsidR="00FF0401" w:rsidRPr="00051EFA" w:rsidRDefault="00FF0401" w:rsidP="0015506B">
      <w:pPr>
        <w:pStyle w:val="FootnoteText"/>
        <w:rPr>
          <w:lang w:val="es-ES"/>
        </w:rPr>
      </w:pPr>
      <w:r w:rsidRPr="00051EFA">
        <w:rPr>
          <w:rStyle w:val="FootnoteReference"/>
        </w:rPr>
        <w:footnoteRef/>
      </w:r>
      <w:r w:rsidRPr="00051EFA">
        <w:rPr>
          <w:lang w:val="es-ES"/>
        </w:rPr>
        <w:t xml:space="preserve"> </w:t>
      </w:r>
      <w:r w:rsidRPr="00051EFA">
        <w:rPr>
          <w:lang w:val="es-ES"/>
        </w:rPr>
        <w:tab/>
      </w:r>
      <w:r w:rsidRPr="00051EFA">
        <w:rPr>
          <w:lang w:val="es-ES_tradnl"/>
        </w:rPr>
        <w:t xml:space="preserve">Dada la convergencia observada entre las funciones que en el Sistema de Nombres de Dominio desempeñan el administrador del registro, el registrador y el titular de nombres de dominio registrados, y teniendo en cuenta, entre otras cosas, las prácticas desarrolladas mediante la aplicación de la Política Uniforme y la decisión de la ICANN de autorizar los contratos de compraventa que celebren los administradores de registros para la adquisición de registradores (véase </w:t>
      </w:r>
      <w:r w:rsidRPr="00051EFA">
        <w:rPr>
          <w:u w:val="single"/>
          <w:lang w:val="es-ES_tradnl"/>
        </w:rPr>
        <w:t>http://www.icann.org/en/minutes/resolutions-05nov10-en.htm</w:t>
      </w:r>
      <w:r w:rsidRPr="00051EFA">
        <w:rPr>
          <w:lang w:val="es-ES_tradnl"/>
        </w:rPr>
        <w:t xml:space="preserve">), el Centro ha recomendado además que la ICANN considere la posibilidad de extender el procedimiento para la etapa posterior a la adjudicación, para que sea aplicable a los registros como también a la conducta del registrador (véase, entre otras cosas, </w:t>
      </w:r>
      <w:r w:rsidRPr="00051EFA">
        <w:rPr>
          <w:u w:val="single"/>
          <w:lang w:val="es-ES_tradnl"/>
        </w:rPr>
        <w:t>http://www.wipo.int/amc/en/docs/icann260310rap.pdf)</w:t>
      </w:r>
      <w:r w:rsidRPr="00051EFA">
        <w:rPr>
          <w:lang w:val="es-ES_tradnl"/>
        </w:rPr>
        <w:t>.</w:t>
      </w:r>
    </w:p>
  </w:footnote>
  <w:footnote w:id="39">
    <w:p w:rsidR="00FF0401" w:rsidRPr="00051EFA" w:rsidRDefault="00FF0401" w:rsidP="0015506B">
      <w:pPr>
        <w:pStyle w:val="FootnoteText"/>
        <w:rPr>
          <w:lang w:val="es-ES"/>
        </w:rPr>
      </w:pPr>
      <w:r w:rsidRPr="00051EFA">
        <w:rPr>
          <w:rStyle w:val="FootnoteReference"/>
        </w:rPr>
        <w:footnoteRef/>
      </w:r>
      <w:r w:rsidRPr="00051EFA">
        <w:rPr>
          <w:lang w:val="es-ES"/>
        </w:rPr>
        <w:t xml:space="preserve"> </w:t>
      </w:r>
      <w:r w:rsidRPr="00051EFA">
        <w:rPr>
          <w:lang w:val="es-ES"/>
        </w:rPr>
        <w:tab/>
      </w:r>
      <w:r w:rsidRPr="00051EFA">
        <w:rPr>
          <w:lang w:val="es-ES_tradnl"/>
        </w:rPr>
        <w:t>En respuesta a una petición de la ICANN, en junio de 2013, el Centro presentó una propuesta sobre la oferta de servicios de solución de controversias en el marco del PDDRP de la ICANN en materia de marcas.</w:t>
      </w:r>
    </w:p>
  </w:footnote>
  <w:footnote w:id="40">
    <w:p w:rsidR="00FF0401" w:rsidRPr="00051EFA" w:rsidRDefault="00FF0401" w:rsidP="00196459">
      <w:pPr>
        <w:pStyle w:val="FootnoteText"/>
        <w:rPr>
          <w:lang w:val="es-ES"/>
        </w:rPr>
      </w:pPr>
      <w:r>
        <w:rPr>
          <w:rStyle w:val="FootnoteReference"/>
        </w:rPr>
        <w:footnoteRef/>
      </w:r>
      <w:r w:rsidRPr="00942E1D">
        <w:rPr>
          <w:lang w:val="es-ES"/>
        </w:rPr>
        <w:t xml:space="preserve"> </w:t>
      </w:r>
      <w:r w:rsidRPr="00942E1D">
        <w:rPr>
          <w:lang w:val="es-ES"/>
        </w:rPr>
        <w:tab/>
      </w:r>
      <w:r w:rsidRPr="00051EFA">
        <w:rPr>
          <w:lang w:val="es-ES_tradnl"/>
        </w:rPr>
        <w:t>El mecanismo de validación de marcas ideado por la ICANN permite incluir las marcas formadas por palabras y que estén registradas, las marcas formadas por palabras y que sean amparadas por ley o tratado o bien hayan sido validadas por decisión judicial y, por último, las “[d]emás marcas que constituyan propiedad intelectual” (el último requisito se deja sin aclarar).</w:t>
      </w:r>
      <w:r w:rsidRPr="00051EFA">
        <w:rPr>
          <w:lang w:val="es-ES"/>
        </w:rPr>
        <w:t xml:space="preserve">  </w:t>
      </w:r>
      <w:r w:rsidRPr="00051EFA">
        <w:rPr>
          <w:lang w:val="es-ES_tradnl"/>
        </w:rPr>
        <w:t>Con respecto a los mecanismos de protección de derechos que utilizan los datos procedentes del mecanismo de validación, los servicios “preliminares” (es decir la prioridad que se ofrece al titular de una marca, previo pago de una tasa, de registrar como nombre de dominio una cadena de caracteres que corresponda exactamente a su marca) están actualmente limitados a aquellas marcas cuyo uso actual se pueda acreditar.</w:t>
      </w:r>
      <w:r w:rsidRPr="00051EFA">
        <w:rPr>
          <w:lang w:val="es-ES"/>
        </w:rPr>
        <w:t xml:space="preserve">  </w:t>
      </w:r>
      <w:r w:rsidRPr="00051EFA">
        <w:rPr>
          <w:lang w:val="es-ES_tradnl"/>
        </w:rPr>
        <w:t>Con independencia de que puedan o no acreditar el uso actual, los propietarios de marcas también tienen derecho a un “servicio de notificaciones” por un periodo limitado (que permite informar a los titulares de nombre de dominio potenciales de la posible existencia de conflictos con derechos de marca de terceros y notificar a los propietarios de las marcas pertinentes en caso de que, pese a ello, el solicitante proceda al registro del nombre de dominio).</w:t>
      </w:r>
      <w:r w:rsidRPr="00051EFA">
        <w:rPr>
          <w:lang w:val="es-ES"/>
        </w:rPr>
        <w:t xml:space="preserve">   </w:t>
      </w:r>
      <w:r w:rsidRPr="00051EFA">
        <w:rPr>
          <w:lang w:val="es-ES_tradnl"/>
        </w:rPr>
        <w:t>El servicio de notificaciones está limitado actualmente a un periodo máximo de 90 días después de la apertura al público del registro de un nuevo gTLD.</w:t>
      </w:r>
      <w:r w:rsidRPr="00051EFA">
        <w:rPr>
          <w:lang w:val="es-ES"/>
        </w:rPr>
        <w:t xml:space="preserve">  </w:t>
      </w:r>
      <w:r w:rsidRPr="00051EFA">
        <w:rPr>
          <w:lang w:val="es-ES_tradnl"/>
        </w:rPr>
        <w:t>Cabe prever que dichas restricciones puedan dar pie a situaciones propias de un verdadero juego de apuestas, con los consiguientes trastornos para los propietarios de marcas en lo pecuniario y en lo que se refiere a la observancia, existiendo, además, el riesgo de confundir al consumidor.</w:t>
      </w:r>
      <w:r w:rsidRPr="00051EFA">
        <w:rPr>
          <w:lang w:val="es-ES"/>
        </w:rPr>
        <w:t xml:space="preserve">  </w:t>
      </w:r>
      <w:r w:rsidRPr="00051EFA">
        <w:rPr>
          <w:lang w:val="es-ES_tradnl"/>
        </w:rPr>
        <w:t>El requisito de demostrar el uso de la marca en el período de arranque se aplica de forma semejante a la necesidad de invocar la marca en las demandas que se interponen con arreglo al denominado “Sistema Uniforme de Suspensión Rápida”, que es el mecanismo de protección de derechos que se describe a continuación.</w:t>
      </w:r>
    </w:p>
  </w:footnote>
  <w:footnote w:id="41">
    <w:p w:rsidR="00FF0401" w:rsidRPr="00EF79B4" w:rsidRDefault="00FF0401" w:rsidP="00196459">
      <w:pPr>
        <w:pStyle w:val="FootnoteText"/>
        <w:rPr>
          <w:lang w:val="fr-CH"/>
        </w:rPr>
      </w:pPr>
      <w:r w:rsidRPr="00051EFA">
        <w:rPr>
          <w:rStyle w:val="FootnoteReference"/>
        </w:rPr>
        <w:footnoteRef/>
      </w:r>
      <w:r w:rsidRPr="00051EFA">
        <w:rPr>
          <w:lang w:val="es-ES"/>
        </w:rPr>
        <w:t xml:space="preserve"> </w:t>
      </w:r>
      <w:r w:rsidRPr="00051EFA">
        <w:rPr>
          <w:lang w:val="es-ES"/>
        </w:rPr>
        <w:tab/>
      </w:r>
      <w:r w:rsidRPr="00051EFA">
        <w:rPr>
          <w:lang w:val="es-ES_tradnl"/>
        </w:rPr>
        <w:t xml:space="preserve">En junio de 2012, la ICANN comunicó su selección de proveedores de servicios de validación de marcas.  </w:t>
      </w:r>
      <w:r w:rsidRPr="00EF79B4">
        <w:rPr>
          <w:lang w:val="fr-CH"/>
        </w:rPr>
        <w:t xml:space="preserve">Véase </w:t>
      </w:r>
      <w:r w:rsidRPr="00EF79B4">
        <w:rPr>
          <w:u w:val="single"/>
          <w:lang w:val="fr-CH"/>
        </w:rPr>
        <w:t>http://www.icann.org/en/news/announcements/announcement-3-01jun12-en.htm</w:t>
      </w:r>
    </w:p>
  </w:footnote>
  <w:footnote w:id="42">
    <w:p w:rsidR="00FF0401" w:rsidRPr="00051EFA" w:rsidRDefault="00FF0401" w:rsidP="00196459">
      <w:pPr>
        <w:pStyle w:val="FootnoteText"/>
        <w:rPr>
          <w:lang w:val="es-ES"/>
        </w:rPr>
      </w:pPr>
      <w:r w:rsidRPr="00051EFA">
        <w:rPr>
          <w:rStyle w:val="FootnoteReference"/>
        </w:rPr>
        <w:footnoteRef/>
      </w:r>
      <w:r w:rsidRPr="00051EFA">
        <w:rPr>
          <w:lang w:val="es-ES"/>
        </w:rPr>
        <w:t xml:space="preserve"> </w:t>
      </w:r>
      <w:r w:rsidRPr="00051EFA">
        <w:rPr>
          <w:lang w:val="es-ES"/>
        </w:rPr>
        <w:tab/>
      </w:r>
      <w:r w:rsidRPr="00051EFA">
        <w:rPr>
          <w:lang w:val="es-ES_tradnl"/>
        </w:rPr>
        <w:t>El Centro ha observado que el mecanismo de validación de marcas no deberá representar una carga injusta para los titulares de derechos a la hora de examinar registros de marca que se consideran legítimos tras haber cumplido los requisitos de examen y registro vigentes en muchas jurisdicciones de todo el mundo, y sostiene asimismo que, si se juzga oportuno, cabría la posibilidad de arbitrar medidas prácticas para reconocer los casos en que se sospeche que los derechos de marca son invocados de forma indebida en determinados contextos.</w:t>
      </w:r>
    </w:p>
  </w:footnote>
  <w:footnote w:id="43">
    <w:p w:rsidR="00FF0401" w:rsidRPr="00051EFA" w:rsidRDefault="00FF0401" w:rsidP="00370B46">
      <w:pPr>
        <w:pStyle w:val="FootnoteText"/>
        <w:rPr>
          <w:lang w:val="es-ES"/>
        </w:rPr>
      </w:pPr>
      <w:r w:rsidRPr="00051EFA">
        <w:rPr>
          <w:rStyle w:val="FootnoteReference"/>
        </w:rPr>
        <w:footnoteRef/>
      </w:r>
      <w:r w:rsidRPr="00051EFA">
        <w:rPr>
          <w:lang w:val="es-ES"/>
        </w:rPr>
        <w:t xml:space="preserve"> </w:t>
      </w:r>
      <w:r w:rsidRPr="00051EFA">
        <w:rPr>
          <w:lang w:val="es-ES"/>
        </w:rPr>
        <w:tab/>
      </w:r>
      <w:r w:rsidRPr="00051EFA">
        <w:rPr>
          <w:lang w:val="es-ES_tradnl"/>
        </w:rPr>
        <w:t xml:space="preserve">El Centro por su parte comunicó a la ICANN, en abril de 2009, un proyecto de “Mecanismo acelerado de suspensión (de nombres de dominio) y ha presentado propuestas posteriores relativas a un mecanismo simplificado basado en ese modelo en las reuniones de la ICANN, celebradas en Praga y Toronto en 2012 (véase: </w:t>
      </w:r>
      <w:r w:rsidRPr="00051EFA">
        <w:rPr>
          <w:u w:val="single"/>
          <w:lang w:val="es-ES_tradnl"/>
        </w:rPr>
        <w:t xml:space="preserve">http://prague44.icann.org/node/31773 </w:t>
      </w:r>
      <w:r w:rsidR="00B07E6D" w:rsidRPr="00051EFA">
        <w:rPr>
          <w:lang w:val="es-ES_tradnl"/>
        </w:rPr>
        <w:t xml:space="preserve">y </w:t>
      </w:r>
      <w:r w:rsidRPr="00051EFA">
        <w:rPr>
          <w:u w:val="single"/>
          <w:lang w:val="es-ES_tradnl"/>
        </w:rPr>
        <w:t xml:space="preserve"> http://toronto45.icann.org/node/34325).</w:t>
      </w:r>
      <w:r w:rsidRPr="00051EFA">
        <w:rPr>
          <w:lang w:val="es-ES"/>
        </w:rPr>
        <w:t xml:space="preserve">  </w:t>
      </w:r>
      <w:r w:rsidRPr="00051EFA">
        <w:rPr>
          <w:lang w:val="es-ES_tradnl"/>
        </w:rPr>
        <w:t>Tales propuestas plasman la necesidad de lograr un equilibrio prudencial entre la protección de los derechos de marca reconocidos por ley, el interés de orden práctico de los administradores de registros de buena fe por minimizar su carga de trabajo y las expectativas legítimas de los titulares de nombres de dominio registrados que actúan de buena fe.</w:t>
      </w:r>
      <w:r w:rsidRPr="00051EFA">
        <w:rPr>
          <w:lang w:val="es-ES"/>
        </w:rPr>
        <w:t xml:space="preserve">  </w:t>
      </w:r>
      <w:r w:rsidRPr="00051EFA">
        <w:rPr>
          <w:lang w:val="es-ES_tradnl"/>
        </w:rPr>
        <w:t>El</w:t>
      </w:r>
      <w:r w:rsidR="004A2939">
        <w:rPr>
          <w:lang w:val="es-ES_tradnl"/>
        </w:rPr>
        <w:t xml:space="preserve"> sistema</w:t>
      </w:r>
      <w:r w:rsidRPr="00051EFA">
        <w:rPr>
          <w:lang w:val="es-ES_tradnl"/>
        </w:rPr>
        <w:t xml:space="preserve"> URS adoptado por la ICANN es el resultado de una serie de procesos y comités de la ICANN, y muchos consideran que este sistema se ha convertido en un proceso engorroso que aporta una solución limitada.</w:t>
      </w:r>
    </w:p>
  </w:footnote>
  <w:footnote w:id="44">
    <w:p w:rsidR="00FF0401" w:rsidRPr="00051EFA" w:rsidRDefault="00FF0401" w:rsidP="00E175D5">
      <w:pPr>
        <w:pStyle w:val="FootnoteText"/>
        <w:rPr>
          <w:lang w:val="es-ES"/>
        </w:rPr>
      </w:pPr>
      <w:r w:rsidRPr="00051EFA">
        <w:rPr>
          <w:rStyle w:val="FootnoteReference"/>
        </w:rPr>
        <w:footnoteRef/>
      </w:r>
      <w:r w:rsidRPr="00051EFA">
        <w:rPr>
          <w:lang w:val="es-ES"/>
        </w:rPr>
        <w:t xml:space="preserve"> </w:t>
      </w:r>
      <w:r w:rsidRPr="00051EFA">
        <w:rPr>
          <w:lang w:val="es-ES"/>
        </w:rPr>
        <w:tab/>
      </w:r>
      <w:r w:rsidRPr="00051EFA">
        <w:rPr>
          <w:lang w:val="es-ES_tradnl"/>
        </w:rPr>
        <w:t xml:space="preserve">Entre otros documentos, en la carta remitida por el Centro el 2 de diciembre de 2010 figura una detallada relación de los asuntos mencionados.  La carta está publicada en:  </w:t>
      </w:r>
      <w:r w:rsidRPr="00051EFA">
        <w:rPr>
          <w:u w:val="single"/>
          <w:lang w:val="es-ES_tradnl"/>
        </w:rPr>
        <w:t>http://www.wipo.int/amc/en/docs/icann021210.pdf</w:t>
      </w:r>
      <w:r w:rsidRPr="00051EFA">
        <w:rPr>
          <w:lang w:val="es-ES_tradnl"/>
        </w:rPr>
        <w:t>.</w:t>
      </w:r>
      <w:r w:rsidRPr="00051EFA">
        <w:rPr>
          <w:lang w:val="es-ES"/>
        </w:rPr>
        <w:t xml:space="preserve">  </w:t>
      </w:r>
      <w:r w:rsidRPr="00051EFA">
        <w:rPr>
          <w:lang w:val="es-ES_tradnl"/>
        </w:rPr>
        <w:t>Algunos figuraron en el orden del día de la reunión de la ICANN celebrada en Praga en junio de 2012.</w:t>
      </w:r>
    </w:p>
  </w:footnote>
  <w:footnote w:id="45">
    <w:p w:rsidR="00FF0401" w:rsidRPr="00051EFA" w:rsidRDefault="00FF0401" w:rsidP="00E175D5">
      <w:pPr>
        <w:pStyle w:val="FootnoteText"/>
        <w:rPr>
          <w:lang w:val="es-ES"/>
        </w:rPr>
      </w:pPr>
      <w:r>
        <w:rPr>
          <w:rStyle w:val="FootnoteReference"/>
        </w:rPr>
        <w:footnoteRef/>
      </w:r>
      <w:r w:rsidRPr="00942E1D">
        <w:rPr>
          <w:lang w:val="es-ES"/>
        </w:rPr>
        <w:t xml:space="preserve"> </w:t>
      </w:r>
      <w:r w:rsidRPr="00942E1D">
        <w:rPr>
          <w:lang w:val="es-ES"/>
        </w:rPr>
        <w:tab/>
      </w:r>
      <w:r w:rsidRPr="00051EFA">
        <w:rPr>
          <w:lang w:val="es-ES_tradnl"/>
        </w:rPr>
        <w:t xml:space="preserve">A principios de 2013, la ICANN acreditó al Foro Nacional de Arbitraje y al Centro Asiático de Solución de Controversias de Nombres de Dominio como los dos </w:t>
      </w:r>
      <w:r w:rsidR="004A2939">
        <w:rPr>
          <w:lang w:val="es-ES_tradnl"/>
        </w:rPr>
        <w:t>primeros</w:t>
      </w:r>
      <w:r w:rsidRPr="00051EFA">
        <w:rPr>
          <w:lang w:val="es-ES_tradnl"/>
        </w:rPr>
        <w:t xml:space="preserve"> proveedores de servicios URS.</w:t>
      </w:r>
      <w:r w:rsidRPr="00051EFA">
        <w:rPr>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01" w:rsidRPr="00B41E3D" w:rsidRDefault="00FF0401" w:rsidP="00477D6B">
    <w:pPr>
      <w:jc w:val="right"/>
      <w:rPr>
        <w:caps/>
        <w:szCs w:val="22"/>
      </w:rPr>
    </w:pPr>
    <w:r w:rsidRPr="00B41E3D">
      <w:rPr>
        <w:caps/>
        <w:szCs w:val="22"/>
      </w:rPr>
      <w:t>WIPO/ACE/9/</w:t>
    </w:r>
    <w:r>
      <w:rPr>
        <w:caps/>
        <w:szCs w:val="22"/>
      </w:rPr>
      <w:t>4</w:t>
    </w:r>
  </w:p>
  <w:p w:rsidR="00FF0401" w:rsidRPr="00B41E3D" w:rsidRDefault="00AF21EC" w:rsidP="00477D6B">
    <w:pPr>
      <w:jc w:val="right"/>
      <w:rPr>
        <w:szCs w:val="22"/>
      </w:rPr>
    </w:pPr>
    <w:r>
      <w:rPr>
        <w:szCs w:val="22"/>
      </w:rPr>
      <w:t>página</w:t>
    </w:r>
    <w:r w:rsidR="00FF0401" w:rsidRPr="00B41E3D">
      <w:rPr>
        <w:szCs w:val="22"/>
      </w:rPr>
      <w:t xml:space="preserve"> </w:t>
    </w:r>
    <w:r w:rsidR="00FF0401" w:rsidRPr="00B41E3D">
      <w:rPr>
        <w:szCs w:val="22"/>
      </w:rPr>
      <w:fldChar w:fldCharType="begin"/>
    </w:r>
    <w:r w:rsidR="00FF0401" w:rsidRPr="00B41E3D">
      <w:rPr>
        <w:szCs w:val="22"/>
      </w:rPr>
      <w:instrText xml:space="preserve"> PAGE  \* MERGEFORMAT </w:instrText>
    </w:r>
    <w:r w:rsidR="00FF0401" w:rsidRPr="00B41E3D">
      <w:rPr>
        <w:szCs w:val="22"/>
      </w:rPr>
      <w:fldChar w:fldCharType="separate"/>
    </w:r>
    <w:r w:rsidR="00B81701">
      <w:rPr>
        <w:noProof/>
        <w:szCs w:val="22"/>
      </w:rPr>
      <w:t>2</w:t>
    </w:r>
    <w:r w:rsidR="00FF0401" w:rsidRPr="00B41E3D">
      <w:rPr>
        <w:szCs w:val="22"/>
      </w:rPr>
      <w:fldChar w:fldCharType="end"/>
    </w:r>
  </w:p>
  <w:p w:rsidR="00FF0401" w:rsidRPr="00B41E3D" w:rsidRDefault="00FF0401" w:rsidP="00477D6B">
    <w:pPr>
      <w:jc w:val="right"/>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01" w:rsidRPr="00D232CF" w:rsidRDefault="002A32E5" w:rsidP="00477D6B">
    <w:pPr>
      <w:jc w:val="right"/>
      <w:rPr>
        <w:caps/>
        <w:szCs w:val="22"/>
        <w:lang w:val="es-ES_tradnl"/>
      </w:rPr>
    </w:pPr>
    <w:r w:rsidRPr="00D232CF">
      <w:rPr>
        <w:caps/>
        <w:szCs w:val="22"/>
        <w:lang w:val="es-ES_tradnl"/>
      </w:rPr>
      <w:t>WIPO/ACE/9/4</w:t>
    </w:r>
  </w:p>
  <w:p w:rsidR="00FF0401" w:rsidRPr="00D232CF" w:rsidRDefault="00FF0401" w:rsidP="00477D6B">
    <w:pPr>
      <w:jc w:val="right"/>
      <w:rPr>
        <w:szCs w:val="22"/>
        <w:lang w:val="es-ES_tradnl"/>
      </w:rPr>
    </w:pPr>
    <w:r w:rsidRPr="00D232CF">
      <w:rPr>
        <w:szCs w:val="22"/>
        <w:lang w:val="es-ES_tradnl"/>
      </w:rPr>
      <w:t xml:space="preserve">Anexo I, página </w:t>
    </w:r>
    <w:r w:rsidRPr="00B41E3D">
      <w:rPr>
        <w:szCs w:val="22"/>
      </w:rPr>
      <w:fldChar w:fldCharType="begin"/>
    </w:r>
    <w:r w:rsidRPr="00D232CF">
      <w:rPr>
        <w:szCs w:val="22"/>
        <w:lang w:val="es-ES_tradnl"/>
      </w:rPr>
      <w:instrText xml:space="preserve"> PAGE  \* MERGEFORMAT </w:instrText>
    </w:r>
    <w:r w:rsidRPr="00B41E3D">
      <w:rPr>
        <w:szCs w:val="22"/>
      </w:rPr>
      <w:fldChar w:fldCharType="separate"/>
    </w:r>
    <w:r w:rsidR="00B81701">
      <w:rPr>
        <w:noProof/>
        <w:szCs w:val="22"/>
        <w:lang w:val="es-ES_tradnl"/>
      </w:rPr>
      <w:t>4</w:t>
    </w:r>
    <w:r w:rsidRPr="00B41E3D">
      <w:rPr>
        <w:szCs w:val="22"/>
      </w:rPr>
      <w:fldChar w:fldCharType="end"/>
    </w:r>
  </w:p>
  <w:p w:rsidR="00FF0401" w:rsidRPr="00D232CF" w:rsidRDefault="00FF0401" w:rsidP="00477D6B">
    <w:pPr>
      <w:jc w:val="right"/>
      <w:rPr>
        <w:szCs w:val="22"/>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E5" w:rsidRDefault="002A32E5" w:rsidP="00D92679">
    <w:pPr>
      <w:pStyle w:val="Header"/>
      <w:jc w:val="right"/>
    </w:pPr>
    <w:r w:rsidRPr="002A32E5">
      <w:t>WIPO/ACE/9/4</w:t>
    </w:r>
  </w:p>
  <w:p w:rsidR="00FF0401" w:rsidRDefault="00FF0401" w:rsidP="00D92679">
    <w:pPr>
      <w:pStyle w:val="Header"/>
      <w:jc w:val="right"/>
    </w:pPr>
    <w:r>
      <w:t>ANEXO I</w:t>
    </w:r>
  </w:p>
  <w:p w:rsidR="00FF0401" w:rsidRDefault="00FF0401" w:rsidP="00D9267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2pt;height:12pt" o:bullet="t">
        <v:imagedata r:id="rId1" o:title=""/>
      </v:shape>
    </w:pict>
  </w:numPicBullet>
  <w:numPicBullet w:numPicBulletId="1">
    <w:pict>
      <v:shape id="_x0000_i1074" type="#_x0000_t75" style="width:12pt;height:12pt" o:bullet="t">
        <v:imagedata r:id="rId2" o:title=""/>
        <o:lock v:ext="edit" cropping="t"/>
      </v:shape>
    </w:pict>
  </w:numPicBullet>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23B3F91"/>
    <w:multiLevelType w:val="hybridMultilevel"/>
    <w:tmpl w:val="D63A2096"/>
    <w:lvl w:ilvl="0" w:tplc="855C9D7E">
      <w:start w:val="1"/>
      <w:numFmt w:val="bullet"/>
      <w:lvlText w:val=""/>
      <w:lvlPicBulletId w:val="0"/>
      <w:lvlJc w:val="left"/>
      <w:pPr>
        <w:tabs>
          <w:tab w:val="num" w:pos="720"/>
        </w:tabs>
        <w:ind w:left="720" w:hanging="360"/>
      </w:pPr>
      <w:rPr>
        <w:rFonts w:ascii="Symbol" w:hAnsi="Symbol" w:hint="default"/>
      </w:rPr>
    </w:lvl>
    <w:lvl w:ilvl="1" w:tplc="94A2977A">
      <w:start w:val="1"/>
      <w:numFmt w:val="bullet"/>
      <w:lvlText w:val=""/>
      <w:lvlPicBulletId w:val="0"/>
      <w:lvlJc w:val="left"/>
      <w:pPr>
        <w:tabs>
          <w:tab w:val="num" w:pos="1440"/>
        </w:tabs>
        <w:ind w:left="1440" w:hanging="360"/>
      </w:pPr>
      <w:rPr>
        <w:rFonts w:ascii="Symbol" w:hAnsi="Symbol" w:hint="default"/>
      </w:rPr>
    </w:lvl>
    <w:lvl w:ilvl="2" w:tplc="C082D2CE" w:tentative="1">
      <w:start w:val="1"/>
      <w:numFmt w:val="bullet"/>
      <w:lvlText w:val=""/>
      <w:lvlPicBulletId w:val="0"/>
      <w:lvlJc w:val="left"/>
      <w:pPr>
        <w:tabs>
          <w:tab w:val="num" w:pos="2160"/>
        </w:tabs>
        <w:ind w:left="2160" w:hanging="360"/>
      </w:pPr>
      <w:rPr>
        <w:rFonts w:ascii="Symbol" w:hAnsi="Symbol" w:hint="default"/>
      </w:rPr>
    </w:lvl>
    <w:lvl w:ilvl="3" w:tplc="CB3E90C6" w:tentative="1">
      <w:start w:val="1"/>
      <w:numFmt w:val="bullet"/>
      <w:lvlText w:val=""/>
      <w:lvlPicBulletId w:val="0"/>
      <w:lvlJc w:val="left"/>
      <w:pPr>
        <w:tabs>
          <w:tab w:val="num" w:pos="2880"/>
        </w:tabs>
        <w:ind w:left="2880" w:hanging="360"/>
      </w:pPr>
      <w:rPr>
        <w:rFonts w:ascii="Symbol" w:hAnsi="Symbol" w:hint="default"/>
      </w:rPr>
    </w:lvl>
    <w:lvl w:ilvl="4" w:tplc="AA086E22" w:tentative="1">
      <w:start w:val="1"/>
      <w:numFmt w:val="bullet"/>
      <w:lvlText w:val=""/>
      <w:lvlPicBulletId w:val="0"/>
      <w:lvlJc w:val="left"/>
      <w:pPr>
        <w:tabs>
          <w:tab w:val="num" w:pos="3600"/>
        </w:tabs>
        <w:ind w:left="3600" w:hanging="360"/>
      </w:pPr>
      <w:rPr>
        <w:rFonts w:ascii="Symbol" w:hAnsi="Symbol" w:hint="default"/>
      </w:rPr>
    </w:lvl>
    <w:lvl w:ilvl="5" w:tplc="82F4539A" w:tentative="1">
      <w:start w:val="1"/>
      <w:numFmt w:val="bullet"/>
      <w:lvlText w:val=""/>
      <w:lvlPicBulletId w:val="0"/>
      <w:lvlJc w:val="left"/>
      <w:pPr>
        <w:tabs>
          <w:tab w:val="num" w:pos="4320"/>
        </w:tabs>
        <w:ind w:left="4320" w:hanging="360"/>
      </w:pPr>
      <w:rPr>
        <w:rFonts w:ascii="Symbol" w:hAnsi="Symbol" w:hint="default"/>
      </w:rPr>
    </w:lvl>
    <w:lvl w:ilvl="6" w:tplc="9A30B238" w:tentative="1">
      <w:start w:val="1"/>
      <w:numFmt w:val="bullet"/>
      <w:lvlText w:val=""/>
      <w:lvlPicBulletId w:val="0"/>
      <w:lvlJc w:val="left"/>
      <w:pPr>
        <w:tabs>
          <w:tab w:val="num" w:pos="5040"/>
        </w:tabs>
        <w:ind w:left="5040" w:hanging="360"/>
      </w:pPr>
      <w:rPr>
        <w:rFonts w:ascii="Symbol" w:hAnsi="Symbol" w:hint="default"/>
      </w:rPr>
    </w:lvl>
    <w:lvl w:ilvl="7" w:tplc="933276D2" w:tentative="1">
      <w:start w:val="1"/>
      <w:numFmt w:val="bullet"/>
      <w:lvlText w:val=""/>
      <w:lvlPicBulletId w:val="0"/>
      <w:lvlJc w:val="left"/>
      <w:pPr>
        <w:tabs>
          <w:tab w:val="num" w:pos="5760"/>
        </w:tabs>
        <w:ind w:left="5760" w:hanging="360"/>
      </w:pPr>
      <w:rPr>
        <w:rFonts w:ascii="Symbol" w:hAnsi="Symbol" w:hint="default"/>
      </w:rPr>
    </w:lvl>
    <w:lvl w:ilvl="8" w:tplc="C77EC066"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B0E0C93"/>
    <w:multiLevelType w:val="hybridMultilevel"/>
    <w:tmpl w:val="A53EA9AE"/>
    <w:lvl w:ilvl="0" w:tplc="E736A7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1FFE0D36"/>
    <w:multiLevelType w:val="hybridMultilevel"/>
    <w:tmpl w:val="7C16E5B2"/>
    <w:lvl w:ilvl="0" w:tplc="F356B75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3"/>
  </w:num>
  <w:num w:numId="4">
    <w:abstractNumId w:val="7"/>
  </w:num>
  <w:num w:numId="5">
    <w:abstractNumId w:val="0"/>
  </w:num>
  <w:num w:numId="6">
    <w:abstractNumId w:val="8"/>
  </w:num>
  <w:num w:numId="7">
    <w:abstractNumId w:val="2"/>
  </w:num>
  <w:num w:numId="8">
    <w:abstractNumId w:val="5"/>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DA5938"/>
    <w:rsid w:val="000001F1"/>
    <w:rsid w:val="00000EB0"/>
    <w:rsid w:val="00002A49"/>
    <w:rsid w:val="00005527"/>
    <w:rsid w:val="000133D0"/>
    <w:rsid w:val="0001676B"/>
    <w:rsid w:val="0002662E"/>
    <w:rsid w:val="00027CFF"/>
    <w:rsid w:val="00043CAA"/>
    <w:rsid w:val="000504D4"/>
    <w:rsid w:val="00051356"/>
    <w:rsid w:val="00051EFA"/>
    <w:rsid w:val="000520C3"/>
    <w:rsid w:val="00054E4A"/>
    <w:rsid w:val="00055780"/>
    <w:rsid w:val="0005709B"/>
    <w:rsid w:val="000622A3"/>
    <w:rsid w:val="000648E0"/>
    <w:rsid w:val="00070388"/>
    <w:rsid w:val="000724EB"/>
    <w:rsid w:val="00074FD7"/>
    <w:rsid w:val="00075432"/>
    <w:rsid w:val="00076A20"/>
    <w:rsid w:val="0008524D"/>
    <w:rsid w:val="00086E6D"/>
    <w:rsid w:val="000968ED"/>
    <w:rsid w:val="00097C8D"/>
    <w:rsid w:val="000A3891"/>
    <w:rsid w:val="000B3642"/>
    <w:rsid w:val="000C4097"/>
    <w:rsid w:val="000E6005"/>
    <w:rsid w:val="000F1BC4"/>
    <w:rsid w:val="000F3DF8"/>
    <w:rsid w:val="000F5E56"/>
    <w:rsid w:val="000F6FF3"/>
    <w:rsid w:val="001011DC"/>
    <w:rsid w:val="00101D9E"/>
    <w:rsid w:val="00107BFA"/>
    <w:rsid w:val="00110F5E"/>
    <w:rsid w:val="00113143"/>
    <w:rsid w:val="0011385C"/>
    <w:rsid w:val="00116AF1"/>
    <w:rsid w:val="00116FF6"/>
    <w:rsid w:val="001236D8"/>
    <w:rsid w:val="00125C4D"/>
    <w:rsid w:val="00133109"/>
    <w:rsid w:val="001362EE"/>
    <w:rsid w:val="00144A27"/>
    <w:rsid w:val="00150EFE"/>
    <w:rsid w:val="0015102C"/>
    <w:rsid w:val="00154CB1"/>
    <w:rsid w:val="0015506B"/>
    <w:rsid w:val="0015562B"/>
    <w:rsid w:val="0016549C"/>
    <w:rsid w:val="0017747D"/>
    <w:rsid w:val="001832A6"/>
    <w:rsid w:val="0018759B"/>
    <w:rsid w:val="00187A2A"/>
    <w:rsid w:val="00196459"/>
    <w:rsid w:val="00196928"/>
    <w:rsid w:val="001B2C87"/>
    <w:rsid w:val="001B3078"/>
    <w:rsid w:val="001B32AC"/>
    <w:rsid w:val="001C0E04"/>
    <w:rsid w:val="001D4FCF"/>
    <w:rsid w:val="001D5BE0"/>
    <w:rsid w:val="001E1B6E"/>
    <w:rsid w:val="001E3236"/>
    <w:rsid w:val="001F1EC2"/>
    <w:rsid w:val="00201DAB"/>
    <w:rsid w:val="00204348"/>
    <w:rsid w:val="00204BED"/>
    <w:rsid w:val="00205D4F"/>
    <w:rsid w:val="002103F0"/>
    <w:rsid w:val="00210C61"/>
    <w:rsid w:val="0022061C"/>
    <w:rsid w:val="0022317E"/>
    <w:rsid w:val="00235357"/>
    <w:rsid w:val="00235CFF"/>
    <w:rsid w:val="0024077B"/>
    <w:rsid w:val="00240F00"/>
    <w:rsid w:val="00242AAD"/>
    <w:rsid w:val="002438F9"/>
    <w:rsid w:val="00251599"/>
    <w:rsid w:val="00256C4A"/>
    <w:rsid w:val="00257D14"/>
    <w:rsid w:val="00260E97"/>
    <w:rsid w:val="002634C4"/>
    <w:rsid w:val="00264907"/>
    <w:rsid w:val="002679D7"/>
    <w:rsid w:val="0027013E"/>
    <w:rsid w:val="00271674"/>
    <w:rsid w:val="00275DEC"/>
    <w:rsid w:val="002815C7"/>
    <w:rsid w:val="0028744D"/>
    <w:rsid w:val="002907EB"/>
    <w:rsid w:val="002928D3"/>
    <w:rsid w:val="002953D8"/>
    <w:rsid w:val="00297F8C"/>
    <w:rsid w:val="002A31E4"/>
    <w:rsid w:val="002A32E5"/>
    <w:rsid w:val="002A4942"/>
    <w:rsid w:val="002A5358"/>
    <w:rsid w:val="002B1D92"/>
    <w:rsid w:val="002B21A3"/>
    <w:rsid w:val="002B74A8"/>
    <w:rsid w:val="002C2241"/>
    <w:rsid w:val="002C2E37"/>
    <w:rsid w:val="002C6ED3"/>
    <w:rsid w:val="002D075E"/>
    <w:rsid w:val="002D741B"/>
    <w:rsid w:val="002E0F9A"/>
    <w:rsid w:val="002E49A3"/>
    <w:rsid w:val="002E4CAD"/>
    <w:rsid w:val="002E5551"/>
    <w:rsid w:val="002E622A"/>
    <w:rsid w:val="002E633F"/>
    <w:rsid w:val="002E667C"/>
    <w:rsid w:val="002F1FE6"/>
    <w:rsid w:val="002F4E68"/>
    <w:rsid w:val="002F61D0"/>
    <w:rsid w:val="002F7707"/>
    <w:rsid w:val="00301C60"/>
    <w:rsid w:val="003117F5"/>
    <w:rsid w:val="00312F7F"/>
    <w:rsid w:val="00313320"/>
    <w:rsid w:val="00321911"/>
    <w:rsid w:val="00336BF4"/>
    <w:rsid w:val="00350FF7"/>
    <w:rsid w:val="00351D5E"/>
    <w:rsid w:val="0035568B"/>
    <w:rsid w:val="00355E3F"/>
    <w:rsid w:val="00356822"/>
    <w:rsid w:val="00361450"/>
    <w:rsid w:val="003626CB"/>
    <w:rsid w:val="0036398F"/>
    <w:rsid w:val="003673CF"/>
    <w:rsid w:val="00370B46"/>
    <w:rsid w:val="003759D0"/>
    <w:rsid w:val="003829B9"/>
    <w:rsid w:val="003845C1"/>
    <w:rsid w:val="003901A6"/>
    <w:rsid w:val="00390F3F"/>
    <w:rsid w:val="00392550"/>
    <w:rsid w:val="00394A64"/>
    <w:rsid w:val="003A0995"/>
    <w:rsid w:val="003A13E6"/>
    <w:rsid w:val="003A1636"/>
    <w:rsid w:val="003A44BA"/>
    <w:rsid w:val="003A6F89"/>
    <w:rsid w:val="003B2021"/>
    <w:rsid w:val="003B38C1"/>
    <w:rsid w:val="003B735C"/>
    <w:rsid w:val="003B7C74"/>
    <w:rsid w:val="003D3DAF"/>
    <w:rsid w:val="003D3E73"/>
    <w:rsid w:val="003D3EA2"/>
    <w:rsid w:val="003E04F8"/>
    <w:rsid w:val="003E2F9D"/>
    <w:rsid w:val="003E3328"/>
    <w:rsid w:val="003F4344"/>
    <w:rsid w:val="003F4DE1"/>
    <w:rsid w:val="004067B6"/>
    <w:rsid w:val="00407261"/>
    <w:rsid w:val="004072B8"/>
    <w:rsid w:val="004077D4"/>
    <w:rsid w:val="00407CF2"/>
    <w:rsid w:val="00423E3E"/>
    <w:rsid w:val="00427AF4"/>
    <w:rsid w:val="00436F6B"/>
    <w:rsid w:val="004372B2"/>
    <w:rsid w:val="00437B66"/>
    <w:rsid w:val="00440588"/>
    <w:rsid w:val="00446244"/>
    <w:rsid w:val="00462EE1"/>
    <w:rsid w:val="004647DA"/>
    <w:rsid w:val="004731F9"/>
    <w:rsid w:val="00474062"/>
    <w:rsid w:val="00477D6B"/>
    <w:rsid w:val="00496A45"/>
    <w:rsid w:val="004A2939"/>
    <w:rsid w:val="004A389C"/>
    <w:rsid w:val="004A5C2B"/>
    <w:rsid w:val="004A71C4"/>
    <w:rsid w:val="004B120A"/>
    <w:rsid w:val="004B1C13"/>
    <w:rsid w:val="004B439E"/>
    <w:rsid w:val="004B6E2F"/>
    <w:rsid w:val="004B7396"/>
    <w:rsid w:val="004B7471"/>
    <w:rsid w:val="004C5048"/>
    <w:rsid w:val="004D169C"/>
    <w:rsid w:val="004E60D2"/>
    <w:rsid w:val="004F24E2"/>
    <w:rsid w:val="004F5298"/>
    <w:rsid w:val="005019FF"/>
    <w:rsid w:val="005036DD"/>
    <w:rsid w:val="00505242"/>
    <w:rsid w:val="005078E9"/>
    <w:rsid w:val="00520F6D"/>
    <w:rsid w:val="005235F5"/>
    <w:rsid w:val="00525065"/>
    <w:rsid w:val="00527C1C"/>
    <w:rsid w:val="00527CA7"/>
    <w:rsid w:val="0053057A"/>
    <w:rsid w:val="00541023"/>
    <w:rsid w:val="00542202"/>
    <w:rsid w:val="00543648"/>
    <w:rsid w:val="00545DFA"/>
    <w:rsid w:val="0054663B"/>
    <w:rsid w:val="00547885"/>
    <w:rsid w:val="00553021"/>
    <w:rsid w:val="00560A29"/>
    <w:rsid w:val="00564232"/>
    <w:rsid w:val="00565653"/>
    <w:rsid w:val="00572072"/>
    <w:rsid w:val="005770DE"/>
    <w:rsid w:val="00584A14"/>
    <w:rsid w:val="00586562"/>
    <w:rsid w:val="005A3D1B"/>
    <w:rsid w:val="005A7F07"/>
    <w:rsid w:val="005B3A48"/>
    <w:rsid w:val="005B3E23"/>
    <w:rsid w:val="005B79BE"/>
    <w:rsid w:val="005C09A0"/>
    <w:rsid w:val="005C6649"/>
    <w:rsid w:val="005C74BE"/>
    <w:rsid w:val="005E5230"/>
    <w:rsid w:val="006028C0"/>
    <w:rsid w:val="0060313A"/>
    <w:rsid w:val="00605827"/>
    <w:rsid w:val="0061609B"/>
    <w:rsid w:val="00617FF3"/>
    <w:rsid w:val="00620859"/>
    <w:rsid w:val="00621CF2"/>
    <w:rsid w:val="00630E95"/>
    <w:rsid w:val="00636F1C"/>
    <w:rsid w:val="00641C1D"/>
    <w:rsid w:val="0064571A"/>
    <w:rsid w:val="00646050"/>
    <w:rsid w:val="006468FB"/>
    <w:rsid w:val="00647F08"/>
    <w:rsid w:val="0065682F"/>
    <w:rsid w:val="00656DA8"/>
    <w:rsid w:val="00670220"/>
    <w:rsid w:val="006713CA"/>
    <w:rsid w:val="00674630"/>
    <w:rsid w:val="00675BC9"/>
    <w:rsid w:val="00676C5C"/>
    <w:rsid w:val="0068535E"/>
    <w:rsid w:val="00694FBA"/>
    <w:rsid w:val="006A3258"/>
    <w:rsid w:val="006B0A34"/>
    <w:rsid w:val="006B3B18"/>
    <w:rsid w:val="006B3D7C"/>
    <w:rsid w:val="006D0CC5"/>
    <w:rsid w:val="006D5F51"/>
    <w:rsid w:val="006D66AD"/>
    <w:rsid w:val="006E204D"/>
    <w:rsid w:val="006E2209"/>
    <w:rsid w:val="006E4771"/>
    <w:rsid w:val="006E4EC4"/>
    <w:rsid w:val="006E746F"/>
    <w:rsid w:val="006F03B4"/>
    <w:rsid w:val="006F1883"/>
    <w:rsid w:val="007006F1"/>
    <w:rsid w:val="007035CD"/>
    <w:rsid w:val="00704B86"/>
    <w:rsid w:val="00705629"/>
    <w:rsid w:val="00712227"/>
    <w:rsid w:val="00716E21"/>
    <w:rsid w:val="00726C59"/>
    <w:rsid w:val="00726E31"/>
    <w:rsid w:val="0073053A"/>
    <w:rsid w:val="00742406"/>
    <w:rsid w:val="0075454C"/>
    <w:rsid w:val="007567EE"/>
    <w:rsid w:val="007572FD"/>
    <w:rsid w:val="00761337"/>
    <w:rsid w:val="007615FC"/>
    <w:rsid w:val="00770458"/>
    <w:rsid w:val="007747B5"/>
    <w:rsid w:val="0077592D"/>
    <w:rsid w:val="0077643E"/>
    <w:rsid w:val="007836C0"/>
    <w:rsid w:val="00784683"/>
    <w:rsid w:val="00787544"/>
    <w:rsid w:val="007941CC"/>
    <w:rsid w:val="00795FCF"/>
    <w:rsid w:val="007A3C14"/>
    <w:rsid w:val="007A4D51"/>
    <w:rsid w:val="007A6A3A"/>
    <w:rsid w:val="007B2748"/>
    <w:rsid w:val="007B7952"/>
    <w:rsid w:val="007C2752"/>
    <w:rsid w:val="007C5AF6"/>
    <w:rsid w:val="007D07A1"/>
    <w:rsid w:val="007D1613"/>
    <w:rsid w:val="007D330F"/>
    <w:rsid w:val="007D4AA8"/>
    <w:rsid w:val="007D79DC"/>
    <w:rsid w:val="007D7FBE"/>
    <w:rsid w:val="007E1953"/>
    <w:rsid w:val="007E2992"/>
    <w:rsid w:val="007E2BCC"/>
    <w:rsid w:val="007F0361"/>
    <w:rsid w:val="007F258E"/>
    <w:rsid w:val="00800E15"/>
    <w:rsid w:val="00804552"/>
    <w:rsid w:val="008144A6"/>
    <w:rsid w:val="008333A7"/>
    <w:rsid w:val="00833571"/>
    <w:rsid w:val="008336ED"/>
    <w:rsid w:val="008523FE"/>
    <w:rsid w:val="008602C7"/>
    <w:rsid w:val="00860B75"/>
    <w:rsid w:val="008610B0"/>
    <w:rsid w:val="00862AD4"/>
    <w:rsid w:val="008656FF"/>
    <w:rsid w:val="00870D09"/>
    <w:rsid w:val="00872582"/>
    <w:rsid w:val="00876861"/>
    <w:rsid w:val="0088083D"/>
    <w:rsid w:val="00880E28"/>
    <w:rsid w:val="008869F6"/>
    <w:rsid w:val="008A15F3"/>
    <w:rsid w:val="008B2CC1"/>
    <w:rsid w:val="008B3081"/>
    <w:rsid w:val="008B3396"/>
    <w:rsid w:val="008B4DB5"/>
    <w:rsid w:val="008B60B2"/>
    <w:rsid w:val="008B755A"/>
    <w:rsid w:val="008C1A89"/>
    <w:rsid w:val="008C5710"/>
    <w:rsid w:val="008D3F04"/>
    <w:rsid w:val="008E084F"/>
    <w:rsid w:val="008E239F"/>
    <w:rsid w:val="008E293E"/>
    <w:rsid w:val="008E40DB"/>
    <w:rsid w:val="008E4519"/>
    <w:rsid w:val="008F07E0"/>
    <w:rsid w:val="008F322C"/>
    <w:rsid w:val="008F3D64"/>
    <w:rsid w:val="008F3E13"/>
    <w:rsid w:val="008F762A"/>
    <w:rsid w:val="00901261"/>
    <w:rsid w:val="0090199E"/>
    <w:rsid w:val="00901EC6"/>
    <w:rsid w:val="0090731E"/>
    <w:rsid w:val="00910297"/>
    <w:rsid w:val="009151FC"/>
    <w:rsid w:val="00916D0B"/>
    <w:rsid w:val="00916EE2"/>
    <w:rsid w:val="009172BC"/>
    <w:rsid w:val="00925B28"/>
    <w:rsid w:val="00931174"/>
    <w:rsid w:val="009334DB"/>
    <w:rsid w:val="00942E1D"/>
    <w:rsid w:val="009433EB"/>
    <w:rsid w:val="00946916"/>
    <w:rsid w:val="00956F94"/>
    <w:rsid w:val="0095751C"/>
    <w:rsid w:val="00960914"/>
    <w:rsid w:val="00966A22"/>
    <w:rsid w:val="0096722F"/>
    <w:rsid w:val="009764DC"/>
    <w:rsid w:val="00980843"/>
    <w:rsid w:val="00983B91"/>
    <w:rsid w:val="009843CE"/>
    <w:rsid w:val="00990262"/>
    <w:rsid w:val="00990A81"/>
    <w:rsid w:val="00995604"/>
    <w:rsid w:val="009A4BBF"/>
    <w:rsid w:val="009A7A46"/>
    <w:rsid w:val="009B6285"/>
    <w:rsid w:val="009B6572"/>
    <w:rsid w:val="009B72FC"/>
    <w:rsid w:val="009C317C"/>
    <w:rsid w:val="009C6E7C"/>
    <w:rsid w:val="009C7825"/>
    <w:rsid w:val="009C7DA1"/>
    <w:rsid w:val="009D248B"/>
    <w:rsid w:val="009D416F"/>
    <w:rsid w:val="009E2791"/>
    <w:rsid w:val="009E3F6F"/>
    <w:rsid w:val="009E6075"/>
    <w:rsid w:val="009E725D"/>
    <w:rsid w:val="009E7935"/>
    <w:rsid w:val="009F19A8"/>
    <w:rsid w:val="009F4211"/>
    <w:rsid w:val="009F499F"/>
    <w:rsid w:val="009F4EEF"/>
    <w:rsid w:val="009F659C"/>
    <w:rsid w:val="00A00F7D"/>
    <w:rsid w:val="00A02C51"/>
    <w:rsid w:val="00A0432D"/>
    <w:rsid w:val="00A06685"/>
    <w:rsid w:val="00A15634"/>
    <w:rsid w:val="00A27B12"/>
    <w:rsid w:val="00A36356"/>
    <w:rsid w:val="00A41C02"/>
    <w:rsid w:val="00A42DAF"/>
    <w:rsid w:val="00A43CA6"/>
    <w:rsid w:val="00A4463D"/>
    <w:rsid w:val="00A45BD8"/>
    <w:rsid w:val="00A50E4D"/>
    <w:rsid w:val="00A702CB"/>
    <w:rsid w:val="00A70C52"/>
    <w:rsid w:val="00A72CAD"/>
    <w:rsid w:val="00A7659F"/>
    <w:rsid w:val="00A81C21"/>
    <w:rsid w:val="00A84A1A"/>
    <w:rsid w:val="00A8536A"/>
    <w:rsid w:val="00A869B7"/>
    <w:rsid w:val="00A9031F"/>
    <w:rsid w:val="00A9032C"/>
    <w:rsid w:val="00AA365A"/>
    <w:rsid w:val="00AB36B1"/>
    <w:rsid w:val="00AC0B1E"/>
    <w:rsid w:val="00AC205C"/>
    <w:rsid w:val="00AC41F3"/>
    <w:rsid w:val="00AD07DE"/>
    <w:rsid w:val="00AD23EF"/>
    <w:rsid w:val="00AE0940"/>
    <w:rsid w:val="00AE4DEF"/>
    <w:rsid w:val="00AE713D"/>
    <w:rsid w:val="00AF008D"/>
    <w:rsid w:val="00AF0A6B"/>
    <w:rsid w:val="00AF21EC"/>
    <w:rsid w:val="00AF3AC2"/>
    <w:rsid w:val="00B029BB"/>
    <w:rsid w:val="00B05A69"/>
    <w:rsid w:val="00B07E6D"/>
    <w:rsid w:val="00B12AE7"/>
    <w:rsid w:val="00B152B9"/>
    <w:rsid w:val="00B20B18"/>
    <w:rsid w:val="00B22C7C"/>
    <w:rsid w:val="00B27C40"/>
    <w:rsid w:val="00B27E68"/>
    <w:rsid w:val="00B302CE"/>
    <w:rsid w:val="00B3408A"/>
    <w:rsid w:val="00B35B85"/>
    <w:rsid w:val="00B409A7"/>
    <w:rsid w:val="00B41E3D"/>
    <w:rsid w:val="00B47045"/>
    <w:rsid w:val="00B47AAA"/>
    <w:rsid w:val="00B52CB2"/>
    <w:rsid w:val="00B54A9E"/>
    <w:rsid w:val="00B636D9"/>
    <w:rsid w:val="00B7491D"/>
    <w:rsid w:val="00B81701"/>
    <w:rsid w:val="00B855EB"/>
    <w:rsid w:val="00B902A1"/>
    <w:rsid w:val="00B935CE"/>
    <w:rsid w:val="00B9474D"/>
    <w:rsid w:val="00B957C1"/>
    <w:rsid w:val="00B970B2"/>
    <w:rsid w:val="00B9734B"/>
    <w:rsid w:val="00B97996"/>
    <w:rsid w:val="00BA37D1"/>
    <w:rsid w:val="00BA4B17"/>
    <w:rsid w:val="00BB16DB"/>
    <w:rsid w:val="00BB1760"/>
    <w:rsid w:val="00BB3FEC"/>
    <w:rsid w:val="00BB6ECC"/>
    <w:rsid w:val="00BB7675"/>
    <w:rsid w:val="00BB7AA4"/>
    <w:rsid w:val="00BC3355"/>
    <w:rsid w:val="00BD068F"/>
    <w:rsid w:val="00BD3651"/>
    <w:rsid w:val="00BD440F"/>
    <w:rsid w:val="00BE4886"/>
    <w:rsid w:val="00BF2B14"/>
    <w:rsid w:val="00BF3D38"/>
    <w:rsid w:val="00BF5F09"/>
    <w:rsid w:val="00BF6EBD"/>
    <w:rsid w:val="00C0354D"/>
    <w:rsid w:val="00C11BFE"/>
    <w:rsid w:val="00C20DB0"/>
    <w:rsid w:val="00C231C0"/>
    <w:rsid w:val="00C25067"/>
    <w:rsid w:val="00C44F61"/>
    <w:rsid w:val="00C53AF5"/>
    <w:rsid w:val="00C56375"/>
    <w:rsid w:val="00C56832"/>
    <w:rsid w:val="00C63309"/>
    <w:rsid w:val="00C70887"/>
    <w:rsid w:val="00C724C7"/>
    <w:rsid w:val="00C76A5C"/>
    <w:rsid w:val="00C77DAF"/>
    <w:rsid w:val="00C9306B"/>
    <w:rsid w:val="00C953F0"/>
    <w:rsid w:val="00CA2894"/>
    <w:rsid w:val="00CA36E6"/>
    <w:rsid w:val="00CA40AC"/>
    <w:rsid w:val="00CA6A34"/>
    <w:rsid w:val="00CA79A8"/>
    <w:rsid w:val="00CB1AA6"/>
    <w:rsid w:val="00CB3404"/>
    <w:rsid w:val="00CB5702"/>
    <w:rsid w:val="00CC0601"/>
    <w:rsid w:val="00CC139A"/>
    <w:rsid w:val="00CC337F"/>
    <w:rsid w:val="00CC5A61"/>
    <w:rsid w:val="00CC7D13"/>
    <w:rsid w:val="00CD0189"/>
    <w:rsid w:val="00CD3134"/>
    <w:rsid w:val="00CD593F"/>
    <w:rsid w:val="00CD78A0"/>
    <w:rsid w:val="00CE4CEF"/>
    <w:rsid w:val="00CF3FC5"/>
    <w:rsid w:val="00CF51EA"/>
    <w:rsid w:val="00CF5AE3"/>
    <w:rsid w:val="00CF6C4E"/>
    <w:rsid w:val="00D16D80"/>
    <w:rsid w:val="00D21ECB"/>
    <w:rsid w:val="00D22EDF"/>
    <w:rsid w:val="00D232CF"/>
    <w:rsid w:val="00D23F2A"/>
    <w:rsid w:val="00D274E2"/>
    <w:rsid w:val="00D27CA2"/>
    <w:rsid w:val="00D340F0"/>
    <w:rsid w:val="00D343FF"/>
    <w:rsid w:val="00D42107"/>
    <w:rsid w:val="00D43FB4"/>
    <w:rsid w:val="00D44ADE"/>
    <w:rsid w:val="00D45252"/>
    <w:rsid w:val="00D45686"/>
    <w:rsid w:val="00D46D99"/>
    <w:rsid w:val="00D47F11"/>
    <w:rsid w:val="00D620FA"/>
    <w:rsid w:val="00D62588"/>
    <w:rsid w:val="00D6326E"/>
    <w:rsid w:val="00D71B4D"/>
    <w:rsid w:val="00D81810"/>
    <w:rsid w:val="00D83ED3"/>
    <w:rsid w:val="00D90B74"/>
    <w:rsid w:val="00D92578"/>
    <w:rsid w:val="00D92679"/>
    <w:rsid w:val="00D935FF"/>
    <w:rsid w:val="00D93D55"/>
    <w:rsid w:val="00D9684F"/>
    <w:rsid w:val="00DA41AF"/>
    <w:rsid w:val="00DA431D"/>
    <w:rsid w:val="00DA5938"/>
    <w:rsid w:val="00DA6906"/>
    <w:rsid w:val="00DB21FB"/>
    <w:rsid w:val="00DB506D"/>
    <w:rsid w:val="00DB5B0E"/>
    <w:rsid w:val="00DC3BF2"/>
    <w:rsid w:val="00DC7386"/>
    <w:rsid w:val="00DC769C"/>
    <w:rsid w:val="00DD1393"/>
    <w:rsid w:val="00DE4AF3"/>
    <w:rsid w:val="00DF0EA9"/>
    <w:rsid w:val="00E0089F"/>
    <w:rsid w:val="00E07F91"/>
    <w:rsid w:val="00E1021B"/>
    <w:rsid w:val="00E175D5"/>
    <w:rsid w:val="00E31F9E"/>
    <w:rsid w:val="00E32C41"/>
    <w:rsid w:val="00E335FE"/>
    <w:rsid w:val="00E373C9"/>
    <w:rsid w:val="00E469BF"/>
    <w:rsid w:val="00E53032"/>
    <w:rsid w:val="00E57E6C"/>
    <w:rsid w:val="00E62A59"/>
    <w:rsid w:val="00E73826"/>
    <w:rsid w:val="00E766C6"/>
    <w:rsid w:val="00E810D1"/>
    <w:rsid w:val="00E94EDA"/>
    <w:rsid w:val="00E95378"/>
    <w:rsid w:val="00E96AB7"/>
    <w:rsid w:val="00E97CCF"/>
    <w:rsid w:val="00EB0020"/>
    <w:rsid w:val="00EB556D"/>
    <w:rsid w:val="00EB63E4"/>
    <w:rsid w:val="00EC0053"/>
    <w:rsid w:val="00EC3111"/>
    <w:rsid w:val="00EC3AA5"/>
    <w:rsid w:val="00EC4E49"/>
    <w:rsid w:val="00EC7A10"/>
    <w:rsid w:val="00ED3DDB"/>
    <w:rsid w:val="00ED4F56"/>
    <w:rsid w:val="00ED5133"/>
    <w:rsid w:val="00ED77C9"/>
    <w:rsid w:val="00ED77FB"/>
    <w:rsid w:val="00EE2547"/>
    <w:rsid w:val="00EE45FA"/>
    <w:rsid w:val="00EF0743"/>
    <w:rsid w:val="00EF1AB1"/>
    <w:rsid w:val="00EF79B4"/>
    <w:rsid w:val="00F005B1"/>
    <w:rsid w:val="00F02917"/>
    <w:rsid w:val="00F11F82"/>
    <w:rsid w:val="00F140FD"/>
    <w:rsid w:val="00F17665"/>
    <w:rsid w:val="00F21FD6"/>
    <w:rsid w:val="00F267E2"/>
    <w:rsid w:val="00F30E54"/>
    <w:rsid w:val="00F3289C"/>
    <w:rsid w:val="00F349A6"/>
    <w:rsid w:val="00F41DE7"/>
    <w:rsid w:val="00F526BD"/>
    <w:rsid w:val="00F53437"/>
    <w:rsid w:val="00F54F76"/>
    <w:rsid w:val="00F66152"/>
    <w:rsid w:val="00F66EB9"/>
    <w:rsid w:val="00F70917"/>
    <w:rsid w:val="00F70E38"/>
    <w:rsid w:val="00F71F65"/>
    <w:rsid w:val="00F7635D"/>
    <w:rsid w:val="00F76B08"/>
    <w:rsid w:val="00F8291F"/>
    <w:rsid w:val="00F8395E"/>
    <w:rsid w:val="00F94F08"/>
    <w:rsid w:val="00FA1B7F"/>
    <w:rsid w:val="00FA5282"/>
    <w:rsid w:val="00FB1802"/>
    <w:rsid w:val="00FB1A80"/>
    <w:rsid w:val="00FB30B2"/>
    <w:rsid w:val="00FC50D8"/>
    <w:rsid w:val="00FC5577"/>
    <w:rsid w:val="00FC6172"/>
    <w:rsid w:val="00FC627E"/>
    <w:rsid w:val="00FD7D33"/>
    <w:rsid w:val="00FE3B83"/>
    <w:rsid w:val="00FE67DE"/>
    <w:rsid w:val="00FE6B86"/>
    <w:rsid w:val="00FF0401"/>
    <w:rsid w:val="00FF20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SG"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SG"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header" w:locked="1" w:semiHidden="0" w:uiPriority="0" w:unhideWhenUsed="0"/>
    <w:lsdException w:name="caption" w:locked="1" w:semiHidden="0" w:uiPriority="0" w:unhideWhenUsed="0" w:qFormat="1"/>
    <w:lsdException w:name="footnote reference"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Cs w:val="20"/>
      <w:lang w:val="en-US"/>
    </w:rPr>
  </w:style>
  <w:style w:type="paragraph" w:styleId="Heading1">
    <w:name w:val="heading 1"/>
    <w:basedOn w:val="Normal"/>
    <w:next w:val="Normal"/>
    <w:link w:val="Heading1Char"/>
    <w:uiPriority w:val="99"/>
    <w:qFormat/>
    <w:rsid w:val="00676C5C"/>
    <w:pPr>
      <w:keepNext/>
      <w:spacing w:before="240" w:after="60"/>
      <w:outlineLvl w:val="0"/>
    </w:pPr>
    <w:rPr>
      <w:rFonts w:cs="Times New Roman"/>
      <w:b/>
      <w:bCs/>
      <w:caps/>
      <w:kern w:val="32"/>
      <w:szCs w:val="32"/>
      <w:lang w:val="en-SG"/>
    </w:rPr>
  </w:style>
  <w:style w:type="paragraph" w:styleId="Heading2">
    <w:name w:val="heading 2"/>
    <w:basedOn w:val="Normal"/>
    <w:next w:val="Normal"/>
    <w:link w:val="Heading2Char"/>
    <w:uiPriority w:val="99"/>
    <w:qFormat/>
    <w:rsid w:val="00676C5C"/>
    <w:pPr>
      <w:keepNext/>
      <w:spacing w:before="240" w:after="60"/>
      <w:outlineLvl w:val="1"/>
    </w:pPr>
    <w:rPr>
      <w:rFonts w:cs="Times New Roman"/>
      <w:bCs/>
      <w:iCs/>
      <w:caps/>
      <w:szCs w:val="28"/>
      <w:lang w:val="en-SG"/>
    </w:rPr>
  </w:style>
  <w:style w:type="paragraph" w:styleId="Heading3">
    <w:name w:val="heading 3"/>
    <w:basedOn w:val="Normal"/>
    <w:next w:val="Normal"/>
    <w:link w:val="Heading3Char"/>
    <w:uiPriority w:val="99"/>
    <w:qFormat/>
    <w:rsid w:val="00676C5C"/>
    <w:pPr>
      <w:keepNext/>
      <w:spacing w:before="240" w:after="60"/>
      <w:outlineLvl w:val="2"/>
    </w:pPr>
    <w:rPr>
      <w:rFonts w:cs="Times New Roman"/>
      <w:bCs/>
      <w:szCs w:val="26"/>
      <w:u w:val="single"/>
      <w:lang w:val="en-SG"/>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938"/>
    <w:rPr>
      <w:rFonts w:ascii="Arial" w:eastAsia="SimSun" w:hAnsi="Arial"/>
      <w:b/>
      <w:caps/>
      <w:kern w:val="32"/>
      <w:sz w:val="32"/>
      <w:lang w:eastAsia="zh-CN"/>
    </w:rPr>
  </w:style>
  <w:style w:type="character" w:customStyle="1" w:styleId="Heading2Char">
    <w:name w:val="Heading 2 Char"/>
    <w:basedOn w:val="DefaultParagraphFont"/>
    <w:link w:val="Heading2"/>
    <w:uiPriority w:val="99"/>
    <w:locked/>
    <w:rsid w:val="00DA5938"/>
    <w:rPr>
      <w:rFonts w:ascii="Arial" w:eastAsia="SimSun" w:hAnsi="Arial"/>
      <w:caps/>
      <w:sz w:val="28"/>
      <w:lang w:eastAsia="zh-CN"/>
    </w:rPr>
  </w:style>
  <w:style w:type="character" w:customStyle="1" w:styleId="Heading3Char">
    <w:name w:val="Heading 3 Char"/>
    <w:basedOn w:val="DefaultParagraphFont"/>
    <w:link w:val="Heading3"/>
    <w:uiPriority w:val="99"/>
    <w:locked/>
    <w:rsid w:val="00DA5938"/>
    <w:rPr>
      <w:rFonts w:ascii="Arial" w:eastAsia="SimSun" w:hAnsi="Arial"/>
      <w:sz w:val="26"/>
      <w:u w:val="single"/>
      <w:lang w:eastAsia="zh-CN"/>
    </w:rPr>
  </w:style>
  <w:style w:type="character" w:customStyle="1" w:styleId="Heading4Char">
    <w:name w:val="Heading 4 Char"/>
    <w:basedOn w:val="DefaultParagraphFont"/>
    <w:link w:val="Heading4"/>
    <w:uiPriority w:val="9"/>
    <w:semiHidden/>
    <w:rsid w:val="00672D93"/>
    <w:rPr>
      <w:rFonts w:asciiTheme="minorHAnsi" w:eastAsiaTheme="minorEastAsia" w:hAnsiTheme="minorHAnsi" w:cstheme="minorBidi"/>
      <w:b/>
      <w:bCs/>
      <w:sz w:val="28"/>
      <w:szCs w:val="28"/>
      <w:lang w:val="en-US"/>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rsid w:val="00672D93"/>
    <w:rPr>
      <w:rFonts w:ascii="Arial" w:eastAsia="SimSun" w:hAnsi="Arial" w:cs="Arial"/>
      <w:szCs w:val="20"/>
      <w:lang w:val="en-US"/>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672D93"/>
    <w:rPr>
      <w:rFonts w:ascii="Arial" w:eastAsia="SimSun" w:hAnsi="Arial" w:cs="Arial"/>
      <w:sz w:val="20"/>
      <w:szCs w:val="20"/>
      <w:lang w:val="en-US"/>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rsid w:val="00672D93"/>
    <w:rPr>
      <w:rFonts w:ascii="Arial" w:eastAsia="SimSun" w:hAnsi="Arial" w:cs="Arial"/>
      <w:sz w:val="20"/>
      <w:szCs w:val="20"/>
      <w:lang w:val="en-US"/>
    </w:rPr>
  </w:style>
  <w:style w:type="paragraph" w:styleId="Footer">
    <w:name w:val="footer"/>
    <w:basedOn w:val="Normal"/>
    <w:link w:val="FooterChar"/>
    <w:uiPriority w:val="99"/>
    <w:semiHidden/>
    <w:rsid w:val="00676C5C"/>
    <w:pPr>
      <w:tabs>
        <w:tab w:val="center" w:pos="4320"/>
        <w:tab w:val="right" w:pos="8640"/>
      </w:tabs>
    </w:pPr>
    <w:rPr>
      <w:rFonts w:cs="Times New Roman"/>
      <w:lang w:val="en-SG"/>
    </w:rPr>
  </w:style>
  <w:style w:type="character" w:customStyle="1" w:styleId="FooterChar">
    <w:name w:val="Footer Char"/>
    <w:basedOn w:val="DefaultParagraphFont"/>
    <w:link w:val="Footer"/>
    <w:uiPriority w:val="99"/>
    <w:semiHidden/>
    <w:locked/>
    <w:rsid w:val="00DA5938"/>
    <w:rPr>
      <w:rFonts w:ascii="Arial" w:eastAsia="SimSun" w:hAnsi="Arial"/>
      <w:sz w:val="22"/>
      <w:lang w:eastAsia="zh-CN"/>
    </w:rPr>
  </w:style>
  <w:style w:type="paragraph" w:styleId="FootnoteText">
    <w:name w:val="footnote text"/>
    <w:basedOn w:val="Normal"/>
    <w:link w:val="FootnoteTextChar"/>
    <w:uiPriority w:val="99"/>
    <w:semiHidden/>
    <w:rsid w:val="00676C5C"/>
    <w:rPr>
      <w:rFonts w:cs="Times New Roman"/>
      <w:sz w:val="18"/>
      <w:lang w:val="en-SG"/>
    </w:rPr>
  </w:style>
  <w:style w:type="character" w:customStyle="1" w:styleId="FootnoteTextChar">
    <w:name w:val="Footnote Text Char"/>
    <w:basedOn w:val="DefaultParagraphFont"/>
    <w:link w:val="FootnoteText"/>
    <w:uiPriority w:val="99"/>
    <w:semiHidden/>
    <w:locked/>
    <w:rsid w:val="00DA5938"/>
    <w:rPr>
      <w:rFonts w:ascii="Arial" w:eastAsia="SimSun" w:hAnsi="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locked/>
    <w:rsid w:val="00BB7AA4"/>
    <w:rPr>
      <w:rFonts w:ascii="Arial" w:eastAsia="SimSun" w:hAnsi="Arial" w:cs="Arial"/>
      <w:sz w:val="22"/>
      <w:lang w:eastAsia="zh-CN"/>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link w:val="ONUMEChar"/>
    <w:uiPriority w:val="99"/>
    <w:rsid w:val="00676C5C"/>
    <w:pPr>
      <w:numPr>
        <w:numId w:val="7"/>
      </w:numPr>
    </w:pPr>
    <w:rPr>
      <w:rFonts w:cs="Times New Roman"/>
      <w:lang w:val="en-SG"/>
    </w:r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rsid w:val="00672D93"/>
    <w:rPr>
      <w:rFonts w:ascii="Arial" w:eastAsia="SimSun" w:hAnsi="Arial" w:cs="Arial"/>
      <w:szCs w:val="20"/>
      <w:lang w:val="en-US"/>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rsid w:val="00672D93"/>
    <w:rPr>
      <w:rFonts w:ascii="Arial" w:eastAsia="SimSun" w:hAnsi="Arial" w:cs="Arial"/>
      <w:szCs w:val="20"/>
      <w:lang w:val="en-US"/>
    </w:rPr>
  </w:style>
  <w:style w:type="character" w:styleId="FootnoteReference">
    <w:name w:val="footnote reference"/>
    <w:basedOn w:val="DefaultParagraphFont"/>
    <w:uiPriority w:val="99"/>
    <w:rsid w:val="00DA5938"/>
    <w:rPr>
      <w:rFonts w:cs="Times New Roman"/>
      <w:vertAlign w:val="superscript"/>
    </w:rPr>
  </w:style>
  <w:style w:type="paragraph" w:styleId="BalloonText">
    <w:name w:val="Balloon Text"/>
    <w:basedOn w:val="Normal"/>
    <w:link w:val="BalloonTextChar"/>
    <w:uiPriority w:val="99"/>
    <w:rsid w:val="00A84A1A"/>
    <w:rPr>
      <w:rFonts w:ascii="Tahoma" w:hAnsi="Tahoma" w:cs="Tahoma"/>
      <w:sz w:val="16"/>
      <w:szCs w:val="16"/>
    </w:rPr>
  </w:style>
  <w:style w:type="character" w:customStyle="1" w:styleId="BalloonTextChar">
    <w:name w:val="Balloon Text Char"/>
    <w:basedOn w:val="DefaultParagraphFont"/>
    <w:link w:val="BalloonText"/>
    <w:uiPriority w:val="99"/>
    <w:locked/>
    <w:rsid w:val="00A84A1A"/>
    <w:rPr>
      <w:rFonts w:ascii="Tahoma" w:eastAsia="SimSun" w:hAnsi="Tahoma" w:cs="Tahoma"/>
      <w:sz w:val="16"/>
      <w:szCs w:val="16"/>
      <w:lang w:eastAsia="zh-CN"/>
    </w:rPr>
  </w:style>
  <w:style w:type="paragraph" w:styleId="ListParagraph">
    <w:name w:val="List Paragraph"/>
    <w:basedOn w:val="Normal"/>
    <w:uiPriority w:val="99"/>
    <w:qFormat/>
    <w:rsid w:val="008F322C"/>
    <w:pPr>
      <w:spacing w:after="200" w:line="276" w:lineRule="auto"/>
      <w:ind w:left="720"/>
      <w:contextualSpacing/>
    </w:pPr>
    <w:rPr>
      <w:rFonts w:ascii="Calibri" w:eastAsia="Times New Roman" w:hAnsi="Calibri" w:cs="Times New Roman"/>
      <w:szCs w:val="22"/>
      <w:lang w:eastAsia="en-US"/>
    </w:rPr>
  </w:style>
  <w:style w:type="character" w:styleId="Hyperlink">
    <w:name w:val="Hyperlink"/>
    <w:basedOn w:val="DefaultParagraphFont"/>
    <w:uiPriority w:val="99"/>
    <w:rsid w:val="007C2752"/>
    <w:rPr>
      <w:rFonts w:cs="Times New Roman"/>
      <w:color w:val="0000FF"/>
      <w:u w:val="single"/>
    </w:rPr>
  </w:style>
  <w:style w:type="character" w:customStyle="1" w:styleId="ONUMEChar">
    <w:name w:val="ONUM E Char"/>
    <w:link w:val="ONUME"/>
    <w:uiPriority w:val="99"/>
    <w:locked/>
    <w:rsid w:val="00EC0053"/>
    <w:rPr>
      <w:rFonts w:ascii="Arial" w:eastAsia="SimSun" w:hAnsi="Arial"/>
      <w:szCs w:val="20"/>
    </w:rPr>
  </w:style>
  <w:style w:type="paragraph" w:customStyle="1" w:styleId="DecisionInvitingPara">
    <w:name w:val="Decision Inviting Para."/>
    <w:basedOn w:val="Normal"/>
    <w:rsid w:val="00133109"/>
    <w:pPr>
      <w:spacing w:after="120" w:line="260" w:lineRule="atLeast"/>
      <w:ind w:left="5534"/>
      <w:contextualSpacing/>
    </w:pPr>
    <w:rPr>
      <w:rFonts w:eastAsia="Times New Roman" w:cs="Times New Roman"/>
      <w:i/>
      <w:sz w:val="20"/>
      <w:lang w:eastAsia="en-US"/>
    </w:rPr>
  </w:style>
  <w:style w:type="character" w:styleId="EndnoteReference">
    <w:name w:val="endnote reference"/>
    <w:basedOn w:val="DefaultParagraphFont"/>
    <w:uiPriority w:val="99"/>
    <w:semiHidden/>
    <w:unhideWhenUsed/>
    <w:rsid w:val="0035568B"/>
    <w:rPr>
      <w:vertAlign w:val="superscript"/>
    </w:rPr>
  </w:style>
  <w:style w:type="character" w:styleId="FollowedHyperlink">
    <w:name w:val="FollowedHyperlink"/>
    <w:basedOn w:val="DefaultParagraphFont"/>
    <w:uiPriority w:val="99"/>
    <w:semiHidden/>
    <w:unhideWhenUsed/>
    <w:rsid w:val="00D274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SG"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nhideWhenUsed="0"/>
    <w:lsdException w:name="header" w:locked="1" w:semiHidden="0" w:uiPriority="0" w:unhideWhenUsed="0"/>
    <w:lsdException w:name="caption" w:locked="1" w:semiHidden="0" w:uiPriority="0" w:unhideWhenUsed="0" w:qFormat="1"/>
    <w:lsdException w:name="footnote reference"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Cs w:val="20"/>
      <w:lang w:val="en-US"/>
    </w:rPr>
  </w:style>
  <w:style w:type="paragraph" w:styleId="Heading1">
    <w:name w:val="heading 1"/>
    <w:basedOn w:val="Normal"/>
    <w:next w:val="Normal"/>
    <w:link w:val="Heading1Char"/>
    <w:uiPriority w:val="99"/>
    <w:qFormat/>
    <w:rsid w:val="00676C5C"/>
    <w:pPr>
      <w:keepNext/>
      <w:spacing w:before="240" w:after="60"/>
      <w:outlineLvl w:val="0"/>
    </w:pPr>
    <w:rPr>
      <w:rFonts w:cs="Times New Roman"/>
      <w:b/>
      <w:bCs/>
      <w:caps/>
      <w:kern w:val="32"/>
      <w:szCs w:val="32"/>
      <w:lang w:val="en-SG"/>
    </w:rPr>
  </w:style>
  <w:style w:type="paragraph" w:styleId="Heading2">
    <w:name w:val="heading 2"/>
    <w:basedOn w:val="Normal"/>
    <w:next w:val="Normal"/>
    <w:link w:val="Heading2Char"/>
    <w:uiPriority w:val="99"/>
    <w:qFormat/>
    <w:rsid w:val="00676C5C"/>
    <w:pPr>
      <w:keepNext/>
      <w:spacing w:before="240" w:after="60"/>
      <w:outlineLvl w:val="1"/>
    </w:pPr>
    <w:rPr>
      <w:rFonts w:cs="Times New Roman"/>
      <w:bCs/>
      <w:iCs/>
      <w:caps/>
      <w:szCs w:val="28"/>
      <w:lang w:val="en-SG"/>
    </w:rPr>
  </w:style>
  <w:style w:type="paragraph" w:styleId="Heading3">
    <w:name w:val="heading 3"/>
    <w:basedOn w:val="Normal"/>
    <w:next w:val="Normal"/>
    <w:link w:val="Heading3Char"/>
    <w:uiPriority w:val="99"/>
    <w:qFormat/>
    <w:rsid w:val="00676C5C"/>
    <w:pPr>
      <w:keepNext/>
      <w:spacing w:before="240" w:after="60"/>
      <w:outlineLvl w:val="2"/>
    </w:pPr>
    <w:rPr>
      <w:rFonts w:cs="Times New Roman"/>
      <w:bCs/>
      <w:szCs w:val="26"/>
      <w:u w:val="single"/>
      <w:lang w:val="en-SG"/>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938"/>
    <w:rPr>
      <w:rFonts w:ascii="Arial" w:eastAsia="SimSun" w:hAnsi="Arial"/>
      <w:b/>
      <w:caps/>
      <w:kern w:val="32"/>
      <w:sz w:val="32"/>
      <w:lang w:eastAsia="zh-CN"/>
    </w:rPr>
  </w:style>
  <w:style w:type="character" w:customStyle="1" w:styleId="Heading2Char">
    <w:name w:val="Heading 2 Char"/>
    <w:basedOn w:val="DefaultParagraphFont"/>
    <w:link w:val="Heading2"/>
    <w:uiPriority w:val="99"/>
    <w:locked/>
    <w:rsid w:val="00DA5938"/>
    <w:rPr>
      <w:rFonts w:ascii="Arial" w:eastAsia="SimSun" w:hAnsi="Arial"/>
      <w:caps/>
      <w:sz w:val="28"/>
      <w:lang w:eastAsia="zh-CN"/>
    </w:rPr>
  </w:style>
  <w:style w:type="character" w:customStyle="1" w:styleId="Heading3Char">
    <w:name w:val="Heading 3 Char"/>
    <w:basedOn w:val="DefaultParagraphFont"/>
    <w:link w:val="Heading3"/>
    <w:uiPriority w:val="99"/>
    <w:locked/>
    <w:rsid w:val="00DA5938"/>
    <w:rPr>
      <w:rFonts w:ascii="Arial" w:eastAsia="SimSun" w:hAnsi="Arial"/>
      <w:sz w:val="26"/>
      <w:u w:val="single"/>
      <w:lang w:eastAsia="zh-CN"/>
    </w:rPr>
  </w:style>
  <w:style w:type="character" w:customStyle="1" w:styleId="Heading4Char">
    <w:name w:val="Heading 4 Char"/>
    <w:basedOn w:val="DefaultParagraphFont"/>
    <w:link w:val="Heading4"/>
    <w:uiPriority w:val="9"/>
    <w:semiHidden/>
    <w:rsid w:val="00672D93"/>
    <w:rPr>
      <w:rFonts w:asciiTheme="minorHAnsi" w:eastAsiaTheme="minorEastAsia" w:hAnsiTheme="minorHAnsi" w:cstheme="minorBidi"/>
      <w:b/>
      <w:bCs/>
      <w:sz w:val="28"/>
      <w:szCs w:val="28"/>
      <w:lang w:val="en-US"/>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rsid w:val="00672D93"/>
    <w:rPr>
      <w:rFonts w:ascii="Arial" w:eastAsia="SimSun" w:hAnsi="Arial" w:cs="Arial"/>
      <w:szCs w:val="20"/>
      <w:lang w:val="en-US"/>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672D93"/>
    <w:rPr>
      <w:rFonts w:ascii="Arial" w:eastAsia="SimSun" w:hAnsi="Arial" w:cs="Arial"/>
      <w:sz w:val="20"/>
      <w:szCs w:val="20"/>
      <w:lang w:val="en-US"/>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rsid w:val="00672D93"/>
    <w:rPr>
      <w:rFonts w:ascii="Arial" w:eastAsia="SimSun" w:hAnsi="Arial" w:cs="Arial"/>
      <w:sz w:val="20"/>
      <w:szCs w:val="20"/>
      <w:lang w:val="en-US"/>
    </w:rPr>
  </w:style>
  <w:style w:type="paragraph" w:styleId="Footer">
    <w:name w:val="footer"/>
    <w:basedOn w:val="Normal"/>
    <w:link w:val="FooterChar"/>
    <w:uiPriority w:val="99"/>
    <w:semiHidden/>
    <w:rsid w:val="00676C5C"/>
    <w:pPr>
      <w:tabs>
        <w:tab w:val="center" w:pos="4320"/>
        <w:tab w:val="right" w:pos="8640"/>
      </w:tabs>
    </w:pPr>
    <w:rPr>
      <w:rFonts w:cs="Times New Roman"/>
      <w:lang w:val="en-SG"/>
    </w:rPr>
  </w:style>
  <w:style w:type="character" w:customStyle="1" w:styleId="FooterChar">
    <w:name w:val="Footer Char"/>
    <w:basedOn w:val="DefaultParagraphFont"/>
    <w:link w:val="Footer"/>
    <w:uiPriority w:val="99"/>
    <w:semiHidden/>
    <w:locked/>
    <w:rsid w:val="00DA5938"/>
    <w:rPr>
      <w:rFonts w:ascii="Arial" w:eastAsia="SimSun" w:hAnsi="Arial"/>
      <w:sz w:val="22"/>
      <w:lang w:eastAsia="zh-CN"/>
    </w:rPr>
  </w:style>
  <w:style w:type="paragraph" w:styleId="FootnoteText">
    <w:name w:val="footnote text"/>
    <w:basedOn w:val="Normal"/>
    <w:link w:val="FootnoteTextChar"/>
    <w:uiPriority w:val="99"/>
    <w:semiHidden/>
    <w:rsid w:val="00676C5C"/>
    <w:rPr>
      <w:rFonts w:cs="Times New Roman"/>
      <w:sz w:val="18"/>
      <w:lang w:val="en-SG"/>
    </w:rPr>
  </w:style>
  <w:style w:type="character" w:customStyle="1" w:styleId="FootnoteTextChar">
    <w:name w:val="Footnote Text Char"/>
    <w:basedOn w:val="DefaultParagraphFont"/>
    <w:link w:val="FootnoteText"/>
    <w:uiPriority w:val="99"/>
    <w:semiHidden/>
    <w:locked/>
    <w:rsid w:val="00DA5938"/>
    <w:rPr>
      <w:rFonts w:ascii="Arial" w:eastAsia="SimSun" w:hAnsi="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locked/>
    <w:rsid w:val="00BB7AA4"/>
    <w:rPr>
      <w:rFonts w:ascii="Arial" w:eastAsia="SimSun" w:hAnsi="Arial" w:cs="Arial"/>
      <w:sz w:val="22"/>
      <w:lang w:eastAsia="zh-CN"/>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link w:val="ONUMEChar"/>
    <w:uiPriority w:val="99"/>
    <w:rsid w:val="00676C5C"/>
    <w:pPr>
      <w:numPr>
        <w:numId w:val="7"/>
      </w:numPr>
    </w:pPr>
    <w:rPr>
      <w:rFonts w:cs="Times New Roman"/>
      <w:lang w:val="en-SG"/>
    </w:r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rsid w:val="00672D93"/>
    <w:rPr>
      <w:rFonts w:ascii="Arial" w:eastAsia="SimSun" w:hAnsi="Arial" w:cs="Arial"/>
      <w:szCs w:val="20"/>
      <w:lang w:val="en-US"/>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rsid w:val="00672D93"/>
    <w:rPr>
      <w:rFonts w:ascii="Arial" w:eastAsia="SimSun" w:hAnsi="Arial" w:cs="Arial"/>
      <w:szCs w:val="20"/>
      <w:lang w:val="en-US"/>
    </w:rPr>
  </w:style>
  <w:style w:type="character" w:styleId="FootnoteReference">
    <w:name w:val="footnote reference"/>
    <w:basedOn w:val="DefaultParagraphFont"/>
    <w:uiPriority w:val="99"/>
    <w:rsid w:val="00DA5938"/>
    <w:rPr>
      <w:rFonts w:cs="Times New Roman"/>
      <w:vertAlign w:val="superscript"/>
    </w:rPr>
  </w:style>
  <w:style w:type="paragraph" w:styleId="BalloonText">
    <w:name w:val="Balloon Text"/>
    <w:basedOn w:val="Normal"/>
    <w:link w:val="BalloonTextChar"/>
    <w:uiPriority w:val="99"/>
    <w:rsid w:val="00A84A1A"/>
    <w:rPr>
      <w:rFonts w:ascii="Tahoma" w:hAnsi="Tahoma" w:cs="Tahoma"/>
      <w:sz w:val="16"/>
      <w:szCs w:val="16"/>
    </w:rPr>
  </w:style>
  <w:style w:type="character" w:customStyle="1" w:styleId="BalloonTextChar">
    <w:name w:val="Balloon Text Char"/>
    <w:basedOn w:val="DefaultParagraphFont"/>
    <w:link w:val="BalloonText"/>
    <w:uiPriority w:val="99"/>
    <w:locked/>
    <w:rsid w:val="00A84A1A"/>
    <w:rPr>
      <w:rFonts w:ascii="Tahoma" w:eastAsia="SimSun" w:hAnsi="Tahoma" w:cs="Tahoma"/>
      <w:sz w:val="16"/>
      <w:szCs w:val="16"/>
      <w:lang w:eastAsia="zh-CN"/>
    </w:rPr>
  </w:style>
  <w:style w:type="paragraph" w:styleId="ListParagraph">
    <w:name w:val="List Paragraph"/>
    <w:basedOn w:val="Normal"/>
    <w:uiPriority w:val="99"/>
    <w:qFormat/>
    <w:rsid w:val="008F322C"/>
    <w:pPr>
      <w:spacing w:after="200" w:line="276" w:lineRule="auto"/>
      <w:ind w:left="720"/>
      <w:contextualSpacing/>
    </w:pPr>
    <w:rPr>
      <w:rFonts w:ascii="Calibri" w:eastAsia="Times New Roman" w:hAnsi="Calibri" w:cs="Times New Roman"/>
      <w:szCs w:val="22"/>
      <w:lang w:eastAsia="en-US"/>
    </w:rPr>
  </w:style>
  <w:style w:type="character" w:styleId="Hyperlink">
    <w:name w:val="Hyperlink"/>
    <w:basedOn w:val="DefaultParagraphFont"/>
    <w:uiPriority w:val="99"/>
    <w:rsid w:val="007C2752"/>
    <w:rPr>
      <w:rFonts w:cs="Times New Roman"/>
      <w:color w:val="0000FF"/>
      <w:u w:val="single"/>
    </w:rPr>
  </w:style>
  <w:style w:type="character" w:customStyle="1" w:styleId="ONUMEChar">
    <w:name w:val="ONUM E Char"/>
    <w:link w:val="ONUME"/>
    <w:uiPriority w:val="99"/>
    <w:locked/>
    <w:rsid w:val="00EC0053"/>
    <w:rPr>
      <w:rFonts w:ascii="Arial" w:eastAsia="SimSun" w:hAnsi="Arial"/>
      <w:szCs w:val="20"/>
    </w:rPr>
  </w:style>
  <w:style w:type="paragraph" w:customStyle="1" w:styleId="DecisionInvitingPara">
    <w:name w:val="Decision Inviting Para."/>
    <w:basedOn w:val="Normal"/>
    <w:rsid w:val="00133109"/>
    <w:pPr>
      <w:spacing w:after="120" w:line="260" w:lineRule="atLeast"/>
      <w:ind w:left="5534"/>
      <w:contextualSpacing/>
    </w:pPr>
    <w:rPr>
      <w:rFonts w:eastAsia="Times New Roman" w:cs="Times New Roman"/>
      <w:i/>
      <w:sz w:val="20"/>
      <w:lang w:eastAsia="en-US"/>
    </w:rPr>
  </w:style>
  <w:style w:type="character" w:styleId="EndnoteReference">
    <w:name w:val="endnote reference"/>
    <w:basedOn w:val="DefaultParagraphFont"/>
    <w:uiPriority w:val="99"/>
    <w:semiHidden/>
    <w:unhideWhenUsed/>
    <w:rsid w:val="0035568B"/>
    <w:rPr>
      <w:vertAlign w:val="superscript"/>
    </w:rPr>
  </w:style>
  <w:style w:type="character" w:styleId="FollowedHyperlink">
    <w:name w:val="FollowedHyperlink"/>
    <w:basedOn w:val="DefaultParagraphFont"/>
    <w:uiPriority w:val="99"/>
    <w:semiHidden/>
    <w:unhideWhenUsed/>
    <w:rsid w:val="00D274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80575">
      <w:marLeft w:val="0"/>
      <w:marRight w:val="0"/>
      <w:marTop w:val="0"/>
      <w:marBottom w:val="0"/>
      <w:divBdr>
        <w:top w:val="none" w:sz="0" w:space="0" w:color="auto"/>
        <w:left w:val="none" w:sz="0" w:space="0" w:color="auto"/>
        <w:bottom w:val="none" w:sz="0" w:space="0" w:color="auto"/>
        <w:right w:val="none" w:sz="0" w:space="0" w:color="auto"/>
      </w:divBdr>
      <w:divsChild>
        <w:div w:id="480080567">
          <w:marLeft w:val="1166"/>
          <w:marRight w:val="0"/>
          <w:marTop w:val="96"/>
          <w:marBottom w:val="0"/>
          <w:divBdr>
            <w:top w:val="none" w:sz="0" w:space="0" w:color="auto"/>
            <w:left w:val="none" w:sz="0" w:space="0" w:color="auto"/>
            <w:bottom w:val="none" w:sz="0" w:space="0" w:color="auto"/>
            <w:right w:val="none" w:sz="0" w:space="0" w:color="auto"/>
          </w:divBdr>
        </w:div>
        <w:div w:id="480080570">
          <w:marLeft w:val="1166"/>
          <w:marRight w:val="0"/>
          <w:marTop w:val="96"/>
          <w:marBottom w:val="0"/>
          <w:divBdr>
            <w:top w:val="none" w:sz="0" w:space="0" w:color="auto"/>
            <w:left w:val="none" w:sz="0" w:space="0" w:color="auto"/>
            <w:bottom w:val="none" w:sz="0" w:space="0" w:color="auto"/>
            <w:right w:val="none" w:sz="0" w:space="0" w:color="auto"/>
          </w:divBdr>
        </w:div>
        <w:div w:id="480080572">
          <w:marLeft w:val="1166"/>
          <w:marRight w:val="0"/>
          <w:marTop w:val="96"/>
          <w:marBottom w:val="0"/>
          <w:divBdr>
            <w:top w:val="none" w:sz="0" w:space="0" w:color="auto"/>
            <w:left w:val="none" w:sz="0" w:space="0" w:color="auto"/>
            <w:bottom w:val="none" w:sz="0" w:space="0" w:color="auto"/>
            <w:right w:val="none" w:sz="0" w:space="0" w:color="auto"/>
          </w:divBdr>
        </w:div>
        <w:div w:id="480080573">
          <w:marLeft w:val="1166"/>
          <w:marRight w:val="0"/>
          <w:marTop w:val="96"/>
          <w:marBottom w:val="0"/>
          <w:divBdr>
            <w:top w:val="none" w:sz="0" w:space="0" w:color="auto"/>
            <w:left w:val="none" w:sz="0" w:space="0" w:color="auto"/>
            <w:bottom w:val="none" w:sz="0" w:space="0" w:color="auto"/>
            <w:right w:val="none" w:sz="0" w:space="0" w:color="auto"/>
          </w:divBdr>
        </w:div>
        <w:div w:id="480080576">
          <w:marLeft w:val="1166"/>
          <w:marRight w:val="0"/>
          <w:marTop w:val="96"/>
          <w:marBottom w:val="0"/>
          <w:divBdr>
            <w:top w:val="none" w:sz="0" w:space="0" w:color="auto"/>
            <w:left w:val="none" w:sz="0" w:space="0" w:color="auto"/>
            <w:bottom w:val="none" w:sz="0" w:space="0" w:color="auto"/>
            <w:right w:val="none" w:sz="0" w:space="0" w:color="auto"/>
          </w:divBdr>
        </w:div>
        <w:div w:id="480080584">
          <w:marLeft w:val="1166"/>
          <w:marRight w:val="0"/>
          <w:marTop w:val="96"/>
          <w:marBottom w:val="0"/>
          <w:divBdr>
            <w:top w:val="none" w:sz="0" w:space="0" w:color="auto"/>
            <w:left w:val="none" w:sz="0" w:space="0" w:color="auto"/>
            <w:bottom w:val="none" w:sz="0" w:space="0" w:color="auto"/>
            <w:right w:val="none" w:sz="0" w:space="0" w:color="auto"/>
          </w:divBdr>
        </w:div>
        <w:div w:id="480080587">
          <w:marLeft w:val="1166"/>
          <w:marRight w:val="0"/>
          <w:marTop w:val="96"/>
          <w:marBottom w:val="0"/>
          <w:divBdr>
            <w:top w:val="none" w:sz="0" w:space="0" w:color="auto"/>
            <w:left w:val="none" w:sz="0" w:space="0" w:color="auto"/>
            <w:bottom w:val="none" w:sz="0" w:space="0" w:color="auto"/>
            <w:right w:val="none" w:sz="0" w:space="0" w:color="auto"/>
          </w:divBdr>
        </w:div>
      </w:divsChild>
    </w:div>
    <w:div w:id="480080577">
      <w:marLeft w:val="0"/>
      <w:marRight w:val="0"/>
      <w:marTop w:val="0"/>
      <w:marBottom w:val="0"/>
      <w:divBdr>
        <w:top w:val="none" w:sz="0" w:space="0" w:color="auto"/>
        <w:left w:val="none" w:sz="0" w:space="0" w:color="auto"/>
        <w:bottom w:val="none" w:sz="0" w:space="0" w:color="auto"/>
        <w:right w:val="none" w:sz="0" w:space="0" w:color="auto"/>
      </w:divBdr>
    </w:div>
    <w:div w:id="480080578">
      <w:marLeft w:val="0"/>
      <w:marRight w:val="0"/>
      <w:marTop w:val="0"/>
      <w:marBottom w:val="0"/>
      <w:divBdr>
        <w:top w:val="none" w:sz="0" w:space="0" w:color="auto"/>
        <w:left w:val="none" w:sz="0" w:space="0" w:color="auto"/>
        <w:bottom w:val="none" w:sz="0" w:space="0" w:color="auto"/>
        <w:right w:val="none" w:sz="0" w:space="0" w:color="auto"/>
      </w:divBdr>
      <w:divsChild>
        <w:div w:id="480080583">
          <w:marLeft w:val="0"/>
          <w:marRight w:val="0"/>
          <w:marTop w:val="0"/>
          <w:marBottom w:val="0"/>
          <w:divBdr>
            <w:top w:val="none" w:sz="0" w:space="0" w:color="auto"/>
            <w:left w:val="none" w:sz="0" w:space="0" w:color="auto"/>
            <w:bottom w:val="none" w:sz="0" w:space="0" w:color="auto"/>
            <w:right w:val="none" w:sz="0" w:space="0" w:color="auto"/>
          </w:divBdr>
          <w:divsChild>
            <w:div w:id="480080581">
              <w:marLeft w:val="0"/>
              <w:marRight w:val="0"/>
              <w:marTop w:val="1275"/>
              <w:marBottom w:val="0"/>
              <w:divBdr>
                <w:top w:val="none" w:sz="0" w:space="0" w:color="auto"/>
                <w:left w:val="none" w:sz="0" w:space="0" w:color="auto"/>
                <w:bottom w:val="none" w:sz="0" w:space="0" w:color="auto"/>
                <w:right w:val="none" w:sz="0" w:space="0" w:color="auto"/>
              </w:divBdr>
              <w:divsChild>
                <w:div w:id="480080568">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80579">
      <w:marLeft w:val="0"/>
      <w:marRight w:val="0"/>
      <w:marTop w:val="0"/>
      <w:marBottom w:val="0"/>
      <w:divBdr>
        <w:top w:val="none" w:sz="0" w:space="0" w:color="auto"/>
        <w:left w:val="none" w:sz="0" w:space="0" w:color="auto"/>
        <w:bottom w:val="none" w:sz="0" w:space="0" w:color="auto"/>
        <w:right w:val="none" w:sz="0" w:space="0" w:color="auto"/>
      </w:divBdr>
      <w:divsChild>
        <w:div w:id="480080574">
          <w:marLeft w:val="0"/>
          <w:marRight w:val="0"/>
          <w:marTop w:val="0"/>
          <w:marBottom w:val="0"/>
          <w:divBdr>
            <w:top w:val="none" w:sz="0" w:space="0" w:color="auto"/>
            <w:left w:val="none" w:sz="0" w:space="0" w:color="auto"/>
            <w:bottom w:val="none" w:sz="0" w:space="0" w:color="auto"/>
            <w:right w:val="none" w:sz="0" w:space="0" w:color="auto"/>
          </w:divBdr>
          <w:divsChild>
            <w:div w:id="480080582">
              <w:marLeft w:val="0"/>
              <w:marRight w:val="0"/>
              <w:marTop w:val="1275"/>
              <w:marBottom w:val="0"/>
              <w:divBdr>
                <w:top w:val="none" w:sz="0" w:space="0" w:color="auto"/>
                <w:left w:val="none" w:sz="0" w:space="0" w:color="auto"/>
                <w:bottom w:val="none" w:sz="0" w:space="0" w:color="auto"/>
                <w:right w:val="none" w:sz="0" w:space="0" w:color="auto"/>
              </w:divBdr>
              <w:divsChild>
                <w:div w:id="480080571">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80586">
      <w:marLeft w:val="0"/>
      <w:marRight w:val="0"/>
      <w:marTop w:val="0"/>
      <w:marBottom w:val="0"/>
      <w:divBdr>
        <w:top w:val="none" w:sz="0" w:space="0" w:color="auto"/>
        <w:left w:val="none" w:sz="0" w:space="0" w:color="auto"/>
        <w:bottom w:val="none" w:sz="0" w:space="0" w:color="auto"/>
        <w:right w:val="none" w:sz="0" w:space="0" w:color="auto"/>
      </w:divBdr>
      <w:divsChild>
        <w:div w:id="480080585">
          <w:marLeft w:val="0"/>
          <w:marRight w:val="0"/>
          <w:marTop w:val="0"/>
          <w:marBottom w:val="0"/>
          <w:divBdr>
            <w:top w:val="none" w:sz="0" w:space="0" w:color="auto"/>
            <w:left w:val="none" w:sz="0" w:space="0" w:color="auto"/>
            <w:bottom w:val="none" w:sz="0" w:space="0" w:color="auto"/>
            <w:right w:val="none" w:sz="0" w:space="0" w:color="auto"/>
          </w:divBdr>
          <w:divsChild>
            <w:div w:id="480080569">
              <w:marLeft w:val="0"/>
              <w:marRight w:val="0"/>
              <w:marTop w:val="1275"/>
              <w:marBottom w:val="0"/>
              <w:divBdr>
                <w:top w:val="none" w:sz="0" w:space="0" w:color="auto"/>
                <w:left w:val="none" w:sz="0" w:space="0" w:color="auto"/>
                <w:bottom w:val="none" w:sz="0" w:space="0" w:color="auto"/>
                <w:right w:val="none" w:sz="0" w:space="0" w:color="auto"/>
              </w:divBdr>
              <w:divsChild>
                <w:div w:id="480080580">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80588">
      <w:marLeft w:val="0"/>
      <w:marRight w:val="0"/>
      <w:marTop w:val="0"/>
      <w:marBottom w:val="0"/>
      <w:divBdr>
        <w:top w:val="none" w:sz="0" w:space="0" w:color="auto"/>
        <w:left w:val="none" w:sz="0" w:space="0" w:color="auto"/>
        <w:bottom w:val="none" w:sz="0" w:space="0" w:color="auto"/>
        <w:right w:val="none" w:sz="0" w:space="0" w:color="auto"/>
      </w:divBdr>
    </w:div>
    <w:div w:id="9749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export/sites/www/amc/en/docs/surveyresult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yperlink" Target="http://www.wipo.int/amc/en/center/specific-sectors/ict/fran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EFED-49A9-4485-8930-009709EC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18</Pages>
  <Words>6817</Words>
  <Characters>37625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Actividades del Centro de Arbitraje y Mediación de la OMPI</vt:lpstr>
    </vt:vector>
  </TitlesOfParts>
  <Company>WIPO</Company>
  <LinksUpToDate>false</LinksUpToDate>
  <CharactersWithSpaces>44354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del Centro de Arbitraje y Mediación de la OMPI</dc:title>
  <dc:subject>WIPO/ACE/9/4</dc:subject>
  <dc:creator>GRADIN</dc:creator>
  <dc:description>CGD
07/02/2014</dc:description>
  <cp:lastModifiedBy>CEVALLOS DUQUE Nilo</cp:lastModifiedBy>
  <cp:revision>34</cp:revision>
  <cp:lastPrinted>2014-02-13T08:56:00Z</cp:lastPrinted>
  <dcterms:created xsi:type="dcterms:W3CDTF">2014-02-12T12:52:00Z</dcterms:created>
  <dcterms:modified xsi:type="dcterms:W3CDTF">2014-02-13T13:23:00Z</dcterms:modified>
</cp:coreProperties>
</file>