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720045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20045" w:rsidRDefault="00EC4E49" w:rsidP="00916EE2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20045" w:rsidRDefault="00E04720" w:rsidP="00916EE2">
            <w:pPr>
              <w:rPr>
                <w:lang w:val="es-ES_tradnl"/>
              </w:rPr>
            </w:pPr>
            <w:r w:rsidRPr="00720045">
              <w:rPr>
                <w:noProof/>
                <w:color w:val="00B050"/>
                <w:lang w:val="en-US" w:eastAsia="en-US"/>
              </w:rPr>
              <w:drawing>
                <wp:inline distT="0" distB="0" distL="0" distR="0" wp14:anchorId="60F99241" wp14:editId="616C9F47">
                  <wp:extent cx="1809750" cy="1323975"/>
                  <wp:effectExtent l="0" t="0" r="0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20045" w:rsidRDefault="00EA7492" w:rsidP="00916EE2">
            <w:pPr>
              <w:jc w:val="right"/>
              <w:rPr>
                <w:lang w:val="es-ES_tradnl"/>
              </w:rPr>
            </w:pPr>
            <w:r w:rsidRPr="00720045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720045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20045" w:rsidRDefault="00801E1B" w:rsidP="0004180C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720045">
              <w:rPr>
                <w:rFonts w:ascii="Arial Black" w:hAnsi="Arial Black"/>
                <w:caps/>
                <w:sz w:val="15"/>
                <w:lang w:val="es-ES_tradnl"/>
              </w:rPr>
              <w:t>WIPO/ACE/9/</w:t>
            </w:r>
            <w:bookmarkStart w:id="1" w:name="Code"/>
            <w:bookmarkEnd w:id="1"/>
            <w:r w:rsidR="0004180C" w:rsidRPr="00720045">
              <w:rPr>
                <w:rFonts w:ascii="Arial Black" w:hAnsi="Arial Black"/>
                <w:caps/>
                <w:sz w:val="15"/>
                <w:lang w:val="es-ES_tradnl"/>
              </w:rPr>
              <w:t>26</w:t>
            </w:r>
            <w:r w:rsidR="008B2CC1" w:rsidRPr="00720045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</w:p>
        </w:tc>
      </w:tr>
      <w:tr w:rsidR="008B2CC1" w:rsidRPr="007200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20045" w:rsidRDefault="008B2CC1" w:rsidP="00D64C82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720045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14686" w:rsidRPr="00720045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  <w:r w:rsidR="006612EE" w:rsidRPr="00720045">
              <w:rPr>
                <w:rFonts w:ascii="Arial Black" w:hAnsi="Arial Black"/>
                <w:caps/>
                <w:sz w:val="15"/>
                <w:lang w:val="es-ES_tradnl"/>
              </w:rPr>
              <w:t>Ingl</w:t>
            </w:r>
            <w:r w:rsidR="00D64C82" w:rsidRPr="00720045">
              <w:rPr>
                <w:rFonts w:ascii="Arial Black" w:hAnsi="Arial Black"/>
                <w:caps/>
                <w:sz w:val="15"/>
                <w:lang w:val="es-ES_tradnl"/>
              </w:rPr>
              <w:t>és</w:t>
            </w:r>
            <w:r w:rsidR="00A42DAF" w:rsidRPr="00720045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720045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7200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20045" w:rsidRDefault="00D64C82" w:rsidP="0004180C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720045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720045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F14686" w:rsidRPr="00720045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  <w:r w:rsidR="0004180C" w:rsidRPr="00720045">
              <w:rPr>
                <w:rFonts w:ascii="Arial Black" w:hAnsi="Arial Black"/>
                <w:caps/>
                <w:sz w:val="15"/>
                <w:lang w:val="es-ES_tradnl"/>
              </w:rPr>
              <w:t>17</w:t>
            </w:r>
            <w:r w:rsidR="006612EE" w:rsidRPr="00720045">
              <w:rPr>
                <w:rFonts w:ascii="Arial Black" w:hAnsi="Arial Black"/>
                <w:caps/>
                <w:sz w:val="15"/>
                <w:lang w:val="es-ES_tradnl"/>
              </w:rPr>
              <w:t xml:space="preserve"> de </w:t>
            </w:r>
            <w:r w:rsidR="0004180C" w:rsidRPr="00720045">
              <w:rPr>
                <w:rFonts w:ascii="Arial Black" w:hAnsi="Arial Black"/>
                <w:caps/>
                <w:sz w:val="15"/>
                <w:lang w:val="es-ES_tradnl"/>
              </w:rPr>
              <w:t>FEBRERO</w:t>
            </w:r>
            <w:r w:rsidR="006612EE" w:rsidRPr="00720045">
              <w:rPr>
                <w:rFonts w:ascii="Arial Black" w:hAnsi="Arial Black"/>
                <w:caps/>
                <w:sz w:val="15"/>
                <w:lang w:val="es-ES_tradnl"/>
              </w:rPr>
              <w:t xml:space="preserve"> de</w:t>
            </w:r>
            <w:r w:rsidR="00F14686" w:rsidRPr="00720045">
              <w:rPr>
                <w:rFonts w:ascii="Arial Black" w:hAnsi="Arial Black"/>
                <w:caps/>
                <w:sz w:val="15"/>
                <w:lang w:val="es-ES_tradnl"/>
              </w:rPr>
              <w:t xml:space="preserve"> 2014</w:t>
            </w:r>
            <w:r w:rsidR="00A42DAF" w:rsidRPr="00720045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720045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3" w:name="Date"/>
            <w:bookmarkEnd w:id="3"/>
          </w:p>
        </w:tc>
      </w:tr>
    </w:tbl>
    <w:p w:rsidR="0008506F" w:rsidRPr="00720045" w:rsidRDefault="0008506F" w:rsidP="008B2CC1">
      <w:pPr>
        <w:rPr>
          <w:lang w:val="es-ES_tradnl"/>
        </w:rPr>
      </w:pPr>
    </w:p>
    <w:p w:rsidR="0008506F" w:rsidRPr="00720045" w:rsidRDefault="0008506F" w:rsidP="008B2CC1">
      <w:pPr>
        <w:rPr>
          <w:lang w:val="es-ES_tradnl"/>
        </w:rPr>
      </w:pPr>
    </w:p>
    <w:p w:rsidR="0008506F" w:rsidRPr="00720045" w:rsidRDefault="0008506F" w:rsidP="008B2CC1">
      <w:pPr>
        <w:rPr>
          <w:lang w:val="es-ES_tradnl"/>
        </w:rPr>
      </w:pPr>
    </w:p>
    <w:p w:rsidR="0008506F" w:rsidRPr="00720045" w:rsidRDefault="0008506F" w:rsidP="008B2CC1">
      <w:pPr>
        <w:rPr>
          <w:lang w:val="es-ES_tradnl"/>
        </w:rPr>
      </w:pPr>
    </w:p>
    <w:p w:rsidR="0008506F" w:rsidRPr="00720045" w:rsidRDefault="0008506F" w:rsidP="008B2CC1">
      <w:pPr>
        <w:rPr>
          <w:lang w:val="es-ES_tradnl"/>
        </w:rPr>
      </w:pPr>
    </w:p>
    <w:p w:rsidR="0008506F" w:rsidRPr="00720045" w:rsidRDefault="006612EE" w:rsidP="00061D47">
      <w:pPr>
        <w:pStyle w:val="Meetingtitle"/>
        <w:ind w:left="0"/>
        <w:rPr>
          <w:lang w:val="es-ES_tradnl"/>
        </w:rPr>
      </w:pPr>
      <w:r w:rsidRPr="00720045">
        <w:rPr>
          <w:lang w:val="es-ES_tradnl"/>
        </w:rPr>
        <w:t>Comité Asesor sobre Observancia</w:t>
      </w:r>
    </w:p>
    <w:p w:rsidR="0008506F" w:rsidRPr="00720045" w:rsidRDefault="00061D47" w:rsidP="00061D47">
      <w:pPr>
        <w:pStyle w:val="Sessiontitle"/>
        <w:ind w:left="0"/>
        <w:rPr>
          <w:lang w:val="es-ES_tradnl"/>
        </w:rPr>
      </w:pPr>
      <w:r w:rsidRPr="00720045">
        <w:rPr>
          <w:lang w:val="es-ES_tradnl" w:eastAsia="ko-KR"/>
        </w:rPr>
        <w:t>N</w:t>
      </w:r>
      <w:r w:rsidR="006612EE" w:rsidRPr="00720045">
        <w:rPr>
          <w:lang w:val="es-ES_tradnl" w:eastAsia="ko-KR"/>
        </w:rPr>
        <w:t xml:space="preserve">ovena </w:t>
      </w:r>
      <w:r w:rsidR="00202A5F" w:rsidRPr="00720045">
        <w:rPr>
          <w:lang w:val="es-ES_tradnl" w:eastAsia="ko-KR"/>
        </w:rPr>
        <w:t>sesión</w:t>
      </w:r>
    </w:p>
    <w:p w:rsidR="0008506F" w:rsidRPr="00720045" w:rsidRDefault="00061D47" w:rsidP="00061D47">
      <w:pPr>
        <w:pStyle w:val="Meetingplacedate"/>
        <w:ind w:left="0"/>
        <w:rPr>
          <w:lang w:val="es-ES_tradnl"/>
        </w:rPr>
      </w:pPr>
      <w:r w:rsidRPr="00720045">
        <w:rPr>
          <w:lang w:val="es-ES_tradnl"/>
        </w:rPr>
        <w:t>G</w:t>
      </w:r>
      <w:r w:rsidR="006612EE" w:rsidRPr="00720045">
        <w:rPr>
          <w:lang w:val="es-ES_tradnl"/>
        </w:rPr>
        <w:t xml:space="preserve">inebra, 3 a 5 de marzo de </w:t>
      </w:r>
      <w:r w:rsidRPr="00720045">
        <w:rPr>
          <w:lang w:val="es-ES_tradnl"/>
        </w:rPr>
        <w:t>201</w:t>
      </w:r>
      <w:r w:rsidRPr="00720045">
        <w:rPr>
          <w:lang w:val="es-ES_tradnl" w:eastAsia="ko-KR"/>
        </w:rPr>
        <w:t>4</w:t>
      </w:r>
    </w:p>
    <w:p w:rsidR="0008506F" w:rsidRPr="00720045" w:rsidRDefault="0008506F" w:rsidP="008B2CC1">
      <w:pPr>
        <w:rPr>
          <w:lang w:val="es-ES_tradnl"/>
        </w:rPr>
      </w:pPr>
    </w:p>
    <w:p w:rsidR="0008506F" w:rsidRPr="00720045" w:rsidRDefault="0008506F" w:rsidP="008B2CC1">
      <w:pPr>
        <w:rPr>
          <w:lang w:val="es-ES_tradnl"/>
        </w:rPr>
      </w:pPr>
    </w:p>
    <w:p w:rsidR="0008506F" w:rsidRPr="00720045" w:rsidRDefault="0008506F" w:rsidP="008B2CC1">
      <w:pPr>
        <w:rPr>
          <w:lang w:val="es-ES_tradnl"/>
        </w:rPr>
      </w:pPr>
    </w:p>
    <w:p w:rsidR="0008506F" w:rsidRPr="00720045" w:rsidRDefault="00FA65BD" w:rsidP="0004180C">
      <w:pPr>
        <w:rPr>
          <w:lang w:val="es-ES_tradnl"/>
        </w:rPr>
      </w:pPr>
      <w:bookmarkStart w:id="4" w:name="TitleOfDoc"/>
      <w:bookmarkEnd w:id="4"/>
      <w:r w:rsidRPr="00720045">
        <w:rPr>
          <w:bCs/>
          <w:caps/>
          <w:sz w:val="24"/>
          <w:lang w:val="es-ES_tradnl"/>
        </w:rPr>
        <w:t>ACUERDO</w:t>
      </w:r>
      <w:r w:rsidR="009416A9" w:rsidRPr="00720045">
        <w:rPr>
          <w:bCs/>
          <w:caps/>
          <w:sz w:val="24"/>
          <w:lang w:val="es-ES_tradnl"/>
        </w:rPr>
        <w:t>S</w:t>
      </w:r>
      <w:r w:rsidRPr="00720045">
        <w:rPr>
          <w:bCs/>
          <w:caps/>
          <w:sz w:val="24"/>
          <w:lang w:val="es-ES_tradnl"/>
        </w:rPr>
        <w:t xml:space="preserve"> </w:t>
      </w:r>
      <w:r w:rsidR="00DB1A28" w:rsidRPr="00720045">
        <w:rPr>
          <w:bCs/>
          <w:caps/>
          <w:sz w:val="24"/>
          <w:lang w:val="es-ES_tradnl"/>
        </w:rPr>
        <w:t>TIPO SOBRE INVESTIGACIÓN Y COMERCIALIZACIÓN DE TECNOLOGÍA</w:t>
      </w:r>
      <w:r w:rsidRPr="00720045">
        <w:rPr>
          <w:bCs/>
          <w:caps/>
          <w:sz w:val="24"/>
          <w:lang w:val="es-ES_tradnl"/>
        </w:rPr>
        <w:t xml:space="preserve">, </w:t>
      </w:r>
      <w:r w:rsidR="009416A9" w:rsidRPr="00720045">
        <w:rPr>
          <w:bCs/>
          <w:caps/>
          <w:sz w:val="24"/>
          <w:lang w:val="es-ES_tradnl"/>
        </w:rPr>
        <w:t xml:space="preserve">Y </w:t>
      </w:r>
      <w:r w:rsidRPr="00720045">
        <w:rPr>
          <w:bCs/>
          <w:caps/>
          <w:sz w:val="24"/>
          <w:lang w:val="es-ES_tradnl"/>
        </w:rPr>
        <w:t xml:space="preserve">SOLUCIÓN DE CONTROVERSIAS </w:t>
      </w:r>
      <w:r w:rsidR="00DB1A28" w:rsidRPr="00720045">
        <w:rPr>
          <w:bCs/>
          <w:caps/>
          <w:sz w:val="24"/>
          <w:lang w:val="es-ES_tradnl"/>
        </w:rPr>
        <w:t>EN ESE ÁMBITO</w:t>
      </w:r>
    </w:p>
    <w:p w:rsidR="0008506F" w:rsidRPr="00720045" w:rsidRDefault="0008506F" w:rsidP="0004180C">
      <w:pPr>
        <w:rPr>
          <w:i/>
          <w:lang w:val="es-ES_tradnl"/>
        </w:rPr>
      </w:pPr>
      <w:bookmarkStart w:id="5" w:name="Prepared"/>
      <w:bookmarkEnd w:id="5"/>
    </w:p>
    <w:p w:rsidR="0008506F" w:rsidRPr="00720045" w:rsidRDefault="00FA43DE" w:rsidP="00FA43DE">
      <w:pPr>
        <w:rPr>
          <w:i/>
          <w:lang w:val="es-ES_tradnl"/>
        </w:rPr>
      </w:pPr>
      <w:r w:rsidRPr="00720045">
        <w:rPr>
          <w:i/>
          <w:color w:val="000000"/>
          <w:lang w:val="es-ES_tradnl"/>
        </w:rPr>
        <w:t>Documento preparado por Sabine Fehringer, abogada, Viena (Austria)</w:t>
      </w:r>
      <w:r w:rsidR="00720045" w:rsidRPr="00720045">
        <w:rPr>
          <w:rStyle w:val="FootnoteReference"/>
          <w:i/>
          <w:lang w:val="es-ES_tradnl"/>
        </w:rPr>
        <w:footnoteReference w:customMarkFollows="1" w:id="2"/>
        <w:sym w:font="Symbol" w:char="F02A"/>
      </w:r>
    </w:p>
    <w:p w:rsidR="0008506F" w:rsidRPr="00720045" w:rsidRDefault="0008506F" w:rsidP="0004180C">
      <w:pPr>
        <w:rPr>
          <w:lang w:val="es-ES_tradnl"/>
        </w:rPr>
      </w:pPr>
    </w:p>
    <w:p w:rsidR="0008506F" w:rsidRPr="00720045" w:rsidRDefault="0008506F" w:rsidP="0004180C">
      <w:pPr>
        <w:rPr>
          <w:lang w:val="es-ES_tradnl"/>
        </w:rPr>
      </w:pPr>
    </w:p>
    <w:p w:rsidR="0008506F" w:rsidRPr="00720045" w:rsidRDefault="0008506F" w:rsidP="0004180C">
      <w:pPr>
        <w:rPr>
          <w:lang w:val="es-ES_tradnl"/>
        </w:rPr>
      </w:pPr>
    </w:p>
    <w:p w:rsidR="0008506F" w:rsidRPr="00720045" w:rsidRDefault="0004180C" w:rsidP="003C2FEF">
      <w:pPr>
        <w:rPr>
          <w:lang w:val="es-ES_tradnl"/>
        </w:rPr>
      </w:pPr>
      <w:r w:rsidRPr="00720045">
        <w:rPr>
          <w:lang w:val="es-ES_tradnl"/>
        </w:rPr>
        <w:fldChar w:fldCharType="begin"/>
      </w:r>
      <w:r w:rsidRPr="00720045">
        <w:rPr>
          <w:lang w:val="es-ES_tradnl"/>
        </w:rPr>
        <w:instrText xml:space="preserve"> AUTONUM  </w:instrText>
      </w:r>
      <w:r w:rsidRPr="00720045">
        <w:rPr>
          <w:lang w:val="es-ES_tradnl"/>
        </w:rPr>
        <w:fldChar w:fldCharType="end"/>
      </w:r>
      <w:r w:rsidRPr="00720045">
        <w:rPr>
          <w:lang w:val="es-ES_tradnl"/>
        </w:rPr>
        <w:tab/>
      </w:r>
      <w:r w:rsidR="00932691" w:rsidRPr="00720045">
        <w:rPr>
          <w:color w:val="000000"/>
          <w:lang w:val="es-ES_tradnl"/>
        </w:rPr>
        <w:t>La guía</w:t>
      </w:r>
      <w:r w:rsidR="00FF5948" w:rsidRPr="00720045">
        <w:rPr>
          <w:color w:val="000000"/>
          <w:lang w:val="es-ES_tradnl"/>
        </w:rPr>
        <w:t xml:space="preserve"> </w:t>
      </w:r>
      <w:r w:rsidR="00932691" w:rsidRPr="00720045">
        <w:rPr>
          <w:i/>
          <w:color w:val="000000"/>
          <w:lang w:val="es-ES_tradnl"/>
        </w:rPr>
        <w:t>Intellectual Property Agreement Guide</w:t>
      </w:r>
      <w:r w:rsidR="00932691" w:rsidRPr="00720045">
        <w:rPr>
          <w:color w:val="000000"/>
          <w:lang w:val="es-ES_tradnl"/>
        </w:rPr>
        <w:t xml:space="preserve"> (IPAG) es un proyecto austríaco de la asociación de universidades austríacas (</w:t>
      </w:r>
      <w:proofErr w:type="spellStart"/>
      <w:r w:rsidR="00C649B8" w:rsidRPr="00C649B8">
        <w:rPr>
          <w:i/>
          <w:color w:val="000000"/>
          <w:lang w:val="es-ES_tradnl"/>
        </w:rPr>
        <w:t>Ö</w:t>
      </w:r>
      <w:r w:rsidR="00932691" w:rsidRPr="00C649B8">
        <w:rPr>
          <w:i/>
          <w:color w:val="000000"/>
          <w:lang w:val="es-ES_tradnl"/>
        </w:rPr>
        <w:t>sterreichische</w:t>
      </w:r>
      <w:proofErr w:type="spellEnd"/>
      <w:r w:rsidR="00932691" w:rsidRPr="00C649B8">
        <w:rPr>
          <w:i/>
          <w:color w:val="000000"/>
          <w:lang w:val="es-ES_tradnl"/>
        </w:rPr>
        <w:t xml:space="preserve"> </w:t>
      </w:r>
      <w:proofErr w:type="spellStart"/>
      <w:r w:rsidR="00932691" w:rsidRPr="00C649B8">
        <w:rPr>
          <w:i/>
          <w:color w:val="000000"/>
          <w:lang w:val="es-ES_tradnl"/>
        </w:rPr>
        <w:t>Universitätenkonferenz</w:t>
      </w:r>
      <w:proofErr w:type="spellEnd"/>
      <w:r w:rsidR="00932691" w:rsidRPr="00720045">
        <w:rPr>
          <w:color w:val="000000"/>
          <w:lang w:val="es-ES_tradnl"/>
        </w:rPr>
        <w:t>), que cuenta con el respaldo de la entidad coordinadora nacional en materia de propiedad intelectual (P.I.) del Ministerio Federal de Ciencia e Investigación (</w:t>
      </w:r>
      <w:r w:rsidR="00932691" w:rsidRPr="00C649B8">
        <w:rPr>
          <w:i/>
          <w:color w:val="000000"/>
          <w:lang w:val="es-ES_tradnl"/>
        </w:rPr>
        <w:t>Bundesministerium für Wissenschaft und Forschung</w:t>
      </w:r>
      <w:r w:rsidR="00932691" w:rsidRPr="00720045">
        <w:rPr>
          <w:color w:val="000000"/>
          <w:lang w:val="es-ES_tradnl"/>
        </w:rPr>
        <w:t>), el Ministerio Federal de Economía, Familia y Juventud (</w:t>
      </w:r>
      <w:r w:rsidR="00932691" w:rsidRPr="00C649B8">
        <w:rPr>
          <w:i/>
          <w:color w:val="000000"/>
          <w:lang w:val="es-ES_tradnl"/>
        </w:rPr>
        <w:t>Bundesministerium für Wirtschaft, Familie und Jugend</w:t>
      </w:r>
      <w:r w:rsidR="00932691" w:rsidRPr="00720045">
        <w:rPr>
          <w:color w:val="000000"/>
          <w:lang w:val="es-ES_tradnl"/>
        </w:rPr>
        <w:t>), y el Ministerio Federal de Transporte, Innovación y Tecnología (</w:t>
      </w:r>
      <w:r w:rsidR="00932691" w:rsidRPr="00C649B8">
        <w:rPr>
          <w:i/>
          <w:color w:val="000000"/>
          <w:lang w:val="es-ES_tradnl"/>
        </w:rPr>
        <w:t>Bundesministerium für Verkehr, Innovation und Technologie</w:t>
      </w:r>
      <w:r w:rsidR="00932691" w:rsidRPr="00720045">
        <w:rPr>
          <w:color w:val="000000"/>
          <w:lang w:val="es-ES_tradnl"/>
        </w:rPr>
        <w:t xml:space="preserve">), y </w:t>
      </w:r>
      <w:r w:rsidR="00FF5948" w:rsidRPr="00720045">
        <w:rPr>
          <w:color w:val="000000"/>
          <w:lang w:val="es-ES_tradnl"/>
        </w:rPr>
        <w:t>con el apoyo de</w:t>
      </w:r>
      <w:r w:rsidR="00FA65BD" w:rsidRPr="00720045">
        <w:rPr>
          <w:color w:val="000000"/>
          <w:lang w:val="es-ES_tradnl"/>
        </w:rPr>
        <w:t xml:space="preserve">l </w:t>
      </w:r>
      <w:r w:rsidR="00FA65BD" w:rsidRPr="00720045">
        <w:rPr>
          <w:i/>
          <w:color w:val="000000"/>
          <w:lang w:val="es-ES_tradnl"/>
        </w:rPr>
        <w:t>Austria Wirtschaftsservice</w:t>
      </w:r>
      <w:r w:rsidR="00FA65BD" w:rsidRPr="00720045">
        <w:rPr>
          <w:color w:val="000000"/>
          <w:lang w:val="es-ES_tradnl"/>
        </w:rPr>
        <w:t>,</w:t>
      </w:r>
      <w:r w:rsidR="00FF5948" w:rsidRPr="00720045">
        <w:rPr>
          <w:color w:val="000000"/>
          <w:lang w:val="es-ES_tradnl"/>
        </w:rPr>
        <w:t xml:space="preserve"> </w:t>
      </w:r>
      <w:r w:rsidR="009F5CFD" w:rsidRPr="00720045">
        <w:rPr>
          <w:color w:val="000000"/>
          <w:lang w:val="es-ES_tradnl"/>
        </w:rPr>
        <w:t xml:space="preserve">un banco federal de desarrollo </w:t>
      </w:r>
      <w:r w:rsidR="00932691" w:rsidRPr="00720045">
        <w:rPr>
          <w:color w:val="000000"/>
          <w:lang w:val="es-ES_tradnl"/>
        </w:rPr>
        <w:t xml:space="preserve">y financiación que se dedica a la promoción y financiación de empresas. </w:t>
      </w:r>
      <w:r w:rsidRPr="00720045">
        <w:rPr>
          <w:lang w:val="es-ES_tradnl"/>
        </w:rPr>
        <w:t xml:space="preserve"> </w:t>
      </w:r>
      <w:r w:rsidR="003C2FEF" w:rsidRPr="00720045">
        <w:rPr>
          <w:color w:val="000000"/>
          <w:lang w:val="es-ES_tradnl"/>
        </w:rPr>
        <w:t xml:space="preserve">El objetivo del proyecto es impulsar la cooperación, </w:t>
      </w:r>
      <w:r w:rsidR="00FA65BD" w:rsidRPr="00720045">
        <w:rPr>
          <w:color w:val="000000"/>
          <w:lang w:val="es-ES_tradnl"/>
        </w:rPr>
        <w:t>e incentivar y</w:t>
      </w:r>
      <w:r w:rsidR="00C649B8">
        <w:rPr>
          <w:color w:val="000000"/>
          <w:lang w:val="es-ES_tradnl"/>
        </w:rPr>
        <w:t xml:space="preserve"> </w:t>
      </w:r>
      <w:r w:rsidR="003C2FEF" w:rsidRPr="00720045">
        <w:rPr>
          <w:color w:val="000000"/>
          <w:lang w:val="es-ES_tradnl"/>
        </w:rPr>
        <w:t>promov</w:t>
      </w:r>
      <w:r w:rsidR="00FA65BD" w:rsidRPr="00720045">
        <w:rPr>
          <w:color w:val="000000"/>
          <w:lang w:val="es-ES_tradnl"/>
        </w:rPr>
        <w:t xml:space="preserve">er la </w:t>
      </w:r>
      <w:r w:rsidR="009416A9" w:rsidRPr="00720045">
        <w:rPr>
          <w:color w:val="000000"/>
          <w:lang w:val="es-ES_tradnl"/>
        </w:rPr>
        <w:t xml:space="preserve">transferencia de </w:t>
      </w:r>
      <w:r w:rsidR="00AC2F36" w:rsidRPr="00720045">
        <w:rPr>
          <w:color w:val="000000"/>
          <w:lang w:val="es-ES_tradnl"/>
        </w:rPr>
        <w:t>conocim</w:t>
      </w:r>
      <w:r w:rsidR="003C2FEF" w:rsidRPr="00720045">
        <w:rPr>
          <w:color w:val="000000"/>
          <w:lang w:val="es-ES_tradnl"/>
        </w:rPr>
        <w:t>i</w:t>
      </w:r>
      <w:r w:rsidR="00AC2F36" w:rsidRPr="00720045">
        <w:rPr>
          <w:color w:val="000000"/>
          <w:lang w:val="es-ES_tradnl"/>
        </w:rPr>
        <w:t>e</w:t>
      </w:r>
      <w:r w:rsidR="003C2FEF" w:rsidRPr="00720045">
        <w:rPr>
          <w:color w:val="000000"/>
          <w:lang w:val="es-ES_tradnl"/>
        </w:rPr>
        <w:t xml:space="preserve">ntos entre la ciencia y la industria. </w:t>
      </w:r>
      <w:r w:rsidRPr="00720045">
        <w:rPr>
          <w:lang w:val="es-ES_tradnl"/>
        </w:rPr>
        <w:t xml:space="preserve"> </w:t>
      </w:r>
    </w:p>
    <w:p w:rsidR="0008506F" w:rsidRPr="00720045" w:rsidRDefault="0008506F" w:rsidP="0004180C">
      <w:pPr>
        <w:rPr>
          <w:lang w:val="es-ES_tradnl"/>
        </w:rPr>
      </w:pPr>
    </w:p>
    <w:p w:rsidR="0008506F" w:rsidRPr="00720045" w:rsidRDefault="0004180C" w:rsidP="00AC2F36">
      <w:pPr>
        <w:rPr>
          <w:color w:val="000000"/>
          <w:lang w:val="es-ES_tradnl"/>
        </w:rPr>
      </w:pPr>
      <w:r w:rsidRPr="00720045">
        <w:rPr>
          <w:lang w:val="es-ES_tradnl"/>
        </w:rPr>
        <w:fldChar w:fldCharType="begin"/>
      </w:r>
      <w:r w:rsidRPr="00720045">
        <w:rPr>
          <w:lang w:val="es-ES_tradnl"/>
        </w:rPr>
        <w:instrText xml:space="preserve"> AUTONUM  </w:instrText>
      </w:r>
      <w:r w:rsidRPr="00720045">
        <w:rPr>
          <w:lang w:val="es-ES_tradnl"/>
        </w:rPr>
        <w:fldChar w:fldCharType="end"/>
      </w:r>
      <w:r w:rsidRPr="00720045">
        <w:rPr>
          <w:lang w:val="es-ES_tradnl"/>
        </w:rPr>
        <w:tab/>
      </w:r>
      <w:r w:rsidR="00AB4E25" w:rsidRPr="00720045">
        <w:rPr>
          <w:color w:val="000000"/>
          <w:lang w:val="es-ES_tradnl"/>
        </w:rPr>
        <w:t xml:space="preserve">El intercambio de conocimientos y tecnología entre universidades y empresas a menudo requiere </w:t>
      </w:r>
      <w:r w:rsidR="009F5CFD" w:rsidRPr="00720045">
        <w:rPr>
          <w:color w:val="000000"/>
          <w:lang w:val="es-ES_tradnl"/>
        </w:rPr>
        <w:t>relaciones</w:t>
      </w:r>
      <w:r w:rsidR="00A231E9" w:rsidRPr="00720045">
        <w:rPr>
          <w:color w:val="000000"/>
          <w:lang w:val="es-ES_tradnl"/>
        </w:rPr>
        <w:t xml:space="preserve"> contractuales compleja</w:t>
      </w:r>
      <w:r w:rsidR="00AB4E25" w:rsidRPr="00720045">
        <w:rPr>
          <w:color w:val="000000"/>
          <w:lang w:val="es-ES_tradnl"/>
        </w:rPr>
        <w:t>s.</w:t>
      </w:r>
      <w:r w:rsidRPr="00720045">
        <w:rPr>
          <w:lang w:val="es-ES_tradnl"/>
        </w:rPr>
        <w:t xml:space="preserve">  </w:t>
      </w:r>
      <w:r w:rsidR="003342B2" w:rsidRPr="00720045">
        <w:rPr>
          <w:color w:val="000000"/>
          <w:lang w:val="es-ES_tradnl"/>
        </w:rPr>
        <w:t>Con el fin de crear una base que permita un</w:t>
      </w:r>
      <w:r w:rsidR="009F5CFD" w:rsidRPr="00720045">
        <w:rPr>
          <w:color w:val="000000"/>
          <w:lang w:val="es-ES_tradnl"/>
        </w:rPr>
        <w:t xml:space="preserve"> procedimiento de</w:t>
      </w:r>
      <w:r w:rsidR="003342B2" w:rsidRPr="00720045">
        <w:rPr>
          <w:color w:val="000000"/>
          <w:lang w:val="es-ES_tradnl"/>
        </w:rPr>
        <w:t xml:space="preserve"> transferencia de tecnología eficaz </w:t>
      </w:r>
      <w:r w:rsidR="009F5CFD" w:rsidRPr="00720045">
        <w:rPr>
          <w:color w:val="000000"/>
          <w:lang w:val="es-ES_tradnl"/>
        </w:rPr>
        <w:t>dentro de</w:t>
      </w:r>
      <w:r w:rsidR="003342B2" w:rsidRPr="00720045">
        <w:rPr>
          <w:color w:val="000000"/>
          <w:lang w:val="es-ES_tradnl"/>
        </w:rPr>
        <w:t xml:space="preserve"> un marco de cláusulas contractuales </w:t>
      </w:r>
      <w:r w:rsidR="009F5CFD" w:rsidRPr="00720045">
        <w:rPr>
          <w:color w:val="000000"/>
          <w:lang w:val="es-ES_tradnl"/>
        </w:rPr>
        <w:t>aprobadas legalmente</w:t>
      </w:r>
      <w:r w:rsidR="003342B2" w:rsidRPr="00720045">
        <w:rPr>
          <w:color w:val="000000"/>
          <w:lang w:val="es-ES_tradnl"/>
        </w:rPr>
        <w:t>, los representantes de las universidades austríacas, junto con expertos del sector industrial, instituciones públicas de investigación y ministerios austríacos</w:t>
      </w:r>
      <w:r w:rsidR="00FA65BD" w:rsidRPr="00720045">
        <w:rPr>
          <w:color w:val="000000"/>
          <w:lang w:val="es-ES_tradnl"/>
        </w:rPr>
        <w:t>,</w:t>
      </w:r>
      <w:r w:rsidR="003342B2" w:rsidRPr="00720045">
        <w:rPr>
          <w:color w:val="000000"/>
          <w:lang w:val="es-ES_tradnl"/>
        </w:rPr>
        <w:t xml:space="preserve"> elaboraron la guía </w:t>
      </w:r>
      <w:r w:rsidR="003342B2" w:rsidRPr="00720045">
        <w:rPr>
          <w:i/>
          <w:color w:val="000000"/>
          <w:lang w:val="es-ES_tradnl"/>
        </w:rPr>
        <w:t>Intellectual Property Agreement Guide</w:t>
      </w:r>
      <w:r w:rsidR="003342B2" w:rsidRPr="00720045">
        <w:rPr>
          <w:color w:val="000000"/>
          <w:lang w:val="es-ES_tradnl"/>
        </w:rPr>
        <w:t xml:space="preserve">. </w:t>
      </w:r>
      <w:r w:rsidR="00C649B8">
        <w:rPr>
          <w:lang w:val="es-ES_tradnl"/>
        </w:rPr>
        <w:t xml:space="preserve"> </w:t>
      </w:r>
      <w:r w:rsidR="003342B2" w:rsidRPr="00720045">
        <w:rPr>
          <w:color w:val="000000"/>
          <w:lang w:val="es-ES_tradnl"/>
        </w:rPr>
        <w:t>Se trata de un manual en línea</w:t>
      </w:r>
      <w:r w:rsidR="009F5CFD" w:rsidRPr="00720045">
        <w:rPr>
          <w:color w:val="000000"/>
          <w:lang w:val="es-ES_tradnl"/>
        </w:rPr>
        <w:t xml:space="preserve"> a disposición del público en forma gratuita</w:t>
      </w:r>
      <w:r w:rsidR="003342B2" w:rsidRPr="00720045">
        <w:rPr>
          <w:color w:val="000000"/>
          <w:lang w:val="es-ES_tradnl"/>
        </w:rPr>
        <w:t xml:space="preserve"> que contiene</w:t>
      </w:r>
      <w:r w:rsidR="00FA65BD" w:rsidRPr="00720045">
        <w:rPr>
          <w:color w:val="000000"/>
          <w:lang w:val="es-ES_tradnl"/>
        </w:rPr>
        <w:t xml:space="preserve"> </w:t>
      </w:r>
      <w:r w:rsidR="003342B2" w:rsidRPr="00720045">
        <w:rPr>
          <w:color w:val="000000"/>
          <w:lang w:val="es-ES_tradnl"/>
        </w:rPr>
        <w:t>acuerdos</w:t>
      </w:r>
      <w:r w:rsidR="00FA65BD" w:rsidRPr="00720045">
        <w:rPr>
          <w:color w:val="000000"/>
          <w:lang w:val="es-ES_tradnl"/>
        </w:rPr>
        <w:t xml:space="preserve"> </w:t>
      </w:r>
      <w:r w:rsidR="00A231E9" w:rsidRPr="00720045">
        <w:rPr>
          <w:color w:val="000000"/>
          <w:lang w:val="es-ES_tradnl"/>
        </w:rPr>
        <w:t xml:space="preserve">tipo </w:t>
      </w:r>
      <w:r w:rsidR="00FA65BD" w:rsidRPr="00720045">
        <w:rPr>
          <w:color w:val="000000"/>
          <w:lang w:val="es-ES_tradnl"/>
        </w:rPr>
        <w:t>pertinentes</w:t>
      </w:r>
      <w:r w:rsidR="003342B2" w:rsidRPr="00720045">
        <w:rPr>
          <w:color w:val="000000"/>
          <w:lang w:val="es-ES_tradnl"/>
        </w:rPr>
        <w:t xml:space="preserve">, cláusulas tipo con diferentes variantes, y </w:t>
      </w:r>
      <w:r w:rsidR="009F5CFD" w:rsidRPr="00720045">
        <w:rPr>
          <w:color w:val="000000"/>
          <w:lang w:val="es-ES_tradnl"/>
        </w:rPr>
        <w:t>numerosos</w:t>
      </w:r>
      <w:r w:rsidR="003342B2" w:rsidRPr="00720045">
        <w:rPr>
          <w:color w:val="000000"/>
          <w:lang w:val="es-ES_tradnl"/>
        </w:rPr>
        <w:t xml:space="preserve"> comentarios </w:t>
      </w:r>
      <w:r w:rsidR="00FA65BD" w:rsidRPr="00720045">
        <w:rPr>
          <w:color w:val="000000"/>
          <w:lang w:val="es-ES_tradnl"/>
        </w:rPr>
        <w:t>útiles</w:t>
      </w:r>
      <w:r w:rsidR="009F5CFD" w:rsidRPr="00720045">
        <w:rPr>
          <w:color w:val="000000"/>
          <w:lang w:val="es-ES_tradnl"/>
        </w:rPr>
        <w:t>.</w:t>
      </w:r>
      <w:r w:rsidRPr="00720045">
        <w:rPr>
          <w:lang w:val="es-ES_tradnl"/>
        </w:rPr>
        <w:t xml:space="preserve">  </w:t>
      </w:r>
      <w:r w:rsidR="00AC2F36" w:rsidRPr="00720045">
        <w:rPr>
          <w:color w:val="000000"/>
          <w:lang w:val="es-ES_tradnl"/>
        </w:rPr>
        <w:t>Los acuerdo</w:t>
      </w:r>
      <w:r w:rsidR="00FA65BD" w:rsidRPr="00720045">
        <w:rPr>
          <w:color w:val="000000"/>
          <w:lang w:val="es-ES_tradnl"/>
        </w:rPr>
        <w:t>s</w:t>
      </w:r>
      <w:r w:rsidR="00A231E9" w:rsidRPr="00720045">
        <w:rPr>
          <w:color w:val="000000"/>
          <w:lang w:val="es-ES_tradnl"/>
        </w:rPr>
        <w:t xml:space="preserve"> tipo</w:t>
      </w:r>
      <w:r w:rsidR="00AC2F36" w:rsidRPr="00720045">
        <w:rPr>
          <w:color w:val="000000"/>
          <w:lang w:val="es-ES_tradnl"/>
        </w:rPr>
        <w:t xml:space="preserve"> se proponen como ejemplos de redacción de contratos de transferencia de tecnología, y además reflejan las necesidades concretas de las relaciones contractuales entre las instituciones públicas de investigación y los socios del sector industrial. </w:t>
      </w:r>
      <w:r w:rsidRPr="00720045">
        <w:rPr>
          <w:lang w:val="es-ES_tradnl"/>
        </w:rPr>
        <w:t xml:space="preserve"> </w:t>
      </w:r>
      <w:r w:rsidR="00AC2F36" w:rsidRPr="00720045">
        <w:rPr>
          <w:color w:val="000000"/>
          <w:lang w:val="es-ES_tradnl"/>
        </w:rPr>
        <w:t xml:space="preserve">Estos </w:t>
      </w:r>
      <w:r w:rsidR="00A231E9" w:rsidRPr="00720045">
        <w:rPr>
          <w:color w:val="000000"/>
          <w:lang w:val="es-ES_tradnl"/>
        </w:rPr>
        <w:t>acuerdos</w:t>
      </w:r>
      <w:r w:rsidR="00AC2F36" w:rsidRPr="00720045">
        <w:rPr>
          <w:color w:val="000000"/>
          <w:lang w:val="es-ES_tradnl"/>
        </w:rPr>
        <w:t xml:space="preserve"> </w:t>
      </w:r>
      <w:r w:rsidR="00A231E9" w:rsidRPr="00720045">
        <w:rPr>
          <w:color w:val="000000"/>
          <w:lang w:val="es-ES_tradnl"/>
        </w:rPr>
        <w:t xml:space="preserve">se </w:t>
      </w:r>
      <w:r w:rsidR="007774D6" w:rsidRPr="00720045">
        <w:rPr>
          <w:color w:val="000000"/>
          <w:lang w:val="es-ES_tradnl"/>
        </w:rPr>
        <w:t>pueden</w:t>
      </w:r>
      <w:r w:rsidR="00A231E9" w:rsidRPr="00720045">
        <w:rPr>
          <w:color w:val="000000"/>
          <w:lang w:val="es-ES_tradnl"/>
        </w:rPr>
        <w:t xml:space="preserve"> encontrar </w:t>
      </w:r>
      <w:r w:rsidR="00AC2F36" w:rsidRPr="00720045">
        <w:rPr>
          <w:color w:val="000000"/>
          <w:lang w:val="es-ES_tradnl"/>
        </w:rPr>
        <w:t xml:space="preserve">en la siguiente dirección: </w:t>
      </w:r>
      <w:hyperlink r:id="rId10" w:history="1">
        <w:r w:rsidR="00AC2F36" w:rsidRPr="00720045">
          <w:rPr>
            <w:rStyle w:val="Hyperlink"/>
            <w:i/>
            <w:lang w:val="es-ES_tradnl"/>
          </w:rPr>
          <w:t>www.ipag.at.</w:t>
        </w:r>
      </w:hyperlink>
    </w:p>
    <w:p w:rsidR="0008506F" w:rsidRPr="00720045" w:rsidRDefault="0008506F" w:rsidP="0004180C">
      <w:pPr>
        <w:rPr>
          <w:lang w:val="es-ES_tradnl"/>
        </w:rPr>
      </w:pPr>
    </w:p>
    <w:p w:rsidR="0008506F" w:rsidRPr="00720045" w:rsidRDefault="0004180C" w:rsidP="006A5FEE">
      <w:pPr>
        <w:rPr>
          <w:lang w:val="es-ES_tradnl"/>
        </w:rPr>
      </w:pPr>
      <w:r w:rsidRPr="00720045">
        <w:rPr>
          <w:lang w:val="es-ES_tradnl"/>
        </w:rPr>
        <w:fldChar w:fldCharType="begin"/>
      </w:r>
      <w:r w:rsidRPr="00720045">
        <w:rPr>
          <w:lang w:val="es-ES_tradnl"/>
        </w:rPr>
        <w:instrText xml:space="preserve"> AUTONUM  </w:instrText>
      </w:r>
      <w:r w:rsidRPr="00720045">
        <w:rPr>
          <w:lang w:val="es-ES_tradnl"/>
        </w:rPr>
        <w:fldChar w:fldCharType="end"/>
      </w:r>
      <w:r w:rsidRPr="00720045">
        <w:rPr>
          <w:lang w:val="es-ES_tradnl"/>
        </w:rPr>
        <w:tab/>
      </w:r>
      <w:r w:rsidR="00D36EF8" w:rsidRPr="00720045">
        <w:rPr>
          <w:color w:val="000000"/>
          <w:lang w:val="es-ES_tradnl"/>
        </w:rPr>
        <w:t>Los acuerdos y cláusulas</w:t>
      </w:r>
      <w:r w:rsidR="007B6A15" w:rsidRPr="00720045">
        <w:rPr>
          <w:color w:val="000000"/>
          <w:lang w:val="es-ES_tradnl"/>
        </w:rPr>
        <w:t xml:space="preserve"> tipo </w:t>
      </w:r>
      <w:r w:rsidR="00D36EF8" w:rsidRPr="00720045">
        <w:rPr>
          <w:color w:val="000000"/>
          <w:lang w:val="es-ES_tradnl"/>
        </w:rPr>
        <w:t>se encuentran disponibles en alemán y en inglés</w:t>
      </w:r>
      <w:r w:rsidR="00E91583" w:rsidRPr="00720045">
        <w:rPr>
          <w:color w:val="000000"/>
          <w:lang w:val="es-ES_tradnl"/>
        </w:rPr>
        <w:t>, mientras que los comentarios sólo en alemán.</w:t>
      </w:r>
      <w:r w:rsidRPr="00720045">
        <w:rPr>
          <w:lang w:val="es-ES_tradnl"/>
        </w:rPr>
        <w:t xml:space="preserve"> </w:t>
      </w:r>
      <w:r w:rsidR="00C649B8">
        <w:rPr>
          <w:lang w:val="es-ES_tradnl"/>
        </w:rPr>
        <w:t xml:space="preserve"> </w:t>
      </w:r>
      <w:r w:rsidR="00D36EF8" w:rsidRPr="00720045">
        <w:rPr>
          <w:color w:val="000000"/>
          <w:lang w:val="es-ES_tradnl"/>
        </w:rPr>
        <w:t xml:space="preserve">Para </w:t>
      </w:r>
      <w:r w:rsidR="00E91583" w:rsidRPr="00720045">
        <w:rPr>
          <w:color w:val="000000"/>
          <w:lang w:val="es-ES_tradnl"/>
        </w:rPr>
        <w:t>satisfacer</w:t>
      </w:r>
      <w:r w:rsidR="00D36EF8" w:rsidRPr="00720045">
        <w:rPr>
          <w:color w:val="000000"/>
          <w:lang w:val="es-ES_tradnl"/>
        </w:rPr>
        <w:t xml:space="preserve"> las diversas necesidades del sector de la </w:t>
      </w:r>
      <w:r w:rsidR="00E91583" w:rsidRPr="00720045">
        <w:rPr>
          <w:color w:val="000000"/>
          <w:lang w:val="es-ES_tradnl"/>
        </w:rPr>
        <w:t>ciencia</w:t>
      </w:r>
      <w:r w:rsidR="00D36EF8" w:rsidRPr="00720045">
        <w:rPr>
          <w:color w:val="000000"/>
          <w:lang w:val="es-ES_tradnl"/>
        </w:rPr>
        <w:t xml:space="preserve"> y/o de la </w:t>
      </w:r>
      <w:r w:rsidR="00E91583" w:rsidRPr="00720045">
        <w:rPr>
          <w:color w:val="000000"/>
          <w:lang w:val="es-ES_tradnl"/>
        </w:rPr>
        <w:t>industria</w:t>
      </w:r>
      <w:r w:rsidR="00D36EF8" w:rsidRPr="00720045">
        <w:rPr>
          <w:color w:val="000000"/>
          <w:lang w:val="es-ES_tradnl"/>
        </w:rPr>
        <w:t xml:space="preserve">, </w:t>
      </w:r>
      <w:r w:rsidR="000858EF" w:rsidRPr="00720045">
        <w:rPr>
          <w:color w:val="000000"/>
          <w:lang w:val="es-ES_tradnl"/>
        </w:rPr>
        <w:t>se proponen tres versiones diferentes de</w:t>
      </w:r>
      <w:r w:rsidR="00D36EF8" w:rsidRPr="00720045">
        <w:rPr>
          <w:color w:val="000000"/>
          <w:lang w:val="es-ES_tradnl"/>
        </w:rPr>
        <w:t xml:space="preserve"> </w:t>
      </w:r>
      <w:r w:rsidR="00FA65BD" w:rsidRPr="00720045">
        <w:rPr>
          <w:color w:val="000000"/>
          <w:lang w:val="es-ES_tradnl"/>
        </w:rPr>
        <w:t>acuerdos</w:t>
      </w:r>
      <w:r w:rsidR="007B6A15" w:rsidRPr="00720045">
        <w:rPr>
          <w:color w:val="000000"/>
          <w:lang w:val="es-ES_tradnl"/>
        </w:rPr>
        <w:t xml:space="preserve"> tipo</w:t>
      </w:r>
      <w:r w:rsidR="00D36EF8" w:rsidRPr="00720045">
        <w:rPr>
          <w:color w:val="000000"/>
          <w:lang w:val="es-ES_tradnl"/>
        </w:rPr>
        <w:t>: un</w:t>
      </w:r>
      <w:r w:rsidR="000858EF" w:rsidRPr="00720045">
        <w:rPr>
          <w:color w:val="000000"/>
          <w:lang w:val="es-ES_tradnl"/>
        </w:rPr>
        <w:t xml:space="preserve"> modelo </w:t>
      </w:r>
      <w:r w:rsidR="00D36EF8" w:rsidRPr="00720045">
        <w:rPr>
          <w:color w:val="000000"/>
          <w:lang w:val="es-ES_tradnl"/>
        </w:rPr>
        <w:t xml:space="preserve">estándar relativamente corto, y dos </w:t>
      </w:r>
      <w:r w:rsidR="00E91583" w:rsidRPr="00720045">
        <w:rPr>
          <w:color w:val="000000"/>
          <w:lang w:val="es-ES_tradnl"/>
        </w:rPr>
        <w:t>ampliados:</w:t>
      </w:r>
      <w:r w:rsidR="00D36EF8" w:rsidRPr="00720045">
        <w:rPr>
          <w:color w:val="000000"/>
          <w:lang w:val="es-ES_tradnl"/>
        </w:rPr>
        <w:t xml:space="preserve"> </w:t>
      </w:r>
      <w:r w:rsidR="000858EF" w:rsidRPr="00720045">
        <w:rPr>
          <w:color w:val="000000"/>
          <w:lang w:val="es-ES_tradnl"/>
        </w:rPr>
        <w:t>el primero</w:t>
      </w:r>
      <w:r w:rsidR="00D36EF8" w:rsidRPr="00720045">
        <w:rPr>
          <w:color w:val="000000"/>
          <w:lang w:val="es-ES_tradnl"/>
        </w:rPr>
        <w:t xml:space="preserve"> recoge los comentarios de los representantes de las </w:t>
      </w:r>
      <w:r w:rsidR="00E91583" w:rsidRPr="00720045">
        <w:rPr>
          <w:color w:val="000000"/>
          <w:lang w:val="es-ES_tradnl"/>
        </w:rPr>
        <w:t xml:space="preserve">universidades, y el </w:t>
      </w:r>
      <w:r w:rsidR="000858EF" w:rsidRPr="00720045">
        <w:rPr>
          <w:color w:val="000000"/>
          <w:lang w:val="es-ES_tradnl"/>
        </w:rPr>
        <w:t>segundo</w:t>
      </w:r>
      <w:r w:rsidR="00E91583" w:rsidRPr="00720045">
        <w:rPr>
          <w:color w:val="000000"/>
          <w:lang w:val="es-ES_tradnl"/>
        </w:rPr>
        <w:t xml:space="preserve">, </w:t>
      </w:r>
      <w:r w:rsidR="00D36EF8" w:rsidRPr="00720045">
        <w:rPr>
          <w:color w:val="000000"/>
          <w:lang w:val="es-ES_tradnl"/>
        </w:rPr>
        <w:t xml:space="preserve">recoge los comentarios de los socios del sector industrial. </w:t>
      </w:r>
      <w:r w:rsidRPr="00720045">
        <w:rPr>
          <w:lang w:val="es-ES_tradnl"/>
        </w:rPr>
        <w:t xml:space="preserve"> </w:t>
      </w:r>
      <w:r w:rsidR="006A5FEE" w:rsidRPr="00720045">
        <w:rPr>
          <w:color w:val="000000"/>
          <w:lang w:val="es-ES_tradnl"/>
        </w:rPr>
        <w:t xml:space="preserve">Huelga decir que los interesados pueden aprovechar todos los </w:t>
      </w:r>
      <w:r w:rsidR="007B6A15" w:rsidRPr="00720045">
        <w:rPr>
          <w:color w:val="000000"/>
          <w:lang w:val="es-ES_tradnl"/>
        </w:rPr>
        <w:t>acuerdos tipo</w:t>
      </w:r>
      <w:r w:rsidR="000858EF" w:rsidRPr="00720045">
        <w:rPr>
          <w:color w:val="000000"/>
          <w:lang w:val="es-ES_tradnl"/>
        </w:rPr>
        <w:t xml:space="preserve"> </w:t>
      </w:r>
      <w:r w:rsidR="006A5FEE" w:rsidRPr="00720045">
        <w:rPr>
          <w:color w:val="000000"/>
          <w:lang w:val="es-ES_tradnl"/>
        </w:rPr>
        <w:t xml:space="preserve">o sólo algunos de ellos, y pueden, en </w:t>
      </w:r>
      <w:r w:rsidR="00E91583" w:rsidRPr="00720045">
        <w:rPr>
          <w:color w:val="000000"/>
          <w:lang w:val="es-ES_tradnl"/>
        </w:rPr>
        <w:t xml:space="preserve">cualquier momento,  adaptarlos </w:t>
      </w:r>
      <w:r w:rsidR="006A5FEE" w:rsidRPr="00720045">
        <w:rPr>
          <w:color w:val="000000"/>
          <w:lang w:val="es-ES_tradnl"/>
        </w:rPr>
        <w:t xml:space="preserve">a sus necesidades particulares. </w:t>
      </w:r>
      <w:r w:rsidRPr="00720045">
        <w:rPr>
          <w:lang w:val="es-ES_tradnl"/>
        </w:rPr>
        <w:t xml:space="preserve"> </w:t>
      </w:r>
    </w:p>
    <w:p w:rsidR="0008506F" w:rsidRPr="00720045" w:rsidRDefault="0008506F" w:rsidP="0004180C">
      <w:pPr>
        <w:rPr>
          <w:lang w:val="es-ES_tradnl"/>
        </w:rPr>
      </w:pPr>
    </w:p>
    <w:p w:rsidR="0008506F" w:rsidRPr="00720045" w:rsidRDefault="006A5FEE" w:rsidP="006A5FEE">
      <w:pPr>
        <w:rPr>
          <w:lang w:val="es-ES_tradnl"/>
        </w:rPr>
      </w:pPr>
      <w:r w:rsidRPr="00720045">
        <w:rPr>
          <w:color w:val="000000"/>
          <w:lang w:val="es-ES_tradnl"/>
        </w:rPr>
        <w:t>En el marco del proyecto IPAG, se pueden encontrar los siguientes acuerdos</w:t>
      </w:r>
      <w:r w:rsidR="007B6A15" w:rsidRPr="00720045">
        <w:rPr>
          <w:color w:val="000000"/>
          <w:lang w:val="es-ES_tradnl"/>
        </w:rPr>
        <w:t xml:space="preserve"> tipo</w:t>
      </w:r>
      <w:r w:rsidRPr="00720045">
        <w:rPr>
          <w:color w:val="000000"/>
          <w:lang w:val="es-ES_tradnl"/>
        </w:rPr>
        <w:t>:</w:t>
      </w:r>
    </w:p>
    <w:p w:rsidR="0008506F" w:rsidRPr="00720045" w:rsidRDefault="0008506F" w:rsidP="0004180C">
      <w:pPr>
        <w:rPr>
          <w:lang w:val="es-ES_tradnl"/>
        </w:rPr>
      </w:pPr>
    </w:p>
    <w:p w:rsidR="0008506F" w:rsidRPr="00720045" w:rsidRDefault="009F6B81" w:rsidP="006A5FEE">
      <w:pPr>
        <w:numPr>
          <w:ilvl w:val="0"/>
          <w:numId w:val="8"/>
        </w:numPr>
        <w:tabs>
          <w:tab w:val="clear" w:pos="720"/>
          <w:tab w:val="num" w:pos="1134"/>
        </w:tabs>
        <w:ind w:left="567" w:firstLine="0"/>
        <w:rPr>
          <w:lang w:val="es-ES_tradnl"/>
        </w:rPr>
      </w:pPr>
      <w:r w:rsidRPr="00720045">
        <w:rPr>
          <w:color w:val="000000"/>
          <w:lang w:val="es-ES_tradnl"/>
        </w:rPr>
        <w:t>a</w:t>
      </w:r>
      <w:r w:rsidR="006A5FEE" w:rsidRPr="00720045">
        <w:rPr>
          <w:color w:val="000000"/>
          <w:lang w:val="es-ES_tradnl"/>
        </w:rPr>
        <w:t xml:space="preserve">cuerdos de investigación y desarrollo </w:t>
      </w:r>
      <w:r w:rsidR="00E96228" w:rsidRPr="00720045">
        <w:rPr>
          <w:color w:val="000000"/>
          <w:lang w:val="es-ES_tradnl"/>
        </w:rPr>
        <w:t>por encargo</w:t>
      </w:r>
      <w:r w:rsidR="006A5FEE" w:rsidRPr="00720045">
        <w:rPr>
          <w:color w:val="000000"/>
          <w:lang w:val="es-ES_tradnl"/>
        </w:rPr>
        <w:t>;</w:t>
      </w:r>
    </w:p>
    <w:p w:rsidR="0008506F" w:rsidRPr="00720045" w:rsidRDefault="0008506F" w:rsidP="0004180C">
      <w:pPr>
        <w:tabs>
          <w:tab w:val="num" w:pos="1134"/>
        </w:tabs>
        <w:ind w:left="567"/>
        <w:rPr>
          <w:lang w:val="es-ES_tradnl"/>
        </w:rPr>
      </w:pPr>
    </w:p>
    <w:p w:rsidR="0008506F" w:rsidRPr="00720045" w:rsidRDefault="009F6B81" w:rsidP="006A5FEE">
      <w:pPr>
        <w:numPr>
          <w:ilvl w:val="0"/>
          <w:numId w:val="8"/>
        </w:numPr>
        <w:tabs>
          <w:tab w:val="clear" w:pos="720"/>
          <w:tab w:val="num" w:pos="1134"/>
        </w:tabs>
        <w:ind w:left="567" w:firstLine="0"/>
        <w:rPr>
          <w:lang w:val="es-ES_tradnl"/>
        </w:rPr>
      </w:pPr>
      <w:r w:rsidRPr="00720045">
        <w:rPr>
          <w:color w:val="000000"/>
          <w:lang w:val="es-ES_tradnl"/>
        </w:rPr>
        <w:t>a</w:t>
      </w:r>
      <w:r w:rsidR="006A5FEE" w:rsidRPr="00720045">
        <w:rPr>
          <w:color w:val="000000"/>
          <w:lang w:val="es-ES_tradnl"/>
        </w:rPr>
        <w:t>cuerdo de cooperación en investigación;</w:t>
      </w:r>
    </w:p>
    <w:p w:rsidR="0008506F" w:rsidRPr="00720045" w:rsidRDefault="0008506F" w:rsidP="0004180C">
      <w:pPr>
        <w:tabs>
          <w:tab w:val="num" w:pos="1134"/>
        </w:tabs>
        <w:ind w:left="567"/>
        <w:rPr>
          <w:lang w:val="es-ES_tradnl"/>
        </w:rPr>
      </w:pPr>
    </w:p>
    <w:p w:rsidR="0008506F" w:rsidRPr="00720045" w:rsidRDefault="009F6B81" w:rsidP="009F6B81">
      <w:pPr>
        <w:numPr>
          <w:ilvl w:val="0"/>
          <w:numId w:val="8"/>
        </w:numPr>
        <w:tabs>
          <w:tab w:val="clear" w:pos="720"/>
          <w:tab w:val="num" w:pos="1134"/>
        </w:tabs>
        <w:ind w:left="567" w:firstLine="0"/>
        <w:rPr>
          <w:lang w:val="es-ES_tradnl"/>
        </w:rPr>
      </w:pPr>
      <w:r w:rsidRPr="00720045">
        <w:rPr>
          <w:color w:val="000000"/>
          <w:lang w:val="es-ES_tradnl"/>
        </w:rPr>
        <w:t>acuerdos de confidencialidad;</w:t>
      </w:r>
    </w:p>
    <w:p w:rsidR="0008506F" w:rsidRPr="00720045" w:rsidRDefault="0008506F" w:rsidP="0004180C">
      <w:pPr>
        <w:pStyle w:val="ListParagraph"/>
        <w:tabs>
          <w:tab w:val="num" w:pos="1134"/>
        </w:tabs>
        <w:ind w:left="567"/>
        <w:rPr>
          <w:lang w:val="es-ES_tradnl"/>
        </w:rPr>
      </w:pPr>
    </w:p>
    <w:p w:rsidR="0008506F" w:rsidRPr="00720045" w:rsidRDefault="009F6B81" w:rsidP="009F6B81">
      <w:pPr>
        <w:numPr>
          <w:ilvl w:val="0"/>
          <w:numId w:val="8"/>
        </w:numPr>
        <w:tabs>
          <w:tab w:val="clear" w:pos="720"/>
          <w:tab w:val="num" w:pos="1134"/>
        </w:tabs>
        <w:ind w:left="567" w:firstLine="0"/>
        <w:rPr>
          <w:lang w:val="es-ES_tradnl"/>
        </w:rPr>
      </w:pPr>
      <w:r w:rsidRPr="00720045">
        <w:rPr>
          <w:color w:val="000000"/>
          <w:lang w:val="es-ES_tradnl"/>
        </w:rPr>
        <w:t>acuerdos de transferencia de material</w:t>
      </w:r>
      <w:r w:rsidR="00555534" w:rsidRPr="00720045">
        <w:rPr>
          <w:color w:val="000000"/>
          <w:lang w:val="es-ES_tradnl"/>
        </w:rPr>
        <w:t>;</w:t>
      </w:r>
    </w:p>
    <w:p w:rsidR="0008506F" w:rsidRPr="00720045" w:rsidRDefault="0008506F" w:rsidP="0004180C">
      <w:pPr>
        <w:pStyle w:val="ListParagraph"/>
        <w:tabs>
          <w:tab w:val="num" w:pos="1134"/>
        </w:tabs>
        <w:ind w:left="567"/>
        <w:rPr>
          <w:lang w:val="es-ES_tradnl"/>
        </w:rPr>
      </w:pPr>
    </w:p>
    <w:p w:rsidR="0008506F" w:rsidRPr="00720045" w:rsidRDefault="009F6B81" w:rsidP="009F6B81">
      <w:pPr>
        <w:numPr>
          <w:ilvl w:val="0"/>
          <w:numId w:val="8"/>
        </w:numPr>
        <w:tabs>
          <w:tab w:val="clear" w:pos="720"/>
          <w:tab w:val="num" w:pos="1134"/>
        </w:tabs>
        <w:ind w:left="567" w:firstLine="0"/>
        <w:rPr>
          <w:lang w:val="es-ES_tradnl"/>
        </w:rPr>
      </w:pPr>
      <w:r w:rsidRPr="00720045">
        <w:rPr>
          <w:color w:val="000000"/>
          <w:lang w:val="es-ES_tradnl"/>
        </w:rPr>
        <w:t xml:space="preserve">acuerdos de concesión de licencias de P.I.; y </w:t>
      </w:r>
    </w:p>
    <w:p w:rsidR="0008506F" w:rsidRPr="00720045" w:rsidRDefault="0008506F" w:rsidP="0004180C">
      <w:pPr>
        <w:pStyle w:val="ListParagraph"/>
        <w:tabs>
          <w:tab w:val="num" w:pos="1134"/>
        </w:tabs>
        <w:ind w:left="567"/>
        <w:rPr>
          <w:lang w:val="es-ES_tradnl"/>
        </w:rPr>
      </w:pPr>
    </w:p>
    <w:p w:rsidR="0008506F" w:rsidRPr="00720045" w:rsidRDefault="009F6B81" w:rsidP="009F6B81">
      <w:pPr>
        <w:numPr>
          <w:ilvl w:val="0"/>
          <w:numId w:val="8"/>
        </w:numPr>
        <w:tabs>
          <w:tab w:val="clear" w:pos="720"/>
          <w:tab w:val="num" w:pos="1134"/>
        </w:tabs>
        <w:ind w:left="567" w:firstLine="0"/>
        <w:rPr>
          <w:lang w:val="es-ES_tradnl"/>
        </w:rPr>
      </w:pPr>
      <w:r w:rsidRPr="00720045">
        <w:rPr>
          <w:color w:val="000000"/>
          <w:lang w:val="es-ES_tradnl"/>
        </w:rPr>
        <w:t xml:space="preserve">acuerdos de compra de activos de P.I. </w:t>
      </w:r>
    </w:p>
    <w:p w:rsidR="0008506F" w:rsidRPr="00720045" w:rsidRDefault="0008506F" w:rsidP="0004180C">
      <w:pPr>
        <w:pStyle w:val="ListParagraph"/>
        <w:rPr>
          <w:lang w:val="es-ES_tradnl"/>
        </w:rPr>
      </w:pPr>
    </w:p>
    <w:p w:rsidR="0008506F" w:rsidRPr="00720045" w:rsidRDefault="0004180C" w:rsidP="00602965">
      <w:pPr>
        <w:rPr>
          <w:bCs/>
          <w:lang w:val="es-ES_tradnl"/>
        </w:rPr>
      </w:pPr>
      <w:r w:rsidRPr="00720045">
        <w:rPr>
          <w:bCs/>
          <w:lang w:val="es-ES_tradnl"/>
        </w:rPr>
        <w:fldChar w:fldCharType="begin"/>
      </w:r>
      <w:r w:rsidRPr="00720045">
        <w:rPr>
          <w:bCs/>
          <w:lang w:val="es-ES_tradnl"/>
        </w:rPr>
        <w:instrText xml:space="preserve"> AUTONUM  </w:instrText>
      </w:r>
      <w:r w:rsidRPr="00720045">
        <w:rPr>
          <w:bCs/>
          <w:lang w:val="es-ES_tradnl"/>
        </w:rPr>
        <w:fldChar w:fldCharType="end"/>
      </w:r>
      <w:r w:rsidRPr="00720045">
        <w:rPr>
          <w:bCs/>
          <w:lang w:val="es-ES_tradnl"/>
        </w:rPr>
        <w:tab/>
      </w:r>
      <w:r w:rsidR="00555534" w:rsidRPr="00720045">
        <w:rPr>
          <w:bCs/>
          <w:lang w:val="es-ES_tradnl"/>
        </w:rPr>
        <w:t>Además, s</w:t>
      </w:r>
      <w:r w:rsidR="00602965" w:rsidRPr="00720045">
        <w:rPr>
          <w:bCs/>
          <w:color w:val="000000"/>
          <w:lang w:val="es-ES_tradnl"/>
        </w:rPr>
        <w:t xml:space="preserve">e dedicó especial atención a la solución de controversias. </w:t>
      </w:r>
      <w:r w:rsidR="00C649B8">
        <w:rPr>
          <w:bCs/>
          <w:color w:val="000000"/>
          <w:lang w:val="es-ES_tradnl"/>
        </w:rPr>
        <w:t xml:space="preserve"> </w:t>
      </w:r>
      <w:r w:rsidR="00602965" w:rsidRPr="00720045">
        <w:rPr>
          <w:bCs/>
          <w:color w:val="000000"/>
          <w:lang w:val="es-ES_tradnl"/>
        </w:rPr>
        <w:t>En cada</w:t>
      </w:r>
      <w:r w:rsidR="00555534" w:rsidRPr="00720045">
        <w:rPr>
          <w:bCs/>
          <w:color w:val="000000"/>
          <w:lang w:val="es-ES_tradnl"/>
        </w:rPr>
        <w:t xml:space="preserve"> </w:t>
      </w:r>
      <w:r w:rsidR="007B6A15" w:rsidRPr="00720045">
        <w:rPr>
          <w:bCs/>
          <w:color w:val="000000"/>
          <w:lang w:val="es-ES_tradnl"/>
        </w:rPr>
        <w:t>acuerdo tipo</w:t>
      </w:r>
      <w:r w:rsidR="00602965" w:rsidRPr="00720045">
        <w:rPr>
          <w:bCs/>
          <w:color w:val="000000"/>
          <w:lang w:val="es-ES_tradnl"/>
        </w:rPr>
        <w:t xml:space="preserve">, se integraron los mismos mecanismos de solución de </w:t>
      </w:r>
      <w:r w:rsidR="00C55605" w:rsidRPr="00720045">
        <w:rPr>
          <w:bCs/>
          <w:color w:val="000000"/>
          <w:lang w:val="es-ES_tradnl"/>
        </w:rPr>
        <w:t>controversias que figuran a continuación</w:t>
      </w:r>
      <w:r w:rsidR="00C649B8">
        <w:rPr>
          <w:bCs/>
          <w:color w:val="000000"/>
          <w:lang w:val="es-ES_tradnl"/>
        </w:rPr>
        <w:t>:</w:t>
      </w:r>
    </w:p>
    <w:p w:rsidR="0008506F" w:rsidRPr="00720045" w:rsidRDefault="0008506F" w:rsidP="0004180C">
      <w:pPr>
        <w:rPr>
          <w:bCs/>
          <w:lang w:val="es-ES_tradnl"/>
        </w:rPr>
      </w:pPr>
    </w:p>
    <w:p w:rsidR="0008506F" w:rsidRPr="00720045" w:rsidRDefault="00602965" w:rsidP="00602965">
      <w:pPr>
        <w:numPr>
          <w:ilvl w:val="0"/>
          <w:numId w:val="9"/>
        </w:numPr>
        <w:tabs>
          <w:tab w:val="clear" w:pos="720"/>
          <w:tab w:val="num" w:pos="1134"/>
        </w:tabs>
        <w:ind w:left="567" w:firstLine="0"/>
        <w:rPr>
          <w:bCs/>
          <w:lang w:val="es-ES_tradnl"/>
        </w:rPr>
      </w:pPr>
      <w:r w:rsidRPr="00720045">
        <w:rPr>
          <w:bCs/>
          <w:color w:val="000000"/>
          <w:lang w:val="es-ES_tradnl"/>
        </w:rPr>
        <w:t>Competencia exclusiva de un tribunal estatal, y cláusula de elección del derecho aplicable;</w:t>
      </w:r>
    </w:p>
    <w:p w:rsidR="0008506F" w:rsidRPr="00720045" w:rsidRDefault="0008506F" w:rsidP="0004180C">
      <w:pPr>
        <w:tabs>
          <w:tab w:val="num" w:pos="1134"/>
        </w:tabs>
        <w:ind w:left="567"/>
        <w:rPr>
          <w:bCs/>
          <w:lang w:val="es-ES_tradnl"/>
        </w:rPr>
      </w:pPr>
    </w:p>
    <w:p w:rsidR="0008506F" w:rsidRPr="00720045" w:rsidRDefault="00602965" w:rsidP="00602965">
      <w:pPr>
        <w:numPr>
          <w:ilvl w:val="0"/>
          <w:numId w:val="9"/>
        </w:numPr>
        <w:tabs>
          <w:tab w:val="clear" w:pos="720"/>
          <w:tab w:val="num" w:pos="1134"/>
        </w:tabs>
        <w:ind w:left="567" w:firstLine="0"/>
        <w:rPr>
          <w:bCs/>
          <w:lang w:val="es-ES_tradnl"/>
        </w:rPr>
      </w:pPr>
      <w:r w:rsidRPr="00720045">
        <w:rPr>
          <w:bCs/>
          <w:color w:val="000000"/>
          <w:lang w:val="es-ES_tradnl"/>
        </w:rPr>
        <w:t xml:space="preserve">Arbitraje de la OMPI (Reglamento de Arbitraje Acelerado de la OMPI); y </w:t>
      </w:r>
    </w:p>
    <w:p w:rsidR="0008506F" w:rsidRPr="00720045" w:rsidRDefault="0008506F" w:rsidP="0004180C">
      <w:pPr>
        <w:pStyle w:val="ListParagraph"/>
        <w:tabs>
          <w:tab w:val="num" w:pos="1134"/>
        </w:tabs>
        <w:ind w:left="567"/>
        <w:rPr>
          <w:bCs/>
          <w:lang w:val="es-ES_tradnl"/>
        </w:rPr>
      </w:pPr>
    </w:p>
    <w:p w:rsidR="0008506F" w:rsidRPr="00720045" w:rsidRDefault="00602965" w:rsidP="00602965">
      <w:pPr>
        <w:numPr>
          <w:ilvl w:val="0"/>
          <w:numId w:val="9"/>
        </w:numPr>
        <w:tabs>
          <w:tab w:val="clear" w:pos="720"/>
          <w:tab w:val="num" w:pos="1134"/>
        </w:tabs>
        <w:ind w:left="567" w:firstLine="0"/>
        <w:rPr>
          <w:bCs/>
          <w:lang w:val="es-ES_tradnl"/>
        </w:rPr>
      </w:pPr>
      <w:r w:rsidRPr="00720045">
        <w:rPr>
          <w:bCs/>
          <w:color w:val="000000"/>
          <w:lang w:val="es-ES_tradnl"/>
        </w:rPr>
        <w:t>Arbitraje y Mediación de la OMPI (Reglamento de Arbitraje Acelerado de la OMPI).</w:t>
      </w:r>
    </w:p>
    <w:p w:rsidR="0008506F" w:rsidRPr="00720045" w:rsidRDefault="0008506F" w:rsidP="0004180C">
      <w:pPr>
        <w:rPr>
          <w:lang w:val="es-ES_tradnl"/>
        </w:rPr>
      </w:pPr>
    </w:p>
    <w:p w:rsidR="0008506F" w:rsidRPr="00720045" w:rsidRDefault="0004180C" w:rsidP="00041AC3">
      <w:pPr>
        <w:rPr>
          <w:lang w:val="es-ES_tradnl"/>
        </w:rPr>
      </w:pPr>
      <w:r w:rsidRPr="00720045">
        <w:rPr>
          <w:lang w:val="es-ES_tradnl"/>
        </w:rPr>
        <w:fldChar w:fldCharType="begin"/>
      </w:r>
      <w:r w:rsidRPr="00720045">
        <w:rPr>
          <w:lang w:val="es-ES_tradnl"/>
        </w:rPr>
        <w:instrText xml:space="preserve"> AUTONUM  </w:instrText>
      </w:r>
      <w:r w:rsidRPr="00720045">
        <w:rPr>
          <w:lang w:val="es-ES_tradnl"/>
        </w:rPr>
        <w:fldChar w:fldCharType="end"/>
      </w:r>
      <w:r w:rsidRPr="00720045">
        <w:rPr>
          <w:lang w:val="es-ES_tradnl"/>
        </w:rPr>
        <w:tab/>
      </w:r>
      <w:r w:rsidR="00041AC3" w:rsidRPr="00720045">
        <w:rPr>
          <w:color w:val="000000"/>
          <w:lang w:val="es-ES_tradnl"/>
        </w:rPr>
        <w:t>Durante la fase de preparación de los acuerdos</w:t>
      </w:r>
      <w:r w:rsidR="007B6A15" w:rsidRPr="00720045">
        <w:rPr>
          <w:color w:val="000000"/>
          <w:lang w:val="es-ES_tradnl"/>
        </w:rPr>
        <w:t xml:space="preserve"> tipo</w:t>
      </w:r>
      <w:r w:rsidR="00041AC3" w:rsidRPr="00720045">
        <w:rPr>
          <w:color w:val="000000"/>
          <w:lang w:val="es-ES_tradnl"/>
        </w:rPr>
        <w:t xml:space="preserve">, los interesados </w:t>
      </w:r>
      <w:r w:rsidR="00B97771" w:rsidRPr="00720045">
        <w:rPr>
          <w:color w:val="000000"/>
          <w:lang w:val="es-ES_tradnl"/>
        </w:rPr>
        <w:t xml:space="preserve">destacaron </w:t>
      </w:r>
      <w:r w:rsidR="00041AC3" w:rsidRPr="00720045">
        <w:rPr>
          <w:color w:val="000000"/>
          <w:lang w:val="es-ES_tradnl"/>
        </w:rPr>
        <w:t xml:space="preserve">que </w:t>
      </w:r>
      <w:r w:rsidR="00B97771" w:rsidRPr="00720045">
        <w:rPr>
          <w:color w:val="000000"/>
          <w:lang w:val="es-ES_tradnl"/>
        </w:rPr>
        <w:t>el mecanismo</w:t>
      </w:r>
      <w:r w:rsidR="00041AC3" w:rsidRPr="00720045">
        <w:rPr>
          <w:color w:val="000000"/>
          <w:lang w:val="es-ES_tradnl"/>
        </w:rPr>
        <w:t xml:space="preserve"> de competencia exclusiva de un tribunal estatal no </w:t>
      </w:r>
      <w:r w:rsidR="00555534" w:rsidRPr="00720045">
        <w:rPr>
          <w:color w:val="000000"/>
          <w:lang w:val="es-ES_tradnl"/>
        </w:rPr>
        <w:t>basta</w:t>
      </w:r>
      <w:r w:rsidR="00041AC3" w:rsidRPr="00720045">
        <w:rPr>
          <w:color w:val="000000"/>
          <w:lang w:val="es-ES_tradnl"/>
        </w:rPr>
        <w:t xml:space="preserve"> para </w:t>
      </w:r>
      <w:r w:rsidR="00C55605" w:rsidRPr="00720045">
        <w:rPr>
          <w:color w:val="000000"/>
          <w:lang w:val="es-ES_tradnl"/>
        </w:rPr>
        <w:t>cubrir</w:t>
      </w:r>
      <w:r w:rsidR="00041AC3" w:rsidRPr="00720045">
        <w:rPr>
          <w:color w:val="000000"/>
          <w:lang w:val="es-ES_tradnl"/>
        </w:rPr>
        <w:t xml:space="preserve"> todas </w:t>
      </w:r>
      <w:r w:rsidR="00B97771" w:rsidRPr="00720045">
        <w:rPr>
          <w:color w:val="000000"/>
          <w:lang w:val="es-ES_tradnl"/>
        </w:rPr>
        <w:t>sus</w:t>
      </w:r>
      <w:r w:rsidR="00041AC3" w:rsidRPr="00720045">
        <w:rPr>
          <w:color w:val="000000"/>
          <w:lang w:val="es-ES_tradnl"/>
        </w:rPr>
        <w:t xml:space="preserve"> necesidades</w:t>
      </w:r>
      <w:r w:rsidR="007B6A15" w:rsidRPr="00720045">
        <w:rPr>
          <w:color w:val="000000"/>
          <w:lang w:val="es-ES_tradnl"/>
        </w:rPr>
        <w:t>, y explicaron que</w:t>
      </w:r>
      <w:r w:rsidR="00041AC3" w:rsidRPr="00720045">
        <w:rPr>
          <w:color w:val="000000"/>
          <w:lang w:val="es-ES_tradnl"/>
        </w:rPr>
        <w:t xml:space="preserve"> en las transacciones interna</w:t>
      </w:r>
      <w:r w:rsidR="00B97771" w:rsidRPr="00720045">
        <w:rPr>
          <w:color w:val="000000"/>
          <w:lang w:val="es-ES_tradnl"/>
        </w:rPr>
        <w:t>cionales</w:t>
      </w:r>
      <w:r w:rsidR="007B6A15" w:rsidRPr="00720045">
        <w:rPr>
          <w:color w:val="000000"/>
          <w:lang w:val="es-ES_tradnl"/>
        </w:rPr>
        <w:t xml:space="preserve"> concretamente,</w:t>
      </w:r>
      <w:r w:rsidR="00B97771" w:rsidRPr="00720045">
        <w:rPr>
          <w:color w:val="000000"/>
          <w:lang w:val="es-ES_tradnl"/>
        </w:rPr>
        <w:t xml:space="preserve"> </w:t>
      </w:r>
      <w:r w:rsidR="00C55605" w:rsidRPr="00720045">
        <w:rPr>
          <w:color w:val="000000"/>
          <w:lang w:val="es-ES_tradnl"/>
        </w:rPr>
        <w:t>es preferible</w:t>
      </w:r>
      <w:r w:rsidR="00041AC3" w:rsidRPr="00720045">
        <w:rPr>
          <w:color w:val="000000"/>
          <w:lang w:val="es-ES_tradnl"/>
        </w:rPr>
        <w:t xml:space="preserve"> una cláusula de arbitraje y/o </w:t>
      </w:r>
      <w:r w:rsidR="00B97771" w:rsidRPr="00720045">
        <w:rPr>
          <w:color w:val="000000"/>
          <w:lang w:val="es-ES_tradnl"/>
        </w:rPr>
        <w:t xml:space="preserve">de </w:t>
      </w:r>
      <w:r w:rsidR="00041AC3" w:rsidRPr="00720045">
        <w:rPr>
          <w:color w:val="000000"/>
          <w:lang w:val="es-ES_tradnl"/>
        </w:rPr>
        <w:t>arbitraje y mediación</w:t>
      </w:r>
      <w:r w:rsidR="00B97771" w:rsidRPr="00720045">
        <w:rPr>
          <w:color w:val="000000"/>
          <w:lang w:val="es-ES_tradnl"/>
        </w:rPr>
        <w:t xml:space="preserve"> combinados</w:t>
      </w:r>
      <w:r w:rsidR="00041AC3" w:rsidRPr="00720045">
        <w:rPr>
          <w:color w:val="000000"/>
          <w:lang w:val="es-ES_tradnl"/>
        </w:rPr>
        <w:t xml:space="preserve"> </w:t>
      </w:r>
      <w:r w:rsidR="007B6A15" w:rsidRPr="00720045">
        <w:rPr>
          <w:color w:val="000000"/>
          <w:lang w:val="es-ES_tradnl"/>
        </w:rPr>
        <w:t>que</w:t>
      </w:r>
      <w:r w:rsidR="00041AC3" w:rsidRPr="00720045">
        <w:rPr>
          <w:color w:val="000000"/>
          <w:lang w:val="es-ES_tradnl"/>
        </w:rPr>
        <w:t xml:space="preserve"> la opción de los tribunales nacionales. </w:t>
      </w:r>
      <w:r w:rsidRPr="00720045">
        <w:rPr>
          <w:lang w:val="es-ES_tradnl"/>
        </w:rPr>
        <w:t xml:space="preserve"> </w:t>
      </w:r>
      <w:r w:rsidR="00041AC3" w:rsidRPr="00720045">
        <w:rPr>
          <w:color w:val="000000"/>
          <w:lang w:val="es-ES_tradnl"/>
        </w:rPr>
        <w:t xml:space="preserve">Los interesados </w:t>
      </w:r>
      <w:r w:rsidR="007B6A15" w:rsidRPr="00720045">
        <w:rPr>
          <w:color w:val="000000"/>
          <w:lang w:val="es-ES_tradnl"/>
        </w:rPr>
        <w:t>optan por</w:t>
      </w:r>
      <w:r w:rsidR="00041AC3" w:rsidRPr="00720045">
        <w:rPr>
          <w:color w:val="000000"/>
          <w:lang w:val="es-ES_tradnl"/>
        </w:rPr>
        <w:t xml:space="preserve"> los tribunales estatales solamente cuando se trata de controversias nacionales</w:t>
      </w:r>
      <w:r w:rsidR="00E843AA" w:rsidRPr="00720045">
        <w:rPr>
          <w:color w:val="000000"/>
          <w:lang w:val="es-ES_tradnl"/>
        </w:rPr>
        <w:t>.</w:t>
      </w:r>
      <w:r w:rsidR="00041AC3" w:rsidRPr="00720045">
        <w:rPr>
          <w:color w:val="000000"/>
          <w:lang w:val="es-ES_tradnl"/>
        </w:rPr>
        <w:t xml:space="preserve"> </w:t>
      </w:r>
      <w:r w:rsidR="00E843AA" w:rsidRPr="00720045">
        <w:rPr>
          <w:color w:val="000000"/>
          <w:lang w:val="es-ES_tradnl"/>
        </w:rPr>
        <w:t xml:space="preserve"> </w:t>
      </w:r>
      <w:r w:rsidR="00041AC3" w:rsidRPr="00720045">
        <w:rPr>
          <w:color w:val="000000"/>
          <w:lang w:val="es-ES_tradnl"/>
        </w:rPr>
        <w:t xml:space="preserve"> </w:t>
      </w:r>
    </w:p>
    <w:p w:rsidR="0008506F" w:rsidRPr="00720045" w:rsidRDefault="0008506F" w:rsidP="0004180C">
      <w:pPr>
        <w:rPr>
          <w:lang w:val="es-ES_tradnl"/>
        </w:rPr>
      </w:pPr>
    </w:p>
    <w:p w:rsidR="0008506F" w:rsidRPr="00720045" w:rsidRDefault="0004180C" w:rsidP="00EE2E4C">
      <w:pPr>
        <w:rPr>
          <w:lang w:val="es-ES_tradnl"/>
        </w:rPr>
      </w:pPr>
      <w:r w:rsidRPr="00720045">
        <w:rPr>
          <w:lang w:val="es-ES_tradnl"/>
        </w:rPr>
        <w:fldChar w:fldCharType="begin"/>
      </w:r>
      <w:r w:rsidRPr="00720045">
        <w:rPr>
          <w:lang w:val="es-ES_tradnl"/>
        </w:rPr>
        <w:instrText xml:space="preserve"> AUTONUM  </w:instrText>
      </w:r>
      <w:r w:rsidRPr="00720045">
        <w:rPr>
          <w:lang w:val="es-ES_tradnl"/>
        </w:rPr>
        <w:fldChar w:fldCharType="end"/>
      </w:r>
      <w:r w:rsidRPr="00720045">
        <w:rPr>
          <w:lang w:val="es-ES_tradnl"/>
        </w:rPr>
        <w:tab/>
      </w:r>
      <w:r w:rsidR="00B97771" w:rsidRPr="00720045">
        <w:rPr>
          <w:lang w:val="es-ES_tradnl"/>
        </w:rPr>
        <w:t>En l</w:t>
      </w:r>
      <w:r w:rsidR="00EE2E4C" w:rsidRPr="00720045">
        <w:rPr>
          <w:color w:val="000000"/>
          <w:lang w:val="es-ES_tradnl"/>
        </w:rPr>
        <w:t xml:space="preserve">a </w:t>
      </w:r>
      <w:r w:rsidR="0016187E" w:rsidRPr="00720045">
        <w:rPr>
          <w:color w:val="000000"/>
          <w:lang w:val="es-ES_tradnl"/>
        </w:rPr>
        <w:t>elección</w:t>
      </w:r>
      <w:r w:rsidR="00EE2E4C" w:rsidRPr="00720045">
        <w:rPr>
          <w:color w:val="000000"/>
          <w:lang w:val="es-ES_tradnl"/>
        </w:rPr>
        <w:t xml:space="preserve"> del mecanismo de solución de controversias </w:t>
      </w:r>
      <w:r w:rsidR="00B97771" w:rsidRPr="00720045">
        <w:rPr>
          <w:color w:val="000000"/>
          <w:lang w:val="es-ES_tradnl"/>
        </w:rPr>
        <w:t>se tienen en cuenta:</w:t>
      </w:r>
      <w:r w:rsidR="00EE2E4C" w:rsidRPr="00720045">
        <w:rPr>
          <w:color w:val="000000"/>
          <w:lang w:val="es-ES_tradnl"/>
        </w:rPr>
        <w:t xml:space="preserve"> </w:t>
      </w:r>
      <w:r w:rsidRPr="00720045">
        <w:rPr>
          <w:lang w:val="es-ES_tradnl"/>
        </w:rPr>
        <w:t xml:space="preserve"> </w:t>
      </w:r>
    </w:p>
    <w:p w:rsidR="0008506F" w:rsidRPr="00720045" w:rsidRDefault="0008506F" w:rsidP="0004180C">
      <w:pPr>
        <w:rPr>
          <w:lang w:val="es-ES_tradnl"/>
        </w:rPr>
      </w:pPr>
    </w:p>
    <w:p w:rsidR="0008506F" w:rsidRPr="00720045" w:rsidRDefault="00B97771" w:rsidP="00EE2E4C">
      <w:pPr>
        <w:numPr>
          <w:ilvl w:val="0"/>
          <w:numId w:val="10"/>
        </w:numPr>
        <w:tabs>
          <w:tab w:val="clear" w:pos="720"/>
          <w:tab w:val="num" w:pos="1134"/>
        </w:tabs>
        <w:ind w:left="567" w:firstLine="0"/>
        <w:rPr>
          <w:lang w:val="es-ES_tradnl"/>
        </w:rPr>
      </w:pPr>
      <w:r w:rsidRPr="00720045">
        <w:rPr>
          <w:color w:val="000000"/>
          <w:u w:val="single"/>
          <w:lang w:val="es-ES_tradnl"/>
        </w:rPr>
        <w:t xml:space="preserve">la </w:t>
      </w:r>
      <w:r w:rsidR="0016187E" w:rsidRPr="00720045">
        <w:rPr>
          <w:color w:val="000000"/>
          <w:u w:val="single"/>
          <w:lang w:val="es-ES_tradnl"/>
        </w:rPr>
        <w:t>r</w:t>
      </w:r>
      <w:r w:rsidR="00EE2E4C" w:rsidRPr="00720045">
        <w:rPr>
          <w:color w:val="000000"/>
          <w:u w:val="single"/>
          <w:lang w:val="es-ES_tradnl"/>
        </w:rPr>
        <w:t>apidez</w:t>
      </w:r>
      <w:proofErr w:type="gramStart"/>
      <w:r w:rsidR="00EE2E4C" w:rsidRPr="00720045">
        <w:rPr>
          <w:color w:val="000000"/>
          <w:lang w:val="es-ES_tradnl"/>
        </w:rPr>
        <w:t>:</w:t>
      </w:r>
      <w:r w:rsidR="00C649B8">
        <w:rPr>
          <w:color w:val="000000"/>
          <w:lang w:val="es-ES_tradnl"/>
        </w:rPr>
        <w:t xml:space="preserve"> </w:t>
      </w:r>
      <w:r w:rsidR="00EE2E4C" w:rsidRPr="00720045">
        <w:rPr>
          <w:color w:val="000000"/>
          <w:lang w:val="es-ES_tradnl"/>
        </w:rPr>
        <w:t xml:space="preserve"> en</w:t>
      </w:r>
      <w:proofErr w:type="gramEnd"/>
      <w:r w:rsidR="00EE2E4C" w:rsidRPr="00720045">
        <w:rPr>
          <w:color w:val="000000"/>
          <w:lang w:val="es-ES_tradnl"/>
        </w:rPr>
        <w:t xml:space="preserve"> la etapa de investigación y desarrollo, las partes no pueden perder </w:t>
      </w:r>
      <w:r w:rsidR="00E843AA" w:rsidRPr="00720045">
        <w:rPr>
          <w:color w:val="000000"/>
          <w:lang w:val="es-ES_tradnl"/>
        </w:rPr>
        <w:t>demasiado tiempo</w:t>
      </w:r>
      <w:r w:rsidR="00EE2E4C" w:rsidRPr="00720045">
        <w:rPr>
          <w:color w:val="000000"/>
          <w:lang w:val="es-ES_tradnl"/>
        </w:rPr>
        <w:t xml:space="preserve"> en la solución de controversias. </w:t>
      </w:r>
      <w:r w:rsidR="0004180C" w:rsidRPr="00720045">
        <w:rPr>
          <w:lang w:val="es-ES_tradnl"/>
        </w:rPr>
        <w:t xml:space="preserve"> </w:t>
      </w:r>
      <w:r w:rsidR="00E843AA" w:rsidRPr="00720045">
        <w:rPr>
          <w:lang w:val="es-ES_tradnl"/>
        </w:rPr>
        <w:t xml:space="preserve">Por tanto, una decisión rápida </w:t>
      </w:r>
      <w:r w:rsidRPr="00720045">
        <w:rPr>
          <w:lang w:val="es-ES_tradnl"/>
        </w:rPr>
        <w:t xml:space="preserve">resulta </w:t>
      </w:r>
      <w:r w:rsidR="00E843AA" w:rsidRPr="00720045">
        <w:rPr>
          <w:lang w:val="es-ES_tradnl"/>
        </w:rPr>
        <w:t xml:space="preserve"> </w:t>
      </w:r>
      <w:r w:rsidR="00E32346" w:rsidRPr="00720045">
        <w:rPr>
          <w:lang w:val="es-ES_tradnl"/>
        </w:rPr>
        <w:t>extremadamente</w:t>
      </w:r>
      <w:r w:rsidR="00E843AA" w:rsidRPr="00720045">
        <w:rPr>
          <w:lang w:val="es-ES_tradnl"/>
        </w:rPr>
        <w:t xml:space="preserve"> </w:t>
      </w:r>
      <w:r w:rsidR="007774D6" w:rsidRPr="00720045">
        <w:rPr>
          <w:lang w:val="es-ES_tradnl"/>
        </w:rPr>
        <w:t>eficaz</w:t>
      </w:r>
      <w:r w:rsidR="00E843AA" w:rsidRPr="00720045">
        <w:rPr>
          <w:lang w:val="es-ES_tradnl"/>
        </w:rPr>
        <w:t xml:space="preserve">. </w:t>
      </w:r>
    </w:p>
    <w:p w:rsidR="0008506F" w:rsidRPr="00720045" w:rsidRDefault="0008506F" w:rsidP="0004180C">
      <w:pPr>
        <w:tabs>
          <w:tab w:val="num" w:pos="1134"/>
        </w:tabs>
        <w:ind w:left="567"/>
        <w:rPr>
          <w:lang w:val="es-ES_tradnl"/>
        </w:rPr>
      </w:pPr>
    </w:p>
    <w:p w:rsidR="0008506F" w:rsidRPr="00720045" w:rsidRDefault="0016187E" w:rsidP="00EE2E4C">
      <w:pPr>
        <w:numPr>
          <w:ilvl w:val="0"/>
          <w:numId w:val="10"/>
        </w:numPr>
        <w:tabs>
          <w:tab w:val="clear" w:pos="720"/>
          <w:tab w:val="num" w:pos="1134"/>
        </w:tabs>
        <w:ind w:left="567" w:firstLine="0"/>
        <w:rPr>
          <w:lang w:val="es-ES_tradnl"/>
        </w:rPr>
      </w:pPr>
      <w:r w:rsidRPr="00720045">
        <w:rPr>
          <w:color w:val="000000"/>
          <w:u w:val="single"/>
          <w:lang w:val="es-ES_tradnl"/>
        </w:rPr>
        <w:t>c</w:t>
      </w:r>
      <w:r w:rsidR="00EE2E4C" w:rsidRPr="00720045">
        <w:rPr>
          <w:color w:val="000000"/>
          <w:u w:val="single"/>
          <w:lang w:val="es-ES_tradnl"/>
        </w:rPr>
        <w:t>onfidencialidad</w:t>
      </w:r>
      <w:proofErr w:type="gramStart"/>
      <w:r w:rsidR="00EE2E4C" w:rsidRPr="00720045">
        <w:rPr>
          <w:color w:val="000000"/>
          <w:lang w:val="es-ES_tradnl"/>
        </w:rPr>
        <w:t xml:space="preserve">: </w:t>
      </w:r>
      <w:r w:rsidR="00C649B8">
        <w:rPr>
          <w:color w:val="000000"/>
          <w:lang w:val="es-ES_tradnl"/>
        </w:rPr>
        <w:t xml:space="preserve"> </w:t>
      </w:r>
      <w:r w:rsidR="00EE2E4C" w:rsidRPr="00720045">
        <w:rPr>
          <w:color w:val="000000"/>
          <w:lang w:val="es-ES_tradnl"/>
        </w:rPr>
        <w:t>en</w:t>
      </w:r>
      <w:proofErr w:type="gramEnd"/>
      <w:r w:rsidR="00EE2E4C" w:rsidRPr="00720045">
        <w:rPr>
          <w:color w:val="000000"/>
          <w:lang w:val="es-ES_tradnl"/>
        </w:rPr>
        <w:t xml:space="preserve"> la mayoría de los casos, los proyectos de investigación y desarrollo abarcan muchos procedimientos secretos que no deben ser compartidos con el público</w:t>
      </w:r>
      <w:r w:rsidR="005F0D53" w:rsidRPr="00720045">
        <w:rPr>
          <w:color w:val="000000"/>
          <w:lang w:val="es-ES_tradnl"/>
        </w:rPr>
        <w:t>, habida cuenta, entre otras cosas, del requisito de novedad que hay que satisfacer para obtener una patente.</w:t>
      </w:r>
      <w:r w:rsidR="00EE2E4C" w:rsidRPr="00720045">
        <w:rPr>
          <w:color w:val="000000"/>
          <w:lang w:val="es-ES_tradnl"/>
        </w:rPr>
        <w:t xml:space="preserve"> </w:t>
      </w:r>
    </w:p>
    <w:p w:rsidR="0008506F" w:rsidRPr="00720045" w:rsidRDefault="0008506F" w:rsidP="0004180C">
      <w:pPr>
        <w:pStyle w:val="ListParagraph"/>
        <w:tabs>
          <w:tab w:val="num" w:pos="1134"/>
        </w:tabs>
        <w:ind w:left="567"/>
        <w:rPr>
          <w:lang w:val="es-ES_tradnl"/>
        </w:rPr>
      </w:pPr>
    </w:p>
    <w:p w:rsidR="0008506F" w:rsidRPr="00720045" w:rsidRDefault="0016187E" w:rsidP="0016187E">
      <w:pPr>
        <w:numPr>
          <w:ilvl w:val="0"/>
          <w:numId w:val="10"/>
        </w:numPr>
        <w:tabs>
          <w:tab w:val="clear" w:pos="720"/>
          <w:tab w:val="num" w:pos="1134"/>
        </w:tabs>
        <w:ind w:left="567" w:firstLine="0"/>
        <w:rPr>
          <w:lang w:val="es-ES_tradnl"/>
        </w:rPr>
      </w:pPr>
      <w:r w:rsidRPr="00720045">
        <w:rPr>
          <w:color w:val="000000"/>
          <w:u w:val="single"/>
          <w:lang w:val="es-ES_tradnl"/>
        </w:rPr>
        <w:t>neutralidad</w:t>
      </w:r>
      <w:proofErr w:type="gramStart"/>
      <w:r w:rsidRPr="00720045">
        <w:rPr>
          <w:color w:val="000000"/>
          <w:lang w:val="es-ES_tradnl"/>
        </w:rPr>
        <w:t xml:space="preserve">: </w:t>
      </w:r>
      <w:r w:rsidR="00C649B8">
        <w:rPr>
          <w:color w:val="000000"/>
          <w:lang w:val="es-ES_tradnl"/>
        </w:rPr>
        <w:t xml:space="preserve"> </w:t>
      </w:r>
      <w:r w:rsidRPr="00720045">
        <w:rPr>
          <w:color w:val="000000"/>
          <w:lang w:val="es-ES_tradnl"/>
        </w:rPr>
        <w:t>el</w:t>
      </w:r>
      <w:proofErr w:type="gramEnd"/>
      <w:r w:rsidRPr="00720045">
        <w:rPr>
          <w:color w:val="000000"/>
          <w:lang w:val="es-ES_tradnl"/>
        </w:rPr>
        <w:t xml:space="preserve"> punto de vista del mediador o árbitro sobre cualquier aspecto de la controversia en curso debe ser neutral. </w:t>
      </w:r>
    </w:p>
    <w:p w:rsidR="0008506F" w:rsidRPr="00720045" w:rsidRDefault="0008506F" w:rsidP="0004180C">
      <w:pPr>
        <w:ind w:left="567"/>
        <w:rPr>
          <w:lang w:val="es-ES_tradnl"/>
        </w:rPr>
      </w:pPr>
    </w:p>
    <w:p w:rsidR="0008506F" w:rsidRPr="00720045" w:rsidRDefault="001840F3" w:rsidP="001840F3">
      <w:pPr>
        <w:numPr>
          <w:ilvl w:val="0"/>
          <w:numId w:val="10"/>
        </w:numPr>
        <w:tabs>
          <w:tab w:val="clear" w:pos="720"/>
          <w:tab w:val="num" w:pos="1134"/>
        </w:tabs>
        <w:ind w:left="567" w:firstLine="0"/>
        <w:rPr>
          <w:lang w:val="es-ES_tradnl"/>
        </w:rPr>
      </w:pPr>
      <w:r w:rsidRPr="00720045">
        <w:rPr>
          <w:color w:val="000000"/>
          <w:u w:val="single"/>
          <w:lang w:val="es-ES_tradnl"/>
        </w:rPr>
        <w:lastRenderedPageBreak/>
        <w:t>conocimientos especializados</w:t>
      </w:r>
      <w:proofErr w:type="gramStart"/>
      <w:r w:rsidRPr="00720045">
        <w:rPr>
          <w:color w:val="000000"/>
          <w:u w:val="single"/>
          <w:lang w:val="es-ES_tradnl"/>
        </w:rPr>
        <w:t>:</w:t>
      </w:r>
      <w:r w:rsidR="00C649B8">
        <w:rPr>
          <w:color w:val="000000"/>
          <w:u w:val="single"/>
          <w:lang w:val="es-ES_tradnl"/>
        </w:rPr>
        <w:t xml:space="preserve"> </w:t>
      </w:r>
      <w:r w:rsidRPr="00720045">
        <w:rPr>
          <w:color w:val="000000"/>
          <w:lang w:val="es-ES_tradnl"/>
        </w:rPr>
        <w:t xml:space="preserve"> las</w:t>
      </w:r>
      <w:proofErr w:type="gramEnd"/>
      <w:r w:rsidRPr="00720045">
        <w:rPr>
          <w:color w:val="000000"/>
          <w:lang w:val="es-ES_tradnl"/>
        </w:rPr>
        <w:t xml:space="preserve"> partes tienen la posibilidad de nombrar un árbitro o mediador con conocimientos específicos en el ámbito de los proyectos de investigación y en el tema de la investigación en sí. </w:t>
      </w:r>
      <w:r w:rsidR="0004180C" w:rsidRPr="00720045">
        <w:rPr>
          <w:lang w:val="es-ES_tradnl"/>
        </w:rPr>
        <w:t xml:space="preserve"> </w:t>
      </w:r>
      <w:r w:rsidRPr="00720045">
        <w:rPr>
          <w:color w:val="000000"/>
          <w:lang w:val="es-ES_tradnl"/>
        </w:rPr>
        <w:t xml:space="preserve">No hace falta que el árbitro o mediador sea abogado o juez. </w:t>
      </w:r>
    </w:p>
    <w:p w:rsidR="0008506F" w:rsidRPr="00720045" w:rsidRDefault="0008506F" w:rsidP="0004180C">
      <w:pPr>
        <w:rPr>
          <w:lang w:val="es-ES_tradnl"/>
        </w:rPr>
      </w:pPr>
    </w:p>
    <w:p w:rsidR="0008506F" w:rsidRPr="00720045" w:rsidRDefault="0004180C" w:rsidP="0008506F">
      <w:pPr>
        <w:rPr>
          <w:lang w:val="es-ES_tradnl"/>
        </w:rPr>
      </w:pPr>
      <w:r w:rsidRPr="00720045">
        <w:rPr>
          <w:lang w:val="es-ES_tradnl"/>
        </w:rPr>
        <w:fldChar w:fldCharType="begin"/>
      </w:r>
      <w:r w:rsidRPr="00720045">
        <w:rPr>
          <w:lang w:val="es-ES_tradnl"/>
        </w:rPr>
        <w:instrText xml:space="preserve"> AUTONUM  </w:instrText>
      </w:r>
      <w:r w:rsidRPr="00720045">
        <w:rPr>
          <w:lang w:val="es-ES_tradnl"/>
        </w:rPr>
        <w:fldChar w:fldCharType="end"/>
      </w:r>
      <w:r w:rsidRPr="00720045">
        <w:rPr>
          <w:lang w:val="es-ES_tradnl"/>
        </w:rPr>
        <w:tab/>
      </w:r>
      <w:r w:rsidR="001840F3" w:rsidRPr="00720045">
        <w:rPr>
          <w:color w:val="000000"/>
          <w:lang w:val="es-ES_tradnl"/>
        </w:rPr>
        <w:t xml:space="preserve">La cláusula de mediación en particular fue bien recibida ya que ofrece a las partes la posibilidad de contar con un mediador experimentado que comprende las frecuentes complejidades de las </w:t>
      </w:r>
      <w:r w:rsidR="00E843AA" w:rsidRPr="00720045">
        <w:rPr>
          <w:color w:val="000000"/>
          <w:lang w:val="es-ES_tradnl"/>
        </w:rPr>
        <w:t xml:space="preserve">diversas </w:t>
      </w:r>
      <w:r w:rsidR="001840F3" w:rsidRPr="00720045">
        <w:rPr>
          <w:color w:val="000000"/>
          <w:lang w:val="es-ES_tradnl"/>
        </w:rPr>
        <w:t>relaciones y cuestiones</w:t>
      </w:r>
      <w:r w:rsidR="00E843AA" w:rsidRPr="00720045">
        <w:rPr>
          <w:color w:val="000000"/>
          <w:lang w:val="es-ES_tradnl"/>
        </w:rPr>
        <w:t xml:space="preserve">, y </w:t>
      </w:r>
      <w:r w:rsidR="001840F3" w:rsidRPr="00720045">
        <w:rPr>
          <w:color w:val="000000"/>
          <w:lang w:val="es-ES_tradnl"/>
        </w:rPr>
        <w:t xml:space="preserve">asiste a las partes </w:t>
      </w:r>
      <w:r w:rsidR="007774D6" w:rsidRPr="00720045">
        <w:rPr>
          <w:color w:val="000000"/>
          <w:lang w:val="es-ES_tradnl"/>
        </w:rPr>
        <w:t xml:space="preserve">en </w:t>
      </w:r>
      <w:r w:rsidR="001840F3" w:rsidRPr="00720045">
        <w:rPr>
          <w:color w:val="000000"/>
          <w:lang w:val="es-ES_tradnl"/>
        </w:rPr>
        <w:t>solucionar sus controversias de manera rápida y económica.</w:t>
      </w:r>
      <w:r w:rsidRPr="00720045">
        <w:rPr>
          <w:lang w:val="es-ES_tradnl"/>
        </w:rPr>
        <w:t xml:space="preserve">  </w:t>
      </w:r>
      <w:r w:rsidR="002D40B9" w:rsidRPr="00720045">
        <w:rPr>
          <w:color w:val="000000"/>
          <w:lang w:val="es-ES_tradnl"/>
        </w:rPr>
        <w:t>En concreto</w:t>
      </w:r>
      <w:r w:rsidR="001840F3" w:rsidRPr="00720045">
        <w:rPr>
          <w:color w:val="000000"/>
          <w:lang w:val="es-ES_tradnl"/>
        </w:rPr>
        <w:t xml:space="preserve">, la elección del procedimiento de arbitraje acelerado también resultó </w:t>
      </w:r>
      <w:r w:rsidR="0092094B" w:rsidRPr="00720045">
        <w:rPr>
          <w:color w:val="000000"/>
          <w:lang w:val="es-ES_tradnl"/>
        </w:rPr>
        <w:t>favorable</w:t>
      </w:r>
      <w:r w:rsidR="001840F3" w:rsidRPr="00720045">
        <w:rPr>
          <w:color w:val="000000"/>
          <w:lang w:val="es-ES_tradnl"/>
        </w:rPr>
        <w:t xml:space="preserve"> en cuanto a su eficacia, costo y confidencialidad.  </w:t>
      </w:r>
      <w:r w:rsidR="0092094B" w:rsidRPr="00720045">
        <w:rPr>
          <w:color w:val="000000"/>
          <w:lang w:val="es-ES_tradnl"/>
        </w:rPr>
        <w:t xml:space="preserve">Otra gran ventaja es el hecho de poder concentrar las controversias que involucran varias jurisdicciones en un único procedimiento, lo cual representa una gran oportunidad para evitar decisiones divergentes en </w:t>
      </w:r>
      <w:r w:rsidR="002D40B9" w:rsidRPr="00720045">
        <w:rPr>
          <w:color w:val="000000"/>
          <w:lang w:val="es-ES_tradnl"/>
        </w:rPr>
        <w:t>distintos</w:t>
      </w:r>
      <w:r w:rsidR="0092094B" w:rsidRPr="00720045">
        <w:rPr>
          <w:color w:val="000000"/>
          <w:lang w:val="es-ES_tradnl"/>
        </w:rPr>
        <w:t xml:space="preserve"> países. </w:t>
      </w:r>
      <w:r w:rsidRPr="00720045">
        <w:rPr>
          <w:lang w:val="es-ES_tradnl"/>
        </w:rPr>
        <w:t xml:space="preserve"> </w:t>
      </w:r>
      <w:r w:rsidR="0008506F" w:rsidRPr="00720045">
        <w:rPr>
          <w:color w:val="000000"/>
          <w:lang w:val="es-ES_tradnl"/>
        </w:rPr>
        <w:t xml:space="preserve">El hecho de que las partes gocen de mayor influencia en la elección del árbitro o mediador y en el </w:t>
      </w:r>
      <w:r w:rsidR="002D40B9" w:rsidRPr="00720045">
        <w:rPr>
          <w:color w:val="000000"/>
          <w:lang w:val="es-ES_tradnl"/>
        </w:rPr>
        <w:t xml:space="preserve">procedimiento </w:t>
      </w:r>
      <w:r w:rsidR="0008506F" w:rsidRPr="00720045">
        <w:rPr>
          <w:color w:val="000000"/>
          <w:lang w:val="es-ES_tradnl"/>
        </w:rPr>
        <w:t xml:space="preserve">en general también representa una gran ventaja. </w:t>
      </w:r>
    </w:p>
    <w:p w:rsidR="0008506F" w:rsidRPr="00720045" w:rsidRDefault="0008506F" w:rsidP="0004180C">
      <w:pPr>
        <w:rPr>
          <w:lang w:val="es-ES_tradnl"/>
        </w:rPr>
      </w:pPr>
    </w:p>
    <w:p w:rsidR="0008506F" w:rsidRPr="00720045" w:rsidRDefault="0008506F" w:rsidP="0004180C">
      <w:pPr>
        <w:rPr>
          <w:lang w:val="es-ES_tradnl"/>
        </w:rPr>
      </w:pPr>
    </w:p>
    <w:p w:rsidR="0008506F" w:rsidRPr="00720045" w:rsidRDefault="0008506F" w:rsidP="0004180C">
      <w:pPr>
        <w:rPr>
          <w:lang w:val="es-ES_tradnl"/>
        </w:rPr>
      </w:pPr>
    </w:p>
    <w:p w:rsidR="0008506F" w:rsidRPr="00720045" w:rsidRDefault="0008506F" w:rsidP="0004180C">
      <w:pPr>
        <w:rPr>
          <w:lang w:val="es-ES_tradnl"/>
        </w:rPr>
      </w:pPr>
    </w:p>
    <w:p w:rsidR="0008506F" w:rsidRPr="00720045" w:rsidRDefault="0008506F" w:rsidP="0008506F">
      <w:pPr>
        <w:pStyle w:val="Endofdocument-Annex"/>
        <w:rPr>
          <w:lang w:val="es-ES_tradnl"/>
        </w:rPr>
      </w:pPr>
      <w:r w:rsidRPr="00720045">
        <w:rPr>
          <w:lang w:val="es-ES_tradnl"/>
        </w:rPr>
        <w:t>[Fin del documento]</w:t>
      </w:r>
    </w:p>
    <w:p w:rsidR="0008506F" w:rsidRPr="00720045" w:rsidRDefault="0008506F" w:rsidP="0004180C">
      <w:pPr>
        <w:rPr>
          <w:lang w:val="es-ES_tradnl"/>
        </w:rPr>
      </w:pPr>
    </w:p>
    <w:p w:rsidR="0008506F" w:rsidRPr="00720045" w:rsidRDefault="0008506F" w:rsidP="0004180C">
      <w:pPr>
        <w:rPr>
          <w:i/>
          <w:szCs w:val="22"/>
          <w:lang w:val="es-ES_tradnl"/>
        </w:rPr>
      </w:pPr>
    </w:p>
    <w:p w:rsidR="0008506F" w:rsidRPr="00720045" w:rsidRDefault="0008506F" w:rsidP="0004180C">
      <w:pPr>
        <w:rPr>
          <w:i/>
          <w:szCs w:val="22"/>
          <w:lang w:val="es-ES_tradnl"/>
        </w:rPr>
      </w:pPr>
    </w:p>
    <w:p w:rsidR="0008506F" w:rsidRPr="00720045" w:rsidRDefault="0008506F" w:rsidP="0004180C">
      <w:pPr>
        <w:rPr>
          <w:i/>
          <w:szCs w:val="22"/>
          <w:lang w:val="es-ES_tradnl"/>
        </w:rPr>
      </w:pPr>
    </w:p>
    <w:p w:rsidR="0008506F" w:rsidRPr="00720045" w:rsidRDefault="0008506F" w:rsidP="0004180C">
      <w:pPr>
        <w:rPr>
          <w:i/>
          <w:szCs w:val="22"/>
          <w:lang w:val="es-ES_tradnl"/>
        </w:rPr>
      </w:pPr>
    </w:p>
    <w:p w:rsidR="0008506F" w:rsidRPr="00720045" w:rsidRDefault="0008506F" w:rsidP="0004180C">
      <w:pPr>
        <w:rPr>
          <w:i/>
          <w:szCs w:val="22"/>
          <w:lang w:val="es-ES_tradnl"/>
        </w:rPr>
      </w:pPr>
    </w:p>
    <w:sectPr w:rsidR="0008506F" w:rsidRPr="00720045" w:rsidSect="00512EA7">
      <w:headerReference w:type="default" r:id="rId11"/>
      <w:endnotePr>
        <w:numFmt w:val="decimal"/>
      </w:endnotePr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21" w:rsidRDefault="00432921">
      <w:r>
        <w:separator/>
      </w:r>
    </w:p>
  </w:endnote>
  <w:endnote w:type="continuationSeparator" w:id="0">
    <w:p w:rsidR="00432921" w:rsidRDefault="00432921" w:rsidP="003B38C1">
      <w:r>
        <w:separator/>
      </w:r>
    </w:p>
    <w:p w:rsidR="00432921" w:rsidRPr="00EA7492" w:rsidRDefault="00432921" w:rsidP="003B38C1">
      <w:pPr>
        <w:spacing w:after="60"/>
        <w:rPr>
          <w:sz w:val="17"/>
          <w:lang w:val="en-US"/>
        </w:rPr>
      </w:pPr>
      <w:r w:rsidRPr="00EA7492">
        <w:rPr>
          <w:sz w:val="17"/>
          <w:lang w:val="en-US"/>
        </w:rPr>
        <w:t>[Endnote continued from previous page]</w:t>
      </w:r>
    </w:p>
  </w:endnote>
  <w:endnote w:type="continuationNotice" w:id="1">
    <w:p w:rsidR="00432921" w:rsidRPr="00EA7492" w:rsidRDefault="00432921" w:rsidP="003B38C1">
      <w:pPr>
        <w:spacing w:before="60"/>
        <w:jc w:val="right"/>
        <w:rPr>
          <w:sz w:val="17"/>
          <w:szCs w:val="17"/>
          <w:lang w:val="en-US"/>
        </w:rPr>
      </w:pPr>
      <w:r w:rsidRPr="00EA7492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21" w:rsidRDefault="00432921">
      <w:r>
        <w:separator/>
      </w:r>
    </w:p>
  </w:footnote>
  <w:footnote w:type="continuationSeparator" w:id="0">
    <w:p w:rsidR="00432921" w:rsidRDefault="00432921" w:rsidP="008B60B2">
      <w:r>
        <w:separator/>
      </w:r>
    </w:p>
    <w:p w:rsidR="00432921" w:rsidRPr="00EA7492" w:rsidRDefault="00432921" w:rsidP="008B60B2">
      <w:pPr>
        <w:spacing w:after="60"/>
        <w:rPr>
          <w:sz w:val="17"/>
          <w:szCs w:val="17"/>
          <w:lang w:val="en-US"/>
        </w:rPr>
      </w:pPr>
      <w:r w:rsidRPr="00EA7492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432921" w:rsidRPr="00EA7492" w:rsidRDefault="00432921" w:rsidP="008B60B2">
      <w:pPr>
        <w:spacing w:before="60"/>
        <w:jc w:val="right"/>
        <w:rPr>
          <w:sz w:val="17"/>
          <w:szCs w:val="17"/>
          <w:lang w:val="en-US"/>
        </w:rPr>
      </w:pPr>
      <w:r w:rsidRPr="00EA7492">
        <w:rPr>
          <w:sz w:val="17"/>
          <w:szCs w:val="17"/>
          <w:lang w:val="en-US"/>
        </w:rPr>
        <w:t>[Footnote continued on next page]</w:t>
      </w:r>
    </w:p>
  </w:footnote>
  <w:footnote w:id="2">
    <w:p w:rsidR="00720045" w:rsidRPr="00AC2F36" w:rsidRDefault="00720045" w:rsidP="00670D00">
      <w:pPr>
        <w:pStyle w:val="FootnoteText"/>
      </w:pPr>
      <w:r w:rsidRPr="00720045">
        <w:rPr>
          <w:rStyle w:val="FootnoteReference"/>
        </w:rPr>
        <w:sym w:font="Symbol" w:char="F02A"/>
      </w:r>
      <w:r w:rsidRPr="00AC2F36">
        <w:t xml:space="preserve"> </w:t>
      </w:r>
      <w:r w:rsidRPr="00AC2F36">
        <w:tab/>
      </w:r>
      <w:r w:rsidRPr="00670D00">
        <w:rPr>
          <w:color w:val="000000"/>
          <w:lang w:val="es-ES_tradnl"/>
        </w:rPr>
        <w:t>Las opiniones expresadas en el presente documento son las del autor</w:t>
      </w:r>
      <w:r>
        <w:rPr>
          <w:color w:val="000000"/>
          <w:lang w:val="es-ES_tradnl"/>
        </w:rPr>
        <w:t xml:space="preserve"> </w:t>
      </w:r>
      <w:r w:rsidRPr="00670D00">
        <w:rPr>
          <w:color w:val="000000"/>
          <w:lang w:val="es-ES_tradnl"/>
        </w:rPr>
        <w:t xml:space="preserve">y no reflejan </w:t>
      </w:r>
      <w:r>
        <w:rPr>
          <w:color w:val="000000"/>
          <w:lang w:val="es-ES_tradnl"/>
        </w:rPr>
        <w:t>la opinión de la Secretaría ni de los Estados miembros de la OMPI.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8A" w:rsidRDefault="00824D8A" w:rsidP="00477D6B">
    <w:pPr>
      <w:jc w:val="right"/>
    </w:pPr>
    <w:bookmarkStart w:id="6" w:name="Code2"/>
    <w:bookmarkEnd w:id="6"/>
    <w:r>
      <w:t>WIPO/ACE/9/</w:t>
    </w:r>
    <w:r w:rsidR="0004180C">
      <w:t>26</w:t>
    </w:r>
  </w:p>
  <w:p w:rsidR="00824D8A" w:rsidRDefault="00824D8A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61028D">
      <w:rPr>
        <w:noProof/>
      </w:rPr>
      <w:t>3</w:t>
    </w:r>
    <w:r>
      <w:fldChar w:fldCharType="end"/>
    </w:r>
  </w:p>
  <w:p w:rsidR="00824D8A" w:rsidRDefault="00824D8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13E5D14"/>
    <w:multiLevelType w:val="multilevel"/>
    <w:tmpl w:val="FFACEE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A6D32"/>
    <w:multiLevelType w:val="hybridMultilevel"/>
    <w:tmpl w:val="4C06DB64"/>
    <w:lvl w:ilvl="0" w:tplc="8B2229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FF7F87"/>
    <w:multiLevelType w:val="multilevel"/>
    <w:tmpl w:val="3FC837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B42133"/>
    <w:multiLevelType w:val="multilevel"/>
    <w:tmpl w:val="A20E87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Administrative\Meetings|Administrative\Other|Administrative\Publications"/>
    <w:docVar w:name="TextBaseURL" w:val="empty"/>
    <w:docVar w:name="UILng" w:val="en"/>
  </w:docVars>
  <w:rsids>
    <w:rsidRoot w:val="00712E9B"/>
    <w:rsid w:val="000163D9"/>
    <w:rsid w:val="00020C73"/>
    <w:rsid w:val="000268FF"/>
    <w:rsid w:val="000278A8"/>
    <w:rsid w:val="00027C92"/>
    <w:rsid w:val="00036386"/>
    <w:rsid w:val="0004180C"/>
    <w:rsid w:val="00041AC3"/>
    <w:rsid w:val="000423B1"/>
    <w:rsid w:val="00043CAA"/>
    <w:rsid w:val="00046437"/>
    <w:rsid w:val="00055789"/>
    <w:rsid w:val="000569BC"/>
    <w:rsid w:val="00061D47"/>
    <w:rsid w:val="000635E6"/>
    <w:rsid w:val="00064B08"/>
    <w:rsid w:val="000743FF"/>
    <w:rsid w:val="00075432"/>
    <w:rsid w:val="0007796C"/>
    <w:rsid w:val="0008506F"/>
    <w:rsid w:val="000858EF"/>
    <w:rsid w:val="00091684"/>
    <w:rsid w:val="000968ED"/>
    <w:rsid w:val="00097BDE"/>
    <w:rsid w:val="000A21AF"/>
    <w:rsid w:val="000A65D4"/>
    <w:rsid w:val="000B5446"/>
    <w:rsid w:val="000B6EAB"/>
    <w:rsid w:val="000B78F0"/>
    <w:rsid w:val="000C1F51"/>
    <w:rsid w:val="000C21A1"/>
    <w:rsid w:val="000C5CBF"/>
    <w:rsid w:val="000E6A7D"/>
    <w:rsid w:val="000F5E56"/>
    <w:rsid w:val="00101E9E"/>
    <w:rsid w:val="00102603"/>
    <w:rsid w:val="001029A2"/>
    <w:rsid w:val="00104922"/>
    <w:rsid w:val="001208AD"/>
    <w:rsid w:val="00123F8B"/>
    <w:rsid w:val="0012696C"/>
    <w:rsid w:val="00130E91"/>
    <w:rsid w:val="001362EE"/>
    <w:rsid w:val="00136857"/>
    <w:rsid w:val="001437A6"/>
    <w:rsid w:val="00150342"/>
    <w:rsid w:val="00152153"/>
    <w:rsid w:val="0016187E"/>
    <w:rsid w:val="001715DF"/>
    <w:rsid w:val="001728FE"/>
    <w:rsid w:val="001775F8"/>
    <w:rsid w:val="001832A6"/>
    <w:rsid w:val="001840F3"/>
    <w:rsid w:val="0018550E"/>
    <w:rsid w:val="00186995"/>
    <w:rsid w:val="001A38C2"/>
    <w:rsid w:val="001C29C7"/>
    <w:rsid w:val="001D30A1"/>
    <w:rsid w:val="001D4DCF"/>
    <w:rsid w:val="001E15B0"/>
    <w:rsid w:val="00202A5F"/>
    <w:rsid w:val="002032BC"/>
    <w:rsid w:val="00206F3F"/>
    <w:rsid w:val="002169EF"/>
    <w:rsid w:val="00217D81"/>
    <w:rsid w:val="002203A1"/>
    <w:rsid w:val="002223BA"/>
    <w:rsid w:val="00230974"/>
    <w:rsid w:val="00234AC6"/>
    <w:rsid w:val="002429CB"/>
    <w:rsid w:val="002452CC"/>
    <w:rsid w:val="002552FB"/>
    <w:rsid w:val="002634C4"/>
    <w:rsid w:val="002750E2"/>
    <w:rsid w:val="00280B9A"/>
    <w:rsid w:val="002928D3"/>
    <w:rsid w:val="00295595"/>
    <w:rsid w:val="002A0F39"/>
    <w:rsid w:val="002A17B4"/>
    <w:rsid w:val="002B3029"/>
    <w:rsid w:val="002B59E9"/>
    <w:rsid w:val="002B5DE9"/>
    <w:rsid w:val="002C78F6"/>
    <w:rsid w:val="002D119E"/>
    <w:rsid w:val="002D3027"/>
    <w:rsid w:val="002D40B9"/>
    <w:rsid w:val="002D49FB"/>
    <w:rsid w:val="002E1985"/>
    <w:rsid w:val="002E2713"/>
    <w:rsid w:val="002E5613"/>
    <w:rsid w:val="002E6EA1"/>
    <w:rsid w:val="002F1FE6"/>
    <w:rsid w:val="002F4E68"/>
    <w:rsid w:val="002F66BB"/>
    <w:rsid w:val="002F7DF3"/>
    <w:rsid w:val="00303960"/>
    <w:rsid w:val="00304DB1"/>
    <w:rsid w:val="00312F7F"/>
    <w:rsid w:val="00320036"/>
    <w:rsid w:val="00326AA2"/>
    <w:rsid w:val="00332C35"/>
    <w:rsid w:val="003342B2"/>
    <w:rsid w:val="003415F7"/>
    <w:rsid w:val="003462DA"/>
    <w:rsid w:val="0035027F"/>
    <w:rsid w:val="003533D7"/>
    <w:rsid w:val="0035539C"/>
    <w:rsid w:val="003557EA"/>
    <w:rsid w:val="00361450"/>
    <w:rsid w:val="003673CF"/>
    <w:rsid w:val="00377946"/>
    <w:rsid w:val="00383BBC"/>
    <w:rsid w:val="00384065"/>
    <w:rsid w:val="003845C1"/>
    <w:rsid w:val="00385AEB"/>
    <w:rsid w:val="00394561"/>
    <w:rsid w:val="003A1C65"/>
    <w:rsid w:val="003A32EB"/>
    <w:rsid w:val="003A6F89"/>
    <w:rsid w:val="003B38C1"/>
    <w:rsid w:val="003B621D"/>
    <w:rsid w:val="003B6FBB"/>
    <w:rsid w:val="003C1DE4"/>
    <w:rsid w:val="003C21DA"/>
    <w:rsid w:val="003C2FEF"/>
    <w:rsid w:val="003C6733"/>
    <w:rsid w:val="003E35D3"/>
    <w:rsid w:val="00403711"/>
    <w:rsid w:val="00407D6B"/>
    <w:rsid w:val="00411089"/>
    <w:rsid w:val="004155BB"/>
    <w:rsid w:val="00415B99"/>
    <w:rsid w:val="00423E3E"/>
    <w:rsid w:val="00427AF4"/>
    <w:rsid w:val="00432921"/>
    <w:rsid w:val="00433FB6"/>
    <w:rsid w:val="004347D3"/>
    <w:rsid w:val="00446FD7"/>
    <w:rsid w:val="004546F3"/>
    <w:rsid w:val="0046143D"/>
    <w:rsid w:val="004647DA"/>
    <w:rsid w:val="0046658C"/>
    <w:rsid w:val="00472D1F"/>
    <w:rsid w:val="00474062"/>
    <w:rsid w:val="00477D6B"/>
    <w:rsid w:val="00486A9D"/>
    <w:rsid w:val="00494A50"/>
    <w:rsid w:val="004961A5"/>
    <w:rsid w:val="004975FD"/>
    <w:rsid w:val="004B5B33"/>
    <w:rsid w:val="004B6E6F"/>
    <w:rsid w:val="004C3858"/>
    <w:rsid w:val="004C39C6"/>
    <w:rsid w:val="004C4C49"/>
    <w:rsid w:val="004C6C50"/>
    <w:rsid w:val="004D0DF3"/>
    <w:rsid w:val="004D1EF3"/>
    <w:rsid w:val="004E1287"/>
    <w:rsid w:val="004F5A84"/>
    <w:rsid w:val="004F77D4"/>
    <w:rsid w:val="005019FF"/>
    <w:rsid w:val="00503B4E"/>
    <w:rsid w:val="00512698"/>
    <w:rsid w:val="00512CC9"/>
    <w:rsid w:val="00512EA7"/>
    <w:rsid w:val="00514BBD"/>
    <w:rsid w:val="005209F7"/>
    <w:rsid w:val="00522DE6"/>
    <w:rsid w:val="00523039"/>
    <w:rsid w:val="0053057A"/>
    <w:rsid w:val="00530B27"/>
    <w:rsid w:val="0053603A"/>
    <w:rsid w:val="00537F2D"/>
    <w:rsid w:val="00545FC5"/>
    <w:rsid w:val="00555534"/>
    <w:rsid w:val="00560041"/>
    <w:rsid w:val="00560A29"/>
    <w:rsid w:val="005610AA"/>
    <w:rsid w:val="00563CBB"/>
    <w:rsid w:val="00565847"/>
    <w:rsid w:val="005700E2"/>
    <w:rsid w:val="00573C03"/>
    <w:rsid w:val="005777CA"/>
    <w:rsid w:val="00580405"/>
    <w:rsid w:val="00585013"/>
    <w:rsid w:val="0059247C"/>
    <w:rsid w:val="005937D7"/>
    <w:rsid w:val="0059466C"/>
    <w:rsid w:val="005B4399"/>
    <w:rsid w:val="005B676F"/>
    <w:rsid w:val="005C55DC"/>
    <w:rsid w:val="005C6649"/>
    <w:rsid w:val="005C6E65"/>
    <w:rsid w:val="005F0D53"/>
    <w:rsid w:val="00602965"/>
    <w:rsid w:val="00605827"/>
    <w:rsid w:val="00606133"/>
    <w:rsid w:val="0061028D"/>
    <w:rsid w:val="00611D81"/>
    <w:rsid w:val="0061612D"/>
    <w:rsid w:val="00622C5A"/>
    <w:rsid w:val="00623941"/>
    <w:rsid w:val="00646050"/>
    <w:rsid w:val="00653BD0"/>
    <w:rsid w:val="00656F47"/>
    <w:rsid w:val="006612EE"/>
    <w:rsid w:val="00662240"/>
    <w:rsid w:val="00667E0F"/>
    <w:rsid w:val="00670D00"/>
    <w:rsid w:val="006713CA"/>
    <w:rsid w:val="00676C5C"/>
    <w:rsid w:val="00677370"/>
    <w:rsid w:val="00680998"/>
    <w:rsid w:val="00685280"/>
    <w:rsid w:val="00694F79"/>
    <w:rsid w:val="006A2038"/>
    <w:rsid w:val="006A5FEE"/>
    <w:rsid w:val="006B1843"/>
    <w:rsid w:val="006B4FEF"/>
    <w:rsid w:val="006B50BC"/>
    <w:rsid w:val="006B59F5"/>
    <w:rsid w:val="006C038D"/>
    <w:rsid w:val="006C080F"/>
    <w:rsid w:val="006C59D2"/>
    <w:rsid w:val="006E3FE7"/>
    <w:rsid w:val="006E5669"/>
    <w:rsid w:val="006F1D2F"/>
    <w:rsid w:val="006F3883"/>
    <w:rsid w:val="00702719"/>
    <w:rsid w:val="007106B9"/>
    <w:rsid w:val="00712E9B"/>
    <w:rsid w:val="007157EA"/>
    <w:rsid w:val="007163CD"/>
    <w:rsid w:val="0071668D"/>
    <w:rsid w:val="00716BDF"/>
    <w:rsid w:val="00720045"/>
    <w:rsid w:val="007247E3"/>
    <w:rsid w:val="007341B3"/>
    <w:rsid w:val="007343D0"/>
    <w:rsid w:val="00745689"/>
    <w:rsid w:val="00750851"/>
    <w:rsid w:val="00770AC7"/>
    <w:rsid w:val="007774D6"/>
    <w:rsid w:val="0079096F"/>
    <w:rsid w:val="00795D07"/>
    <w:rsid w:val="007A6F87"/>
    <w:rsid w:val="007A7E4B"/>
    <w:rsid w:val="007B181D"/>
    <w:rsid w:val="007B2C28"/>
    <w:rsid w:val="007B4521"/>
    <w:rsid w:val="007B6A15"/>
    <w:rsid w:val="007B77EA"/>
    <w:rsid w:val="007D1613"/>
    <w:rsid w:val="007D4965"/>
    <w:rsid w:val="007D6132"/>
    <w:rsid w:val="007F25B2"/>
    <w:rsid w:val="007F6FED"/>
    <w:rsid w:val="007F72BB"/>
    <w:rsid w:val="00801DDD"/>
    <w:rsid w:val="00801E1B"/>
    <w:rsid w:val="0080220C"/>
    <w:rsid w:val="00803E43"/>
    <w:rsid w:val="00806459"/>
    <w:rsid w:val="00806B79"/>
    <w:rsid w:val="00815CD7"/>
    <w:rsid w:val="00823B24"/>
    <w:rsid w:val="00824D8A"/>
    <w:rsid w:val="00825F63"/>
    <w:rsid w:val="00832FCE"/>
    <w:rsid w:val="00833D2C"/>
    <w:rsid w:val="00856C45"/>
    <w:rsid w:val="00860D19"/>
    <w:rsid w:val="0086166C"/>
    <w:rsid w:val="00861729"/>
    <w:rsid w:val="0086217F"/>
    <w:rsid w:val="008657BD"/>
    <w:rsid w:val="00875178"/>
    <w:rsid w:val="00893522"/>
    <w:rsid w:val="008A2B02"/>
    <w:rsid w:val="008A3845"/>
    <w:rsid w:val="008B2CC1"/>
    <w:rsid w:val="008B60B2"/>
    <w:rsid w:val="008C17B5"/>
    <w:rsid w:val="008D0B02"/>
    <w:rsid w:val="008D54D8"/>
    <w:rsid w:val="008D73E9"/>
    <w:rsid w:val="008F103A"/>
    <w:rsid w:val="008F4E25"/>
    <w:rsid w:val="008F6BB2"/>
    <w:rsid w:val="00903015"/>
    <w:rsid w:val="0090731E"/>
    <w:rsid w:val="00912589"/>
    <w:rsid w:val="00916EE2"/>
    <w:rsid w:val="0092094B"/>
    <w:rsid w:val="0092323C"/>
    <w:rsid w:val="00932646"/>
    <w:rsid w:val="00932691"/>
    <w:rsid w:val="00933CC9"/>
    <w:rsid w:val="00935F52"/>
    <w:rsid w:val="009416A9"/>
    <w:rsid w:val="00947BAC"/>
    <w:rsid w:val="00951A98"/>
    <w:rsid w:val="00951FB7"/>
    <w:rsid w:val="009577A7"/>
    <w:rsid w:val="009613D6"/>
    <w:rsid w:val="00965121"/>
    <w:rsid w:val="009665A5"/>
    <w:rsid w:val="00966A22"/>
    <w:rsid w:val="0096722F"/>
    <w:rsid w:val="00971713"/>
    <w:rsid w:val="009732EA"/>
    <w:rsid w:val="00974628"/>
    <w:rsid w:val="00976621"/>
    <w:rsid w:val="00980843"/>
    <w:rsid w:val="00980E04"/>
    <w:rsid w:val="009862DA"/>
    <w:rsid w:val="00996CFE"/>
    <w:rsid w:val="009971F4"/>
    <w:rsid w:val="009A096D"/>
    <w:rsid w:val="009A4256"/>
    <w:rsid w:val="009A644F"/>
    <w:rsid w:val="009D23EE"/>
    <w:rsid w:val="009D243C"/>
    <w:rsid w:val="009D4D15"/>
    <w:rsid w:val="009D7819"/>
    <w:rsid w:val="009E2791"/>
    <w:rsid w:val="009E27F1"/>
    <w:rsid w:val="009E3019"/>
    <w:rsid w:val="009E3F6F"/>
    <w:rsid w:val="009F35FD"/>
    <w:rsid w:val="009F499F"/>
    <w:rsid w:val="009F5CFD"/>
    <w:rsid w:val="009F6B81"/>
    <w:rsid w:val="00A0733E"/>
    <w:rsid w:val="00A231E9"/>
    <w:rsid w:val="00A30459"/>
    <w:rsid w:val="00A3451B"/>
    <w:rsid w:val="00A36BCF"/>
    <w:rsid w:val="00A418FB"/>
    <w:rsid w:val="00A42DAF"/>
    <w:rsid w:val="00A45BD8"/>
    <w:rsid w:val="00A5656D"/>
    <w:rsid w:val="00A6059C"/>
    <w:rsid w:val="00A661C2"/>
    <w:rsid w:val="00A71783"/>
    <w:rsid w:val="00A734CB"/>
    <w:rsid w:val="00A75710"/>
    <w:rsid w:val="00A766B1"/>
    <w:rsid w:val="00A8548F"/>
    <w:rsid w:val="00A869B7"/>
    <w:rsid w:val="00A945E0"/>
    <w:rsid w:val="00A95384"/>
    <w:rsid w:val="00A95B5E"/>
    <w:rsid w:val="00AB4E25"/>
    <w:rsid w:val="00AB5BE7"/>
    <w:rsid w:val="00AB7D28"/>
    <w:rsid w:val="00AC0D26"/>
    <w:rsid w:val="00AC205C"/>
    <w:rsid w:val="00AC2F36"/>
    <w:rsid w:val="00AD7DE3"/>
    <w:rsid w:val="00AD7E4F"/>
    <w:rsid w:val="00AF0A6B"/>
    <w:rsid w:val="00AF3924"/>
    <w:rsid w:val="00B03257"/>
    <w:rsid w:val="00B05A69"/>
    <w:rsid w:val="00B05D0E"/>
    <w:rsid w:val="00B10FB7"/>
    <w:rsid w:val="00B13532"/>
    <w:rsid w:val="00B20015"/>
    <w:rsid w:val="00B20074"/>
    <w:rsid w:val="00B34BC7"/>
    <w:rsid w:val="00B46051"/>
    <w:rsid w:val="00B46631"/>
    <w:rsid w:val="00B50316"/>
    <w:rsid w:val="00B514B3"/>
    <w:rsid w:val="00B66E9E"/>
    <w:rsid w:val="00B66FEE"/>
    <w:rsid w:val="00B71C77"/>
    <w:rsid w:val="00B9734B"/>
    <w:rsid w:val="00B97771"/>
    <w:rsid w:val="00B977C5"/>
    <w:rsid w:val="00BA3C35"/>
    <w:rsid w:val="00BA5670"/>
    <w:rsid w:val="00BA5733"/>
    <w:rsid w:val="00BA7F94"/>
    <w:rsid w:val="00BB04BA"/>
    <w:rsid w:val="00BC7457"/>
    <w:rsid w:val="00BD4A83"/>
    <w:rsid w:val="00BD4D41"/>
    <w:rsid w:val="00BD5047"/>
    <w:rsid w:val="00BF068D"/>
    <w:rsid w:val="00C11BFE"/>
    <w:rsid w:val="00C20FFF"/>
    <w:rsid w:val="00C21AA9"/>
    <w:rsid w:val="00C22EB2"/>
    <w:rsid w:val="00C31AD9"/>
    <w:rsid w:val="00C32197"/>
    <w:rsid w:val="00C37B89"/>
    <w:rsid w:val="00C46D31"/>
    <w:rsid w:val="00C55605"/>
    <w:rsid w:val="00C56916"/>
    <w:rsid w:val="00C57E44"/>
    <w:rsid w:val="00C649B8"/>
    <w:rsid w:val="00C64FFE"/>
    <w:rsid w:val="00C6765C"/>
    <w:rsid w:val="00C705BA"/>
    <w:rsid w:val="00C73A12"/>
    <w:rsid w:val="00C74208"/>
    <w:rsid w:val="00C82A6D"/>
    <w:rsid w:val="00C91972"/>
    <w:rsid w:val="00C92984"/>
    <w:rsid w:val="00C968DB"/>
    <w:rsid w:val="00C96F27"/>
    <w:rsid w:val="00CB50C3"/>
    <w:rsid w:val="00CB5FFD"/>
    <w:rsid w:val="00CC1515"/>
    <w:rsid w:val="00CC5D3C"/>
    <w:rsid w:val="00CC73C0"/>
    <w:rsid w:val="00CD0C0E"/>
    <w:rsid w:val="00CD6E0A"/>
    <w:rsid w:val="00CE54BF"/>
    <w:rsid w:val="00CE68AD"/>
    <w:rsid w:val="00D014E2"/>
    <w:rsid w:val="00D111D5"/>
    <w:rsid w:val="00D11906"/>
    <w:rsid w:val="00D13C05"/>
    <w:rsid w:val="00D333C1"/>
    <w:rsid w:val="00D344E0"/>
    <w:rsid w:val="00D3511A"/>
    <w:rsid w:val="00D362A2"/>
    <w:rsid w:val="00D36EF8"/>
    <w:rsid w:val="00D44012"/>
    <w:rsid w:val="00D45252"/>
    <w:rsid w:val="00D5173C"/>
    <w:rsid w:val="00D64C82"/>
    <w:rsid w:val="00D64FF3"/>
    <w:rsid w:val="00D67942"/>
    <w:rsid w:val="00D71B4D"/>
    <w:rsid w:val="00D812B7"/>
    <w:rsid w:val="00D93D55"/>
    <w:rsid w:val="00DA288D"/>
    <w:rsid w:val="00DA6FA7"/>
    <w:rsid w:val="00DA77C5"/>
    <w:rsid w:val="00DB1006"/>
    <w:rsid w:val="00DB16D1"/>
    <w:rsid w:val="00DB1A28"/>
    <w:rsid w:val="00DC2076"/>
    <w:rsid w:val="00DC5569"/>
    <w:rsid w:val="00DC6065"/>
    <w:rsid w:val="00DE4040"/>
    <w:rsid w:val="00E045A9"/>
    <w:rsid w:val="00E04720"/>
    <w:rsid w:val="00E056EC"/>
    <w:rsid w:val="00E10023"/>
    <w:rsid w:val="00E14397"/>
    <w:rsid w:val="00E23522"/>
    <w:rsid w:val="00E32346"/>
    <w:rsid w:val="00E335FE"/>
    <w:rsid w:val="00E43046"/>
    <w:rsid w:val="00E538C8"/>
    <w:rsid w:val="00E569CA"/>
    <w:rsid w:val="00E631EE"/>
    <w:rsid w:val="00E72CB1"/>
    <w:rsid w:val="00E82A4F"/>
    <w:rsid w:val="00E843AA"/>
    <w:rsid w:val="00E85FCA"/>
    <w:rsid w:val="00E91583"/>
    <w:rsid w:val="00E93250"/>
    <w:rsid w:val="00E955F5"/>
    <w:rsid w:val="00E961C7"/>
    <w:rsid w:val="00E96228"/>
    <w:rsid w:val="00E96B93"/>
    <w:rsid w:val="00E97CF7"/>
    <w:rsid w:val="00EA7492"/>
    <w:rsid w:val="00EB391D"/>
    <w:rsid w:val="00EB575D"/>
    <w:rsid w:val="00EC4E49"/>
    <w:rsid w:val="00EC6B5C"/>
    <w:rsid w:val="00ED10FC"/>
    <w:rsid w:val="00ED1A80"/>
    <w:rsid w:val="00ED4AB3"/>
    <w:rsid w:val="00ED77FB"/>
    <w:rsid w:val="00EE2E4C"/>
    <w:rsid w:val="00EE45FA"/>
    <w:rsid w:val="00EF28F6"/>
    <w:rsid w:val="00EF4EB4"/>
    <w:rsid w:val="00EF5B3A"/>
    <w:rsid w:val="00EF6437"/>
    <w:rsid w:val="00F010FB"/>
    <w:rsid w:val="00F05E53"/>
    <w:rsid w:val="00F1047B"/>
    <w:rsid w:val="00F108A1"/>
    <w:rsid w:val="00F136A8"/>
    <w:rsid w:val="00F14686"/>
    <w:rsid w:val="00F219FB"/>
    <w:rsid w:val="00F21FDF"/>
    <w:rsid w:val="00F32102"/>
    <w:rsid w:val="00F36F1D"/>
    <w:rsid w:val="00F41953"/>
    <w:rsid w:val="00F6028F"/>
    <w:rsid w:val="00F6114D"/>
    <w:rsid w:val="00F63446"/>
    <w:rsid w:val="00F66152"/>
    <w:rsid w:val="00F812BA"/>
    <w:rsid w:val="00F906DF"/>
    <w:rsid w:val="00F922D2"/>
    <w:rsid w:val="00FA120C"/>
    <w:rsid w:val="00FA43DE"/>
    <w:rsid w:val="00FA5B02"/>
    <w:rsid w:val="00FA65BD"/>
    <w:rsid w:val="00FB47F2"/>
    <w:rsid w:val="00FC6031"/>
    <w:rsid w:val="00FD2806"/>
    <w:rsid w:val="00FD4CAE"/>
    <w:rsid w:val="00FE6778"/>
    <w:rsid w:val="00FF415D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AB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D28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unhideWhenUsed/>
    <w:rsid w:val="00F1468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4686"/>
    <w:rPr>
      <w:color w:val="0000FF"/>
      <w:u w:val="single"/>
    </w:rPr>
  </w:style>
  <w:style w:type="character" w:styleId="FollowedHyperlink">
    <w:name w:val="FollowedHyperlink"/>
    <w:basedOn w:val="DefaultParagraphFont"/>
    <w:rsid w:val="00A0733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4012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rsid w:val="002C78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C78F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78F6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rsid w:val="002C78F6"/>
    <w:rPr>
      <w:rFonts w:ascii="Arial" w:eastAsia="SimSun" w:hAnsi="Arial" w:cs="Arial"/>
      <w:b/>
      <w:bCs/>
      <w:sz w:val="18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4180C"/>
    <w:rPr>
      <w:rFonts w:ascii="Arial" w:eastAsia="SimSun" w:hAnsi="Arial" w:cs="Arial"/>
      <w:sz w:val="18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AB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D28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unhideWhenUsed/>
    <w:rsid w:val="00F1468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4686"/>
    <w:rPr>
      <w:color w:val="0000FF"/>
      <w:u w:val="single"/>
    </w:rPr>
  </w:style>
  <w:style w:type="character" w:styleId="FollowedHyperlink">
    <w:name w:val="FollowedHyperlink"/>
    <w:basedOn w:val="DefaultParagraphFont"/>
    <w:rsid w:val="00A0733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4012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rsid w:val="002C78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C78F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78F6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rsid w:val="002C78F6"/>
    <w:rPr>
      <w:rFonts w:ascii="Arial" w:eastAsia="SimSun" w:hAnsi="Arial" w:cs="Arial"/>
      <w:b/>
      <w:bCs/>
      <w:sz w:val="18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4180C"/>
    <w:rPr>
      <w:rFonts w:ascii="Arial" w:eastAsia="SimSun" w:hAnsi="Arial" w:cs="Arial"/>
      <w:sz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\\Wipogvafs01\DAT2\ORGLAN\SHARED\LANS\Archivo\Catalina\34546\www.ipag.at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B95B-909B-41AF-B5D9-4BD5A44C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933</Words>
  <Characters>5322</Characters>
  <Application>Microsoft Office Word</Application>
  <DocSecurity>4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WIPO/ACE/9/26</vt:lpstr>
      <vt:lpstr>WIPO/ACE/9/</vt:lpstr>
    </vt:vector>
  </TitlesOfParts>
  <Company>WIPO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WIPO/ACE/9/26</dc:title>
  <dc:creator>a</dc:creator>
  <dc:description>CGD - 20/2/2014</dc:description>
  <cp:lastModifiedBy>COLIN Isabelle</cp:lastModifiedBy>
  <cp:revision>2</cp:revision>
  <cp:lastPrinted>2014-02-21T10:38:00Z</cp:lastPrinted>
  <dcterms:created xsi:type="dcterms:W3CDTF">2014-02-21T13:39:00Z</dcterms:created>
  <dcterms:modified xsi:type="dcterms:W3CDTF">2014-02-21T13:39:00Z</dcterms:modified>
</cp:coreProperties>
</file>