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804B0" w:rsidTr="0017641F">
        <w:tc>
          <w:tcPr>
            <w:tcW w:w="4513" w:type="dxa"/>
            <w:tcBorders>
              <w:bottom w:val="single" w:sz="4" w:space="0" w:color="auto"/>
            </w:tcBorders>
            <w:tcMar>
              <w:bottom w:w="170" w:type="dxa"/>
            </w:tcMar>
          </w:tcPr>
          <w:p w:rsidR="00EC4E49" w:rsidRPr="001804B0" w:rsidRDefault="00EC4E49" w:rsidP="00916EE2">
            <w:pPr>
              <w:rPr>
                <w:lang w:val="es-ES_tradnl"/>
              </w:rPr>
            </w:pPr>
          </w:p>
        </w:tc>
        <w:tc>
          <w:tcPr>
            <w:tcW w:w="4337" w:type="dxa"/>
            <w:tcBorders>
              <w:bottom w:val="single" w:sz="4" w:space="0" w:color="auto"/>
            </w:tcBorders>
            <w:tcMar>
              <w:left w:w="0" w:type="dxa"/>
              <w:right w:w="0" w:type="dxa"/>
            </w:tcMar>
          </w:tcPr>
          <w:p w:rsidR="00EC4E49" w:rsidRPr="001804B0" w:rsidRDefault="0017641F" w:rsidP="00916EE2">
            <w:pPr>
              <w:rPr>
                <w:lang w:val="es-ES_tradnl"/>
              </w:rPr>
            </w:pPr>
            <w:r w:rsidRPr="001804B0">
              <w:rPr>
                <w:noProof/>
                <w:lang w:eastAsia="en-US"/>
              </w:rPr>
              <w:drawing>
                <wp:inline distT="0" distB="0" distL="0" distR="0" wp14:anchorId="4DA8D4E7" wp14:editId="60FC868C">
                  <wp:extent cx="1857375" cy="1323975"/>
                  <wp:effectExtent l="0" t="0" r="9525" b="9525"/>
                  <wp:docPr id="2"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1804B0" w:rsidRDefault="00FC0FBE" w:rsidP="00916EE2">
            <w:pPr>
              <w:jc w:val="right"/>
              <w:rPr>
                <w:lang w:val="es-ES_tradnl"/>
              </w:rPr>
            </w:pPr>
            <w:r w:rsidRPr="001804B0">
              <w:rPr>
                <w:b/>
                <w:sz w:val="40"/>
                <w:szCs w:val="40"/>
                <w:lang w:val="es-ES_tradnl"/>
              </w:rPr>
              <w:t>S</w:t>
            </w:r>
          </w:p>
        </w:tc>
      </w:tr>
      <w:tr w:rsidR="008B2CC1" w:rsidRPr="001804B0" w:rsidTr="002C2CA0">
        <w:trPr>
          <w:trHeight w:val="212"/>
        </w:trPr>
        <w:tc>
          <w:tcPr>
            <w:tcW w:w="9356" w:type="dxa"/>
            <w:gridSpan w:val="3"/>
            <w:tcBorders>
              <w:top w:val="single" w:sz="4" w:space="0" w:color="auto"/>
            </w:tcBorders>
            <w:tcMar>
              <w:top w:w="170" w:type="dxa"/>
              <w:left w:w="0" w:type="dxa"/>
              <w:right w:w="0" w:type="dxa"/>
            </w:tcMar>
            <w:vAlign w:val="bottom"/>
          </w:tcPr>
          <w:p w:rsidR="008B2CC1" w:rsidRPr="001804B0" w:rsidRDefault="00801E1B" w:rsidP="00E24BDF">
            <w:pPr>
              <w:jc w:val="right"/>
              <w:rPr>
                <w:rFonts w:ascii="Arial Black" w:hAnsi="Arial Black"/>
                <w:caps/>
                <w:sz w:val="15"/>
                <w:lang w:val="es-ES_tradnl"/>
              </w:rPr>
            </w:pPr>
            <w:r w:rsidRPr="001804B0">
              <w:rPr>
                <w:rFonts w:ascii="Arial Black" w:hAnsi="Arial Black"/>
                <w:caps/>
                <w:sz w:val="15"/>
                <w:lang w:val="es-ES_tradnl"/>
              </w:rPr>
              <w:t>WIPO/ACE/9/</w:t>
            </w:r>
            <w:bookmarkStart w:id="0" w:name="Code"/>
            <w:bookmarkEnd w:id="0"/>
            <w:r w:rsidR="00E24BDF" w:rsidRPr="001804B0">
              <w:rPr>
                <w:rFonts w:ascii="Arial Black" w:hAnsi="Arial Black"/>
                <w:caps/>
                <w:sz w:val="15"/>
                <w:lang w:val="es-ES_tradnl"/>
              </w:rPr>
              <w:t>16</w:t>
            </w:r>
            <w:r w:rsidR="008B2CC1" w:rsidRPr="001804B0">
              <w:rPr>
                <w:rFonts w:ascii="Arial Black" w:hAnsi="Arial Black"/>
                <w:caps/>
                <w:sz w:val="15"/>
                <w:lang w:val="es-ES_tradnl"/>
              </w:rPr>
              <w:t xml:space="preserve"> </w:t>
            </w:r>
          </w:p>
        </w:tc>
      </w:tr>
      <w:tr w:rsidR="008B2CC1" w:rsidRPr="001804B0" w:rsidTr="002C2CA0">
        <w:trPr>
          <w:trHeight w:val="212"/>
        </w:trPr>
        <w:tc>
          <w:tcPr>
            <w:tcW w:w="9356" w:type="dxa"/>
            <w:gridSpan w:val="3"/>
            <w:noWrap/>
            <w:tcMar>
              <w:left w:w="0" w:type="dxa"/>
              <w:right w:w="0" w:type="dxa"/>
            </w:tcMar>
            <w:vAlign w:val="bottom"/>
          </w:tcPr>
          <w:p w:rsidR="008B2CC1" w:rsidRPr="001804B0" w:rsidRDefault="008B2CC1" w:rsidP="00B45AF8">
            <w:pPr>
              <w:jc w:val="right"/>
              <w:rPr>
                <w:rFonts w:ascii="Arial Black" w:hAnsi="Arial Black"/>
                <w:caps/>
                <w:sz w:val="15"/>
                <w:lang w:val="es-ES_tradnl"/>
              </w:rPr>
            </w:pPr>
            <w:r w:rsidRPr="001804B0">
              <w:rPr>
                <w:rFonts w:ascii="Arial Black" w:hAnsi="Arial Black"/>
                <w:caps/>
                <w:sz w:val="15"/>
                <w:lang w:val="es-ES_tradnl"/>
              </w:rPr>
              <w:t>ORIGINAL:</w:t>
            </w:r>
            <w:r w:rsidR="00AE6A63" w:rsidRPr="001804B0">
              <w:rPr>
                <w:rFonts w:ascii="Arial Black" w:hAnsi="Arial Black"/>
                <w:caps/>
                <w:sz w:val="15"/>
                <w:lang w:val="es-ES_tradnl"/>
              </w:rPr>
              <w:t xml:space="preserve">  </w:t>
            </w:r>
            <w:r w:rsidR="00B45AF8" w:rsidRPr="001804B0">
              <w:rPr>
                <w:rFonts w:ascii="Arial Black" w:hAnsi="Arial Black"/>
                <w:caps/>
                <w:sz w:val="15"/>
                <w:lang w:val="es-ES_tradnl"/>
              </w:rPr>
              <w:t>ÁRABE</w:t>
            </w:r>
            <w:r w:rsidR="00A42DAF" w:rsidRPr="001804B0">
              <w:rPr>
                <w:rFonts w:ascii="Arial Black" w:hAnsi="Arial Black"/>
                <w:caps/>
                <w:sz w:val="15"/>
                <w:lang w:val="es-ES_tradnl"/>
              </w:rPr>
              <w:t xml:space="preserve"> </w:t>
            </w:r>
            <w:r w:rsidRPr="001804B0">
              <w:rPr>
                <w:rFonts w:ascii="Arial Black" w:hAnsi="Arial Black"/>
                <w:caps/>
                <w:sz w:val="15"/>
                <w:lang w:val="es-ES_tradnl"/>
              </w:rPr>
              <w:t xml:space="preserve"> </w:t>
            </w:r>
            <w:bookmarkStart w:id="1" w:name="Original"/>
            <w:bookmarkEnd w:id="1"/>
          </w:p>
        </w:tc>
      </w:tr>
      <w:tr w:rsidR="008B2CC1" w:rsidRPr="001804B0" w:rsidTr="002C2CA0">
        <w:trPr>
          <w:trHeight w:val="212"/>
        </w:trPr>
        <w:tc>
          <w:tcPr>
            <w:tcW w:w="9356" w:type="dxa"/>
            <w:gridSpan w:val="3"/>
            <w:tcMar>
              <w:left w:w="0" w:type="dxa"/>
              <w:right w:w="0" w:type="dxa"/>
            </w:tcMar>
            <w:vAlign w:val="bottom"/>
          </w:tcPr>
          <w:p w:rsidR="008B2CC1" w:rsidRPr="001804B0" w:rsidRDefault="0017641F" w:rsidP="00E24BDF">
            <w:pPr>
              <w:jc w:val="right"/>
              <w:rPr>
                <w:rFonts w:ascii="Arial Black" w:hAnsi="Arial Black"/>
                <w:caps/>
                <w:sz w:val="15"/>
                <w:lang w:val="es-ES_tradnl"/>
              </w:rPr>
            </w:pPr>
            <w:r w:rsidRPr="001804B0">
              <w:rPr>
                <w:rFonts w:ascii="Arial Black" w:hAnsi="Arial Black"/>
                <w:caps/>
                <w:sz w:val="15"/>
                <w:lang w:val="es-ES_tradnl"/>
              </w:rPr>
              <w:t>fecha</w:t>
            </w:r>
            <w:r w:rsidR="008B2CC1" w:rsidRPr="001804B0">
              <w:rPr>
                <w:rFonts w:ascii="Arial Black" w:hAnsi="Arial Black"/>
                <w:caps/>
                <w:sz w:val="15"/>
                <w:lang w:val="es-ES_tradnl"/>
              </w:rPr>
              <w:t>:</w:t>
            </w:r>
            <w:r w:rsidR="00AE6A63" w:rsidRPr="001804B0">
              <w:rPr>
                <w:rFonts w:ascii="Arial Black" w:hAnsi="Arial Black"/>
                <w:caps/>
                <w:sz w:val="15"/>
                <w:lang w:val="es-ES_tradnl"/>
              </w:rPr>
              <w:t xml:space="preserve">  </w:t>
            </w:r>
            <w:r w:rsidR="00E24BDF" w:rsidRPr="001804B0">
              <w:rPr>
                <w:rFonts w:ascii="Arial Black" w:hAnsi="Arial Black"/>
                <w:caps/>
                <w:sz w:val="15"/>
                <w:lang w:val="es-ES_tradnl"/>
              </w:rPr>
              <w:t>17</w:t>
            </w:r>
            <w:r w:rsidRPr="001804B0">
              <w:rPr>
                <w:rFonts w:ascii="Arial Black" w:hAnsi="Arial Black"/>
                <w:caps/>
                <w:sz w:val="15"/>
                <w:lang w:val="es-ES_tradnl"/>
              </w:rPr>
              <w:t xml:space="preserve"> de enero de</w:t>
            </w:r>
            <w:r w:rsidR="00AE6A63" w:rsidRPr="001804B0">
              <w:rPr>
                <w:rFonts w:ascii="Arial Black" w:hAnsi="Arial Black"/>
                <w:caps/>
                <w:sz w:val="15"/>
                <w:lang w:val="es-ES_tradnl"/>
              </w:rPr>
              <w:t xml:space="preserve"> 2014</w:t>
            </w:r>
            <w:r w:rsidR="00A42DAF" w:rsidRPr="001804B0">
              <w:rPr>
                <w:rFonts w:ascii="Arial Black" w:hAnsi="Arial Black"/>
                <w:caps/>
                <w:sz w:val="15"/>
                <w:lang w:val="es-ES_tradnl"/>
              </w:rPr>
              <w:t xml:space="preserve"> </w:t>
            </w:r>
            <w:r w:rsidR="008B2CC1" w:rsidRPr="001804B0">
              <w:rPr>
                <w:rFonts w:ascii="Arial Black" w:hAnsi="Arial Black"/>
                <w:caps/>
                <w:sz w:val="15"/>
                <w:lang w:val="es-ES_tradnl"/>
              </w:rPr>
              <w:t xml:space="preserve"> </w:t>
            </w:r>
            <w:bookmarkStart w:id="2" w:name="Date"/>
            <w:bookmarkEnd w:id="2"/>
          </w:p>
        </w:tc>
      </w:tr>
    </w:tbl>
    <w:p w:rsidR="008B2CC1" w:rsidRPr="001804B0" w:rsidRDefault="008B2CC1" w:rsidP="008B2CC1">
      <w:pPr>
        <w:rPr>
          <w:lang w:val="es-ES_tradnl"/>
        </w:rPr>
      </w:pPr>
    </w:p>
    <w:p w:rsidR="008B2CC1" w:rsidRPr="001804B0" w:rsidRDefault="008B2CC1" w:rsidP="008B2CC1">
      <w:pPr>
        <w:rPr>
          <w:lang w:val="es-ES_tradnl"/>
        </w:rPr>
      </w:pPr>
    </w:p>
    <w:p w:rsidR="008B2CC1" w:rsidRPr="001804B0" w:rsidRDefault="008B2CC1" w:rsidP="008B2CC1">
      <w:pPr>
        <w:rPr>
          <w:lang w:val="es-ES_tradnl"/>
        </w:rPr>
      </w:pPr>
    </w:p>
    <w:p w:rsidR="008B2CC1" w:rsidRPr="001804B0" w:rsidRDefault="008B2CC1" w:rsidP="008B2CC1">
      <w:pPr>
        <w:rPr>
          <w:lang w:val="es-ES_tradnl"/>
        </w:rPr>
      </w:pPr>
    </w:p>
    <w:p w:rsidR="008B2CC1" w:rsidRPr="001804B0" w:rsidRDefault="008B2CC1" w:rsidP="008B2CC1">
      <w:pPr>
        <w:rPr>
          <w:lang w:val="es-ES_tradnl"/>
        </w:rPr>
      </w:pPr>
    </w:p>
    <w:p w:rsidR="00061D47" w:rsidRPr="001804B0" w:rsidRDefault="00BD5EDC" w:rsidP="00061D47">
      <w:pPr>
        <w:pStyle w:val="Meetingtitle"/>
        <w:ind w:left="0"/>
        <w:rPr>
          <w:lang w:val="es-ES_tradnl"/>
        </w:rPr>
      </w:pPr>
      <w:r w:rsidRPr="001804B0">
        <w:rPr>
          <w:lang w:val="es-ES_tradnl"/>
        </w:rPr>
        <w:t>Comité Asesor sobre Observancia</w:t>
      </w:r>
      <w:bookmarkStart w:id="3" w:name="_GoBack"/>
      <w:bookmarkEnd w:id="3"/>
    </w:p>
    <w:p w:rsidR="00061D47" w:rsidRPr="001804B0" w:rsidRDefault="00BD5EDC" w:rsidP="00061D47">
      <w:pPr>
        <w:pStyle w:val="Sessiontitle"/>
        <w:ind w:left="0"/>
        <w:rPr>
          <w:lang w:val="es-ES_tradnl"/>
        </w:rPr>
      </w:pPr>
      <w:r w:rsidRPr="001804B0">
        <w:rPr>
          <w:lang w:val="es-ES_tradnl" w:eastAsia="ko-KR"/>
        </w:rPr>
        <w:t>Novena sesión</w:t>
      </w:r>
    </w:p>
    <w:p w:rsidR="00061D47" w:rsidRPr="001804B0" w:rsidRDefault="00BD5EDC" w:rsidP="00061D47">
      <w:pPr>
        <w:pStyle w:val="Meetingplacedate"/>
        <w:ind w:left="0"/>
        <w:rPr>
          <w:lang w:val="es-ES_tradnl"/>
        </w:rPr>
      </w:pPr>
      <w:r w:rsidRPr="001804B0">
        <w:rPr>
          <w:lang w:val="es-ES_tradnl"/>
        </w:rPr>
        <w:t>Ginebra, 3 a 5 de marzo de</w:t>
      </w:r>
      <w:r w:rsidR="00061D47" w:rsidRPr="001804B0">
        <w:rPr>
          <w:lang w:val="es-ES_tradnl"/>
        </w:rPr>
        <w:t xml:space="preserve"> 201</w:t>
      </w:r>
      <w:r w:rsidR="00061D47" w:rsidRPr="001804B0">
        <w:rPr>
          <w:lang w:val="es-ES_tradnl" w:eastAsia="ko-KR"/>
        </w:rPr>
        <w:t>4</w:t>
      </w:r>
    </w:p>
    <w:p w:rsidR="008B2CC1" w:rsidRPr="001804B0" w:rsidRDefault="008B2CC1" w:rsidP="008B2CC1">
      <w:pPr>
        <w:rPr>
          <w:lang w:val="es-ES_tradnl"/>
        </w:rPr>
      </w:pPr>
    </w:p>
    <w:p w:rsidR="008B2CC1" w:rsidRPr="001804B0" w:rsidRDefault="008B2CC1" w:rsidP="008B2CC1">
      <w:pPr>
        <w:rPr>
          <w:lang w:val="es-ES_tradnl"/>
        </w:rPr>
      </w:pPr>
    </w:p>
    <w:p w:rsidR="008B2CC1" w:rsidRPr="001804B0" w:rsidRDefault="008B2CC1" w:rsidP="008B2CC1">
      <w:pPr>
        <w:rPr>
          <w:lang w:val="es-ES_tradnl"/>
        </w:rPr>
      </w:pPr>
    </w:p>
    <w:p w:rsidR="008B2CC1" w:rsidRPr="001804B0" w:rsidRDefault="00B45AF8" w:rsidP="008B2CC1">
      <w:pPr>
        <w:rPr>
          <w:caps/>
          <w:sz w:val="24"/>
          <w:lang w:val="es-ES_tradnl"/>
        </w:rPr>
      </w:pPr>
      <w:bookmarkStart w:id="4" w:name="TitleOfDoc"/>
      <w:bookmarkEnd w:id="4"/>
      <w:r w:rsidRPr="001804B0">
        <w:rPr>
          <w:caps/>
          <w:sz w:val="24"/>
          <w:lang w:val="es-ES_tradnl"/>
        </w:rPr>
        <w:t>iniciativa</w:t>
      </w:r>
      <w:r w:rsidR="00A125FE" w:rsidRPr="001804B0">
        <w:rPr>
          <w:caps/>
          <w:sz w:val="24"/>
          <w:lang w:val="es-ES_tradnl"/>
        </w:rPr>
        <w:t>S</w:t>
      </w:r>
      <w:r w:rsidRPr="001804B0">
        <w:rPr>
          <w:caps/>
          <w:sz w:val="24"/>
          <w:lang w:val="es-ES_tradnl"/>
        </w:rPr>
        <w:t xml:space="preserve"> de la liga de </w:t>
      </w:r>
      <w:r w:rsidR="00A125FE" w:rsidRPr="001804B0">
        <w:rPr>
          <w:caps/>
          <w:sz w:val="24"/>
          <w:lang w:val="es-ES_tradnl"/>
        </w:rPr>
        <w:t xml:space="preserve">LOS </w:t>
      </w:r>
      <w:r w:rsidRPr="001804B0">
        <w:rPr>
          <w:caps/>
          <w:sz w:val="24"/>
          <w:lang w:val="es-ES_tradnl"/>
        </w:rPr>
        <w:t>estados árabes para reducir las infracciones de los derechos de propiedad intelectual y luchar contra el fraude comercial</w:t>
      </w:r>
    </w:p>
    <w:p w:rsidR="008B2CC1" w:rsidRPr="001804B0" w:rsidRDefault="008B2CC1" w:rsidP="008B2CC1">
      <w:pPr>
        <w:rPr>
          <w:lang w:val="es-ES_tradnl"/>
        </w:rPr>
      </w:pPr>
    </w:p>
    <w:p w:rsidR="008B2CC1" w:rsidRPr="001804B0" w:rsidRDefault="00B45AF8" w:rsidP="008B2CC1">
      <w:pPr>
        <w:rPr>
          <w:i/>
          <w:lang w:val="es-ES_tradnl"/>
        </w:rPr>
      </w:pPr>
      <w:bookmarkStart w:id="5" w:name="Prepared"/>
      <w:bookmarkEnd w:id="5"/>
      <w:r w:rsidRPr="001804B0">
        <w:rPr>
          <w:i/>
          <w:lang w:val="es-ES_tradnl"/>
        </w:rPr>
        <w:t xml:space="preserve">Documento </w:t>
      </w:r>
      <w:r w:rsidR="00427EA4" w:rsidRPr="001804B0">
        <w:rPr>
          <w:i/>
          <w:lang w:val="es-ES_tradnl"/>
        </w:rPr>
        <w:t xml:space="preserve">preparado por </w:t>
      </w:r>
      <w:r w:rsidRPr="001804B0">
        <w:rPr>
          <w:i/>
          <w:lang w:val="es-ES_tradnl"/>
        </w:rPr>
        <w:t xml:space="preserve">la Sra. Maha Bakhiet Zaki, Directora del Departamento de Propiedad Intelectual y Competitividad de la Liga de </w:t>
      </w:r>
      <w:r w:rsidR="00A125FE" w:rsidRPr="001804B0">
        <w:rPr>
          <w:i/>
          <w:lang w:val="es-ES_tradnl"/>
        </w:rPr>
        <w:t xml:space="preserve">los </w:t>
      </w:r>
      <w:r w:rsidRPr="001804B0">
        <w:rPr>
          <w:i/>
          <w:lang w:val="es-ES_tradnl"/>
        </w:rPr>
        <w:t>Estados Árabes</w:t>
      </w:r>
      <w:r w:rsidRPr="001804B0">
        <w:rPr>
          <w:rStyle w:val="FootnoteReference"/>
          <w:i/>
          <w:lang w:val="es-ES_tradnl"/>
        </w:rPr>
        <w:footnoteReference w:customMarkFollows="1" w:id="2"/>
        <w:sym w:font="Symbol" w:char="F02A"/>
      </w:r>
    </w:p>
    <w:p w:rsidR="00AC205C" w:rsidRPr="001804B0" w:rsidRDefault="00AC205C" w:rsidP="001804B0">
      <w:pPr>
        <w:rPr>
          <w:lang w:val="es-ES_tradnl"/>
        </w:rPr>
      </w:pPr>
    </w:p>
    <w:p w:rsidR="000F5E56" w:rsidRPr="001804B0" w:rsidRDefault="000F5E56" w:rsidP="001804B0">
      <w:pPr>
        <w:rPr>
          <w:lang w:val="es-ES_tradnl"/>
        </w:rPr>
      </w:pPr>
    </w:p>
    <w:p w:rsidR="00E24BDF" w:rsidRPr="001804B0" w:rsidRDefault="00E24BDF" w:rsidP="001804B0">
      <w:pPr>
        <w:rPr>
          <w:lang w:val="es-ES_tradnl"/>
        </w:rPr>
      </w:pPr>
    </w:p>
    <w:p w:rsidR="00E24BDF" w:rsidRPr="001804B0" w:rsidRDefault="00E24BDF"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r>
      <w:r w:rsidR="00217D88" w:rsidRPr="001804B0">
        <w:rPr>
          <w:lang w:val="es-ES_tradnl"/>
        </w:rPr>
        <w:t xml:space="preserve">La lucha contra el fraude comercial y la protección de los derechos de propiedad intelectual (derechos de P.I.) </w:t>
      </w:r>
      <w:r w:rsidR="00A125FE" w:rsidRPr="001804B0">
        <w:rPr>
          <w:lang w:val="es-ES_tradnl"/>
        </w:rPr>
        <w:t>intere</w:t>
      </w:r>
      <w:r w:rsidR="00217D88" w:rsidRPr="001804B0">
        <w:rPr>
          <w:lang w:val="es-ES_tradnl"/>
        </w:rPr>
        <w:t>s</w:t>
      </w:r>
      <w:r w:rsidR="00A125FE" w:rsidRPr="001804B0">
        <w:rPr>
          <w:lang w:val="es-ES_tradnl"/>
        </w:rPr>
        <w:t>an</w:t>
      </w:r>
      <w:r w:rsidR="00217D88" w:rsidRPr="001804B0">
        <w:rPr>
          <w:lang w:val="es-ES_tradnl"/>
        </w:rPr>
        <w:t xml:space="preserve"> desde hace mucho </w:t>
      </w:r>
      <w:r w:rsidR="00A125FE" w:rsidRPr="001804B0">
        <w:rPr>
          <w:lang w:val="es-ES_tradnl"/>
        </w:rPr>
        <w:t>a</w:t>
      </w:r>
      <w:r w:rsidR="00217D88" w:rsidRPr="001804B0">
        <w:rPr>
          <w:lang w:val="es-ES_tradnl"/>
        </w:rPr>
        <w:t xml:space="preserve"> los países árabes, algunos de los cuales han contribuido a las iniciativas internacionales de protección de la propiedad intelectual y ratificado varios convenios internacionales en ese ámbito desde el siglo XIX, concretamente, </w:t>
      </w:r>
      <w:r w:rsidR="00855963" w:rsidRPr="001804B0">
        <w:rPr>
          <w:lang w:val="es-ES_tradnl"/>
        </w:rPr>
        <w:t>durante la época</w:t>
      </w:r>
      <w:r w:rsidR="00735B15" w:rsidRPr="001804B0">
        <w:rPr>
          <w:lang w:val="es-ES_tradnl"/>
        </w:rPr>
        <w:t xml:space="preserve"> colonial.</w:t>
      </w:r>
    </w:p>
    <w:p w:rsidR="00735B15" w:rsidRPr="001804B0" w:rsidRDefault="00735B15" w:rsidP="001804B0">
      <w:pPr>
        <w:rPr>
          <w:lang w:val="es-ES_tradnl"/>
        </w:rPr>
      </w:pPr>
    </w:p>
    <w:p w:rsidR="00735B15" w:rsidRPr="001804B0" w:rsidRDefault="00735B15"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Los gobiernos de los países árabes no han cejado en su empeño de luchar contra la piratería, </w:t>
      </w:r>
      <w:r w:rsidR="007D04AB" w:rsidRPr="001804B0">
        <w:rPr>
          <w:lang w:val="es-ES_tradnl"/>
        </w:rPr>
        <w:t>la falsificación y el fraude comercial y a ese respecto, una de las políticas gubernamentales más importantes ha sido la adopción de un marco jurídico de lucha contra los actos de piratería y falsificación.  En una encuesta realizada acerca del marco jurídico se pone en evidencia que la mayor parte de los países árabes ha promulgado legislación en el ámbito de la propiedad intelectual.  Con miras a difundir una cultura de respeto por los derechos de P.I. y de fomentar una toma de conciencia pública acerca de la importancia de dichos derechos, los países árabes han emprendido también una campaña a través de diferentes medios de comunicación acerca de los efectos negativos que tienen los actos de falsificación y piratería.</w:t>
      </w:r>
    </w:p>
    <w:p w:rsidR="007D04AB" w:rsidRPr="001804B0" w:rsidRDefault="007D04AB" w:rsidP="001804B0">
      <w:pPr>
        <w:rPr>
          <w:lang w:val="es-ES_tradnl"/>
        </w:rPr>
      </w:pPr>
    </w:p>
    <w:p w:rsidR="007D04AB" w:rsidRPr="001804B0" w:rsidRDefault="007D04AB"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r>
      <w:r w:rsidR="00A125FE" w:rsidRPr="001804B0">
        <w:rPr>
          <w:lang w:val="es-ES_tradnl"/>
        </w:rPr>
        <w:t>Como ya es sabido,</w:t>
      </w:r>
      <w:r w:rsidRPr="001804B0">
        <w:rPr>
          <w:lang w:val="es-ES_tradnl"/>
        </w:rPr>
        <w:t xml:space="preserve"> la función principal de las marcas es indicar la fuente de los productos pero esa función ha ido evolucionando a la par de</w:t>
      </w:r>
      <w:r w:rsidR="00A125FE" w:rsidRPr="001804B0">
        <w:rPr>
          <w:lang w:val="es-ES_tradnl"/>
        </w:rPr>
        <w:t xml:space="preserve"> </w:t>
      </w:r>
      <w:r w:rsidRPr="001804B0">
        <w:rPr>
          <w:lang w:val="es-ES_tradnl"/>
        </w:rPr>
        <w:t>l</w:t>
      </w:r>
      <w:r w:rsidR="00A125FE" w:rsidRPr="001804B0">
        <w:rPr>
          <w:lang w:val="es-ES_tradnl"/>
        </w:rPr>
        <w:t>os</w:t>
      </w:r>
      <w:r w:rsidRPr="001804B0">
        <w:rPr>
          <w:lang w:val="es-ES_tradnl"/>
        </w:rPr>
        <w:t xml:space="preserve"> progreso</w:t>
      </w:r>
      <w:r w:rsidR="00A125FE" w:rsidRPr="001804B0">
        <w:rPr>
          <w:lang w:val="es-ES_tradnl"/>
        </w:rPr>
        <w:t>s</w:t>
      </w:r>
      <w:r w:rsidRPr="001804B0">
        <w:rPr>
          <w:lang w:val="es-ES_tradnl"/>
        </w:rPr>
        <w:t xml:space="preserve"> económico</w:t>
      </w:r>
      <w:r w:rsidR="00A125FE" w:rsidRPr="001804B0">
        <w:rPr>
          <w:lang w:val="es-ES_tradnl"/>
        </w:rPr>
        <w:t>s</w:t>
      </w:r>
      <w:r w:rsidRPr="001804B0">
        <w:rPr>
          <w:lang w:val="es-ES_tradnl"/>
        </w:rPr>
        <w:t xml:space="preserve"> e </w:t>
      </w:r>
      <w:r w:rsidRPr="001804B0">
        <w:rPr>
          <w:lang w:val="es-ES_tradnl"/>
        </w:rPr>
        <w:lastRenderedPageBreak/>
        <w:t>industrial</w:t>
      </w:r>
      <w:r w:rsidR="00A125FE" w:rsidRPr="001804B0">
        <w:rPr>
          <w:lang w:val="es-ES_tradnl"/>
        </w:rPr>
        <w:t>es</w:t>
      </w:r>
      <w:r w:rsidRPr="001804B0">
        <w:rPr>
          <w:lang w:val="es-ES_tradnl"/>
        </w:rPr>
        <w:t>.</w:t>
      </w:r>
      <w:r w:rsidR="00855963" w:rsidRPr="001804B0">
        <w:rPr>
          <w:lang w:val="es-ES_tradnl"/>
        </w:rPr>
        <w:t xml:space="preserve">  Las marcas no só</w:t>
      </w:r>
      <w:r w:rsidR="00015876" w:rsidRPr="001804B0">
        <w:rPr>
          <w:lang w:val="es-ES_tradnl"/>
        </w:rPr>
        <w:t>lo ind</w:t>
      </w:r>
      <w:r w:rsidR="00AC7B9B" w:rsidRPr="001804B0">
        <w:rPr>
          <w:lang w:val="es-ES_tradnl"/>
        </w:rPr>
        <w:t xml:space="preserve">ican la fuente de los productos, antes bien, han pasado a ser </w:t>
      </w:r>
      <w:r w:rsidR="00A125FE" w:rsidRPr="001804B0">
        <w:rPr>
          <w:lang w:val="es-ES_tradnl"/>
        </w:rPr>
        <w:t xml:space="preserve">un </w:t>
      </w:r>
      <w:r w:rsidR="00AC7B9B" w:rsidRPr="001804B0">
        <w:rPr>
          <w:lang w:val="es-ES_tradnl"/>
        </w:rPr>
        <w:t>símbolo de la calidad y la comercialización del producto.  De ahí que falsificar una marca impide que esta última desempeñe las funciones que le corresponde</w:t>
      </w:r>
      <w:r w:rsidR="00A125FE" w:rsidRPr="001804B0">
        <w:rPr>
          <w:lang w:val="es-ES_tradnl"/>
        </w:rPr>
        <w:t>n</w:t>
      </w:r>
      <w:r w:rsidR="00AC7B9B" w:rsidRPr="001804B0">
        <w:rPr>
          <w:lang w:val="es-ES_tradnl"/>
        </w:rPr>
        <w:t>, además de ir en detrimento del consumidor.</w:t>
      </w:r>
    </w:p>
    <w:p w:rsidR="00AC7B9B" w:rsidRPr="001804B0" w:rsidRDefault="00AC7B9B" w:rsidP="001804B0">
      <w:pPr>
        <w:rPr>
          <w:lang w:val="es-ES_tradnl"/>
        </w:rPr>
      </w:pPr>
    </w:p>
    <w:p w:rsidR="00AC7B9B" w:rsidRPr="001804B0" w:rsidRDefault="00AC7B9B"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Cabe señalar que en la mayor parte de </w:t>
      </w:r>
      <w:r w:rsidR="00A125FE" w:rsidRPr="001804B0">
        <w:rPr>
          <w:lang w:val="es-ES_tradnl"/>
        </w:rPr>
        <w:t>las</w:t>
      </w:r>
      <w:r w:rsidRPr="001804B0">
        <w:rPr>
          <w:lang w:val="es-ES_tradnl"/>
        </w:rPr>
        <w:t xml:space="preserve"> leyes </w:t>
      </w:r>
      <w:r w:rsidR="00A125FE" w:rsidRPr="001804B0">
        <w:rPr>
          <w:lang w:val="es-ES_tradnl"/>
        </w:rPr>
        <w:t xml:space="preserve">antes mencionadas </w:t>
      </w:r>
      <w:r w:rsidRPr="001804B0">
        <w:rPr>
          <w:lang w:val="es-ES_tradnl"/>
        </w:rPr>
        <w:t>se contempla</w:t>
      </w:r>
      <w:r w:rsidR="00A125FE" w:rsidRPr="001804B0">
        <w:rPr>
          <w:lang w:val="es-ES_tradnl"/>
        </w:rPr>
        <w:t>n</w:t>
      </w:r>
      <w:r w:rsidRPr="001804B0">
        <w:rPr>
          <w:lang w:val="es-ES_tradnl"/>
        </w:rPr>
        <w:t xml:space="preserve"> actos en los que se utilizan las marcas con fines fraudulentos </w:t>
      </w:r>
      <w:r w:rsidR="00A125FE" w:rsidRPr="001804B0">
        <w:rPr>
          <w:lang w:val="es-ES_tradnl"/>
        </w:rPr>
        <w:t>y</w:t>
      </w:r>
      <w:r w:rsidRPr="001804B0">
        <w:rPr>
          <w:lang w:val="es-ES_tradnl"/>
        </w:rPr>
        <w:t xml:space="preserve"> dichos actos se consideran delitos susceptibles de penas de encarcelamiento y multas, teniendo el tribunal </w:t>
      </w:r>
      <w:r w:rsidR="00A125FE" w:rsidRPr="001804B0">
        <w:rPr>
          <w:lang w:val="es-ES_tradnl"/>
        </w:rPr>
        <w:t>derecho a</w:t>
      </w:r>
      <w:r w:rsidRPr="001804B0">
        <w:rPr>
          <w:lang w:val="es-ES_tradnl"/>
        </w:rPr>
        <w:t xml:space="preserve"> </w:t>
      </w:r>
      <w:r w:rsidR="00855963" w:rsidRPr="001804B0">
        <w:rPr>
          <w:lang w:val="es-ES_tradnl"/>
        </w:rPr>
        <w:t>embargar</w:t>
      </w:r>
      <w:r w:rsidRPr="001804B0">
        <w:rPr>
          <w:lang w:val="es-ES_tradnl"/>
        </w:rPr>
        <w:t xml:space="preserve"> los mecanismos y máquinas que se hayan utilizado en el proceso de falsificación.  Además, en esas leyes se contempla</w:t>
      </w:r>
      <w:r w:rsidR="00A125FE" w:rsidRPr="001804B0">
        <w:rPr>
          <w:lang w:val="es-ES_tradnl"/>
        </w:rPr>
        <w:t>n</w:t>
      </w:r>
      <w:r w:rsidRPr="001804B0">
        <w:rPr>
          <w:lang w:val="es-ES_tradnl"/>
        </w:rPr>
        <w:t xml:space="preserve"> el derecho a reivindicar una indemnización por daños y perjuicios </w:t>
      </w:r>
      <w:r w:rsidR="0004194F" w:rsidRPr="001804B0">
        <w:rPr>
          <w:lang w:val="es-ES_tradnl"/>
        </w:rPr>
        <w:t xml:space="preserve">así como otras medidas civiles de subsanación.  En todos esos casos </w:t>
      </w:r>
      <w:r w:rsidR="00F3018B" w:rsidRPr="001804B0">
        <w:rPr>
          <w:lang w:val="es-ES_tradnl"/>
        </w:rPr>
        <w:t xml:space="preserve">se procede al registro en el país de que se trate de la marca que haya sido objeto de infracción.  La protección </w:t>
      </w:r>
      <w:r w:rsidR="00A125FE" w:rsidRPr="001804B0">
        <w:rPr>
          <w:lang w:val="es-ES_tradnl"/>
        </w:rPr>
        <w:t>depende</w:t>
      </w:r>
      <w:r w:rsidR="00F3018B" w:rsidRPr="001804B0">
        <w:rPr>
          <w:lang w:val="es-ES_tradnl"/>
        </w:rPr>
        <w:t xml:space="preserve">, pues, </w:t>
      </w:r>
      <w:r w:rsidR="00A125FE" w:rsidRPr="001804B0">
        <w:rPr>
          <w:lang w:val="es-ES_tradnl"/>
        </w:rPr>
        <w:t>del</w:t>
      </w:r>
      <w:r w:rsidR="00F3018B" w:rsidRPr="001804B0">
        <w:rPr>
          <w:lang w:val="es-ES_tradnl"/>
        </w:rPr>
        <w:t xml:space="preserve"> registro.</w:t>
      </w:r>
    </w:p>
    <w:p w:rsidR="00F3018B" w:rsidRPr="001804B0" w:rsidRDefault="00F3018B" w:rsidP="001804B0">
      <w:pPr>
        <w:rPr>
          <w:lang w:val="es-ES_tradnl"/>
        </w:rPr>
      </w:pPr>
    </w:p>
    <w:p w:rsidR="00F3018B" w:rsidRPr="001804B0" w:rsidRDefault="00F3018B"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En los últimos 10 años, los países árabes han realizado grandes esfuerzos para elaborar normativas de propiedad intelectual en el marco de la Organización Mundial del Comercio (OMC) a los fines de garantizar el cumplimiento de las obligaciones </w:t>
      </w:r>
      <w:r w:rsidR="002C1B0D" w:rsidRPr="001804B0">
        <w:rPr>
          <w:lang w:val="es-ES_tradnl"/>
        </w:rPr>
        <w:t>que les incumben en virtud del Acuerdo sobre los Derechos de Propiedad Intelectual relacionados con el Comercio (Acuerdo sobre los ADPIC).  También han mantenido en pie sus esfuerzos para frenar los actos de falsificación y piratería, estableciendo con ese fin vínculos de colaboración entre los sectores público y privado.</w:t>
      </w:r>
    </w:p>
    <w:p w:rsidR="0081661B" w:rsidRPr="001804B0" w:rsidRDefault="0081661B" w:rsidP="001804B0">
      <w:pPr>
        <w:rPr>
          <w:lang w:val="es-ES_tradnl"/>
        </w:rPr>
      </w:pPr>
    </w:p>
    <w:p w:rsidR="0081661B" w:rsidRPr="001804B0" w:rsidRDefault="0081661B"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Varios países árabes han hecho suyas las disposiciones del Artículo 69 del Acuerdo sobre los ADPIC y publicado resoluciones </w:t>
      </w:r>
      <w:r w:rsidR="00B94533" w:rsidRPr="001804B0">
        <w:rPr>
          <w:lang w:val="es-ES_tradnl"/>
        </w:rPr>
        <w:t xml:space="preserve">en relación con el establecimiento de puntos de contacto.  Se trata, entre otros países, de Egipto, en donde se dictó una orden ministerial en 1997 en relación con el establecimiento de un punto de contacto de protección de los derechos </w:t>
      </w:r>
      <w:r w:rsidR="00A30A08" w:rsidRPr="001804B0">
        <w:rPr>
          <w:lang w:val="es-ES_tradnl"/>
        </w:rPr>
        <w:t xml:space="preserve">de P.I. que sirva de enlace entre la OMC </w:t>
      </w:r>
      <w:r w:rsidR="00546ACC" w:rsidRPr="001804B0">
        <w:rPr>
          <w:lang w:val="es-ES_tradnl"/>
        </w:rPr>
        <w:t>y los órganos encargados en Egipto de la observancia de los convenios de P.I., así como para prestar asistencia a las autoridades aduaneras en lo que respecta a las medidas en frontera.</w:t>
      </w:r>
    </w:p>
    <w:p w:rsidR="00546ACC" w:rsidRPr="001804B0" w:rsidRDefault="00546ACC" w:rsidP="001804B0">
      <w:pPr>
        <w:rPr>
          <w:lang w:val="es-ES_tradnl"/>
        </w:rPr>
      </w:pPr>
    </w:p>
    <w:p w:rsidR="00546ACC" w:rsidRPr="001804B0" w:rsidRDefault="00546ACC"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Un gran número de países árabes </w:t>
      </w:r>
      <w:r w:rsidR="00474654" w:rsidRPr="001804B0">
        <w:rPr>
          <w:lang w:val="es-ES_tradnl"/>
        </w:rPr>
        <w:t>ha</w:t>
      </w:r>
      <w:r w:rsidR="00855963" w:rsidRPr="001804B0">
        <w:rPr>
          <w:lang w:val="es-ES_tradnl"/>
        </w:rPr>
        <w:t xml:space="preserve"> consolidado su sistema jurídico</w:t>
      </w:r>
      <w:r w:rsidR="00474654" w:rsidRPr="001804B0">
        <w:rPr>
          <w:lang w:val="es-ES_tradnl"/>
        </w:rPr>
        <w:t xml:space="preserve"> y definido claramente la función que incumbe a las autoridades aduaneras y los procedimientos aduaneros que deben aplicarse en caso de suspenderse el despacho aduanero</w:t>
      </w:r>
      <w:r w:rsidR="00A125FE" w:rsidRPr="001804B0">
        <w:rPr>
          <w:lang w:val="es-ES_tradnl"/>
        </w:rPr>
        <w:t xml:space="preserve"> y los procedimientos judiciales aplicables tras la su</w:t>
      </w:r>
      <w:r w:rsidR="00855963" w:rsidRPr="001804B0">
        <w:rPr>
          <w:lang w:val="es-ES_tradnl"/>
        </w:rPr>
        <w:t>spensión</w:t>
      </w:r>
      <w:r w:rsidR="00474654" w:rsidRPr="001804B0">
        <w:rPr>
          <w:lang w:val="es-ES_tradnl"/>
        </w:rPr>
        <w:t xml:space="preserve">.  La mayor parte de las administraciones aduaneras de los países árabes cooperan con la Oficina Regional de Enlace </w:t>
      </w:r>
      <w:r w:rsidR="00A125FE" w:rsidRPr="001804B0">
        <w:rPr>
          <w:lang w:val="es-ES_tradnl"/>
        </w:rPr>
        <w:t xml:space="preserve">de Inteligencia </w:t>
      </w:r>
      <w:r w:rsidR="00474654" w:rsidRPr="001804B0">
        <w:rPr>
          <w:lang w:val="es-ES_tradnl"/>
        </w:rPr>
        <w:t xml:space="preserve">en Riad afiliada a la Organización Mundial de Aduanas </w:t>
      </w:r>
      <w:r w:rsidR="00CC608E" w:rsidRPr="001804B0">
        <w:rPr>
          <w:lang w:val="es-ES_tradnl"/>
        </w:rPr>
        <w:t xml:space="preserve">así como con otros países para intercambiar información relativa al fraude </w:t>
      </w:r>
      <w:r w:rsidR="005A19D1" w:rsidRPr="001804B0">
        <w:rPr>
          <w:lang w:val="es-ES_tradnl"/>
        </w:rPr>
        <w:t>comercial a los fines de adoptar los procedimientos aduaneros necesarios para proceder a un embargo de los productos infractores de marca</w:t>
      </w:r>
      <w:r w:rsidR="00A125FE" w:rsidRPr="001804B0">
        <w:rPr>
          <w:lang w:val="es-ES_tradnl"/>
        </w:rPr>
        <w:t>s</w:t>
      </w:r>
      <w:r w:rsidR="005A19D1" w:rsidRPr="001804B0">
        <w:rPr>
          <w:lang w:val="es-ES_tradnl"/>
        </w:rPr>
        <w:t>.</w:t>
      </w:r>
    </w:p>
    <w:p w:rsidR="005A19D1" w:rsidRPr="001804B0" w:rsidRDefault="005A19D1" w:rsidP="001804B0">
      <w:pPr>
        <w:rPr>
          <w:lang w:val="es-ES_tradnl"/>
        </w:rPr>
      </w:pPr>
    </w:p>
    <w:p w:rsidR="005A19D1" w:rsidRPr="001804B0" w:rsidRDefault="005A19D1"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Las administraciones aduaneras de varios países árabes han establecido unidades </w:t>
      </w:r>
      <w:r w:rsidR="007750EC" w:rsidRPr="001804B0">
        <w:rPr>
          <w:lang w:val="es-ES_tradnl"/>
        </w:rPr>
        <w:t>de lucha contra el fraude comercial y protección de la propiedad intelectual, lo que representa un hito propiamente dicho en la lucha contra la piratería y la falsificación que viene a complementar los esfuerzos que llevan a cabo los gobiernos (entre otros, Bahrein, Egipto, Jordania y Sudán).</w:t>
      </w:r>
    </w:p>
    <w:p w:rsidR="007750EC" w:rsidRPr="001804B0" w:rsidRDefault="007750EC" w:rsidP="001804B0">
      <w:pPr>
        <w:rPr>
          <w:lang w:val="es-ES_tradnl"/>
        </w:rPr>
      </w:pPr>
    </w:p>
    <w:p w:rsidR="001804B0" w:rsidRPr="001804B0" w:rsidRDefault="001804B0" w:rsidP="001804B0">
      <w:pPr>
        <w:rPr>
          <w:lang w:val="es-ES_tradnl"/>
        </w:rPr>
      </w:pPr>
    </w:p>
    <w:p w:rsidR="007750EC" w:rsidRPr="001804B0" w:rsidRDefault="001804B0" w:rsidP="001804B0">
      <w:pPr>
        <w:rPr>
          <w:b/>
          <w:bCs/>
          <w:lang w:val="es-ES_tradnl"/>
        </w:rPr>
      </w:pPr>
      <w:r w:rsidRPr="001804B0">
        <w:rPr>
          <w:b/>
          <w:bCs/>
          <w:lang w:val="es-ES_tradnl"/>
        </w:rPr>
        <w:t>INICIATIVAS DE LA LIGA DE LOS ESTADOS ÁRABES (LAS)</w:t>
      </w:r>
    </w:p>
    <w:p w:rsidR="001804B0" w:rsidRPr="001804B0" w:rsidRDefault="001804B0" w:rsidP="001804B0">
      <w:pPr>
        <w:rPr>
          <w:lang w:val="es-ES_tradnl"/>
        </w:rPr>
      </w:pPr>
    </w:p>
    <w:p w:rsidR="001804B0" w:rsidRPr="001804B0" w:rsidRDefault="001804B0" w:rsidP="001804B0">
      <w:pPr>
        <w:rPr>
          <w:lang w:val="es-ES_tradnl"/>
        </w:rPr>
      </w:pPr>
    </w:p>
    <w:p w:rsidR="007750EC" w:rsidRPr="001804B0" w:rsidRDefault="007750EC" w:rsidP="001804B0">
      <w:pPr>
        <w:rPr>
          <w:lang w:val="es-ES_tradnl"/>
        </w:rPr>
      </w:pPr>
      <w:r w:rsidRPr="001804B0">
        <w:rPr>
          <w:lang w:val="es-ES_tradnl"/>
        </w:rPr>
        <w:t>DEPARTAMENTO DE PROPIEDAD INTELECTUAL Y COMPETITIVIDAD</w:t>
      </w:r>
    </w:p>
    <w:p w:rsidR="007750EC" w:rsidRPr="001804B0" w:rsidRDefault="007750EC" w:rsidP="001804B0">
      <w:pPr>
        <w:rPr>
          <w:lang w:val="es-ES_tradnl"/>
        </w:rPr>
      </w:pPr>
    </w:p>
    <w:p w:rsidR="007750EC" w:rsidRPr="001804B0" w:rsidRDefault="007750EC"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Tras el memorándum de entendimiento firmado por la Liga de</w:t>
      </w:r>
      <w:r w:rsidR="00A125FE" w:rsidRPr="001804B0">
        <w:rPr>
          <w:lang w:val="es-ES_tradnl"/>
        </w:rPr>
        <w:t xml:space="preserve"> los</w:t>
      </w:r>
      <w:r w:rsidRPr="001804B0">
        <w:rPr>
          <w:lang w:val="es-ES_tradnl"/>
        </w:rPr>
        <w:t xml:space="preserve"> Estados Árabes (</w:t>
      </w:r>
      <w:r w:rsidR="00A125FE" w:rsidRPr="001804B0">
        <w:rPr>
          <w:lang w:val="es-ES_tradnl"/>
        </w:rPr>
        <w:t>LAS</w:t>
      </w:r>
      <w:r w:rsidRPr="001804B0">
        <w:rPr>
          <w:lang w:val="es-ES_tradnl"/>
        </w:rPr>
        <w:t>) y la Organización Mundial de la Propiedad Intelectual (OMPI) en julio de 2000 y en virtud de la resolución del Consejo de la LA</w:t>
      </w:r>
      <w:r w:rsidR="00A125FE" w:rsidRPr="001804B0">
        <w:rPr>
          <w:lang w:val="es-ES_tradnl"/>
        </w:rPr>
        <w:t>S</w:t>
      </w:r>
      <w:r w:rsidRPr="001804B0">
        <w:rPr>
          <w:lang w:val="es-ES_tradnl"/>
        </w:rPr>
        <w:t xml:space="preserve"> Nº 6071 de fecha 12 de marzo de 2000, se dictó la resolución </w:t>
      </w:r>
      <w:r w:rsidRPr="001804B0">
        <w:rPr>
          <w:lang w:val="es-ES_tradnl"/>
        </w:rPr>
        <w:lastRenderedPageBreak/>
        <w:t xml:space="preserve">Nº 89/1, de fecha 4 de abril de 2012, </w:t>
      </w:r>
      <w:r w:rsidR="00BC2B6E" w:rsidRPr="001804B0">
        <w:rPr>
          <w:lang w:val="es-ES_tradnl"/>
        </w:rPr>
        <w:t>en relación con el establecimiento de un Departamento de Propiedad Intelectual y Competitividad que forma parte del Sector de Asuntos Económicos.</w:t>
      </w:r>
    </w:p>
    <w:p w:rsidR="00BC2B6E" w:rsidRPr="001804B0" w:rsidRDefault="00BC2B6E" w:rsidP="001804B0">
      <w:pPr>
        <w:rPr>
          <w:lang w:val="es-ES_tradnl"/>
        </w:rPr>
      </w:pPr>
    </w:p>
    <w:p w:rsidR="00BC2B6E" w:rsidRPr="001804B0" w:rsidRDefault="00BC2B6E"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El Departamento de Propiedad Intelectual y Competitividad ha participado en varias iniciativas “aduaneras” para combatir el fraude y la falsificación </w:t>
      </w:r>
      <w:r w:rsidR="00A125FE" w:rsidRPr="001804B0">
        <w:rPr>
          <w:lang w:val="es-ES_tradnl"/>
        </w:rPr>
        <w:t>y</w:t>
      </w:r>
      <w:r w:rsidR="00BC4AA2" w:rsidRPr="001804B0">
        <w:rPr>
          <w:lang w:val="es-ES_tradnl"/>
        </w:rPr>
        <w:t xml:space="preserve"> garantizar la protección de los derechos de P.I., entre otras</w:t>
      </w:r>
      <w:r w:rsidR="00A125FE" w:rsidRPr="001804B0">
        <w:rPr>
          <w:lang w:val="es-ES_tradnl"/>
        </w:rPr>
        <w:t>, una con</w:t>
      </w:r>
      <w:r w:rsidR="00BC4AA2" w:rsidRPr="001804B0">
        <w:rPr>
          <w:lang w:val="es-ES_tradnl"/>
        </w:rPr>
        <w:t xml:space="preserve">ferencia regional para países árabes acerca de los esfuerzos aduaneros nacionales para </w:t>
      </w:r>
      <w:r w:rsidR="009F7FCF" w:rsidRPr="001804B0">
        <w:rPr>
          <w:lang w:val="es-ES_tradnl"/>
        </w:rPr>
        <w:t xml:space="preserve">luchar contra el fraude y la falsificación y garantizar la protección de los derechos de P.I., organizada por la Unidad de P.I. de la </w:t>
      </w:r>
      <w:r w:rsidR="00A125FE" w:rsidRPr="001804B0">
        <w:rPr>
          <w:lang w:val="es-ES_tradnl"/>
        </w:rPr>
        <w:t>LAS</w:t>
      </w:r>
      <w:r w:rsidR="009F7FCF" w:rsidRPr="001804B0">
        <w:rPr>
          <w:lang w:val="es-ES_tradnl"/>
        </w:rPr>
        <w:t xml:space="preserve"> y la Oficina de P.I. de la Embajada de los Estados Unidos en El Cairo, en la </w:t>
      </w:r>
      <w:r w:rsidR="00855963" w:rsidRPr="001804B0">
        <w:rPr>
          <w:lang w:val="es-ES_tradnl"/>
        </w:rPr>
        <w:t>s</w:t>
      </w:r>
      <w:r w:rsidR="009F7FCF" w:rsidRPr="001804B0">
        <w:rPr>
          <w:lang w:val="es-ES_tradnl"/>
        </w:rPr>
        <w:t xml:space="preserve">ede de la </w:t>
      </w:r>
      <w:r w:rsidR="00A125FE" w:rsidRPr="001804B0">
        <w:rPr>
          <w:lang w:val="es-ES_tradnl"/>
        </w:rPr>
        <w:t>LAS</w:t>
      </w:r>
      <w:r w:rsidR="009F7FCF" w:rsidRPr="001804B0">
        <w:rPr>
          <w:lang w:val="es-ES_tradnl"/>
        </w:rPr>
        <w:t>, los días 27 y 28 de abril de 2010.</w:t>
      </w:r>
    </w:p>
    <w:p w:rsidR="008F74A0" w:rsidRPr="001804B0" w:rsidRDefault="008F74A0" w:rsidP="001804B0">
      <w:pPr>
        <w:rPr>
          <w:szCs w:val="22"/>
          <w:lang w:val="es-ES_tradnl"/>
        </w:rPr>
      </w:pPr>
    </w:p>
    <w:p w:rsidR="008F74A0" w:rsidRPr="001804B0" w:rsidRDefault="008F74A0" w:rsidP="001804B0">
      <w:pPr>
        <w:rPr>
          <w:szCs w:val="22"/>
          <w:lang w:val="es-ES_tradnl"/>
        </w:rPr>
      </w:pPr>
      <w:r w:rsidRPr="001804B0">
        <w:rPr>
          <w:szCs w:val="22"/>
          <w:lang w:val="es-ES_tradnl"/>
        </w:rPr>
        <w:fldChar w:fldCharType="begin"/>
      </w:r>
      <w:r w:rsidRPr="001804B0">
        <w:rPr>
          <w:szCs w:val="22"/>
          <w:lang w:val="es-ES_tradnl"/>
        </w:rPr>
        <w:instrText xml:space="preserve"> AUTONUM  </w:instrText>
      </w:r>
      <w:r w:rsidRPr="001804B0">
        <w:rPr>
          <w:szCs w:val="22"/>
          <w:lang w:val="es-ES_tradnl"/>
        </w:rPr>
        <w:fldChar w:fldCharType="end"/>
      </w:r>
      <w:r w:rsidRPr="001804B0">
        <w:rPr>
          <w:szCs w:val="22"/>
          <w:lang w:val="es-ES_tradnl"/>
        </w:rPr>
        <w:tab/>
        <w:t>Las principales recomendaciones que se formularon durante la conferencia son:</w:t>
      </w:r>
    </w:p>
    <w:p w:rsidR="008F74A0" w:rsidRPr="001804B0" w:rsidRDefault="008F74A0" w:rsidP="001804B0">
      <w:pPr>
        <w:rPr>
          <w:szCs w:val="22"/>
          <w:lang w:val="es-ES_tradnl" w:eastAsia="en-US" w:bidi="ar-EG"/>
        </w:rPr>
      </w:pPr>
    </w:p>
    <w:p w:rsidR="008F74A0" w:rsidRPr="001804B0" w:rsidRDefault="008F74A0" w:rsidP="001804B0">
      <w:pPr>
        <w:pStyle w:val="ListParagraph"/>
        <w:numPr>
          <w:ilvl w:val="0"/>
          <w:numId w:val="9"/>
        </w:numPr>
        <w:tabs>
          <w:tab w:val="left" w:pos="1134"/>
        </w:tabs>
        <w:ind w:left="567" w:firstLine="0"/>
        <w:rPr>
          <w:lang w:val="es-ES_tradnl"/>
        </w:rPr>
      </w:pPr>
      <w:r w:rsidRPr="001804B0">
        <w:rPr>
          <w:lang w:val="es-ES_tradnl"/>
        </w:rPr>
        <w:t xml:space="preserve">La Unidad de P.I. y el Departamento de Aduanas de la </w:t>
      </w:r>
      <w:r w:rsidR="00A125FE" w:rsidRPr="001804B0">
        <w:rPr>
          <w:lang w:val="es-ES_tradnl"/>
        </w:rPr>
        <w:t>LAS</w:t>
      </w:r>
      <w:r w:rsidRPr="001804B0">
        <w:rPr>
          <w:lang w:val="es-ES_tradnl"/>
        </w:rPr>
        <w:t xml:space="preserve"> deberán considerar qué ventajas puede suponer utilizar la red de información de la </w:t>
      </w:r>
      <w:r w:rsidR="00A125FE" w:rsidRPr="001804B0">
        <w:rPr>
          <w:lang w:val="es-ES_tradnl"/>
        </w:rPr>
        <w:t>LAS</w:t>
      </w:r>
      <w:r w:rsidRPr="001804B0">
        <w:rPr>
          <w:lang w:val="es-ES_tradnl"/>
        </w:rPr>
        <w:t xml:space="preserve"> en relación con la gestión de la propiedad intelectual para facilitar el intercambio de información sobre irregularidades aduaneras </w:t>
      </w:r>
      <w:r w:rsidR="00A125FE" w:rsidRPr="001804B0">
        <w:rPr>
          <w:lang w:val="es-ES_tradnl"/>
        </w:rPr>
        <w:t>en los casos de infracción</w:t>
      </w:r>
      <w:r w:rsidRPr="001804B0">
        <w:rPr>
          <w:lang w:val="es-ES_tradnl"/>
        </w:rPr>
        <w:t xml:space="preserve"> de </w:t>
      </w:r>
      <w:r w:rsidR="00A125FE" w:rsidRPr="001804B0">
        <w:rPr>
          <w:lang w:val="es-ES_tradnl"/>
        </w:rPr>
        <w:t xml:space="preserve">la </w:t>
      </w:r>
      <w:r w:rsidRPr="001804B0">
        <w:rPr>
          <w:lang w:val="es-ES_tradnl"/>
        </w:rPr>
        <w:t>propiedad intelectual.</w:t>
      </w:r>
    </w:p>
    <w:p w:rsidR="008F74A0" w:rsidRPr="001804B0" w:rsidRDefault="008F74A0" w:rsidP="001804B0">
      <w:pPr>
        <w:tabs>
          <w:tab w:val="left" w:pos="1134"/>
        </w:tabs>
        <w:ind w:left="567"/>
        <w:rPr>
          <w:lang w:val="es-ES_tradnl"/>
        </w:rPr>
      </w:pPr>
    </w:p>
    <w:p w:rsidR="008F74A0" w:rsidRPr="001804B0" w:rsidRDefault="008F74A0" w:rsidP="001804B0">
      <w:pPr>
        <w:pStyle w:val="ListParagraph"/>
        <w:numPr>
          <w:ilvl w:val="0"/>
          <w:numId w:val="9"/>
        </w:numPr>
        <w:tabs>
          <w:tab w:val="left" w:pos="1134"/>
        </w:tabs>
        <w:ind w:left="567" w:firstLine="0"/>
        <w:rPr>
          <w:lang w:val="es-ES_tradnl"/>
        </w:rPr>
      </w:pPr>
      <w:r w:rsidRPr="001804B0">
        <w:rPr>
          <w:lang w:val="es-ES_tradnl"/>
        </w:rPr>
        <w:t xml:space="preserve">Las autoridades aduaneras deberán utilizar la información </w:t>
      </w:r>
      <w:r w:rsidR="00A125FE" w:rsidRPr="001804B0">
        <w:rPr>
          <w:lang w:val="es-ES_tradnl"/>
        </w:rPr>
        <w:t>recabada por</w:t>
      </w:r>
      <w:r w:rsidRPr="001804B0">
        <w:rPr>
          <w:lang w:val="es-ES_tradnl"/>
        </w:rPr>
        <w:t xml:space="preserve"> las oficinas de P.I. de los Estados árabes para diferenciar los productos genuinos de los productos falsificados.</w:t>
      </w:r>
    </w:p>
    <w:p w:rsidR="008F74A0" w:rsidRPr="001804B0" w:rsidRDefault="008F74A0" w:rsidP="001804B0">
      <w:pPr>
        <w:tabs>
          <w:tab w:val="left" w:pos="1134"/>
        </w:tabs>
        <w:ind w:left="567"/>
        <w:rPr>
          <w:lang w:val="es-ES_tradnl"/>
        </w:rPr>
      </w:pPr>
    </w:p>
    <w:p w:rsidR="008F74A0" w:rsidRPr="001804B0" w:rsidRDefault="00A125FE" w:rsidP="001804B0">
      <w:pPr>
        <w:pStyle w:val="ListParagraph"/>
        <w:numPr>
          <w:ilvl w:val="0"/>
          <w:numId w:val="9"/>
        </w:numPr>
        <w:tabs>
          <w:tab w:val="left" w:pos="1134"/>
        </w:tabs>
        <w:ind w:left="567" w:firstLine="0"/>
        <w:rPr>
          <w:lang w:val="es-ES_tradnl"/>
        </w:rPr>
      </w:pPr>
      <w:r w:rsidRPr="001804B0">
        <w:rPr>
          <w:lang w:val="es-ES_tradnl"/>
        </w:rPr>
        <w:t>Deberá atribuirse a las</w:t>
      </w:r>
      <w:r w:rsidR="008F74A0" w:rsidRPr="001804B0">
        <w:rPr>
          <w:lang w:val="es-ES_tradnl"/>
        </w:rPr>
        <w:t xml:space="preserve"> autoridades aduaneras de los países árabes mayor</w:t>
      </w:r>
      <w:r w:rsidRPr="001804B0">
        <w:rPr>
          <w:lang w:val="es-ES_tradnl"/>
        </w:rPr>
        <w:t>es</w:t>
      </w:r>
      <w:r w:rsidR="008F74A0" w:rsidRPr="001804B0">
        <w:rPr>
          <w:lang w:val="es-ES_tradnl"/>
        </w:rPr>
        <w:t xml:space="preserve"> competencia</w:t>
      </w:r>
      <w:r w:rsidRPr="001804B0">
        <w:rPr>
          <w:lang w:val="es-ES_tradnl"/>
        </w:rPr>
        <w:t>s</w:t>
      </w:r>
      <w:r w:rsidR="008F74A0" w:rsidRPr="001804B0">
        <w:rPr>
          <w:lang w:val="es-ES_tradnl"/>
        </w:rPr>
        <w:t xml:space="preserve"> en lo que respecta a las zonas </w:t>
      </w:r>
      <w:r w:rsidRPr="001804B0">
        <w:rPr>
          <w:lang w:val="es-ES_tradnl"/>
        </w:rPr>
        <w:t xml:space="preserve">francas y </w:t>
      </w:r>
      <w:r w:rsidR="001B3DD0" w:rsidRPr="001804B0">
        <w:rPr>
          <w:lang w:val="es-ES_tradnl"/>
        </w:rPr>
        <w:t>el transporte transfronterizo de</w:t>
      </w:r>
      <w:r w:rsidR="008F74A0" w:rsidRPr="001804B0">
        <w:rPr>
          <w:lang w:val="es-ES_tradnl"/>
        </w:rPr>
        <w:t xml:space="preserve"> productos a los fines de frenar el contrabando y la circulación de productos falsificados.</w:t>
      </w:r>
    </w:p>
    <w:p w:rsidR="008F74A0" w:rsidRPr="001804B0" w:rsidRDefault="008F74A0" w:rsidP="001804B0">
      <w:pPr>
        <w:tabs>
          <w:tab w:val="left" w:pos="1134"/>
        </w:tabs>
        <w:ind w:left="567"/>
        <w:rPr>
          <w:lang w:val="es-ES_tradnl"/>
        </w:rPr>
      </w:pPr>
    </w:p>
    <w:p w:rsidR="008F74A0" w:rsidRPr="001804B0" w:rsidRDefault="001B3DD0" w:rsidP="001804B0">
      <w:pPr>
        <w:pStyle w:val="ListParagraph"/>
        <w:numPr>
          <w:ilvl w:val="0"/>
          <w:numId w:val="9"/>
        </w:numPr>
        <w:tabs>
          <w:tab w:val="left" w:pos="1134"/>
        </w:tabs>
        <w:ind w:left="567" w:firstLine="0"/>
        <w:rPr>
          <w:lang w:val="es-ES_tradnl"/>
        </w:rPr>
      </w:pPr>
      <w:r w:rsidRPr="001804B0">
        <w:rPr>
          <w:lang w:val="es-ES_tradnl"/>
        </w:rPr>
        <w:t>Deben establecerse</w:t>
      </w:r>
      <w:r w:rsidR="008F74A0" w:rsidRPr="001804B0">
        <w:rPr>
          <w:lang w:val="es-ES_tradnl"/>
        </w:rPr>
        <w:t xml:space="preserve"> en las administraciones aduaneras unidades especializadas en propiedad intelectual para la lucha contra el fraude comercial y dichas unidades deberán </w:t>
      </w:r>
      <w:r w:rsidRPr="001804B0">
        <w:rPr>
          <w:lang w:val="es-ES_tradnl"/>
        </w:rPr>
        <w:t>colaborar</w:t>
      </w:r>
      <w:r w:rsidR="008F74A0" w:rsidRPr="001804B0">
        <w:rPr>
          <w:lang w:val="es-ES_tradnl"/>
        </w:rPr>
        <w:t xml:space="preserve"> con las oficinas de P.I. de los </w:t>
      </w:r>
      <w:r w:rsidR="00E715DC" w:rsidRPr="001804B0">
        <w:rPr>
          <w:lang w:val="es-ES_tradnl"/>
        </w:rPr>
        <w:t>países árabes</w:t>
      </w:r>
      <w:r w:rsidR="008F74A0" w:rsidRPr="001804B0">
        <w:rPr>
          <w:lang w:val="es-ES_tradnl"/>
        </w:rPr>
        <w:t>.</w:t>
      </w:r>
    </w:p>
    <w:p w:rsidR="008F74A0" w:rsidRPr="001804B0" w:rsidRDefault="008F74A0" w:rsidP="001804B0">
      <w:pPr>
        <w:spacing w:after="200"/>
        <w:contextualSpacing/>
        <w:rPr>
          <w:rFonts w:eastAsia="Times New Roman"/>
          <w:szCs w:val="22"/>
          <w:lang w:val="es-ES_tradnl" w:eastAsia="en-US" w:bidi="ar-EG"/>
        </w:rPr>
      </w:pPr>
    </w:p>
    <w:p w:rsidR="008F74A0" w:rsidRPr="001804B0" w:rsidRDefault="008F74A0"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A ello cabe añadir otras reuniones como un seminario acerca de los derechos de propiedad intelectual y la lucha contra la piratería, organizado por la Dirección General de Aduanas de Bahrein, los días 20 a 22 de noviembre de 2006.</w:t>
      </w:r>
    </w:p>
    <w:p w:rsidR="008F74A0" w:rsidRPr="001804B0" w:rsidRDefault="008F74A0" w:rsidP="001804B0">
      <w:pPr>
        <w:rPr>
          <w:lang w:val="es-ES_tradnl"/>
        </w:rPr>
      </w:pPr>
    </w:p>
    <w:p w:rsidR="008F74A0" w:rsidRPr="001804B0" w:rsidRDefault="008F74A0"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Además, en la séptima reunión de</w:t>
      </w:r>
      <w:r w:rsidR="001B3DD0" w:rsidRPr="001804B0">
        <w:rPr>
          <w:lang w:val="es-ES_tradnl"/>
        </w:rPr>
        <w:t xml:space="preserve"> la Comisión Técnica</w:t>
      </w:r>
      <w:r w:rsidRPr="001804B0">
        <w:rPr>
          <w:lang w:val="es-ES_tradnl"/>
        </w:rPr>
        <w:t xml:space="preserve"> para promulgar </w:t>
      </w:r>
      <w:r w:rsidR="001B3DD0" w:rsidRPr="001804B0">
        <w:rPr>
          <w:lang w:val="es-ES_tradnl"/>
        </w:rPr>
        <w:t>una Ley de Orientación de</w:t>
      </w:r>
      <w:r w:rsidRPr="001804B0">
        <w:rPr>
          <w:lang w:val="es-ES_tradnl"/>
        </w:rPr>
        <w:t xml:space="preserve"> los </w:t>
      </w:r>
      <w:r w:rsidR="001B3DD0" w:rsidRPr="001804B0">
        <w:rPr>
          <w:lang w:val="es-ES_tradnl"/>
        </w:rPr>
        <w:t>Países Árabes sobre</w:t>
      </w:r>
      <w:r w:rsidR="000E4C74" w:rsidRPr="001804B0">
        <w:rPr>
          <w:lang w:val="es-ES_tradnl"/>
        </w:rPr>
        <w:t xml:space="preserve"> la P</w:t>
      </w:r>
      <w:r w:rsidRPr="001804B0">
        <w:rPr>
          <w:lang w:val="es-ES_tradnl"/>
        </w:rPr>
        <w:t xml:space="preserve">rotección de los </w:t>
      </w:r>
      <w:r w:rsidR="000E4C74" w:rsidRPr="001804B0">
        <w:rPr>
          <w:lang w:val="es-ES_tradnl"/>
        </w:rPr>
        <w:t>D</w:t>
      </w:r>
      <w:r w:rsidRPr="001804B0">
        <w:rPr>
          <w:lang w:val="es-ES_tradnl"/>
        </w:rPr>
        <w:t xml:space="preserve">erechos de </w:t>
      </w:r>
      <w:r w:rsidR="000E4C74" w:rsidRPr="001804B0">
        <w:rPr>
          <w:lang w:val="es-ES_tradnl"/>
        </w:rPr>
        <w:t>P</w:t>
      </w:r>
      <w:r w:rsidRPr="001804B0">
        <w:rPr>
          <w:lang w:val="es-ES_tradnl"/>
        </w:rPr>
        <w:t xml:space="preserve">ropiedad </w:t>
      </w:r>
      <w:r w:rsidR="000E4C74" w:rsidRPr="001804B0">
        <w:rPr>
          <w:lang w:val="es-ES_tradnl"/>
        </w:rPr>
        <w:t>I</w:t>
      </w:r>
      <w:r w:rsidRPr="001804B0">
        <w:rPr>
          <w:lang w:val="es-ES_tradnl"/>
        </w:rPr>
        <w:t>ntelectual, celebrada en Beirut, los días 8 a 10 de enero de 2013, se formularon las siguientes recomendaciones:</w:t>
      </w:r>
    </w:p>
    <w:p w:rsidR="008F74A0" w:rsidRPr="001804B0" w:rsidRDefault="008F74A0" w:rsidP="001804B0">
      <w:pPr>
        <w:rPr>
          <w:lang w:val="es-ES_tradnl"/>
        </w:rPr>
      </w:pPr>
    </w:p>
    <w:p w:rsidR="008F74A0" w:rsidRPr="001804B0" w:rsidRDefault="008F74A0" w:rsidP="001804B0">
      <w:pPr>
        <w:pStyle w:val="ListParagraph"/>
        <w:numPr>
          <w:ilvl w:val="0"/>
          <w:numId w:val="10"/>
        </w:numPr>
        <w:tabs>
          <w:tab w:val="left" w:pos="1134"/>
        </w:tabs>
        <w:ind w:left="567" w:firstLine="0"/>
        <w:rPr>
          <w:lang w:val="es-ES_tradnl"/>
        </w:rPr>
      </w:pPr>
      <w:r w:rsidRPr="001804B0">
        <w:rPr>
          <w:lang w:val="es-ES_tradnl"/>
        </w:rPr>
        <w:t>Conforme a la Resolución Nº 911 del Consejo de Ministros de Justicia de los países árabes, dictada en la 27ª reunión de este último, celebrada en El Cairo, el 15 de febrero de 2012, que consta</w:t>
      </w:r>
      <w:r w:rsidR="001B3DD0" w:rsidRPr="001804B0">
        <w:rPr>
          <w:lang w:val="es-ES_tradnl"/>
        </w:rPr>
        <w:t xml:space="preserve"> de </w:t>
      </w:r>
      <w:r w:rsidRPr="001804B0">
        <w:rPr>
          <w:lang w:val="es-ES_tradnl"/>
        </w:rPr>
        <w:t xml:space="preserve">un capítulo completo acerca de medidas en fronteras que forma parte del texto de </w:t>
      </w:r>
      <w:r w:rsidR="001B3DD0" w:rsidRPr="001804B0">
        <w:rPr>
          <w:lang w:val="es-ES_tradnl"/>
        </w:rPr>
        <w:t xml:space="preserve">la Ley de Orientación </w:t>
      </w:r>
      <w:r w:rsidRPr="001804B0">
        <w:rPr>
          <w:lang w:val="es-ES_tradnl"/>
        </w:rPr>
        <w:t xml:space="preserve">para los </w:t>
      </w:r>
      <w:r w:rsidR="001B3DD0" w:rsidRPr="001804B0">
        <w:rPr>
          <w:lang w:val="es-ES_tradnl"/>
        </w:rPr>
        <w:t>Países Árabes sobre</w:t>
      </w:r>
      <w:r w:rsidRPr="001804B0">
        <w:rPr>
          <w:lang w:val="es-ES_tradnl"/>
        </w:rPr>
        <w:t xml:space="preserve"> la </w:t>
      </w:r>
      <w:r w:rsidR="001B3DD0" w:rsidRPr="001804B0">
        <w:rPr>
          <w:lang w:val="es-ES_tradnl"/>
        </w:rPr>
        <w:t xml:space="preserve">Protección </w:t>
      </w:r>
      <w:r w:rsidRPr="001804B0">
        <w:rPr>
          <w:lang w:val="es-ES_tradnl"/>
        </w:rPr>
        <w:t xml:space="preserve">de los </w:t>
      </w:r>
      <w:r w:rsidR="001B3DD0" w:rsidRPr="001804B0">
        <w:rPr>
          <w:lang w:val="es-ES_tradnl"/>
        </w:rPr>
        <w:t xml:space="preserve">Derechos </w:t>
      </w:r>
      <w:r w:rsidRPr="001804B0">
        <w:rPr>
          <w:lang w:val="es-ES_tradnl"/>
        </w:rPr>
        <w:t xml:space="preserve">de </w:t>
      </w:r>
      <w:r w:rsidR="001B3DD0" w:rsidRPr="001804B0">
        <w:rPr>
          <w:lang w:val="es-ES_tradnl"/>
        </w:rPr>
        <w:t>Propiedad Intelectual</w:t>
      </w:r>
      <w:r w:rsidRPr="001804B0">
        <w:rPr>
          <w:lang w:val="es-ES_tradnl"/>
        </w:rPr>
        <w:t>, sobre la base de la 7ª reunión de</w:t>
      </w:r>
      <w:r w:rsidR="001B3DD0" w:rsidRPr="001804B0">
        <w:rPr>
          <w:lang w:val="es-ES_tradnl"/>
        </w:rPr>
        <w:t xml:space="preserve"> </w:t>
      </w:r>
      <w:r w:rsidRPr="001804B0">
        <w:rPr>
          <w:lang w:val="es-ES_tradnl"/>
        </w:rPr>
        <w:t>l</w:t>
      </w:r>
      <w:r w:rsidR="001B3DD0" w:rsidRPr="001804B0">
        <w:rPr>
          <w:lang w:val="es-ES_tradnl"/>
        </w:rPr>
        <w:t>a</w:t>
      </w:r>
      <w:r w:rsidRPr="001804B0">
        <w:rPr>
          <w:lang w:val="es-ES_tradnl"/>
        </w:rPr>
        <w:t xml:space="preserve"> </w:t>
      </w:r>
      <w:r w:rsidR="001B3DD0" w:rsidRPr="001804B0">
        <w:rPr>
          <w:lang w:val="es-ES_tradnl"/>
        </w:rPr>
        <w:t>Comisión Técnica</w:t>
      </w:r>
      <w:r w:rsidRPr="001804B0">
        <w:rPr>
          <w:lang w:val="es-ES_tradnl"/>
        </w:rPr>
        <w:t xml:space="preserve"> de preparación del proyecto de </w:t>
      </w:r>
      <w:r w:rsidR="001B3DD0" w:rsidRPr="001804B0">
        <w:rPr>
          <w:lang w:val="es-ES_tradnl"/>
        </w:rPr>
        <w:t>dicha Ley</w:t>
      </w:r>
      <w:r w:rsidRPr="001804B0">
        <w:rPr>
          <w:lang w:val="es-ES_tradnl"/>
        </w:rPr>
        <w:t xml:space="preserve">, se ha añadido un capitulo 8 (Artículos 153-157) para abordar:  </w:t>
      </w:r>
      <w:r w:rsidR="001B3DD0" w:rsidRPr="001804B0">
        <w:rPr>
          <w:lang w:val="es-ES_tradnl"/>
        </w:rPr>
        <w:t xml:space="preserve">medidas </w:t>
      </w:r>
      <w:r w:rsidRPr="001804B0">
        <w:rPr>
          <w:lang w:val="es-ES_tradnl"/>
        </w:rPr>
        <w:t xml:space="preserve">en frontera para la protección de los derechos de propiedad intelectual.  </w:t>
      </w:r>
      <w:r w:rsidR="001B3DD0" w:rsidRPr="001804B0">
        <w:rPr>
          <w:lang w:val="es-ES_tradnl"/>
        </w:rPr>
        <w:t>La</w:t>
      </w:r>
      <w:r w:rsidRPr="001804B0">
        <w:rPr>
          <w:lang w:val="es-ES_tradnl"/>
        </w:rPr>
        <w:t xml:space="preserve"> Director</w:t>
      </w:r>
      <w:r w:rsidR="001B3DD0" w:rsidRPr="001804B0">
        <w:rPr>
          <w:lang w:val="es-ES_tradnl"/>
        </w:rPr>
        <w:t>a</w:t>
      </w:r>
      <w:r w:rsidRPr="001804B0">
        <w:rPr>
          <w:lang w:val="es-ES_tradnl"/>
        </w:rPr>
        <w:t xml:space="preserve"> del Departamento de </w:t>
      </w:r>
      <w:r w:rsidRPr="001804B0">
        <w:rPr>
          <w:szCs w:val="24"/>
          <w:lang w:val="es-ES_tradnl"/>
        </w:rPr>
        <w:t xml:space="preserve">Propiedad Intelectual </w:t>
      </w:r>
      <w:r w:rsidRPr="001804B0">
        <w:rPr>
          <w:lang w:val="es-ES_tradnl"/>
        </w:rPr>
        <w:t xml:space="preserve">y Competitividad de la </w:t>
      </w:r>
      <w:r w:rsidR="00A125FE" w:rsidRPr="001804B0">
        <w:rPr>
          <w:lang w:val="es-ES_tradnl"/>
        </w:rPr>
        <w:t>LAS</w:t>
      </w:r>
      <w:r w:rsidR="001B3DD0" w:rsidRPr="001804B0">
        <w:rPr>
          <w:lang w:val="es-ES_tradnl"/>
        </w:rPr>
        <w:t xml:space="preserve"> ha sido invitada</w:t>
      </w:r>
      <w:r w:rsidRPr="001804B0">
        <w:rPr>
          <w:lang w:val="es-ES_tradnl"/>
        </w:rPr>
        <w:t xml:space="preserve"> a preparar un memorándum explicativo del proyecto de </w:t>
      </w:r>
      <w:r w:rsidR="001B3DD0" w:rsidRPr="001804B0">
        <w:rPr>
          <w:lang w:val="es-ES_tradnl"/>
        </w:rPr>
        <w:t>Ley</w:t>
      </w:r>
      <w:r w:rsidRPr="001804B0">
        <w:rPr>
          <w:lang w:val="es-ES_tradnl"/>
        </w:rPr>
        <w:t xml:space="preserve"> para los </w:t>
      </w:r>
      <w:r w:rsidR="001B3DD0" w:rsidRPr="001804B0">
        <w:rPr>
          <w:lang w:val="es-ES_tradnl"/>
        </w:rPr>
        <w:t>Países Árabes sobre</w:t>
      </w:r>
      <w:r w:rsidRPr="001804B0">
        <w:rPr>
          <w:lang w:val="es-ES_tradnl"/>
        </w:rPr>
        <w:t xml:space="preserve"> la </w:t>
      </w:r>
      <w:r w:rsidR="001B3DD0" w:rsidRPr="001804B0">
        <w:rPr>
          <w:lang w:val="es-ES_tradnl"/>
        </w:rPr>
        <w:t xml:space="preserve">Protección </w:t>
      </w:r>
      <w:r w:rsidRPr="001804B0">
        <w:rPr>
          <w:lang w:val="es-ES_tradnl"/>
        </w:rPr>
        <w:t xml:space="preserve">de los </w:t>
      </w:r>
      <w:r w:rsidR="001B3DD0" w:rsidRPr="001804B0">
        <w:rPr>
          <w:lang w:val="es-ES_tradnl"/>
        </w:rPr>
        <w:t xml:space="preserve">Derechos </w:t>
      </w:r>
      <w:r w:rsidRPr="001804B0">
        <w:rPr>
          <w:lang w:val="es-ES_tradnl"/>
        </w:rPr>
        <w:t xml:space="preserve">de </w:t>
      </w:r>
      <w:r w:rsidR="001B3DD0" w:rsidRPr="001804B0">
        <w:rPr>
          <w:lang w:val="es-ES_tradnl"/>
        </w:rPr>
        <w:t xml:space="preserve">Propiedad Intelectual </w:t>
      </w:r>
      <w:r w:rsidRPr="001804B0">
        <w:rPr>
          <w:lang w:val="es-ES_tradnl"/>
        </w:rPr>
        <w:t xml:space="preserve">y las disposiciones </w:t>
      </w:r>
      <w:r w:rsidR="00E715DC" w:rsidRPr="001804B0">
        <w:rPr>
          <w:lang w:val="es-ES_tradnl"/>
        </w:rPr>
        <w:t xml:space="preserve">y cláusulas </w:t>
      </w:r>
      <w:r w:rsidRPr="001804B0">
        <w:rPr>
          <w:lang w:val="es-ES_tradnl"/>
        </w:rPr>
        <w:t>finales, para que sea</w:t>
      </w:r>
      <w:r w:rsidR="00E715DC" w:rsidRPr="001804B0">
        <w:rPr>
          <w:lang w:val="es-ES_tradnl"/>
        </w:rPr>
        <w:t xml:space="preserve"> sometido a examen de la Comisión</w:t>
      </w:r>
      <w:r w:rsidRPr="001804B0">
        <w:rPr>
          <w:lang w:val="es-ES_tradnl"/>
        </w:rPr>
        <w:t xml:space="preserve"> en la reunión de 2014.</w:t>
      </w:r>
    </w:p>
    <w:p w:rsidR="008F74A0" w:rsidRPr="001804B0" w:rsidRDefault="008F74A0" w:rsidP="001804B0">
      <w:pPr>
        <w:tabs>
          <w:tab w:val="left" w:pos="1134"/>
        </w:tabs>
        <w:ind w:left="567"/>
        <w:rPr>
          <w:lang w:val="es-ES_tradnl"/>
        </w:rPr>
      </w:pPr>
    </w:p>
    <w:p w:rsidR="008F74A0" w:rsidRPr="001804B0" w:rsidRDefault="008F74A0" w:rsidP="001804B0">
      <w:pPr>
        <w:pStyle w:val="ListParagraph"/>
        <w:numPr>
          <w:ilvl w:val="0"/>
          <w:numId w:val="10"/>
        </w:numPr>
        <w:tabs>
          <w:tab w:val="left" w:pos="1134"/>
        </w:tabs>
        <w:ind w:left="567" w:firstLine="0"/>
        <w:rPr>
          <w:lang w:val="es-ES_tradnl"/>
        </w:rPr>
      </w:pPr>
      <w:r w:rsidRPr="001804B0">
        <w:rPr>
          <w:lang w:val="es-ES_tradnl"/>
        </w:rPr>
        <w:t xml:space="preserve">El proyecto de </w:t>
      </w:r>
      <w:r w:rsidR="00E715DC" w:rsidRPr="001804B0">
        <w:rPr>
          <w:lang w:val="es-ES_tradnl"/>
        </w:rPr>
        <w:t>ley y el</w:t>
      </w:r>
      <w:r w:rsidRPr="001804B0">
        <w:rPr>
          <w:lang w:val="es-ES_tradnl"/>
        </w:rPr>
        <w:t xml:space="preserve"> memorándum explicativo han sido distribuidos a los Estados miembros de la </w:t>
      </w:r>
      <w:r w:rsidR="00A125FE" w:rsidRPr="001804B0">
        <w:rPr>
          <w:lang w:val="es-ES_tradnl"/>
        </w:rPr>
        <w:t>LAS</w:t>
      </w:r>
      <w:r w:rsidRPr="001804B0">
        <w:rPr>
          <w:lang w:val="es-ES_tradnl"/>
        </w:rPr>
        <w:t xml:space="preserve"> a los fines de recabar su punto de vista y de que formulen propuestas y observaciones;  dichos comentarios deberán remitirse al Centro de Estudios </w:t>
      </w:r>
      <w:r w:rsidRPr="001804B0">
        <w:rPr>
          <w:lang w:val="es-ES_tradnl"/>
        </w:rPr>
        <w:lastRenderedPageBreak/>
        <w:t xml:space="preserve">Judiciales y Jurídicos de </w:t>
      </w:r>
      <w:r w:rsidR="00E715DC" w:rsidRPr="001804B0">
        <w:rPr>
          <w:lang w:val="es-ES_tradnl"/>
        </w:rPr>
        <w:t xml:space="preserve">la </w:t>
      </w:r>
      <w:r w:rsidR="00A125FE" w:rsidRPr="001804B0">
        <w:rPr>
          <w:lang w:val="es-ES_tradnl"/>
        </w:rPr>
        <w:t>LAS</w:t>
      </w:r>
      <w:r w:rsidRPr="001804B0">
        <w:rPr>
          <w:lang w:val="es-ES_tradnl"/>
        </w:rPr>
        <w:t xml:space="preserve"> antes de ser sometido a examen de</w:t>
      </w:r>
      <w:r w:rsidR="00E715DC" w:rsidRPr="001804B0">
        <w:rPr>
          <w:lang w:val="es-ES_tradnl"/>
        </w:rPr>
        <w:t xml:space="preserve"> la Comisión</w:t>
      </w:r>
      <w:r w:rsidRPr="001804B0">
        <w:rPr>
          <w:lang w:val="es-ES_tradnl"/>
        </w:rPr>
        <w:t xml:space="preserve"> </w:t>
      </w:r>
      <w:r w:rsidR="00E715DC" w:rsidRPr="001804B0">
        <w:rPr>
          <w:lang w:val="es-ES_tradnl"/>
        </w:rPr>
        <w:t>en</w:t>
      </w:r>
      <w:r w:rsidRPr="001804B0">
        <w:rPr>
          <w:lang w:val="es-ES_tradnl"/>
        </w:rPr>
        <w:t xml:space="preserve"> su reunión de 2014.</w:t>
      </w:r>
    </w:p>
    <w:p w:rsidR="008F74A0" w:rsidRPr="001804B0" w:rsidRDefault="008F74A0" w:rsidP="001804B0">
      <w:pPr>
        <w:tabs>
          <w:tab w:val="left" w:pos="1134"/>
        </w:tabs>
        <w:ind w:left="567"/>
        <w:rPr>
          <w:lang w:val="es-ES_tradnl"/>
        </w:rPr>
      </w:pPr>
    </w:p>
    <w:p w:rsidR="008F74A0" w:rsidRPr="001804B0" w:rsidRDefault="008F74A0" w:rsidP="001804B0">
      <w:pPr>
        <w:pStyle w:val="ListParagraph"/>
        <w:numPr>
          <w:ilvl w:val="0"/>
          <w:numId w:val="10"/>
        </w:numPr>
        <w:tabs>
          <w:tab w:val="left" w:pos="1134"/>
        </w:tabs>
        <w:ind w:left="567" w:firstLine="0"/>
        <w:rPr>
          <w:lang w:val="es-ES_tradnl"/>
        </w:rPr>
      </w:pPr>
      <w:r w:rsidRPr="001804B0">
        <w:rPr>
          <w:lang w:val="es-ES_tradnl"/>
        </w:rPr>
        <w:t xml:space="preserve">La Secretaría General de la </w:t>
      </w:r>
      <w:r w:rsidR="00A125FE" w:rsidRPr="001804B0">
        <w:rPr>
          <w:lang w:val="es-ES_tradnl"/>
        </w:rPr>
        <w:t>LAS</w:t>
      </w:r>
      <w:r w:rsidRPr="001804B0">
        <w:rPr>
          <w:lang w:val="es-ES_tradnl"/>
        </w:rPr>
        <w:t xml:space="preserve"> ha pasado a revista a los esfuerzos realizados por la OMPI en el ámbito del fomento del respeto de la P.I. y las reuniones celebradas en la región de los países árabes, concretamente, la reunión celebrada en Omán, en noviembre de 2012, y la reunión celebrada en Jordania, a la que asistieron todos los países del Consejo de Cooperación del Golfo (CCG), en junio de 2013, excepto los países árabes del Magreb.</w:t>
      </w:r>
    </w:p>
    <w:p w:rsidR="008F74A0" w:rsidRPr="001804B0" w:rsidRDefault="008F74A0" w:rsidP="001804B0">
      <w:pPr>
        <w:tabs>
          <w:tab w:val="left" w:pos="1134"/>
        </w:tabs>
        <w:ind w:left="567"/>
        <w:rPr>
          <w:lang w:val="es-ES_tradnl"/>
        </w:rPr>
      </w:pPr>
    </w:p>
    <w:p w:rsidR="008F74A0" w:rsidRPr="001804B0" w:rsidRDefault="00E715DC" w:rsidP="001804B0">
      <w:pPr>
        <w:pStyle w:val="ListParagraph"/>
        <w:numPr>
          <w:ilvl w:val="0"/>
          <w:numId w:val="10"/>
        </w:numPr>
        <w:tabs>
          <w:tab w:val="left" w:pos="1134"/>
        </w:tabs>
        <w:ind w:left="567" w:firstLine="0"/>
        <w:rPr>
          <w:lang w:val="es-ES_tradnl"/>
        </w:rPr>
      </w:pPr>
      <w:r w:rsidRPr="001804B0">
        <w:rPr>
          <w:lang w:val="es-ES_tradnl"/>
        </w:rPr>
        <w:t xml:space="preserve">La </w:t>
      </w:r>
      <w:r w:rsidR="00A125FE" w:rsidRPr="001804B0">
        <w:rPr>
          <w:lang w:val="es-ES_tradnl"/>
        </w:rPr>
        <w:t>LAS</w:t>
      </w:r>
      <w:r w:rsidR="008F74A0" w:rsidRPr="001804B0">
        <w:rPr>
          <w:lang w:val="es-ES_tradnl"/>
        </w:rPr>
        <w:t xml:space="preserve"> ha propuesto organizar una reunión en mayo de 2014 en su sede a los fines de reflexionar sobre las conclusiones de anteriores reuniones que se hayan celebrado a ese respecto en todos los países árabes.  Esa reunión podría organizarse en colaboración con la OMPI, la </w:t>
      </w:r>
      <w:r w:rsidR="008F74A0" w:rsidRPr="001804B0">
        <w:rPr>
          <w:color w:val="000000"/>
          <w:lang w:val="es-ES_tradnl"/>
        </w:rPr>
        <w:t xml:space="preserve">Organización </w:t>
      </w:r>
      <w:r w:rsidRPr="001804B0">
        <w:rPr>
          <w:color w:val="000000"/>
          <w:lang w:val="es-ES_tradnl"/>
        </w:rPr>
        <w:t xml:space="preserve">Mundial </w:t>
      </w:r>
      <w:r w:rsidR="008F74A0" w:rsidRPr="001804B0">
        <w:rPr>
          <w:color w:val="000000"/>
          <w:lang w:val="es-ES_tradnl"/>
        </w:rPr>
        <w:t>de Aduanas (OMA)</w:t>
      </w:r>
      <w:r w:rsidR="008F74A0" w:rsidRPr="001804B0">
        <w:rPr>
          <w:lang w:val="es-ES_tradnl"/>
        </w:rPr>
        <w:t xml:space="preserve"> y la </w:t>
      </w:r>
      <w:r w:rsidR="008F74A0" w:rsidRPr="001804B0">
        <w:rPr>
          <w:color w:val="000000"/>
          <w:lang w:val="es-ES_tradnl"/>
        </w:rPr>
        <w:t>Organización Internacional de Policía Criminal (</w:t>
      </w:r>
      <w:r w:rsidRPr="001804B0">
        <w:rPr>
          <w:color w:val="000000"/>
          <w:lang w:val="es-ES_tradnl"/>
        </w:rPr>
        <w:t>INTERPOL</w:t>
      </w:r>
      <w:r w:rsidR="008F74A0" w:rsidRPr="001804B0">
        <w:rPr>
          <w:color w:val="000000"/>
          <w:lang w:val="es-ES_tradnl"/>
        </w:rPr>
        <w:t>).</w:t>
      </w:r>
    </w:p>
    <w:p w:rsidR="00F72ECE" w:rsidRPr="001804B0" w:rsidRDefault="00F72ECE" w:rsidP="001804B0">
      <w:pPr>
        <w:rPr>
          <w:lang w:val="es-ES_tradnl"/>
        </w:rPr>
      </w:pPr>
    </w:p>
    <w:p w:rsidR="00F72ECE" w:rsidRPr="001804B0" w:rsidRDefault="00F72ECE" w:rsidP="001804B0">
      <w:pPr>
        <w:rPr>
          <w:snapToGrid w:val="0"/>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r>
      <w:r w:rsidR="00E715DC" w:rsidRPr="001804B0">
        <w:rPr>
          <w:lang w:val="es-ES_tradnl"/>
        </w:rPr>
        <w:t>Los avances</w:t>
      </w:r>
      <w:r w:rsidRPr="001804B0">
        <w:rPr>
          <w:lang w:val="es-ES_tradnl"/>
        </w:rPr>
        <w:t xml:space="preserve"> e invenciones han contribuido </w:t>
      </w:r>
      <w:r w:rsidR="00E715DC" w:rsidRPr="001804B0">
        <w:rPr>
          <w:lang w:val="es-ES_tradnl"/>
        </w:rPr>
        <w:t>a</w:t>
      </w:r>
      <w:r w:rsidRPr="001804B0">
        <w:rPr>
          <w:lang w:val="es-ES_tradnl"/>
        </w:rPr>
        <w:t xml:space="preserve"> </w:t>
      </w:r>
      <w:r w:rsidR="00E715DC" w:rsidRPr="001804B0">
        <w:rPr>
          <w:lang w:val="es-ES_tradnl"/>
        </w:rPr>
        <w:t>eliminar</w:t>
      </w:r>
      <w:r w:rsidRPr="001804B0">
        <w:rPr>
          <w:lang w:val="es-ES_tradnl"/>
        </w:rPr>
        <w:t xml:space="preserve"> fronteras y distancias, viniéndose a añadir el hecho de que la gente ya no vive en un único lugar.  </w:t>
      </w:r>
      <w:r w:rsidR="00A536F3" w:rsidRPr="001804B0">
        <w:rPr>
          <w:lang w:val="es-ES_tradnl"/>
        </w:rPr>
        <w:t xml:space="preserve">Eso presenta ciertas ventajas, a las que se </w:t>
      </w:r>
      <w:r w:rsidR="00E715DC" w:rsidRPr="001804B0">
        <w:rPr>
          <w:lang w:val="es-ES_tradnl"/>
        </w:rPr>
        <w:t>ha referido</w:t>
      </w:r>
      <w:r w:rsidR="00A536F3" w:rsidRPr="001804B0">
        <w:rPr>
          <w:lang w:val="es-ES_tradnl"/>
        </w:rPr>
        <w:t xml:space="preserve"> </w:t>
      </w:r>
      <w:r w:rsidR="00E715DC" w:rsidRPr="001804B0">
        <w:rPr>
          <w:lang w:val="es-ES_tradnl"/>
        </w:rPr>
        <w:t>brevemente</w:t>
      </w:r>
      <w:r w:rsidR="00A536F3" w:rsidRPr="001804B0">
        <w:rPr>
          <w:lang w:val="es-ES_tradnl"/>
        </w:rPr>
        <w:t xml:space="preserve"> el Director General de la OMPI, Francis Gurry, a saber, una mejora de la comunicación y la transferencia de conocimientos e ideas entre culturas, el desplazamiento entre continentes en pocas horas y la disponibilidad de grandes cantidades de información en Internet lo que, a su vez, favorece que se inicien </w:t>
      </w:r>
      <w:r w:rsidR="00A536F3" w:rsidRPr="001804B0">
        <w:rPr>
          <w:snapToGrid w:val="0"/>
          <w:lang w:val="es-ES_tradnl"/>
        </w:rPr>
        <w:t>proyectos colectivos, la definición de objetivos comunes y la aplicación de planes comunes para responder a desafíos.  Uno de los principales retos de este siglo reside en la lucha contra la piratería, la</w:t>
      </w:r>
      <w:r w:rsidR="00E715DC" w:rsidRPr="001804B0">
        <w:rPr>
          <w:snapToGrid w:val="0"/>
          <w:lang w:val="es-ES_tradnl"/>
        </w:rPr>
        <w:t>s</w:t>
      </w:r>
      <w:r w:rsidR="00A536F3" w:rsidRPr="001804B0">
        <w:rPr>
          <w:snapToGrid w:val="0"/>
          <w:lang w:val="es-ES_tradnl"/>
        </w:rPr>
        <w:t xml:space="preserve"> </w:t>
      </w:r>
      <w:r w:rsidR="00E715DC" w:rsidRPr="001804B0">
        <w:rPr>
          <w:snapToGrid w:val="0"/>
          <w:lang w:val="es-ES_tradnl"/>
        </w:rPr>
        <w:t>infracciones</w:t>
      </w:r>
      <w:r w:rsidR="00A536F3" w:rsidRPr="001804B0">
        <w:rPr>
          <w:snapToGrid w:val="0"/>
          <w:lang w:val="es-ES_tradnl"/>
        </w:rPr>
        <w:t xml:space="preserve"> en el ámbito de las innovaciones y las creaciones y la falsificación y utilización ilícitas de </w:t>
      </w:r>
      <w:r w:rsidR="00E715DC" w:rsidRPr="001804B0">
        <w:rPr>
          <w:snapToGrid w:val="0"/>
          <w:lang w:val="es-ES_tradnl"/>
        </w:rPr>
        <w:t>las</w:t>
      </w:r>
      <w:r w:rsidR="00A536F3" w:rsidRPr="001804B0">
        <w:rPr>
          <w:snapToGrid w:val="0"/>
          <w:lang w:val="es-ES_tradnl"/>
        </w:rPr>
        <w:t xml:space="preserve"> obras.</w:t>
      </w:r>
    </w:p>
    <w:p w:rsidR="00A536F3" w:rsidRPr="001804B0" w:rsidRDefault="00A536F3" w:rsidP="001804B0">
      <w:pPr>
        <w:rPr>
          <w:snapToGrid w:val="0"/>
          <w:lang w:val="es-ES_tradnl"/>
        </w:rPr>
      </w:pPr>
    </w:p>
    <w:p w:rsidR="00A536F3" w:rsidRPr="001804B0" w:rsidRDefault="00A536F3"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Somos plenamente conscientes de que las pérdidas sociales y económicas generadas por el fraude comercial y la falsificación, por ejemplo, el desempleo y la pérdida de ingresos </w:t>
      </w:r>
      <w:r w:rsidR="000E4C74" w:rsidRPr="001804B0">
        <w:rPr>
          <w:lang w:val="es-ES_tradnl"/>
        </w:rPr>
        <w:t xml:space="preserve">en concepto de </w:t>
      </w:r>
      <w:r w:rsidRPr="001804B0">
        <w:rPr>
          <w:lang w:val="es-ES_tradnl"/>
        </w:rPr>
        <w:t xml:space="preserve">impuestos </w:t>
      </w:r>
      <w:r w:rsidR="00E715DC" w:rsidRPr="001804B0">
        <w:rPr>
          <w:lang w:val="es-ES_tradnl"/>
        </w:rPr>
        <w:t xml:space="preserve">son </w:t>
      </w:r>
      <w:r w:rsidRPr="001804B0">
        <w:rPr>
          <w:lang w:val="es-ES_tradnl"/>
        </w:rPr>
        <w:t>objeto de gran preocupación para los gobiernos de todos los países.  De ahí que la cooperación internacional</w:t>
      </w:r>
      <w:r w:rsidR="00E715DC" w:rsidRPr="001804B0">
        <w:rPr>
          <w:lang w:val="es-ES_tradnl"/>
        </w:rPr>
        <w:t xml:space="preserve"> siga</w:t>
      </w:r>
      <w:r w:rsidRPr="001804B0">
        <w:rPr>
          <w:lang w:val="es-ES_tradnl"/>
        </w:rPr>
        <w:t xml:space="preserve"> siendo un elemento esencial para garantizar la aplicación de medidas en frontera adecuadas.</w:t>
      </w:r>
    </w:p>
    <w:p w:rsidR="00A536F3" w:rsidRPr="001804B0" w:rsidRDefault="00A536F3" w:rsidP="001804B0">
      <w:pPr>
        <w:rPr>
          <w:lang w:val="es-ES_tradnl"/>
        </w:rPr>
      </w:pPr>
    </w:p>
    <w:p w:rsidR="00A536F3" w:rsidRPr="001804B0" w:rsidRDefault="00A536F3"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La lucha contra la piratería </w:t>
      </w:r>
      <w:r w:rsidR="00216051" w:rsidRPr="001804B0">
        <w:rPr>
          <w:lang w:val="es-ES_tradnl"/>
        </w:rPr>
        <w:t xml:space="preserve">y la falsificación exige que todas las partes interesadas adopten un método o política </w:t>
      </w:r>
      <w:r w:rsidR="00E715DC" w:rsidRPr="001804B0">
        <w:rPr>
          <w:lang w:val="es-ES_tradnl"/>
        </w:rPr>
        <w:t xml:space="preserve">en </w:t>
      </w:r>
      <w:r w:rsidR="00216051" w:rsidRPr="001804B0">
        <w:rPr>
          <w:lang w:val="es-ES_tradnl"/>
        </w:rPr>
        <w:t>varios frentes</w:t>
      </w:r>
      <w:r w:rsidR="00E715DC" w:rsidRPr="001804B0">
        <w:rPr>
          <w:lang w:val="es-ES_tradnl"/>
        </w:rPr>
        <w:t xml:space="preserve">, </w:t>
      </w:r>
      <w:r w:rsidR="00216051" w:rsidRPr="001804B0">
        <w:rPr>
          <w:lang w:val="es-ES_tradnl"/>
        </w:rPr>
        <w:t>partiendo de que es inaceptable que sigan produciéndose movimiento</w:t>
      </w:r>
      <w:r w:rsidR="000E4C74" w:rsidRPr="001804B0">
        <w:rPr>
          <w:lang w:val="es-ES_tradnl"/>
        </w:rPr>
        <w:t>s</w:t>
      </w:r>
      <w:r w:rsidR="00216051" w:rsidRPr="001804B0">
        <w:rPr>
          <w:lang w:val="es-ES_tradnl"/>
        </w:rPr>
        <w:t xml:space="preserve"> transfronterizo</w:t>
      </w:r>
      <w:r w:rsidR="000E4C74" w:rsidRPr="001804B0">
        <w:rPr>
          <w:lang w:val="es-ES_tradnl"/>
        </w:rPr>
        <w:t>s</w:t>
      </w:r>
      <w:r w:rsidR="00216051" w:rsidRPr="001804B0">
        <w:rPr>
          <w:lang w:val="es-ES_tradnl"/>
        </w:rPr>
        <w:t xml:space="preserve"> de productos falsificados sin restricci</w:t>
      </w:r>
      <w:r w:rsidR="000E4C74" w:rsidRPr="001804B0">
        <w:rPr>
          <w:lang w:val="es-ES_tradnl"/>
        </w:rPr>
        <w:t>ones</w:t>
      </w:r>
      <w:r w:rsidR="00216051" w:rsidRPr="001804B0">
        <w:rPr>
          <w:lang w:val="es-ES_tradnl"/>
        </w:rPr>
        <w:t xml:space="preserve"> ni medidas</w:t>
      </w:r>
      <w:r w:rsidR="00E715DC" w:rsidRPr="001804B0">
        <w:rPr>
          <w:lang w:val="es-ES_tradnl"/>
        </w:rPr>
        <w:t xml:space="preserve"> pertinentes</w:t>
      </w:r>
      <w:r w:rsidR="00216051" w:rsidRPr="001804B0">
        <w:rPr>
          <w:lang w:val="es-ES_tradnl"/>
        </w:rPr>
        <w:t>.  La protección del consumidor y las consideraciones de salud y seguridad deben prevalecer respecto de cualquier otra consideración.</w:t>
      </w:r>
    </w:p>
    <w:p w:rsidR="00216051" w:rsidRPr="001804B0" w:rsidRDefault="00216051" w:rsidP="001804B0">
      <w:pPr>
        <w:rPr>
          <w:lang w:val="es-ES_tradnl"/>
        </w:rPr>
      </w:pPr>
    </w:p>
    <w:p w:rsidR="001804B0" w:rsidRPr="001804B0" w:rsidRDefault="001804B0" w:rsidP="001804B0">
      <w:pPr>
        <w:rPr>
          <w:lang w:val="es-ES_tradnl"/>
        </w:rPr>
      </w:pPr>
    </w:p>
    <w:p w:rsidR="00216051" w:rsidRPr="001804B0" w:rsidRDefault="000E4C74" w:rsidP="001804B0">
      <w:pPr>
        <w:rPr>
          <w:lang w:val="es-ES_tradnl"/>
        </w:rPr>
      </w:pPr>
      <w:r w:rsidRPr="001804B0">
        <w:rPr>
          <w:lang w:val="es-ES_tradnl"/>
        </w:rPr>
        <w:t>INICIATIVAS DE SENSIBILIZACIÓN</w:t>
      </w:r>
    </w:p>
    <w:p w:rsidR="00216051" w:rsidRPr="001804B0" w:rsidRDefault="00216051" w:rsidP="001804B0">
      <w:pPr>
        <w:rPr>
          <w:lang w:val="es-ES_tradnl"/>
        </w:rPr>
      </w:pPr>
    </w:p>
    <w:p w:rsidR="00216051" w:rsidRPr="001804B0" w:rsidRDefault="00216051"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Una de las políticas más importantes a ese respecto es la política de sensibilización, en el sentido de promover el concepto de propiedad intelectual y darlo a conocer al público por diferentes medios.</w:t>
      </w:r>
    </w:p>
    <w:p w:rsidR="00216051" w:rsidRPr="001804B0" w:rsidRDefault="00216051" w:rsidP="001804B0">
      <w:pPr>
        <w:rPr>
          <w:lang w:val="es-ES_tradnl"/>
        </w:rPr>
      </w:pPr>
    </w:p>
    <w:p w:rsidR="00216051" w:rsidRPr="001804B0" w:rsidRDefault="00216051" w:rsidP="001804B0">
      <w:pPr>
        <w:rPr>
          <w:snapToGrid w:val="0"/>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De ahí que, en el marco de un </w:t>
      </w:r>
      <w:r w:rsidRPr="001804B0">
        <w:rPr>
          <w:snapToGrid w:val="0"/>
          <w:lang w:val="es-ES_tradnl"/>
        </w:rPr>
        <w:t xml:space="preserve">proyecto conjunto de la </w:t>
      </w:r>
      <w:r w:rsidR="00A125FE" w:rsidRPr="001804B0">
        <w:rPr>
          <w:snapToGrid w:val="0"/>
          <w:lang w:val="es-ES_tradnl"/>
        </w:rPr>
        <w:t>LAS</w:t>
      </w:r>
      <w:r w:rsidRPr="001804B0">
        <w:rPr>
          <w:snapToGrid w:val="0"/>
          <w:lang w:val="es-ES_tradnl"/>
        </w:rPr>
        <w:t xml:space="preserve"> y la OMPI se esté organizando una campaña de sensibilización encaminada a fomentar una toma de conciencia de los consumidores acerca de los nefastos efectos del fraude comercial y la falsificación con miras a difundir una cultura de respeto de los derechos de P.I.</w:t>
      </w:r>
    </w:p>
    <w:p w:rsidR="001804B0" w:rsidRPr="001804B0" w:rsidRDefault="001804B0">
      <w:pPr>
        <w:rPr>
          <w:snapToGrid w:val="0"/>
          <w:lang w:val="es-ES_tradnl"/>
        </w:rPr>
      </w:pPr>
      <w:r w:rsidRPr="001804B0">
        <w:rPr>
          <w:snapToGrid w:val="0"/>
          <w:lang w:val="es-ES_tradnl"/>
        </w:rPr>
        <w:br w:type="page"/>
      </w:r>
    </w:p>
    <w:p w:rsidR="00216051" w:rsidRPr="001804B0" w:rsidRDefault="00216051" w:rsidP="001804B0">
      <w:pPr>
        <w:rPr>
          <w:snapToGrid w:val="0"/>
          <w:lang w:val="es-ES_tradnl"/>
        </w:rPr>
      </w:pPr>
    </w:p>
    <w:p w:rsidR="00216051" w:rsidRPr="001804B0" w:rsidRDefault="00216051" w:rsidP="001804B0">
      <w:pPr>
        <w:rPr>
          <w:snapToGrid w:val="0"/>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t xml:space="preserve">El </w:t>
      </w:r>
      <w:r w:rsidRPr="001804B0">
        <w:rPr>
          <w:snapToGrid w:val="0"/>
          <w:lang w:val="es-ES_tradnl"/>
        </w:rPr>
        <w:t xml:space="preserve">proyecto consiste en </w:t>
      </w:r>
      <w:r w:rsidR="000E4C74" w:rsidRPr="001804B0">
        <w:rPr>
          <w:snapToGrid w:val="0"/>
          <w:lang w:val="es-ES_tradnl"/>
        </w:rPr>
        <w:t>dibujo animado</w:t>
      </w:r>
      <w:r w:rsidRPr="001804B0">
        <w:rPr>
          <w:snapToGrid w:val="0"/>
          <w:lang w:val="es-ES_tradnl"/>
        </w:rPr>
        <w:t xml:space="preserve"> dividid</w:t>
      </w:r>
      <w:r w:rsidR="000E4C74" w:rsidRPr="001804B0">
        <w:rPr>
          <w:snapToGrid w:val="0"/>
          <w:lang w:val="es-ES_tradnl"/>
        </w:rPr>
        <w:t>o</w:t>
      </w:r>
      <w:r w:rsidRPr="001804B0">
        <w:rPr>
          <w:snapToGrid w:val="0"/>
          <w:lang w:val="es-ES_tradnl"/>
        </w:rPr>
        <w:t xml:space="preserve"> en cuatro segmentos, cada uno de una duración de 60 segundos (un minuto) en los que, con humor, se pone de relieve la importancia de los derechos de P.I. en los cuatro ámbitos siguientes:</w:t>
      </w:r>
    </w:p>
    <w:p w:rsidR="00216051" w:rsidRPr="001804B0" w:rsidRDefault="00216051" w:rsidP="001804B0">
      <w:pPr>
        <w:rPr>
          <w:snapToGrid w:val="0"/>
          <w:lang w:val="es-ES_tradnl"/>
        </w:rPr>
      </w:pPr>
    </w:p>
    <w:p w:rsidR="00216051" w:rsidRPr="001804B0" w:rsidRDefault="00216051" w:rsidP="001804B0">
      <w:pPr>
        <w:rPr>
          <w:snapToGrid w:val="0"/>
          <w:lang w:val="es-ES_tradnl"/>
        </w:rPr>
      </w:pPr>
      <w:r w:rsidRPr="001804B0">
        <w:rPr>
          <w:snapToGrid w:val="0"/>
          <w:lang w:val="es-ES_tradnl"/>
        </w:rPr>
        <w:tab/>
        <w:t>1)</w:t>
      </w:r>
      <w:r w:rsidRPr="001804B0">
        <w:rPr>
          <w:snapToGrid w:val="0"/>
          <w:lang w:val="es-ES_tradnl"/>
        </w:rPr>
        <w:tab/>
        <w:t>las marcas;</w:t>
      </w:r>
    </w:p>
    <w:p w:rsidR="00216051" w:rsidRPr="001804B0" w:rsidRDefault="00216051" w:rsidP="001804B0">
      <w:pPr>
        <w:rPr>
          <w:snapToGrid w:val="0"/>
          <w:lang w:val="es-ES_tradnl"/>
        </w:rPr>
      </w:pPr>
      <w:r w:rsidRPr="001804B0">
        <w:rPr>
          <w:snapToGrid w:val="0"/>
          <w:lang w:val="es-ES_tradnl"/>
        </w:rPr>
        <w:tab/>
        <w:t>2)</w:t>
      </w:r>
      <w:r w:rsidRPr="001804B0">
        <w:rPr>
          <w:snapToGrid w:val="0"/>
          <w:lang w:val="es-ES_tradnl"/>
        </w:rPr>
        <w:tab/>
        <w:t>la falsificación de las marcas en el ámbito de la salud pública;</w:t>
      </w:r>
    </w:p>
    <w:p w:rsidR="00216051" w:rsidRPr="001804B0" w:rsidRDefault="00216051" w:rsidP="001804B0">
      <w:pPr>
        <w:rPr>
          <w:snapToGrid w:val="0"/>
          <w:lang w:val="es-ES_tradnl"/>
        </w:rPr>
      </w:pPr>
      <w:r w:rsidRPr="001804B0">
        <w:rPr>
          <w:snapToGrid w:val="0"/>
          <w:lang w:val="es-ES_tradnl"/>
        </w:rPr>
        <w:tab/>
        <w:t>3)</w:t>
      </w:r>
      <w:r w:rsidRPr="001804B0">
        <w:rPr>
          <w:snapToGrid w:val="0"/>
          <w:lang w:val="es-ES_tradnl"/>
        </w:rPr>
        <w:tab/>
        <w:t>el derecho de autor y los derechos conexos;  y</w:t>
      </w:r>
    </w:p>
    <w:p w:rsidR="00216051" w:rsidRPr="001804B0" w:rsidRDefault="00216051" w:rsidP="001804B0">
      <w:pPr>
        <w:ind w:firstLine="567"/>
        <w:rPr>
          <w:snapToGrid w:val="0"/>
          <w:lang w:val="es-ES_tradnl"/>
        </w:rPr>
      </w:pPr>
      <w:r w:rsidRPr="001804B0">
        <w:rPr>
          <w:snapToGrid w:val="0"/>
          <w:lang w:val="es-ES_tradnl"/>
        </w:rPr>
        <w:t>4)</w:t>
      </w:r>
      <w:r w:rsidRPr="001804B0">
        <w:rPr>
          <w:snapToGrid w:val="0"/>
          <w:lang w:val="es-ES_tradnl"/>
        </w:rPr>
        <w:tab/>
        <w:t>la piratería en Internet.</w:t>
      </w:r>
    </w:p>
    <w:p w:rsidR="00216051" w:rsidRPr="001804B0" w:rsidRDefault="00216051" w:rsidP="001804B0">
      <w:pPr>
        <w:rPr>
          <w:snapToGrid w:val="0"/>
          <w:lang w:val="es-ES_tradnl"/>
        </w:rPr>
      </w:pPr>
    </w:p>
    <w:p w:rsidR="00216051" w:rsidRPr="001804B0" w:rsidRDefault="00216051" w:rsidP="001804B0">
      <w:pPr>
        <w:rPr>
          <w:lang w:val="es-ES_tradnl"/>
        </w:rPr>
      </w:pPr>
      <w:r w:rsidRPr="001804B0">
        <w:rPr>
          <w:lang w:val="es-ES_tradnl"/>
        </w:rPr>
        <w:fldChar w:fldCharType="begin"/>
      </w:r>
      <w:r w:rsidRPr="001804B0">
        <w:rPr>
          <w:lang w:val="es-ES_tradnl"/>
        </w:rPr>
        <w:instrText xml:space="preserve"> AUTONUM  </w:instrText>
      </w:r>
      <w:r w:rsidRPr="001804B0">
        <w:rPr>
          <w:lang w:val="es-ES_tradnl"/>
        </w:rPr>
        <w:fldChar w:fldCharType="end"/>
      </w:r>
      <w:r w:rsidRPr="001804B0">
        <w:rPr>
          <w:lang w:val="es-ES_tradnl"/>
        </w:rPr>
        <w:tab/>
      </w:r>
      <w:r w:rsidR="00E715DC" w:rsidRPr="001804B0">
        <w:rPr>
          <w:lang w:val="es-ES_tradnl"/>
        </w:rPr>
        <w:t>El proyecto fue</w:t>
      </w:r>
      <w:r w:rsidRPr="001804B0">
        <w:rPr>
          <w:lang w:val="es-ES_tradnl"/>
        </w:rPr>
        <w:t xml:space="preserve"> escrito en </w:t>
      </w:r>
      <w:r w:rsidR="00E715DC" w:rsidRPr="001804B0">
        <w:rPr>
          <w:lang w:val="es-ES_tradnl"/>
        </w:rPr>
        <w:t>colaboración</w:t>
      </w:r>
      <w:r w:rsidRPr="001804B0">
        <w:rPr>
          <w:lang w:val="es-ES_tradnl"/>
        </w:rPr>
        <w:t xml:space="preserve"> con la Unión de Artistas Árabes y la Asociación de Actores Egipcios.  Se</w:t>
      </w:r>
      <w:r w:rsidR="00E715DC" w:rsidRPr="001804B0">
        <w:rPr>
          <w:lang w:val="es-ES_tradnl"/>
        </w:rPr>
        <w:t xml:space="preserve"> se</w:t>
      </w:r>
      <w:r w:rsidRPr="001804B0">
        <w:rPr>
          <w:lang w:val="es-ES_tradnl"/>
        </w:rPr>
        <w:t xml:space="preserve">leccionó a Nabila Hassan Salem y otros escritores de renombre </w:t>
      </w:r>
      <w:r w:rsidR="00E715DC" w:rsidRPr="001804B0">
        <w:rPr>
          <w:lang w:val="es-ES_tradnl"/>
        </w:rPr>
        <w:t>para</w:t>
      </w:r>
      <w:r w:rsidRPr="001804B0">
        <w:rPr>
          <w:lang w:val="es-ES_tradnl"/>
        </w:rPr>
        <w:t xml:space="preserve"> escribir el guión y se eligió al famoso actor egipcio Hani Ramzi </w:t>
      </w:r>
      <w:r w:rsidR="00E715DC" w:rsidRPr="001804B0">
        <w:rPr>
          <w:lang w:val="es-ES_tradnl"/>
        </w:rPr>
        <w:t xml:space="preserve">para </w:t>
      </w:r>
      <w:r w:rsidRPr="001804B0">
        <w:rPr>
          <w:lang w:val="es-ES_tradnl"/>
        </w:rPr>
        <w:t xml:space="preserve">ser el protagonista.  Cada segmento del </w:t>
      </w:r>
      <w:r w:rsidRPr="001804B0">
        <w:rPr>
          <w:snapToGrid w:val="0"/>
          <w:lang w:val="es-ES_tradnl"/>
        </w:rPr>
        <w:t>proyecto ha costado 3.000 dólares EE.UU.</w:t>
      </w:r>
      <w:r w:rsidR="00175C32" w:rsidRPr="001804B0">
        <w:rPr>
          <w:snapToGrid w:val="0"/>
          <w:lang w:val="es-ES_tradnl"/>
        </w:rPr>
        <w:t xml:space="preserve"> y el costo total del proyecto asciende, por consiguiente, a 12.000 dólares EE.UU., lo que incluye el salario del actor Hani Ramzi, que ha participado en el proyecto al </w:t>
      </w:r>
      <w:r w:rsidR="00E715DC" w:rsidRPr="001804B0">
        <w:rPr>
          <w:snapToGrid w:val="0"/>
          <w:lang w:val="es-ES_tradnl"/>
        </w:rPr>
        <w:t>creer</w:t>
      </w:r>
      <w:r w:rsidR="00175C32" w:rsidRPr="001804B0">
        <w:rPr>
          <w:snapToGrid w:val="0"/>
          <w:lang w:val="es-ES_tradnl"/>
        </w:rPr>
        <w:t xml:space="preserve"> firmemente en la importancia</w:t>
      </w:r>
      <w:r w:rsidRPr="001804B0">
        <w:rPr>
          <w:snapToGrid w:val="0"/>
          <w:lang w:val="es-ES_tradnl"/>
        </w:rPr>
        <w:t xml:space="preserve"> de </w:t>
      </w:r>
      <w:r w:rsidR="00175C32" w:rsidRPr="001804B0">
        <w:rPr>
          <w:snapToGrid w:val="0"/>
          <w:lang w:val="es-ES_tradnl"/>
        </w:rPr>
        <w:t>fomentar una toma de conciencia en ese ámbito y en la lucha contra las infracciones de los derechos de P.I.</w:t>
      </w:r>
    </w:p>
    <w:p w:rsidR="00F72ECE" w:rsidRPr="001804B0" w:rsidRDefault="00F72ECE" w:rsidP="001804B0">
      <w:pPr>
        <w:rPr>
          <w:lang w:val="es-ES_tradnl"/>
        </w:rPr>
      </w:pPr>
    </w:p>
    <w:p w:rsidR="001804B0" w:rsidRPr="001804B0" w:rsidRDefault="001804B0" w:rsidP="001804B0">
      <w:pPr>
        <w:rPr>
          <w:lang w:val="es-ES_tradnl"/>
        </w:rPr>
      </w:pPr>
    </w:p>
    <w:p w:rsidR="00A4514B" w:rsidRPr="001804B0" w:rsidRDefault="00A4514B" w:rsidP="001804B0">
      <w:pPr>
        <w:rPr>
          <w:lang w:val="es-ES_tradnl"/>
        </w:rPr>
      </w:pPr>
      <w:r w:rsidRPr="001804B0">
        <w:rPr>
          <w:lang w:val="es-ES_tradnl"/>
        </w:rPr>
        <w:t xml:space="preserve">PARA CONCLUIR, CABE RESUMIR LOS ESFUERZOS REALIZADOS POR LOS ESTADOS MIEMBROS DE LA </w:t>
      </w:r>
      <w:r w:rsidR="00A125FE" w:rsidRPr="001804B0">
        <w:rPr>
          <w:lang w:val="es-ES_tradnl"/>
        </w:rPr>
        <w:t>LAS</w:t>
      </w:r>
      <w:r w:rsidRPr="001804B0">
        <w:rPr>
          <w:lang w:val="es-ES_tradnl"/>
        </w:rPr>
        <w:t xml:space="preserve"> DE LA MANERA SIGUIENTE:</w:t>
      </w:r>
    </w:p>
    <w:p w:rsidR="00A4514B" w:rsidRPr="001804B0" w:rsidRDefault="00A4514B" w:rsidP="001804B0">
      <w:pPr>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lang w:val="es-ES_tradnl"/>
        </w:rPr>
        <w:t>Adopción de un marco jurídico o legislativo</w:t>
      </w:r>
      <w:r w:rsidRPr="001804B0">
        <w:rPr>
          <w:color w:val="000000"/>
          <w:lang w:val="es-ES_tradnl"/>
        </w:rPr>
        <w:t>.</w:t>
      </w:r>
    </w:p>
    <w:p w:rsidR="00E715DC" w:rsidRPr="001804B0" w:rsidRDefault="00E715DC" w:rsidP="001804B0">
      <w:pPr>
        <w:pStyle w:val="ListParagraph"/>
        <w:tabs>
          <w:tab w:val="left" w:pos="1134"/>
        </w:tabs>
        <w:ind w:left="0"/>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color w:val="000000"/>
          <w:lang w:val="es-ES_tradnl"/>
        </w:rPr>
        <w:t xml:space="preserve">Adhesión a acuerdos internacionales y colaboración con </w:t>
      </w:r>
      <w:r w:rsidRPr="001804B0">
        <w:rPr>
          <w:snapToGrid w:val="0"/>
          <w:color w:val="000000"/>
          <w:lang w:val="es-ES_tradnl"/>
        </w:rPr>
        <w:t>organismos y órganos internacionales pertinentes.</w:t>
      </w:r>
    </w:p>
    <w:p w:rsidR="00E715DC" w:rsidRPr="001804B0" w:rsidRDefault="00E715DC" w:rsidP="001804B0">
      <w:pPr>
        <w:tabs>
          <w:tab w:val="left" w:pos="1134"/>
        </w:tabs>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snapToGrid w:val="0"/>
          <w:color w:val="000000"/>
          <w:lang w:val="es-ES_tradnl"/>
        </w:rPr>
        <w:t>Establecimiento de una base de datos uniforme de todas las partes interesadas por la lucha contra la piratería, la falsificación y el fraude comercial.</w:t>
      </w:r>
    </w:p>
    <w:p w:rsidR="00E715DC" w:rsidRPr="001804B0" w:rsidRDefault="00E715DC" w:rsidP="001804B0">
      <w:pPr>
        <w:tabs>
          <w:tab w:val="left" w:pos="1134"/>
        </w:tabs>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snapToGrid w:val="0"/>
          <w:color w:val="000000"/>
          <w:lang w:val="es-ES_tradnl"/>
        </w:rPr>
        <w:t xml:space="preserve">Suministro de los recursos humanos y materiales necesarios para fortalecer la función de </w:t>
      </w:r>
      <w:r w:rsidR="00E715DC" w:rsidRPr="001804B0">
        <w:rPr>
          <w:snapToGrid w:val="0"/>
          <w:color w:val="000000"/>
          <w:lang w:val="es-ES_tradnl"/>
        </w:rPr>
        <w:t xml:space="preserve">supervisión </w:t>
      </w:r>
      <w:r w:rsidRPr="001804B0">
        <w:rPr>
          <w:snapToGrid w:val="0"/>
          <w:color w:val="000000"/>
          <w:lang w:val="es-ES_tradnl"/>
        </w:rPr>
        <w:t>en la lucha contra las falsificaciones y el fraude comercial.</w:t>
      </w:r>
    </w:p>
    <w:p w:rsidR="00E715DC" w:rsidRPr="001804B0" w:rsidRDefault="00E715DC" w:rsidP="001804B0">
      <w:pPr>
        <w:tabs>
          <w:tab w:val="left" w:pos="1134"/>
        </w:tabs>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snapToGrid w:val="0"/>
          <w:color w:val="000000"/>
          <w:lang w:val="es-ES_tradnl"/>
        </w:rPr>
        <w:t xml:space="preserve">Organización de programas de formación avanzada para </w:t>
      </w:r>
      <w:r w:rsidR="000E4C74" w:rsidRPr="001804B0">
        <w:rPr>
          <w:snapToGrid w:val="0"/>
          <w:color w:val="000000"/>
          <w:lang w:val="es-ES_tradnl"/>
        </w:rPr>
        <w:t>encargados</w:t>
      </w:r>
      <w:r w:rsidRPr="001804B0">
        <w:rPr>
          <w:snapToGrid w:val="0"/>
          <w:color w:val="000000"/>
          <w:lang w:val="es-ES_tradnl"/>
        </w:rPr>
        <w:t xml:space="preserve"> de la embargación de productos falsificados.</w:t>
      </w:r>
    </w:p>
    <w:p w:rsidR="00E715DC" w:rsidRPr="001804B0" w:rsidRDefault="00E715DC" w:rsidP="001804B0">
      <w:pPr>
        <w:tabs>
          <w:tab w:val="left" w:pos="1134"/>
        </w:tabs>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snapToGrid w:val="0"/>
          <w:color w:val="000000"/>
          <w:lang w:val="es-ES_tradnl"/>
        </w:rPr>
        <w:t>Organización de programas culturales y campañas en los medios de información para fomentar una toma de conciencia sobre la importancia de la lucha contra la piratería y el fraude comercial.</w:t>
      </w:r>
    </w:p>
    <w:p w:rsidR="00E715DC" w:rsidRPr="001804B0" w:rsidRDefault="00E715DC" w:rsidP="001804B0">
      <w:pPr>
        <w:tabs>
          <w:tab w:val="left" w:pos="1134"/>
        </w:tabs>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snapToGrid w:val="0"/>
          <w:color w:val="000000"/>
          <w:lang w:val="es-ES_tradnl"/>
        </w:rPr>
        <w:t>Cooperación y coordinación entre administraciones interesadas dentro del mismo país, como la Dirección General de Aduanas, el Departamento de Propiedad Industrial, y el Departamento de Protección del Consumidor.</w:t>
      </w:r>
    </w:p>
    <w:p w:rsidR="00E715DC" w:rsidRPr="001804B0" w:rsidRDefault="00E715DC" w:rsidP="001804B0">
      <w:pPr>
        <w:tabs>
          <w:tab w:val="left" w:pos="1134"/>
        </w:tabs>
        <w:rPr>
          <w:lang w:val="es-ES_tradnl"/>
        </w:rPr>
      </w:pPr>
    </w:p>
    <w:p w:rsidR="00A4514B" w:rsidRPr="001804B0" w:rsidRDefault="00A4514B" w:rsidP="001804B0">
      <w:pPr>
        <w:pStyle w:val="ListParagraph"/>
        <w:numPr>
          <w:ilvl w:val="0"/>
          <w:numId w:val="10"/>
        </w:numPr>
        <w:tabs>
          <w:tab w:val="left" w:pos="1134"/>
        </w:tabs>
        <w:ind w:left="567" w:firstLine="0"/>
        <w:rPr>
          <w:lang w:val="es-ES_tradnl"/>
        </w:rPr>
      </w:pPr>
      <w:r w:rsidRPr="001804B0">
        <w:rPr>
          <w:snapToGrid w:val="0"/>
          <w:color w:val="000000"/>
          <w:lang w:val="es-ES_tradnl"/>
        </w:rPr>
        <w:t>Plena coordinación y cooperación con el sector privado y las instituciones de la sociedad civil.</w:t>
      </w:r>
    </w:p>
    <w:p w:rsidR="00A4514B" w:rsidRPr="001804B0" w:rsidRDefault="00A4514B" w:rsidP="001804B0">
      <w:pPr>
        <w:tabs>
          <w:tab w:val="left" w:pos="1134"/>
        </w:tabs>
        <w:rPr>
          <w:snapToGrid w:val="0"/>
          <w:color w:val="000000"/>
          <w:lang w:val="es-ES_tradnl"/>
        </w:rPr>
      </w:pPr>
    </w:p>
    <w:p w:rsidR="00E715DC" w:rsidRPr="001804B0" w:rsidRDefault="00E715DC" w:rsidP="001804B0">
      <w:pPr>
        <w:tabs>
          <w:tab w:val="left" w:pos="1134"/>
        </w:tabs>
        <w:rPr>
          <w:snapToGrid w:val="0"/>
          <w:color w:val="000000"/>
          <w:lang w:val="es-ES_tradnl"/>
        </w:rPr>
      </w:pPr>
    </w:p>
    <w:p w:rsidR="00E715DC" w:rsidRPr="001804B0" w:rsidRDefault="00E715DC" w:rsidP="001804B0">
      <w:pPr>
        <w:tabs>
          <w:tab w:val="left" w:pos="1134"/>
        </w:tabs>
        <w:rPr>
          <w:snapToGrid w:val="0"/>
          <w:color w:val="000000"/>
          <w:lang w:val="es-ES_tradnl"/>
        </w:rPr>
      </w:pPr>
    </w:p>
    <w:p w:rsidR="00A4514B" w:rsidRPr="001804B0" w:rsidRDefault="00A4514B" w:rsidP="001804B0">
      <w:pPr>
        <w:pStyle w:val="Endofdocument-Annex"/>
        <w:rPr>
          <w:lang w:val="es-ES_tradnl"/>
        </w:rPr>
      </w:pPr>
      <w:r w:rsidRPr="001804B0">
        <w:rPr>
          <w:lang w:val="es-ES_tradnl"/>
        </w:rPr>
        <w:t>[Fin del documento]</w:t>
      </w:r>
    </w:p>
    <w:p w:rsidR="00A4514B" w:rsidRPr="001804B0" w:rsidRDefault="00A4514B" w:rsidP="001804B0">
      <w:pPr>
        <w:rPr>
          <w:lang w:val="es-ES_tradnl"/>
        </w:rPr>
      </w:pPr>
    </w:p>
    <w:p w:rsidR="00A4514B" w:rsidRPr="001804B0" w:rsidRDefault="00A4514B" w:rsidP="001804B0">
      <w:pPr>
        <w:rPr>
          <w:lang w:val="es-ES_tradnl"/>
        </w:rPr>
      </w:pPr>
    </w:p>
    <w:sectPr w:rsidR="00A4514B" w:rsidRPr="001804B0" w:rsidSect="00712E9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5E" w:rsidRDefault="00F92B5E">
      <w:r>
        <w:separator/>
      </w:r>
    </w:p>
  </w:endnote>
  <w:endnote w:type="continuationSeparator" w:id="0">
    <w:p w:rsidR="00F92B5E" w:rsidRDefault="00F92B5E" w:rsidP="003B38C1">
      <w:r>
        <w:separator/>
      </w:r>
    </w:p>
    <w:p w:rsidR="00F92B5E" w:rsidRPr="003B38C1" w:rsidRDefault="00F92B5E" w:rsidP="003B38C1">
      <w:pPr>
        <w:spacing w:after="60"/>
        <w:rPr>
          <w:sz w:val="17"/>
        </w:rPr>
      </w:pPr>
      <w:r>
        <w:rPr>
          <w:sz w:val="17"/>
        </w:rPr>
        <w:t>[Endnote continued from previous page]</w:t>
      </w:r>
    </w:p>
  </w:endnote>
  <w:endnote w:type="continuationNotice" w:id="1">
    <w:p w:rsidR="00F92B5E" w:rsidRPr="003B38C1" w:rsidRDefault="00F92B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5E" w:rsidRDefault="00F92B5E">
      <w:r>
        <w:separator/>
      </w:r>
    </w:p>
  </w:footnote>
  <w:footnote w:type="continuationSeparator" w:id="0">
    <w:p w:rsidR="00F92B5E" w:rsidRDefault="00F92B5E" w:rsidP="008B60B2">
      <w:r>
        <w:separator/>
      </w:r>
    </w:p>
    <w:p w:rsidR="00F92B5E" w:rsidRPr="00ED77FB" w:rsidRDefault="00F92B5E" w:rsidP="008B60B2">
      <w:pPr>
        <w:spacing w:after="60"/>
        <w:rPr>
          <w:sz w:val="17"/>
          <w:szCs w:val="17"/>
        </w:rPr>
      </w:pPr>
      <w:r w:rsidRPr="00ED77FB">
        <w:rPr>
          <w:sz w:val="17"/>
          <w:szCs w:val="17"/>
        </w:rPr>
        <w:t>[Footnote continued from previous page]</w:t>
      </w:r>
    </w:p>
  </w:footnote>
  <w:footnote w:type="continuationNotice" w:id="1">
    <w:p w:rsidR="00F92B5E" w:rsidRPr="00ED77FB" w:rsidRDefault="00F92B5E" w:rsidP="008B60B2">
      <w:pPr>
        <w:spacing w:before="60"/>
        <w:jc w:val="right"/>
        <w:rPr>
          <w:sz w:val="17"/>
          <w:szCs w:val="17"/>
        </w:rPr>
      </w:pPr>
      <w:r w:rsidRPr="00ED77FB">
        <w:rPr>
          <w:sz w:val="17"/>
          <w:szCs w:val="17"/>
        </w:rPr>
        <w:t>[Footnote continued on next page]</w:t>
      </w:r>
    </w:p>
  </w:footnote>
  <w:footnote w:id="2">
    <w:p w:rsidR="00B45AF8" w:rsidRPr="00B45AF8" w:rsidRDefault="00B45AF8" w:rsidP="00E715DC">
      <w:pPr>
        <w:pStyle w:val="FootnoteText"/>
        <w:rPr>
          <w:lang w:val="es-ES"/>
        </w:rPr>
      </w:pPr>
      <w:r w:rsidRPr="00B45AF8">
        <w:rPr>
          <w:rStyle w:val="FootnoteReference"/>
        </w:rPr>
        <w:sym w:font="Symbol" w:char="F02A"/>
      </w:r>
      <w:r w:rsidRPr="00217D88">
        <w:rPr>
          <w:lang w:val="es-ES"/>
        </w:rPr>
        <w:t xml:space="preserve"> </w:t>
      </w:r>
      <w:r>
        <w:rPr>
          <w:lang w:val="es-ES"/>
        </w:rPr>
        <w:tab/>
        <w:t xml:space="preserve">Las opiniones expresadas en el presente documento </w:t>
      </w:r>
      <w:r w:rsidR="00217D88">
        <w:rPr>
          <w:lang w:val="es-ES"/>
        </w:rPr>
        <w:t>son las de</w:t>
      </w:r>
      <w:r w:rsidR="00A125FE">
        <w:rPr>
          <w:lang w:val="es-ES"/>
        </w:rPr>
        <w:t xml:space="preserve"> </w:t>
      </w:r>
      <w:r w:rsidR="00217D88">
        <w:rPr>
          <w:lang w:val="es-ES"/>
        </w:rPr>
        <w:t>l</w:t>
      </w:r>
      <w:r w:rsidR="00A125FE">
        <w:rPr>
          <w:lang w:val="es-ES"/>
        </w:rPr>
        <w:t>a</w:t>
      </w:r>
      <w:r w:rsidR="00217D88">
        <w:rPr>
          <w:lang w:val="es-ES"/>
        </w:rPr>
        <w:t xml:space="preserve"> autor</w:t>
      </w:r>
      <w:r w:rsidR="00A125FE">
        <w:rPr>
          <w:lang w:val="es-ES"/>
        </w:rPr>
        <w:t>a</w:t>
      </w:r>
      <w:r w:rsidR="00217D88">
        <w:rPr>
          <w:lang w:val="es-ES"/>
        </w:rPr>
        <w:t xml:space="preserve"> y no reflejan necesariamente el punto de vista de la Secretaría de la OMPI ni de sus Estados miembros.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CC" w:rsidRPr="00D6456D" w:rsidRDefault="00D42ECC" w:rsidP="00477D6B">
    <w:pPr>
      <w:jc w:val="right"/>
      <w:rPr>
        <w:lang w:val="es-ES_tradnl"/>
      </w:rPr>
    </w:pPr>
    <w:bookmarkStart w:id="6" w:name="Code2"/>
    <w:bookmarkEnd w:id="6"/>
    <w:r w:rsidRPr="00D6456D">
      <w:rPr>
        <w:lang w:val="es-ES_tradnl"/>
      </w:rPr>
      <w:t>WIPO/ACE/9/</w:t>
    </w:r>
    <w:r w:rsidR="007D04AB">
      <w:rPr>
        <w:lang w:val="es-ES_tradnl"/>
      </w:rPr>
      <w:t>16</w:t>
    </w:r>
  </w:p>
  <w:p w:rsidR="00D42ECC" w:rsidRPr="00D6456D" w:rsidRDefault="00D42ECC" w:rsidP="00477D6B">
    <w:pPr>
      <w:jc w:val="right"/>
      <w:rPr>
        <w:lang w:val="es-ES_tradnl"/>
      </w:rPr>
    </w:pPr>
    <w:r w:rsidRPr="00D6456D">
      <w:rPr>
        <w:lang w:val="es-ES_tradnl"/>
      </w:rPr>
      <w:t xml:space="preserve">página </w:t>
    </w:r>
    <w:r w:rsidRPr="00D6456D">
      <w:rPr>
        <w:lang w:val="es-ES_tradnl"/>
      </w:rPr>
      <w:fldChar w:fldCharType="begin"/>
    </w:r>
    <w:r w:rsidRPr="00D6456D">
      <w:rPr>
        <w:lang w:val="es-ES_tradnl"/>
      </w:rPr>
      <w:instrText xml:space="preserve"> PAGE  \* MERGEFORMAT </w:instrText>
    </w:r>
    <w:r w:rsidRPr="00D6456D">
      <w:rPr>
        <w:lang w:val="es-ES_tradnl"/>
      </w:rPr>
      <w:fldChar w:fldCharType="separate"/>
    </w:r>
    <w:r w:rsidR="00625E01">
      <w:rPr>
        <w:noProof/>
        <w:lang w:val="es-ES_tradnl"/>
      </w:rPr>
      <w:t>3</w:t>
    </w:r>
    <w:r w:rsidRPr="00D6456D">
      <w:rPr>
        <w:lang w:val="es-ES_tradnl"/>
      </w:rPr>
      <w:fldChar w:fldCharType="end"/>
    </w:r>
  </w:p>
  <w:p w:rsidR="00D42ECC" w:rsidRPr="00D6456D" w:rsidRDefault="00D42ECC" w:rsidP="00477D6B">
    <w:pP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6136BA8A"/>
    <w:lvl w:ilvl="0">
      <w:start w:val="1"/>
      <w:numFmt w:val="upperRoman"/>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I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2810597"/>
    <w:multiLevelType w:val="hybridMultilevel"/>
    <w:tmpl w:val="463004B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19C14565"/>
    <w:multiLevelType w:val="multilevel"/>
    <w:tmpl w:val="75D4B29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FB19A2"/>
    <w:multiLevelType w:val="multilevel"/>
    <w:tmpl w:val="495EEFEE"/>
    <w:lvl w:ilvl="0">
      <w:start w:val="1"/>
      <w:numFmt w:val="decimal"/>
      <w:lvlRestart w:val="0"/>
      <w:pStyle w:val="ONUMFS"/>
      <w:lvlText w:val="%1."/>
      <w:lvlJc w:val="left"/>
      <w:pPr>
        <w:tabs>
          <w:tab w:val="num" w:pos="851"/>
        </w:tabs>
        <w:ind w:left="28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A0565BB"/>
    <w:multiLevelType w:val="hybridMultilevel"/>
    <w:tmpl w:val="AF46A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D57C12"/>
    <w:multiLevelType w:val="multilevel"/>
    <w:tmpl w:val="AF40CB36"/>
    <w:lvl w:ilvl="0">
      <w:start w:val="1"/>
      <w:numFmt w:val="upperLetter"/>
      <w:lvlText w:val="%1."/>
      <w:lvlJc w:val="left"/>
      <w:pPr>
        <w:ind w:left="72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9323FB7"/>
    <w:multiLevelType w:val="hybridMultilevel"/>
    <w:tmpl w:val="3092C00E"/>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161CB"/>
    <w:multiLevelType w:val="hybridMultilevel"/>
    <w:tmpl w:val="FD0A1368"/>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F7F1008"/>
    <w:multiLevelType w:val="hybridMultilevel"/>
    <w:tmpl w:val="711A67E6"/>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8"/>
  </w:num>
  <w:num w:numId="8">
    <w:abstractNumId w:val="1"/>
  </w:num>
  <w:num w:numId="9">
    <w:abstractNumId w:val="7"/>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092DD6-9CE4-47F2-B5F8-95D180ABEAC1}"/>
    <w:docVar w:name="dgnword-eventsink" w:val="467821264"/>
  </w:docVars>
  <w:rsids>
    <w:rsidRoot w:val="00712E9B"/>
    <w:rsid w:val="00000AF2"/>
    <w:rsid w:val="0000625B"/>
    <w:rsid w:val="000111A4"/>
    <w:rsid w:val="00015876"/>
    <w:rsid w:val="0002512E"/>
    <w:rsid w:val="0004194F"/>
    <w:rsid w:val="00043CAA"/>
    <w:rsid w:val="00046F4E"/>
    <w:rsid w:val="00056A69"/>
    <w:rsid w:val="00061D47"/>
    <w:rsid w:val="00062A5B"/>
    <w:rsid w:val="00063C3A"/>
    <w:rsid w:val="00067899"/>
    <w:rsid w:val="0007411D"/>
    <w:rsid w:val="00075432"/>
    <w:rsid w:val="00077C17"/>
    <w:rsid w:val="000825CB"/>
    <w:rsid w:val="000968ED"/>
    <w:rsid w:val="000A2CDC"/>
    <w:rsid w:val="000A6BD0"/>
    <w:rsid w:val="000A6C79"/>
    <w:rsid w:val="000B4D01"/>
    <w:rsid w:val="000D587D"/>
    <w:rsid w:val="000D71F0"/>
    <w:rsid w:val="000E1813"/>
    <w:rsid w:val="000E4348"/>
    <w:rsid w:val="000E4C74"/>
    <w:rsid w:val="000F25F9"/>
    <w:rsid w:val="000F414F"/>
    <w:rsid w:val="000F5E56"/>
    <w:rsid w:val="001362EE"/>
    <w:rsid w:val="00140529"/>
    <w:rsid w:val="001416DF"/>
    <w:rsid w:val="00165178"/>
    <w:rsid w:val="00167876"/>
    <w:rsid w:val="00175C32"/>
    <w:rsid w:val="0017641F"/>
    <w:rsid w:val="001804B0"/>
    <w:rsid w:val="001832A6"/>
    <w:rsid w:val="001A744C"/>
    <w:rsid w:val="001B3DD0"/>
    <w:rsid w:val="001D3A1A"/>
    <w:rsid w:val="001D4740"/>
    <w:rsid w:val="001E2259"/>
    <w:rsid w:val="001F4321"/>
    <w:rsid w:val="00216051"/>
    <w:rsid w:val="0021789D"/>
    <w:rsid w:val="00217D88"/>
    <w:rsid w:val="00220326"/>
    <w:rsid w:val="00224139"/>
    <w:rsid w:val="002265DB"/>
    <w:rsid w:val="00231708"/>
    <w:rsid w:val="00246524"/>
    <w:rsid w:val="00253E38"/>
    <w:rsid w:val="00254C95"/>
    <w:rsid w:val="00255629"/>
    <w:rsid w:val="002634C4"/>
    <w:rsid w:val="00263A78"/>
    <w:rsid w:val="002759D0"/>
    <w:rsid w:val="00282803"/>
    <w:rsid w:val="00285612"/>
    <w:rsid w:val="002867BC"/>
    <w:rsid w:val="00290999"/>
    <w:rsid w:val="0029220B"/>
    <w:rsid w:val="002928D3"/>
    <w:rsid w:val="002A7879"/>
    <w:rsid w:val="002B2697"/>
    <w:rsid w:val="002C1B0D"/>
    <w:rsid w:val="002C2CA0"/>
    <w:rsid w:val="002D4081"/>
    <w:rsid w:val="002F1FE6"/>
    <w:rsid w:val="002F32D0"/>
    <w:rsid w:val="002F4E68"/>
    <w:rsid w:val="00300152"/>
    <w:rsid w:val="00312F7F"/>
    <w:rsid w:val="003254FB"/>
    <w:rsid w:val="00325674"/>
    <w:rsid w:val="00333B57"/>
    <w:rsid w:val="00335123"/>
    <w:rsid w:val="003429B9"/>
    <w:rsid w:val="003510CC"/>
    <w:rsid w:val="003529DC"/>
    <w:rsid w:val="0036054E"/>
    <w:rsid w:val="00361450"/>
    <w:rsid w:val="003673CF"/>
    <w:rsid w:val="003678D7"/>
    <w:rsid w:val="0037361D"/>
    <w:rsid w:val="003845C1"/>
    <w:rsid w:val="0039006E"/>
    <w:rsid w:val="00393CB5"/>
    <w:rsid w:val="003A6F89"/>
    <w:rsid w:val="003B38C1"/>
    <w:rsid w:val="003B5B10"/>
    <w:rsid w:val="003D4B0B"/>
    <w:rsid w:val="003E68D4"/>
    <w:rsid w:val="003F51A9"/>
    <w:rsid w:val="00404F94"/>
    <w:rsid w:val="00405D0B"/>
    <w:rsid w:val="0041754F"/>
    <w:rsid w:val="00423E3E"/>
    <w:rsid w:val="00424F56"/>
    <w:rsid w:val="00427AF4"/>
    <w:rsid w:val="00427EA4"/>
    <w:rsid w:val="00430836"/>
    <w:rsid w:val="00434FD4"/>
    <w:rsid w:val="00440AAF"/>
    <w:rsid w:val="00443BE9"/>
    <w:rsid w:val="004647DA"/>
    <w:rsid w:val="00472184"/>
    <w:rsid w:val="00472355"/>
    <w:rsid w:val="00474062"/>
    <w:rsid w:val="00474654"/>
    <w:rsid w:val="00477D6B"/>
    <w:rsid w:val="00483EA9"/>
    <w:rsid w:val="004A1121"/>
    <w:rsid w:val="004F73A0"/>
    <w:rsid w:val="004F754A"/>
    <w:rsid w:val="005019FF"/>
    <w:rsid w:val="00514628"/>
    <w:rsid w:val="0052608D"/>
    <w:rsid w:val="0053057A"/>
    <w:rsid w:val="00533CC3"/>
    <w:rsid w:val="00544D73"/>
    <w:rsid w:val="00546ACC"/>
    <w:rsid w:val="00560A29"/>
    <w:rsid w:val="00561F46"/>
    <w:rsid w:val="00571AA0"/>
    <w:rsid w:val="00574481"/>
    <w:rsid w:val="005A19D1"/>
    <w:rsid w:val="005A348F"/>
    <w:rsid w:val="005A76E3"/>
    <w:rsid w:val="005B7CE9"/>
    <w:rsid w:val="005C2A08"/>
    <w:rsid w:val="005C6649"/>
    <w:rsid w:val="005D505C"/>
    <w:rsid w:val="005E7B0E"/>
    <w:rsid w:val="005F0890"/>
    <w:rsid w:val="005F48B6"/>
    <w:rsid w:val="00604DF0"/>
    <w:rsid w:val="00605827"/>
    <w:rsid w:val="006170AC"/>
    <w:rsid w:val="006248A1"/>
    <w:rsid w:val="00625E01"/>
    <w:rsid w:val="00633BEB"/>
    <w:rsid w:val="00646050"/>
    <w:rsid w:val="006664A2"/>
    <w:rsid w:val="006664CE"/>
    <w:rsid w:val="006713CA"/>
    <w:rsid w:val="00676C5C"/>
    <w:rsid w:val="00694F79"/>
    <w:rsid w:val="006A3BB8"/>
    <w:rsid w:val="006A4C0E"/>
    <w:rsid w:val="006A5794"/>
    <w:rsid w:val="006C0307"/>
    <w:rsid w:val="006D066C"/>
    <w:rsid w:val="006D1DD9"/>
    <w:rsid w:val="006E7EFF"/>
    <w:rsid w:val="006F627D"/>
    <w:rsid w:val="00700ABB"/>
    <w:rsid w:val="00712E9B"/>
    <w:rsid w:val="0072172B"/>
    <w:rsid w:val="007224B2"/>
    <w:rsid w:val="00724E8D"/>
    <w:rsid w:val="007346D9"/>
    <w:rsid w:val="00735B15"/>
    <w:rsid w:val="007750EC"/>
    <w:rsid w:val="00775572"/>
    <w:rsid w:val="00781260"/>
    <w:rsid w:val="00787F8B"/>
    <w:rsid w:val="007B268D"/>
    <w:rsid w:val="007B2A49"/>
    <w:rsid w:val="007B595E"/>
    <w:rsid w:val="007D04AB"/>
    <w:rsid w:val="007D1613"/>
    <w:rsid w:val="007D75E1"/>
    <w:rsid w:val="007E35D2"/>
    <w:rsid w:val="007E58B6"/>
    <w:rsid w:val="007F46E4"/>
    <w:rsid w:val="007F6FED"/>
    <w:rsid w:val="00801E1B"/>
    <w:rsid w:val="0081661B"/>
    <w:rsid w:val="00820C69"/>
    <w:rsid w:val="00824641"/>
    <w:rsid w:val="00845BEF"/>
    <w:rsid w:val="0085357C"/>
    <w:rsid w:val="00855963"/>
    <w:rsid w:val="008601F8"/>
    <w:rsid w:val="00861729"/>
    <w:rsid w:val="00873E40"/>
    <w:rsid w:val="008820C9"/>
    <w:rsid w:val="00887080"/>
    <w:rsid w:val="008B2CC1"/>
    <w:rsid w:val="008B451E"/>
    <w:rsid w:val="008B60B2"/>
    <w:rsid w:val="008C069D"/>
    <w:rsid w:val="008C2CB4"/>
    <w:rsid w:val="008D2F79"/>
    <w:rsid w:val="008D415D"/>
    <w:rsid w:val="008D6558"/>
    <w:rsid w:val="008D6E09"/>
    <w:rsid w:val="008E7498"/>
    <w:rsid w:val="008F74A0"/>
    <w:rsid w:val="0090731E"/>
    <w:rsid w:val="00915395"/>
    <w:rsid w:val="00916EE2"/>
    <w:rsid w:val="00921E7E"/>
    <w:rsid w:val="00925DE3"/>
    <w:rsid w:val="009443A7"/>
    <w:rsid w:val="00952BC2"/>
    <w:rsid w:val="00966A22"/>
    <w:rsid w:val="0096722F"/>
    <w:rsid w:val="00973CD3"/>
    <w:rsid w:val="00975BD8"/>
    <w:rsid w:val="00980843"/>
    <w:rsid w:val="00980E04"/>
    <w:rsid w:val="00982653"/>
    <w:rsid w:val="00987063"/>
    <w:rsid w:val="0099733D"/>
    <w:rsid w:val="009A1632"/>
    <w:rsid w:val="009A299B"/>
    <w:rsid w:val="009A2B7C"/>
    <w:rsid w:val="009C169E"/>
    <w:rsid w:val="009D0BA4"/>
    <w:rsid w:val="009D2E95"/>
    <w:rsid w:val="009D6453"/>
    <w:rsid w:val="009D6D51"/>
    <w:rsid w:val="009D7104"/>
    <w:rsid w:val="009E2791"/>
    <w:rsid w:val="009E3F6F"/>
    <w:rsid w:val="009F25C8"/>
    <w:rsid w:val="009F499F"/>
    <w:rsid w:val="009F7FCF"/>
    <w:rsid w:val="00A0166C"/>
    <w:rsid w:val="00A125FE"/>
    <w:rsid w:val="00A140AB"/>
    <w:rsid w:val="00A17591"/>
    <w:rsid w:val="00A17916"/>
    <w:rsid w:val="00A20556"/>
    <w:rsid w:val="00A208DE"/>
    <w:rsid w:val="00A21957"/>
    <w:rsid w:val="00A26D24"/>
    <w:rsid w:val="00A30A08"/>
    <w:rsid w:val="00A33AE4"/>
    <w:rsid w:val="00A33BE6"/>
    <w:rsid w:val="00A42DAF"/>
    <w:rsid w:val="00A4514B"/>
    <w:rsid w:val="00A45BD8"/>
    <w:rsid w:val="00A536F3"/>
    <w:rsid w:val="00A615C2"/>
    <w:rsid w:val="00A64E11"/>
    <w:rsid w:val="00A842A0"/>
    <w:rsid w:val="00A869B7"/>
    <w:rsid w:val="00A95E07"/>
    <w:rsid w:val="00AA2197"/>
    <w:rsid w:val="00AB4C31"/>
    <w:rsid w:val="00AB7D28"/>
    <w:rsid w:val="00AC205C"/>
    <w:rsid w:val="00AC7B9B"/>
    <w:rsid w:val="00AD2C44"/>
    <w:rsid w:val="00AD58B6"/>
    <w:rsid w:val="00AD6851"/>
    <w:rsid w:val="00AE09B6"/>
    <w:rsid w:val="00AE3833"/>
    <w:rsid w:val="00AE6A63"/>
    <w:rsid w:val="00AF0A6B"/>
    <w:rsid w:val="00AF2387"/>
    <w:rsid w:val="00B04EC9"/>
    <w:rsid w:val="00B05A69"/>
    <w:rsid w:val="00B2145E"/>
    <w:rsid w:val="00B22028"/>
    <w:rsid w:val="00B45AF8"/>
    <w:rsid w:val="00B4703B"/>
    <w:rsid w:val="00B541C1"/>
    <w:rsid w:val="00B669F3"/>
    <w:rsid w:val="00B748E8"/>
    <w:rsid w:val="00B820D0"/>
    <w:rsid w:val="00B85BE8"/>
    <w:rsid w:val="00B85E54"/>
    <w:rsid w:val="00B94533"/>
    <w:rsid w:val="00B9734B"/>
    <w:rsid w:val="00BA6C96"/>
    <w:rsid w:val="00BB0B44"/>
    <w:rsid w:val="00BB218F"/>
    <w:rsid w:val="00BC2B6E"/>
    <w:rsid w:val="00BC4AA2"/>
    <w:rsid w:val="00BC5F88"/>
    <w:rsid w:val="00BD1282"/>
    <w:rsid w:val="00BD5EDC"/>
    <w:rsid w:val="00BD6CBA"/>
    <w:rsid w:val="00BF5E70"/>
    <w:rsid w:val="00C03740"/>
    <w:rsid w:val="00C11BFE"/>
    <w:rsid w:val="00C14627"/>
    <w:rsid w:val="00C15CE5"/>
    <w:rsid w:val="00C4079A"/>
    <w:rsid w:val="00C46107"/>
    <w:rsid w:val="00C4773E"/>
    <w:rsid w:val="00C62A34"/>
    <w:rsid w:val="00C63288"/>
    <w:rsid w:val="00C7522A"/>
    <w:rsid w:val="00C761AA"/>
    <w:rsid w:val="00C96D70"/>
    <w:rsid w:val="00CA2D3E"/>
    <w:rsid w:val="00CC1455"/>
    <w:rsid w:val="00CC2ED6"/>
    <w:rsid w:val="00CC608E"/>
    <w:rsid w:val="00CD4A18"/>
    <w:rsid w:val="00CF4F7F"/>
    <w:rsid w:val="00D04CE1"/>
    <w:rsid w:val="00D06A36"/>
    <w:rsid w:val="00D166F0"/>
    <w:rsid w:val="00D24A23"/>
    <w:rsid w:val="00D369B1"/>
    <w:rsid w:val="00D41E0E"/>
    <w:rsid w:val="00D42ECC"/>
    <w:rsid w:val="00D45252"/>
    <w:rsid w:val="00D61F01"/>
    <w:rsid w:val="00D62959"/>
    <w:rsid w:val="00D62A47"/>
    <w:rsid w:val="00D6456D"/>
    <w:rsid w:val="00D71B4D"/>
    <w:rsid w:val="00D76E4F"/>
    <w:rsid w:val="00D93D0E"/>
    <w:rsid w:val="00D93D55"/>
    <w:rsid w:val="00DA0873"/>
    <w:rsid w:val="00DA097F"/>
    <w:rsid w:val="00DA53F4"/>
    <w:rsid w:val="00DB030E"/>
    <w:rsid w:val="00DB16D1"/>
    <w:rsid w:val="00DB4DAB"/>
    <w:rsid w:val="00DB65B4"/>
    <w:rsid w:val="00DD5A26"/>
    <w:rsid w:val="00DE0D91"/>
    <w:rsid w:val="00DF1958"/>
    <w:rsid w:val="00E12A41"/>
    <w:rsid w:val="00E12F22"/>
    <w:rsid w:val="00E15A22"/>
    <w:rsid w:val="00E22E2B"/>
    <w:rsid w:val="00E24BDF"/>
    <w:rsid w:val="00E27B0C"/>
    <w:rsid w:val="00E324A5"/>
    <w:rsid w:val="00E335FE"/>
    <w:rsid w:val="00E336BB"/>
    <w:rsid w:val="00E715DC"/>
    <w:rsid w:val="00E72CB1"/>
    <w:rsid w:val="00E7379A"/>
    <w:rsid w:val="00E77575"/>
    <w:rsid w:val="00E92A73"/>
    <w:rsid w:val="00EA58FC"/>
    <w:rsid w:val="00EC4E49"/>
    <w:rsid w:val="00EC6B5C"/>
    <w:rsid w:val="00ED77FB"/>
    <w:rsid w:val="00EE1F72"/>
    <w:rsid w:val="00EE45FA"/>
    <w:rsid w:val="00F0441A"/>
    <w:rsid w:val="00F06DD9"/>
    <w:rsid w:val="00F15E7C"/>
    <w:rsid w:val="00F3018B"/>
    <w:rsid w:val="00F41D6F"/>
    <w:rsid w:val="00F44F24"/>
    <w:rsid w:val="00F53355"/>
    <w:rsid w:val="00F57D53"/>
    <w:rsid w:val="00F66152"/>
    <w:rsid w:val="00F72ECE"/>
    <w:rsid w:val="00F90355"/>
    <w:rsid w:val="00F92B5E"/>
    <w:rsid w:val="00F95BAB"/>
    <w:rsid w:val="00FA120C"/>
    <w:rsid w:val="00FA31E9"/>
    <w:rsid w:val="00FB6C50"/>
    <w:rsid w:val="00FC0FBE"/>
    <w:rsid w:val="00FC54B6"/>
    <w:rsid w:val="00FD1FC3"/>
    <w:rsid w:val="00FF415D"/>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CC1455"/>
    <w:pPr>
      <w:keepNext/>
      <w:numPr>
        <w:numId w:val="2"/>
      </w:numPr>
      <w:spacing w:before="240" w:after="60"/>
      <w:outlineLvl w:val="0"/>
    </w:pPr>
    <w:rPr>
      <w:b/>
      <w:bCs/>
      <w:caps/>
      <w:kern w:val="32"/>
      <w:szCs w:val="32"/>
      <w:lang w:val="en-IE"/>
    </w:rPr>
  </w:style>
  <w:style w:type="paragraph" w:styleId="Heading2">
    <w:name w:val="heading 2"/>
    <w:basedOn w:val="Normal"/>
    <w:next w:val="Normal"/>
    <w:qFormat/>
    <w:rsid w:val="00676C5C"/>
    <w:pPr>
      <w:keepNext/>
      <w:numPr>
        <w:ilvl w:val="1"/>
        <w:numId w:val="2"/>
      </w:numPr>
      <w:spacing w:before="240" w:after="60"/>
      <w:outlineLvl w:val="1"/>
    </w:pPr>
    <w:rPr>
      <w:bCs/>
      <w:iCs/>
      <w:caps/>
      <w:szCs w:val="28"/>
    </w:rPr>
  </w:style>
  <w:style w:type="paragraph" w:styleId="Heading3">
    <w:name w:val="heading 3"/>
    <w:basedOn w:val="Normal"/>
    <w:next w:val="Normal"/>
    <w:qFormat/>
    <w:rsid w:val="00393CB5"/>
    <w:pPr>
      <w:keepNext/>
      <w:numPr>
        <w:ilvl w:val="2"/>
        <w:numId w:val="2"/>
      </w:numPr>
      <w:spacing w:before="240" w:after="60"/>
      <w:outlineLvl w:val="2"/>
    </w:pPr>
    <w:rPr>
      <w:bCs/>
      <w:szCs w:val="26"/>
      <w:u w:val="single"/>
    </w:rPr>
  </w:style>
  <w:style w:type="paragraph" w:styleId="Heading4">
    <w:name w:val="heading 4"/>
    <w:basedOn w:val="Normal"/>
    <w:next w:val="Normal"/>
    <w:qFormat/>
    <w:rsid w:val="00676C5C"/>
    <w:pPr>
      <w:keepNext/>
      <w:numPr>
        <w:ilvl w:val="3"/>
        <w:numId w:val="2"/>
      </w:numPr>
      <w:spacing w:before="240" w:after="60"/>
      <w:outlineLvl w:val="3"/>
    </w:pPr>
    <w:rPr>
      <w:bCs/>
      <w:i/>
      <w:szCs w:val="28"/>
    </w:rPr>
  </w:style>
  <w:style w:type="paragraph" w:styleId="Heading5">
    <w:name w:val="heading 5"/>
    <w:basedOn w:val="Normal"/>
    <w:next w:val="Normal"/>
    <w:link w:val="Heading5Char"/>
    <w:unhideWhenUsed/>
    <w:qFormat/>
    <w:rsid w:val="006170A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170A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170A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70A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170A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iPriority w:val="99"/>
    <w:unhideWhenUsed/>
    <w:rsid w:val="00255629"/>
    <w:rPr>
      <w:vertAlign w:val="superscript"/>
    </w:rPr>
  </w:style>
  <w:style w:type="character" w:styleId="Hyperlink">
    <w:name w:val="Hyperlink"/>
    <w:basedOn w:val="DefaultParagraphFont"/>
    <w:rsid w:val="00255629"/>
    <w:rPr>
      <w:color w:val="0000FF" w:themeColor="hyperlink"/>
      <w:u w:val="single"/>
    </w:rPr>
  </w:style>
  <w:style w:type="character" w:customStyle="1" w:styleId="Heading5Char">
    <w:name w:val="Heading 5 Char"/>
    <w:basedOn w:val="DefaultParagraphFont"/>
    <w:link w:val="Heading5"/>
    <w:rsid w:val="006170AC"/>
    <w:rPr>
      <w:rFonts w:asciiTheme="majorHAnsi" w:eastAsiaTheme="majorEastAsia" w:hAnsiTheme="majorHAnsi" w:cstheme="majorBidi"/>
      <w:color w:val="243F60" w:themeColor="accent1" w:themeShade="7F"/>
      <w:sz w:val="22"/>
      <w:lang w:eastAsia="zh-CN"/>
    </w:rPr>
  </w:style>
  <w:style w:type="character" w:customStyle="1" w:styleId="Heading6Char">
    <w:name w:val="Heading 6 Char"/>
    <w:basedOn w:val="DefaultParagraphFont"/>
    <w:link w:val="Heading6"/>
    <w:rsid w:val="006170A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rsid w:val="006170AC"/>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6170AC"/>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6170AC"/>
    <w:rPr>
      <w:rFonts w:asciiTheme="majorHAnsi" w:eastAsiaTheme="majorEastAsia" w:hAnsiTheme="majorHAnsi" w:cstheme="majorBidi"/>
      <w:i/>
      <w:iCs/>
      <w:color w:val="404040" w:themeColor="text1" w:themeTint="BF"/>
      <w:lang w:eastAsia="zh-CN"/>
    </w:rPr>
  </w:style>
  <w:style w:type="paragraph" w:styleId="ListParagraph">
    <w:name w:val="List Paragraph"/>
    <w:basedOn w:val="Normal"/>
    <w:uiPriority w:val="34"/>
    <w:qFormat/>
    <w:rsid w:val="00B22028"/>
    <w:pPr>
      <w:ind w:left="720"/>
      <w:contextualSpacing/>
    </w:pPr>
  </w:style>
  <w:style w:type="character" w:styleId="FollowedHyperlink">
    <w:name w:val="FollowedHyperlink"/>
    <w:basedOn w:val="DefaultParagraphFont"/>
    <w:semiHidden/>
    <w:unhideWhenUsed/>
    <w:rsid w:val="00F0441A"/>
    <w:rPr>
      <w:color w:val="800080" w:themeColor="followedHyperlink"/>
      <w:u w:val="single"/>
    </w:rPr>
  </w:style>
  <w:style w:type="paragraph" w:customStyle="1" w:styleId="Char">
    <w:name w:val="Char 字元 字元"/>
    <w:basedOn w:val="Normal"/>
    <w:rsid w:val="00A536F3"/>
    <w:pPr>
      <w:spacing w:after="160" w:line="240" w:lineRule="exact"/>
    </w:pPr>
    <w:rPr>
      <w:rFonts w:ascii="Verdana" w:eastAsia="PMingLiU" w:hAnsi="Verdana" w:cs="Times New Roman"/>
      <w:sz w:val="20"/>
      <w:lang w:eastAsia="en-US"/>
    </w:rPr>
  </w:style>
  <w:style w:type="paragraph" w:customStyle="1" w:styleId="Char0">
    <w:name w:val="Char 字元 字元"/>
    <w:basedOn w:val="Normal"/>
    <w:rsid w:val="00216051"/>
    <w:pPr>
      <w:spacing w:after="160" w:line="240" w:lineRule="exact"/>
    </w:pPr>
    <w:rPr>
      <w:rFonts w:ascii="Verdana" w:eastAsia="PMingLiU" w:hAnsi="Verdana" w:cs="Times New Roman"/>
      <w:sz w:val="20"/>
      <w:lang w:eastAsia="en-US"/>
    </w:rPr>
  </w:style>
  <w:style w:type="paragraph" w:customStyle="1" w:styleId="Char1">
    <w:name w:val="Char 字元 字元"/>
    <w:basedOn w:val="Normal"/>
    <w:rsid w:val="00A4514B"/>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CC1455"/>
    <w:pPr>
      <w:keepNext/>
      <w:numPr>
        <w:numId w:val="2"/>
      </w:numPr>
      <w:spacing w:before="240" w:after="60"/>
      <w:outlineLvl w:val="0"/>
    </w:pPr>
    <w:rPr>
      <w:b/>
      <w:bCs/>
      <w:caps/>
      <w:kern w:val="32"/>
      <w:szCs w:val="32"/>
      <w:lang w:val="en-IE"/>
    </w:rPr>
  </w:style>
  <w:style w:type="paragraph" w:styleId="Heading2">
    <w:name w:val="heading 2"/>
    <w:basedOn w:val="Normal"/>
    <w:next w:val="Normal"/>
    <w:qFormat/>
    <w:rsid w:val="00676C5C"/>
    <w:pPr>
      <w:keepNext/>
      <w:numPr>
        <w:ilvl w:val="1"/>
        <w:numId w:val="2"/>
      </w:numPr>
      <w:spacing w:before="240" w:after="60"/>
      <w:outlineLvl w:val="1"/>
    </w:pPr>
    <w:rPr>
      <w:bCs/>
      <w:iCs/>
      <w:caps/>
      <w:szCs w:val="28"/>
    </w:rPr>
  </w:style>
  <w:style w:type="paragraph" w:styleId="Heading3">
    <w:name w:val="heading 3"/>
    <w:basedOn w:val="Normal"/>
    <w:next w:val="Normal"/>
    <w:qFormat/>
    <w:rsid w:val="00393CB5"/>
    <w:pPr>
      <w:keepNext/>
      <w:numPr>
        <w:ilvl w:val="2"/>
        <w:numId w:val="2"/>
      </w:numPr>
      <w:spacing w:before="240" w:after="60"/>
      <w:outlineLvl w:val="2"/>
    </w:pPr>
    <w:rPr>
      <w:bCs/>
      <w:szCs w:val="26"/>
      <w:u w:val="single"/>
    </w:rPr>
  </w:style>
  <w:style w:type="paragraph" w:styleId="Heading4">
    <w:name w:val="heading 4"/>
    <w:basedOn w:val="Normal"/>
    <w:next w:val="Normal"/>
    <w:qFormat/>
    <w:rsid w:val="00676C5C"/>
    <w:pPr>
      <w:keepNext/>
      <w:numPr>
        <w:ilvl w:val="3"/>
        <w:numId w:val="2"/>
      </w:numPr>
      <w:spacing w:before="240" w:after="60"/>
      <w:outlineLvl w:val="3"/>
    </w:pPr>
    <w:rPr>
      <w:bCs/>
      <w:i/>
      <w:szCs w:val="28"/>
    </w:rPr>
  </w:style>
  <w:style w:type="paragraph" w:styleId="Heading5">
    <w:name w:val="heading 5"/>
    <w:basedOn w:val="Normal"/>
    <w:next w:val="Normal"/>
    <w:link w:val="Heading5Char"/>
    <w:unhideWhenUsed/>
    <w:qFormat/>
    <w:rsid w:val="006170A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170A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170A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70A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170A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iPriority w:val="99"/>
    <w:unhideWhenUsed/>
    <w:rsid w:val="00255629"/>
    <w:rPr>
      <w:vertAlign w:val="superscript"/>
    </w:rPr>
  </w:style>
  <w:style w:type="character" w:styleId="Hyperlink">
    <w:name w:val="Hyperlink"/>
    <w:basedOn w:val="DefaultParagraphFont"/>
    <w:rsid w:val="00255629"/>
    <w:rPr>
      <w:color w:val="0000FF" w:themeColor="hyperlink"/>
      <w:u w:val="single"/>
    </w:rPr>
  </w:style>
  <w:style w:type="character" w:customStyle="1" w:styleId="Heading5Char">
    <w:name w:val="Heading 5 Char"/>
    <w:basedOn w:val="DefaultParagraphFont"/>
    <w:link w:val="Heading5"/>
    <w:rsid w:val="006170AC"/>
    <w:rPr>
      <w:rFonts w:asciiTheme="majorHAnsi" w:eastAsiaTheme="majorEastAsia" w:hAnsiTheme="majorHAnsi" w:cstheme="majorBidi"/>
      <w:color w:val="243F60" w:themeColor="accent1" w:themeShade="7F"/>
      <w:sz w:val="22"/>
      <w:lang w:eastAsia="zh-CN"/>
    </w:rPr>
  </w:style>
  <w:style w:type="character" w:customStyle="1" w:styleId="Heading6Char">
    <w:name w:val="Heading 6 Char"/>
    <w:basedOn w:val="DefaultParagraphFont"/>
    <w:link w:val="Heading6"/>
    <w:rsid w:val="006170A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rsid w:val="006170AC"/>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6170AC"/>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6170AC"/>
    <w:rPr>
      <w:rFonts w:asciiTheme="majorHAnsi" w:eastAsiaTheme="majorEastAsia" w:hAnsiTheme="majorHAnsi" w:cstheme="majorBidi"/>
      <w:i/>
      <w:iCs/>
      <w:color w:val="404040" w:themeColor="text1" w:themeTint="BF"/>
      <w:lang w:eastAsia="zh-CN"/>
    </w:rPr>
  </w:style>
  <w:style w:type="paragraph" w:styleId="ListParagraph">
    <w:name w:val="List Paragraph"/>
    <w:basedOn w:val="Normal"/>
    <w:uiPriority w:val="34"/>
    <w:qFormat/>
    <w:rsid w:val="00B22028"/>
    <w:pPr>
      <w:ind w:left="720"/>
      <w:contextualSpacing/>
    </w:pPr>
  </w:style>
  <w:style w:type="character" w:styleId="FollowedHyperlink">
    <w:name w:val="FollowedHyperlink"/>
    <w:basedOn w:val="DefaultParagraphFont"/>
    <w:semiHidden/>
    <w:unhideWhenUsed/>
    <w:rsid w:val="00F0441A"/>
    <w:rPr>
      <w:color w:val="800080" w:themeColor="followedHyperlink"/>
      <w:u w:val="single"/>
    </w:rPr>
  </w:style>
  <w:style w:type="paragraph" w:customStyle="1" w:styleId="Char">
    <w:name w:val="Char 字元 字元"/>
    <w:basedOn w:val="Normal"/>
    <w:rsid w:val="00A536F3"/>
    <w:pPr>
      <w:spacing w:after="160" w:line="240" w:lineRule="exact"/>
    </w:pPr>
    <w:rPr>
      <w:rFonts w:ascii="Verdana" w:eastAsia="PMingLiU" w:hAnsi="Verdana" w:cs="Times New Roman"/>
      <w:sz w:val="20"/>
      <w:lang w:eastAsia="en-US"/>
    </w:rPr>
  </w:style>
  <w:style w:type="paragraph" w:customStyle="1" w:styleId="Char0">
    <w:name w:val="Char 字元 字元"/>
    <w:basedOn w:val="Normal"/>
    <w:rsid w:val="00216051"/>
    <w:pPr>
      <w:spacing w:after="160" w:line="240" w:lineRule="exact"/>
    </w:pPr>
    <w:rPr>
      <w:rFonts w:ascii="Verdana" w:eastAsia="PMingLiU" w:hAnsi="Verdana" w:cs="Times New Roman"/>
      <w:sz w:val="20"/>
      <w:lang w:eastAsia="en-US"/>
    </w:rPr>
  </w:style>
  <w:style w:type="paragraph" w:customStyle="1" w:styleId="Char1">
    <w:name w:val="Char 字元 字元"/>
    <w:basedOn w:val="Normal"/>
    <w:rsid w:val="00A4514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F7524-D55C-455A-A01B-A9BECE67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2359</Words>
  <Characters>12360</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WIPO/ACE/9/</vt:lpstr>
    </vt:vector>
  </TitlesOfParts>
  <Company>WIPO</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WIPO/ACE/9/16</dc:subject>
  <dc:creator>CEVALLOS</dc:creator>
  <dc:description>KP/nc
11/02/2014</dc:description>
  <cp:lastModifiedBy>COLIN Isabelle</cp:lastModifiedBy>
  <cp:revision>3</cp:revision>
  <cp:lastPrinted>2014-02-12T14:44:00Z</cp:lastPrinted>
  <dcterms:created xsi:type="dcterms:W3CDTF">2014-02-12T14:44:00Z</dcterms:created>
  <dcterms:modified xsi:type="dcterms:W3CDTF">2014-02-12T14:44:00Z</dcterms:modified>
</cp:coreProperties>
</file>