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20996" w:rsidRPr="00D20996" w:rsidTr="00361450">
        <w:tc>
          <w:tcPr>
            <w:tcW w:w="4513" w:type="dxa"/>
            <w:tcBorders>
              <w:bottom w:val="single" w:sz="4" w:space="0" w:color="auto"/>
            </w:tcBorders>
            <w:tcMar>
              <w:bottom w:w="170" w:type="dxa"/>
            </w:tcMar>
          </w:tcPr>
          <w:p w:rsidR="00EC4E49" w:rsidRPr="00D20996"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D20996" w:rsidRDefault="00540543" w:rsidP="00916EE2">
            <w:pPr>
              <w:rPr>
                <w:lang w:val="es-ES"/>
              </w:rPr>
            </w:pPr>
            <w:r w:rsidRPr="00D20996">
              <w:rPr>
                <w:noProof/>
                <w:lang w:eastAsia="en-US"/>
              </w:rPr>
              <w:drawing>
                <wp:inline distT="0" distB="0" distL="0" distR="0" wp14:anchorId="5E47B11E" wp14:editId="7F62B7F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20996" w:rsidRDefault="00540543" w:rsidP="00540543">
            <w:pPr>
              <w:jc w:val="right"/>
              <w:rPr>
                <w:lang w:val="es-ES"/>
              </w:rPr>
            </w:pPr>
            <w:r w:rsidRPr="00D20996">
              <w:rPr>
                <w:b/>
                <w:sz w:val="40"/>
                <w:szCs w:val="40"/>
                <w:lang w:val="es-ES"/>
              </w:rPr>
              <w:t>S</w:t>
            </w:r>
          </w:p>
        </w:tc>
      </w:tr>
      <w:tr w:rsidR="00D20996" w:rsidRPr="00D2099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D20996" w:rsidRDefault="00A84BDF" w:rsidP="00DD4DBB">
            <w:pPr>
              <w:jc w:val="right"/>
              <w:rPr>
                <w:rFonts w:ascii="Arial Black" w:hAnsi="Arial Black"/>
                <w:caps/>
                <w:sz w:val="15"/>
                <w:lang w:val="es-ES"/>
              </w:rPr>
            </w:pPr>
            <w:r w:rsidRPr="00D20996">
              <w:rPr>
                <w:rFonts w:ascii="Arial Black" w:hAnsi="Arial Black"/>
                <w:caps/>
                <w:sz w:val="15"/>
                <w:lang w:val="es-ES"/>
              </w:rPr>
              <w:t>LI/R</w:t>
            </w:r>
            <w:r w:rsidR="00D80804" w:rsidRPr="00D20996">
              <w:rPr>
                <w:rFonts w:ascii="Arial Black" w:hAnsi="Arial Black"/>
                <w:caps/>
                <w:sz w:val="15"/>
                <w:lang w:val="es-ES"/>
              </w:rPr>
              <w:t>/Pm</w:t>
            </w:r>
            <w:r w:rsidR="00844CB0" w:rsidRPr="00D20996">
              <w:rPr>
                <w:rFonts w:ascii="Arial Black" w:hAnsi="Arial Black"/>
                <w:caps/>
                <w:sz w:val="15"/>
                <w:lang w:val="es-ES"/>
              </w:rPr>
              <w:t>/</w:t>
            </w:r>
            <w:r w:rsidR="0054632F" w:rsidRPr="00D20996">
              <w:rPr>
                <w:rFonts w:ascii="Arial Black" w:hAnsi="Arial Black"/>
                <w:caps/>
                <w:sz w:val="15"/>
                <w:lang w:val="es-ES"/>
              </w:rPr>
              <w:t>6</w:t>
            </w:r>
          </w:p>
        </w:tc>
        <w:bookmarkStart w:id="1" w:name="Code"/>
        <w:bookmarkEnd w:id="1"/>
      </w:tr>
      <w:tr w:rsidR="00D20996" w:rsidRPr="00D20996" w:rsidTr="00916EE2">
        <w:trPr>
          <w:trHeight w:hRule="exact" w:val="170"/>
        </w:trPr>
        <w:tc>
          <w:tcPr>
            <w:tcW w:w="9356" w:type="dxa"/>
            <w:gridSpan w:val="3"/>
            <w:noWrap/>
            <w:tcMar>
              <w:left w:w="0" w:type="dxa"/>
              <w:right w:w="0" w:type="dxa"/>
            </w:tcMar>
            <w:vAlign w:val="bottom"/>
          </w:tcPr>
          <w:p w:rsidR="008B2CC1" w:rsidRPr="00D20996" w:rsidRDefault="008B2CC1" w:rsidP="00540543">
            <w:pPr>
              <w:jc w:val="right"/>
              <w:rPr>
                <w:rFonts w:ascii="Arial Black" w:hAnsi="Arial Black"/>
                <w:caps/>
                <w:sz w:val="15"/>
                <w:lang w:val="es-ES"/>
              </w:rPr>
            </w:pPr>
            <w:r w:rsidRPr="00D20996">
              <w:rPr>
                <w:rFonts w:ascii="Arial Black" w:hAnsi="Arial Black"/>
                <w:caps/>
                <w:sz w:val="15"/>
                <w:lang w:val="es-ES"/>
              </w:rPr>
              <w:t>ORIGINAL:</w:t>
            </w:r>
            <w:r w:rsidR="00A42DAF" w:rsidRPr="00D20996">
              <w:rPr>
                <w:rFonts w:ascii="Arial Black" w:hAnsi="Arial Black"/>
                <w:caps/>
                <w:sz w:val="15"/>
                <w:lang w:val="es-ES"/>
              </w:rPr>
              <w:t xml:space="preserve"> </w:t>
            </w:r>
            <w:r w:rsidRPr="00D20996">
              <w:rPr>
                <w:rFonts w:ascii="Arial Black" w:hAnsi="Arial Black"/>
                <w:caps/>
                <w:sz w:val="15"/>
                <w:lang w:val="es-ES"/>
              </w:rPr>
              <w:t xml:space="preserve"> </w:t>
            </w:r>
            <w:bookmarkStart w:id="2" w:name="Original"/>
            <w:bookmarkEnd w:id="2"/>
            <w:r w:rsidR="00540543" w:rsidRPr="00D20996">
              <w:rPr>
                <w:rFonts w:ascii="Arial Black" w:hAnsi="Arial Black"/>
                <w:caps/>
                <w:sz w:val="15"/>
                <w:lang w:val="es-ES"/>
              </w:rPr>
              <w:t>inglés</w:t>
            </w:r>
          </w:p>
        </w:tc>
      </w:tr>
      <w:tr w:rsidR="00D20996" w:rsidRPr="00D20996" w:rsidTr="00916EE2">
        <w:trPr>
          <w:trHeight w:hRule="exact" w:val="198"/>
        </w:trPr>
        <w:tc>
          <w:tcPr>
            <w:tcW w:w="9356" w:type="dxa"/>
            <w:gridSpan w:val="3"/>
            <w:tcMar>
              <w:left w:w="0" w:type="dxa"/>
              <w:right w:w="0" w:type="dxa"/>
            </w:tcMar>
            <w:vAlign w:val="bottom"/>
          </w:tcPr>
          <w:p w:rsidR="008B2CC1" w:rsidRPr="00D20996" w:rsidRDefault="00540543" w:rsidP="0054632F">
            <w:pPr>
              <w:jc w:val="right"/>
              <w:rPr>
                <w:rFonts w:ascii="Arial Black" w:hAnsi="Arial Black"/>
                <w:caps/>
                <w:sz w:val="15"/>
                <w:lang w:val="es-ES"/>
              </w:rPr>
            </w:pPr>
            <w:bookmarkStart w:id="3" w:name="Date"/>
            <w:bookmarkEnd w:id="3"/>
            <w:r w:rsidRPr="00D20996">
              <w:rPr>
                <w:rFonts w:ascii="Arial Black" w:hAnsi="Arial Black"/>
                <w:caps/>
                <w:sz w:val="15"/>
                <w:lang w:val="es-ES"/>
              </w:rPr>
              <w:t xml:space="preserve">fecha:  </w:t>
            </w:r>
            <w:r w:rsidR="0054632F" w:rsidRPr="00D20996">
              <w:rPr>
                <w:rFonts w:ascii="Arial Black" w:hAnsi="Arial Black"/>
                <w:caps/>
                <w:sz w:val="15"/>
                <w:lang w:val="es-ES"/>
              </w:rPr>
              <w:t>31</w:t>
            </w:r>
            <w:r w:rsidR="006A6AAA" w:rsidRPr="00D20996">
              <w:rPr>
                <w:rFonts w:ascii="Arial Black" w:hAnsi="Arial Black"/>
                <w:caps/>
                <w:sz w:val="15"/>
                <w:lang w:val="es-ES"/>
              </w:rPr>
              <w:t xml:space="preserve"> </w:t>
            </w:r>
            <w:r w:rsidRPr="00D20996">
              <w:rPr>
                <w:rFonts w:ascii="Arial Black" w:hAnsi="Arial Black"/>
                <w:caps/>
                <w:sz w:val="15"/>
                <w:lang w:val="es-ES"/>
              </w:rPr>
              <w:t xml:space="preserve">de </w:t>
            </w:r>
            <w:r w:rsidR="006A6AAA" w:rsidRPr="00D20996">
              <w:rPr>
                <w:rFonts w:ascii="Arial Black" w:hAnsi="Arial Black"/>
                <w:caps/>
                <w:sz w:val="15"/>
                <w:lang w:val="es-ES"/>
              </w:rPr>
              <w:t>OCTUBRE</w:t>
            </w:r>
            <w:r w:rsidRPr="00D20996">
              <w:rPr>
                <w:rFonts w:ascii="Arial Black" w:hAnsi="Arial Black"/>
                <w:caps/>
                <w:sz w:val="15"/>
                <w:lang w:val="es-ES"/>
              </w:rPr>
              <w:t xml:space="preserve"> de</w:t>
            </w:r>
            <w:r w:rsidR="007D5941" w:rsidRPr="00D20996">
              <w:rPr>
                <w:rFonts w:ascii="Arial Black" w:hAnsi="Arial Black"/>
                <w:caps/>
                <w:sz w:val="15"/>
                <w:lang w:val="es-ES"/>
              </w:rPr>
              <w:t xml:space="preserve"> 2014</w:t>
            </w:r>
          </w:p>
        </w:tc>
      </w:tr>
    </w:tbl>
    <w:p w:rsidR="008B2CC1" w:rsidRPr="00D20996" w:rsidRDefault="008B2CC1" w:rsidP="008B2CC1">
      <w:pPr>
        <w:rPr>
          <w:lang w:val="es-ES"/>
        </w:rPr>
      </w:pPr>
    </w:p>
    <w:p w:rsidR="008B2CC1" w:rsidRPr="00D20996" w:rsidRDefault="008B2CC1" w:rsidP="008B2CC1">
      <w:pPr>
        <w:rPr>
          <w:lang w:val="es-ES"/>
        </w:rPr>
      </w:pPr>
    </w:p>
    <w:p w:rsidR="008B2CC1" w:rsidRPr="00D20996" w:rsidRDefault="008B2CC1" w:rsidP="008B2CC1">
      <w:pPr>
        <w:rPr>
          <w:lang w:val="es-ES"/>
        </w:rPr>
      </w:pPr>
    </w:p>
    <w:p w:rsidR="008B2CC1" w:rsidRPr="00D20996" w:rsidRDefault="008B2CC1" w:rsidP="008B2CC1">
      <w:pPr>
        <w:rPr>
          <w:lang w:val="es-ES"/>
        </w:rPr>
      </w:pPr>
    </w:p>
    <w:p w:rsidR="008B2CC1" w:rsidRPr="00D20996" w:rsidRDefault="008B2CC1" w:rsidP="008B2CC1">
      <w:pPr>
        <w:rPr>
          <w:lang w:val="es-ES"/>
        </w:rPr>
      </w:pPr>
    </w:p>
    <w:p w:rsidR="008743A9" w:rsidRPr="00D20996" w:rsidRDefault="00216551" w:rsidP="008743A9">
      <w:pPr>
        <w:rPr>
          <w:b/>
          <w:sz w:val="28"/>
          <w:szCs w:val="28"/>
          <w:lang w:val="es-ES_tradnl"/>
        </w:rPr>
      </w:pPr>
      <w:r w:rsidRPr="00D20996">
        <w:rPr>
          <w:b/>
          <w:sz w:val="28"/>
          <w:szCs w:val="28"/>
          <w:lang w:val="es-ES_tradnl"/>
        </w:rPr>
        <w:t>Comité Preparatorio</w:t>
      </w:r>
      <w:r w:rsidR="008743A9" w:rsidRPr="00D20996">
        <w:rPr>
          <w:b/>
          <w:sz w:val="28"/>
          <w:szCs w:val="28"/>
          <w:lang w:val="es-ES_tradnl"/>
        </w:rPr>
        <w:t xml:space="preserve"> </w:t>
      </w:r>
      <w:r w:rsidRPr="00D20996">
        <w:rPr>
          <w:b/>
          <w:sz w:val="28"/>
          <w:szCs w:val="28"/>
          <w:lang w:val="es-ES_tradnl"/>
        </w:rPr>
        <w:t>de la Conferencia</w:t>
      </w:r>
      <w:r w:rsidR="008743A9" w:rsidRPr="00D20996">
        <w:rPr>
          <w:b/>
          <w:sz w:val="28"/>
          <w:szCs w:val="28"/>
          <w:lang w:val="es-ES_tradnl"/>
        </w:rPr>
        <w:t xml:space="preserve"> </w:t>
      </w:r>
      <w:r w:rsidR="00522859" w:rsidRPr="00D20996">
        <w:rPr>
          <w:b/>
          <w:sz w:val="28"/>
          <w:szCs w:val="28"/>
          <w:lang w:val="es-ES_tradnl"/>
        </w:rPr>
        <w:t>Dipl</w:t>
      </w:r>
      <w:r w:rsidRPr="00D20996">
        <w:rPr>
          <w:b/>
          <w:sz w:val="28"/>
          <w:szCs w:val="28"/>
          <w:lang w:val="es-ES_tradnl"/>
        </w:rPr>
        <w:t>o</w:t>
      </w:r>
      <w:r w:rsidR="00522859" w:rsidRPr="00D20996">
        <w:rPr>
          <w:b/>
          <w:sz w:val="28"/>
          <w:szCs w:val="28"/>
          <w:lang w:val="es-ES_tradnl"/>
        </w:rPr>
        <w:t>m</w:t>
      </w:r>
      <w:r w:rsidRPr="00D20996">
        <w:rPr>
          <w:b/>
          <w:sz w:val="28"/>
          <w:szCs w:val="28"/>
          <w:lang w:val="es-ES_tradnl"/>
        </w:rPr>
        <w:t>á</w:t>
      </w:r>
      <w:r w:rsidR="00522859" w:rsidRPr="00D20996">
        <w:rPr>
          <w:b/>
          <w:sz w:val="28"/>
          <w:szCs w:val="28"/>
          <w:lang w:val="es-ES_tradnl"/>
        </w:rPr>
        <w:t>tic</w:t>
      </w:r>
      <w:r w:rsidRPr="00D20996">
        <w:rPr>
          <w:b/>
          <w:sz w:val="28"/>
          <w:szCs w:val="28"/>
          <w:lang w:val="es-ES_tradnl"/>
        </w:rPr>
        <w:t>a</w:t>
      </w:r>
      <w:r w:rsidR="00522859" w:rsidRPr="00D20996">
        <w:rPr>
          <w:b/>
          <w:sz w:val="28"/>
          <w:szCs w:val="28"/>
          <w:lang w:val="es-ES_tradnl"/>
        </w:rPr>
        <w:t xml:space="preserve"> </w:t>
      </w:r>
      <w:r w:rsidRPr="00D20996">
        <w:rPr>
          <w:b/>
          <w:sz w:val="28"/>
          <w:szCs w:val="28"/>
          <w:lang w:val="es-ES_tradnl"/>
        </w:rPr>
        <w:t>para la adopción de un Arregl</w:t>
      </w:r>
      <w:r w:rsidR="002A051C" w:rsidRPr="00D20996">
        <w:rPr>
          <w:b/>
          <w:sz w:val="28"/>
          <w:szCs w:val="28"/>
          <w:lang w:val="es-ES_tradnl"/>
        </w:rPr>
        <w:t>o de Lisboa revisado sobre las d</w:t>
      </w:r>
      <w:r w:rsidRPr="00D20996">
        <w:rPr>
          <w:b/>
          <w:sz w:val="28"/>
          <w:szCs w:val="28"/>
          <w:lang w:val="es-ES_tradnl"/>
        </w:rPr>
        <w:t xml:space="preserve">enominaciones de </w:t>
      </w:r>
      <w:r w:rsidR="002A051C" w:rsidRPr="00D20996">
        <w:rPr>
          <w:b/>
          <w:sz w:val="28"/>
          <w:szCs w:val="28"/>
          <w:lang w:val="es-ES_tradnl"/>
        </w:rPr>
        <w:t>o</w:t>
      </w:r>
      <w:r w:rsidRPr="00D20996">
        <w:rPr>
          <w:b/>
          <w:sz w:val="28"/>
          <w:szCs w:val="28"/>
          <w:lang w:val="es-ES_tradnl"/>
        </w:rPr>
        <w:t xml:space="preserve">rigen y las </w:t>
      </w:r>
      <w:r w:rsidR="002A051C" w:rsidRPr="00D20996">
        <w:rPr>
          <w:b/>
          <w:sz w:val="28"/>
          <w:szCs w:val="28"/>
          <w:lang w:val="es-ES_tradnl"/>
        </w:rPr>
        <w:t>i</w:t>
      </w:r>
      <w:r w:rsidRPr="00D20996">
        <w:rPr>
          <w:b/>
          <w:sz w:val="28"/>
          <w:szCs w:val="28"/>
          <w:lang w:val="es-ES_tradnl"/>
        </w:rPr>
        <w:t xml:space="preserve">ndicaciones </w:t>
      </w:r>
      <w:r w:rsidR="002A051C" w:rsidRPr="00D20996">
        <w:rPr>
          <w:b/>
          <w:sz w:val="28"/>
          <w:szCs w:val="28"/>
          <w:lang w:val="es-ES_tradnl"/>
        </w:rPr>
        <w:t>g</w:t>
      </w:r>
      <w:r w:rsidRPr="00D20996">
        <w:rPr>
          <w:b/>
          <w:sz w:val="28"/>
          <w:szCs w:val="28"/>
          <w:lang w:val="es-ES_tradnl"/>
        </w:rPr>
        <w:t>eográficas</w:t>
      </w:r>
    </w:p>
    <w:p w:rsidR="008743A9" w:rsidRPr="00D20996" w:rsidRDefault="008743A9" w:rsidP="008743A9">
      <w:pPr>
        <w:rPr>
          <w:b/>
          <w:sz w:val="28"/>
          <w:szCs w:val="28"/>
          <w:lang w:val="es-ES_tradnl"/>
        </w:rPr>
      </w:pPr>
    </w:p>
    <w:p w:rsidR="008743A9" w:rsidRPr="00D20996" w:rsidRDefault="00216551" w:rsidP="008743A9">
      <w:pPr>
        <w:rPr>
          <w:sz w:val="24"/>
          <w:szCs w:val="24"/>
          <w:lang w:val="es-ES"/>
        </w:rPr>
      </w:pPr>
      <w:r w:rsidRPr="00D20996">
        <w:rPr>
          <w:b/>
          <w:sz w:val="24"/>
          <w:szCs w:val="24"/>
          <w:lang w:val="es-ES"/>
        </w:rPr>
        <w:t>Ginebra</w:t>
      </w:r>
      <w:r w:rsidR="00A84BDF" w:rsidRPr="00D20996">
        <w:rPr>
          <w:b/>
          <w:sz w:val="24"/>
          <w:szCs w:val="24"/>
          <w:lang w:val="es-ES"/>
        </w:rPr>
        <w:t xml:space="preserve">, </w:t>
      </w:r>
      <w:r w:rsidR="00806210" w:rsidRPr="00D20996">
        <w:rPr>
          <w:b/>
          <w:sz w:val="24"/>
          <w:szCs w:val="24"/>
          <w:lang w:val="es-ES"/>
        </w:rPr>
        <w:t>30</w:t>
      </w:r>
      <w:r w:rsidR="00321844" w:rsidRPr="00D20996">
        <w:rPr>
          <w:b/>
          <w:sz w:val="24"/>
          <w:szCs w:val="24"/>
          <w:lang w:val="es-ES"/>
        </w:rPr>
        <w:t xml:space="preserve"> </w:t>
      </w:r>
      <w:r w:rsidRPr="00D20996">
        <w:rPr>
          <w:b/>
          <w:sz w:val="24"/>
          <w:szCs w:val="24"/>
          <w:lang w:val="es-ES"/>
        </w:rPr>
        <w:t xml:space="preserve">y </w:t>
      </w:r>
      <w:r w:rsidR="00321844" w:rsidRPr="00D20996">
        <w:rPr>
          <w:b/>
          <w:sz w:val="24"/>
          <w:szCs w:val="24"/>
          <w:lang w:val="es-ES"/>
        </w:rPr>
        <w:t>31</w:t>
      </w:r>
      <w:r w:rsidRPr="00D20996">
        <w:rPr>
          <w:b/>
          <w:sz w:val="24"/>
          <w:szCs w:val="24"/>
          <w:lang w:val="es-ES"/>
        </w:rPr>
        <w:t xml:space="preserve"> de octubre de</w:t>
      </w:r>
      <w:r w:rsidR="008743A9" w:rsidRPr="00D20996">
        <w:rPr>
          <w:b/>
          <w:sz w:val="24"/>
          <w:szCs w:val="24"/>
          <w:lang w:val="es-ES"/>
        </w:rPr>
        <w:t xml:space="preserve"> 2014</w:t>
      </w:r>
    </w:p>
    <w:p w:rsidR="008B2CC1" w:rsidRPr="00D20996" w:rsidRDefault="008B2CC1" w:rsidP="008B2CC1">
      <w:pPr>
        <w:rPr>
          <w:lang w:val="es-ES"/>
        </w:rPr>
      </w:pPr>
    </w:p>
    <w:p w:rsidR="008B2CC1" w:rsidRPr="00D20996" w:rsidRDefault="008B2CC1" w:rsidP="008B2CC1">
      <w:pPr>
        <w:rPr>
          <w:lang w:val="es-ES"/>
        </w:rPr>
      </w:pPr>
    </w:p>
    <w:p w:rsidR="008B2CC1" w:rsidRPr="00D20996" w:rsidRDefault="008B2CC1" w:rsidP="008B2CC1">
      <w:pPr>
        <w:rPr>
          <w:lang w:val="es-ES"/>
        </w:rPr>
      </w:pPr>
    </w:p>
    <w:p w:rsidR="00AC1F7E" w:rsidRPr="00D20996" w:rsidRDefault="00AC1F7E" w:rsidP="008B2CC1">
      <w:pPr>
        <w:rPr>
          <w:lang w:val="es-ES"/>
        </w:rPr>
      </w:pPr>
    </w:p>
    <w:p w:rsidR="006A6AAA" w:rsidRPr="00D20996" w:rsidRDefault="0054632F" w:rsidP="006A6AAA">
      <w:pPr>
        <w:rPr>
          <w:caps/>
          <w:lang w:val="es-ES_tradnl"/>
        </w:rPr>
      </w:pPr>
      <w:r w:rsidRPr="00D20996">
        <w:rPr>
          <w:lang w:val="es-ES_tradnl"/>
        </w:rPr>
        <w:t>INFORME</w:t>
      </w:r>
    </w:p>
    <w:p w:rsidR="006A6AAA" w:rsidRPr="00D20996" w:rsidRDefault="006A6AAA" w:rsidP="006A6AAA">
      <w:pPr>
        <w:rPr>
          <w:lang w:val="es-ES_tradnl"/>
        </w:rPr>
      </w:pPr>
    </w:p>
    <w:p w:rsidR="006A6AAA" w:rsidRPr="00D20996" w:rsidRDefault="002F4F9C" w:rsidP="006A6AAA">
      <w:pPr>
        <w:rPr>
          <w:i/>
          <w:lang w:val="es-ES_tradnl"/>
        </w:rPr>
      </w:pPr>
      <w:bookmarkStart w:id="4" w:name="Prepared"/>
      <w:bookmarkEnd w:id="4"/>
      <w:r>
        <w:rPr>
          <w:i/>
          <w:lang w:val="es-ES_tradnl"/>
        </w:rPr>
        <w:t>aprobado por el Comité Preparatorio</w:t>
      </w:r>
    </w:p>
    <w:p w:rsidR="006A6AAA" w:rsidRPr="00D20996" w:rsidRDefault="006A6AAA" w:rsidP="006A6AAA">
      <w:pPr>
        <w:rPr>
          <w:lang w:val="es-ES_tradnl"/>
        </w:rPr>
      </w:pPr>
    </w:p>
    <w:p w:rsidR="004C632A" w:rsidRPr="00D20996" w:rsidRDefault="004C632A" w:rsidP="006A6AAA">
      <w:pPr>
        <w:rPr>
          <w:lang w:val="es-ES_tradnl"/>
        </w:rPr>
      </w:pPr>
    </w:p>
    <w:p w:rsidR="004C632A" w:rsidRPr="00D20996" w:rsidRDefault="004C632A" w:rsidP="006A6AAA">
      <w:pPr>
        <w:rPr>
          <w:lang w:val="es-ES_tradnl"/>
        </w:rPr>
      </w:pPr>
    </w:p>
    <w:p w:rsidR="00E931A9" w:rsidRPr="00D20996" w:rsidRDefault="00E931A9">
      <w:pPr>
        <w:rPr>
          <w:lang w:val="es-ES_tradnl"/>
        </w:rPr>
      </w:pPr>
      <w:r w:rsidRPr="00D20996">
        <w:rPr>
          <w:lang w:val="es-ES_tradnl"/>
        </w:rPr>
        <w:br w:type="page"/>
      </w:r>
    </w:p>
    <w:p w:rsidR="00F17383" w:rsidRPr="00D20996" w:rsidRDefault="00F17383" w:rsidP="00F17383">
      <w:pPr>
        <w:pStyle w:val="Heading1"/>
        <w:spacing w:before="0" w:after="0"/>
        <w:rPr>
          <w:lang w:val="es-ES"/>
        </w:rPr>
      </w:pPr>
      <w:r w:rsidRPr="00BF4C93">
        <w:rPr>
          <w:lang w:val="es-ES"/>
        </w:rPr>
        <w:lastRenderedPageBreak/>
        <w:t xml:space="preserve">I.  </w:t>
      </w:r>
      <w:r w:rsidRPr="00D20996">
        <w:rPr>
          <w:lang w:val="es-ES"/>
        </w:rPr>
        <w:t>INTRODUCCIÓN</w:t>
      </w:r>
    </w:p>
    <w:p w:rsidR="00F17383" w:rsidRPr="00D20996" w:rsidRDefault="00F17383" w:rsidP="00F17383">
      <w:pPr>
        <w:rPr>
          <w:lang w:val="es-ES"/>
        </w:rPr>
      </w:pPr>
    </w:p>
    <w:p w:rsidR="00F17383" w:rsidRPr="00D20996" w:rsidRDefault="00F17383" w:rsidP="00F17383">
      <w:pPr>
        <w:rPr>
          <w:lang w:val="es-ES"/>
        </w:rPr>
      </w:pPr>
      <w:r w:rsidRPr="00D20996">
        <w:fldChar w:fldCharType="begin"/>
      </w:r>
      <w:r w:rsidRPr="00D20996">
        <w:rPr>
          <w:lang w:val="es-ES"/>
        </w:rPr>
        <w:instrText xml:space="preserve"> AUTONUM  </w:instrText>
      </w:r>
      <w:r w:rsidRPr="00D20996">
        <w:fldChar w:fldCharType="end"/>
      </w:r>
      <w:r w:rsidRPr="00D20996">
        <w:rPr>
          <w:lang w:val="es-ES"/>
        </w:rPr>
        <w:tab/>
      </w:r>
      <w:r w:rsidRPr="00D20996">
        <w:rPr>
          <w:lang w:val="es-ES_tradnl"/>
        </w:rPr>
        <w:t>La reunión del Comité Preparatorio de la Conferencia Diplomática para la adopción de un Arreglo de Lisboa revisado sobre las Denominaciones de Origen y las Indicaciones Geográficas (denominado en lo sucesivo “el Comité Preparatorio) se celebró en Ginebra el 30 y 31 de octubre de 2014.</w:t>
      </w:r>
    </w:p>
    <w:p w:rsidR="00F17383" w:rsidRPr="00D20996" w:rsidRDefault="00F17383" w:rsidP="00F17383">
      <w:pPr>
        <w:rPr>
          <w:lang w:val="es-ES"/>
        </w:rPr>
      </w:pPr>
    </w:p>
    <w:p w:rsidR="00F17383" w:rsidRPr="00D20996" w:rsidRDefault="00F17383" w:rsidP="00F17383">
      <w:pPr>
        <w:rPr>
          <w:szCs w:val="22"/>
          <w:lang w:val="es-ES"/>
        </w:rPr>
      </w:pPr>
      <w:r w:rsidRPr="00D20996">
        <w:fldChar w:fldCharType="begin"/>
      </w:r>
      <w:r w:rsidRPr="00D20996">
        <w:rPr>
          <w:lang w:val="es-ES"/>
        </w:rPr>
        <w:instrText xml:space="preserve"> AUTONUM  </w:instrText>
      </w:r>
      <w:r w:rsidRPr="00D20996">
        <w:fldChar w:fldCharType="end"/>
      </w:r>
      <w:r w:rsidRPr="00D20996">
        <w:rPr>
          <w:lang w:val="es-ES"/>
        </w:rPr>
        <w:tab/>
      </w:r>
      <w:r w:rsidRPr="00D20996">
        <w:rPr>
          <w:lang w:val="es-ES_tradnl"/>
        </w:rPr>
        <w:t>Estuvieron representados en la reunión los siguientes Estados miembros de la Unión de Lisboa</w:t>
      </w:r>
      <w:r w:rsidRPr="00D20996">
        <w:rPr>
          <w:snapToGrid w:val="0"/>
          <w:lang w:val="es-ES"/>
        </w:rPr>
        <w:t>:  Argelia, Bosnia y Herzegovina</w:t>
      </w:r>
      <w:r w:rsidRPr="00D20996">
        <w:rPr>
          <w:lang w:val="es-ES"/>
        </w:rPr>
        <w:t xml:space="preserve">, </w:t>
      </w:r>
      <w:r w:rsidRPr="00D20996">
        <w:rPr>
          <w:szCs w:val="22"/>
          <w:lang w:val="es-ES"/>
        </w:rPr>
        <w:t>Bulgaria</w:t>
      </w:r>
      <w:r w:rsidRPr="00D20996">
        <w:rPr>
          <w:lang w:val="es-ES"/>
        </w:rPr>
        <w:t xml:space="preserve">, </w:t>
      </w:r>
      <w:r w:rsidRPr="00D20996">
        <w:rPr>
          <w:szCs w:val="22"/>
          <w:lang w:val="es-ES"/>
        </w:rPr>
        <w:t>Congo</w:t>
      </w:r>
      <w:r w:rsidRPr="00D20996">
        <w:rPr>
          <w:lang w:val="es-ES"/>
        </w:rPr>
        <w:t xml:space="preserve">, </w:t>
      </w:r>
      <w:r w:rsidRPr="00D20996">
        <w:rPr>
          <w:szCs w:val="22"/>
          <w:lang w:val="es-ES"/>
        </w:rPr>
        <w:t>Costa Rica</w:t>
      </w:r>
      <w:r w:rsidRPr="00D20996">
        <w:rPr>
          <w:lang w:val="es-ES"/>
        </w:rPr>
        <w:t xml:space="preserve">, </w:t>
      </w:r>
      <w:r w:rsidRPr="00D20996">
        <w:rPr>
          <w:szCs w:val="22"/>
          <w:lang w:val="es-ES"/>
        </w:rPr>
        <w:t>Cuba</w:t>
      </w:r>
      <w:r w:rsidRPr="00D20996">
        <w:rPr>
          <w:lang w:val="es-ES"/>
        </w:rPr>
        <w:t xml:space="preserve">, Eslovaquia, ex República Yugoslava de Macedonia, Francia, Gabón, </w:t>
      </w:r>
      <w:r w:rsidRPr="00D20996">
        <w:rPr>
          <w:szCs w:val="22"/>
          <w:lang w:val="es-ES"/>
        </w:rPr>
        <w:t>Georgia</w:t>
      </w:r>
      <w:r w:rsidRPr="00D20996">
        <w:rPr>
          <w:lang w:val="es-ES"/>
        </w:rPr>
        <w:t>, Haití, Hungría, Irán</w:t>
      </w:r>
      <w:r w:rsidRPr="00D20996">
        <w:rPr>
          <w:szCs w:val="22"/>
          <w:lang w:val="es-ES"/>
        </w:rPr>
        <w:t xml:space="preserve"> (</w:t>
      </w:r>
      <w:r w:rsidRPr="00D20996">
        <w:rPr>
          <w:lang w:val="es-ES"/>
        </w:rPr>
        <w:t>República Islámica del</w:t>
      </w:r>
      <w:r w:rsidRPr="00D20996">
        <w:rPr>
          <w:szCs w:val="22"/>
          <w:lang w:val="es-ES"/>
        </w:rPr>
        <w:t>)</w:t>
      </w:r>
      <w:r w:rsidRPr="00D20996">
        <w:rPr>
          <w:lang w:val="es-ES"/>
        </w:rPr>
        <w:t xml:space="preserve">, </w:t>
      </w:r>
      <w:r w:rsidRPr="00D20996">
        <w:rPr>
          <w:szCs w:val="22"/>
          <w:lang w:val="es-ES"/>
        </w:rPr>
        <w:t>Israel</w:t>
      </w:r>
      <w:r w:rsidRPr="00D20996">
        <w:rPr>
          <w:lang w:val="es-ES"/>
        </w:rPr>
        <w:t xml:space="preserve">, Italia, México, </w:t>
      </w:r>
      <w:r w:rsidRPr="00D20996">
        <w:rPr>
          <w:szCs w:val="22"/>
          <w:lang w:val="es-ES"/>
        </w:rPr>
        <w:t>Montenegro</w:t>
      </w:r>
      <w:r w:rsidRPr="00D20996">
        <w:rPr>
          <w:lang w:val="es-ES"/>
        </w:rPr>
        <w:t xml:space="preserve">, </w:t>
      </w:r>
      <w:r w:rsidRPr="00D20996">
        <w:rPr>
          <w:szCs w:val="22"/>
          <w:lang w:val="es-ES"/>
        </w:rPr>
        <w:t>Nicaragua</w:t>
      </w:r>
      <w:r w:rsidRPr="00D20996">
        <w:rPr>
          <w:lang w:val="es-ES"/>
        </w:rPr>
        <w:t xml:space="preserve">, Perú, </w:t>
      </w:r>
      <w:r w:rsidRPr="00D20996">
        <w:rPr>
          <w:szCs w:val="22"/>
          <w:lang w:val="es-ES"/>
        </w:rPr>
        <w:t>Portugal</w:t>
      </w:r>
      <w:r w:rsidRPr="00D20996">
        <w:rPr>
          <w:lang w:val="es-ES"/>
        </w:rPr>
        <w:t xml:space="preserve">, República Checa, República de Moldova, República Popular Democrática de Corea, </w:t>
      </w:r>
      <w:r w:rsidRPr="00D20996">
        <w:rPr>
          <w:szCs w:val="22"/>
          <w:lang w:val="es-ES"/>
        </w:rPr>
        <w:t>Serbia</w:t>
      </w:r>
      <w:r w:rsidRPr="00D20996">
        <w:rPr>
          <w:lang w:val="es-ES"/>
        </w:rPr>
        <w:t xml:space="preserve">, </w:t>
      </w:r>
      <w:r w:rsidRPr="00D20996">
        <w:rPr>
          <w:szCs w:val="22"/>
          <w:lang w:val="es-ES"/>
        </w:rPr>
        <w:t>Togo</w:t>
      </w:r>
      <w:r w:rsidRPr="00D20996">
        <w:rPr>
          <w:lang w:val="es-ES"/>
        </w:rPr>
        <w:t>, Túnez</w:t>
      </w:r>
      <w:r w:rsidRPr="00D20996">
        <w:rPr>
          <w:szCs w:val="22"/>
          <w:lang w:val="es-ES"/>
        </w:rPr>
        <w:t xml:space="preserve"> (27).</w:t>
      </w:r>
    </w:p>
    <w:p w:rsidR="00F17383" w:rsidRPr="00D20996" w:rsidRDefault="00F17383" w:rsidP="00F17383">
      <w:pPr>
        <w:rPr>
          <w:lang w:val="es-ES"/>
        </w:rPr>
      </w:pPr>
    </w:p>
    <w:p w:rsidR="00F17383" w:rsidRPr="00D20996" w:rsidRDefault="00F17383" w:rsidP="00F17383">
      <w:pPr>
        <w:rPr>
          <w:snapToGrid w:val="0"/>
          <w:lang w:val="es-ES"/>
        </w:rPr>
      </w:pPr>
      <w:r w:rsidRPr="00D20996">
        <w:fldChar w:fldCharType="begin"/>
      </w:r>
      <w:r w:rsidRPr="00D20996">
        <w:rPr>
          <w:lang w:val="es-ES"/>
        </w:rPr>
        <w:instrText xml:space="preserve"> AUTONUM  </w:instrText>
      </w:r>
      <w:r w:rsidRPr="00D20996">
        <w:fldChar w:fldCharType="end"/>
      </w:r>
      <w:r w:rsidRPr="00D20996">
        <w:rPr>
          <w:lang w:val="es-ES"/>
        </w:rPr>
        <w:tab/>
      </w:r>
      <w:r w:rsidRPr="00D20996">
        <w:rPr>
          <w:lang w:val="es-ES_tradnl"/>
        </w:rPr>
        <w:t>Participaron en la reunión, en calidad de observadores los siguientes Estados miembros de la OMPI</w:t>
      </w:r>
      <w:r w:rsidRPr="00D20996">
        <w:rPr>
          <w:szCs w:val="22"/>
          <w:lang w:val="es-ES"/>
        </w:rPr>
        <w:t xml:space="preserve">:  </w:t>
      </w:r>
      <w:r w:rsidRPr="00D20996">
        <w:rPr>
          <w:lang w:val="es-ES"/>
        </w:rPr>
        <w:t xml:space="preserve">Alemania, Arabia Saudita, </w:t>
      </w:r>
      <w:r w:rsidRPr="00D20996">
        <w:rPr>
          <w:szCs w:val="22"/>
          <w:lang w:val="es-ES"/>
        </w:rPr>
        <w:t>Argentina</w:t>
      </w:r>
      <w:r w:rsidRPr="00D20996">
        <w:rPr>
          <w:lang w:val="es-ES"/>
        </w:rPr>
        <w:t xml:space="preserve">, </w:t>
      </w:r>
      <w:r w:rsidRPr="00D20996">
        <w:rPr>
          <w:szCs w:val="22"/>
          <w:lang w:val="es-ES"/>
        </w:rPr>
        <w:t>Australia</w:t>
      </w:r>
      <w:r w:rsidRPr="00D20996">
        <w:rPr>
          <w:lang w:val="es-ES"/>
        </w:rPr>
        <w:t xml:space="preserve">, </w:t>
      </w:r>
      <w:r w:rsidRPr="00D20996">
        <w:rPr>
          <w:szCs w:val="22"/>
          <w:lang w:val="es-ES"/>
        </w:rPr>
        <w:t>Bahamas</w:t>
      </w:r>
      <w:r w:rsidRPr="00D20996">
        <w:rPr>
          <w:lang w:val="es-ES"/>
        </w:rPr>
        <w:t xml:space="preserve">, </w:t>
      </w:r>
      <w:r w:rsidRPr="00D20996">
        <w:rPr>
          <w:szCs w:val="22"/>
          <w:lang w:val="es-ES"/>
        </w:rPr>
        <w:t>Barbados</w:t>
      </w:r>
      <w:r w:rsidRPr="00D20996">
        <w:rPr>
          <w:lang w:val="es-ES"/>
        </w:rPr>
        <w:t xml:space="preserve">, </w:t>
      </w:r>
      <w:r w:rsidRPr="00D20996">
        <w:rPr>
          <w:szCs w:val="22"/>
          <w:lang w:val="es-ES"/>
        </w:rPr>
        <w:t>Benin</w:t>
      </w:r>
      <w:r w:rsidRPr="00D20996">
        <w:rPr>
          <w:lang w:val="es-ES"/>
        </w:rPr>
        <w:t xml:space="preserve">, Brasil, Camerún, Canadá, </w:t>
      </w:r>
      <w:r w:rsidRPr="00D20996">
        <w:rPr>
          <w:szCs w:val="22"/>
          <w:lang w:val="es-ES"/>
        </w:rPr>
        <w:t>Chile</w:t>
      </w:r>
      <w:r w:rsidRPr="00D20996">
        <w:rPr>
          <w:lang w:val="es-ES"/>
        </w:rPr>
        <w:t xml:space="preserve">, </w:t>
      </w:r>
      <w:r w:rsidRPr="00D20996">
        <w:rPr>
          <w:szCs w:val="22"/>
          <w:lang w:val="es-ES"/>
        </w:rPr>
        <w:t>Colombia</w:t>
      </w:r>
      <w:r w:rsidRPr="00D20996">
        <w:rPr>
          <w:lang w:val="es-ES"/>
        </w:rPr>
        <w:t xml:space="preserve">, Comoras, España, Estados Unidos de América, Federación de Rusia, Finlandia, Grecia, </w:t>
      </w:r>
      <w:r w:rsidRPr="00D20996">
        <w:rPr>
          <w:szCs w:val="22"/>
          <w:lang w:val="es-ES"/>
        </w:rPr>
        <w:t>India</w:t>
      </w:r>
      <w:r w:rsidRPr="00D20996">
        <w:rPr>
          <w:lang w:val="es-ES"/>
        </w:rPr>
        <w:t xml:space="preserve">, </w:t>
      </w:r>
      <w:r w:rsidRPr="00D20996">
        <w:rPr>
          <w:szCs w:val="22"/>
          <w:lang w:val="es-ES"/>
        </w:rPr>
        <w:t>Iraq</w:t>
      </w:r>
      <w:r w:rsidRPr="00D20996">
        <w:rPr>
          <w:lang w:val="es-ES"/>
        </w:rPr>
        <w:t xml:space="preserve">, Japón, Jordania, </w:t>
      </w:r>
      <w:r w:rsidRPr="00D20996">
        <w:rPr>
          <w:szCs w:val="22"/>
          <w:lang w:val="es-ES"/>
        </w:rPr>
        <w:t>Kenya</w:t>
      </w:r>
      <w:r w:rsidRPr="00D20996">
        <w:rPr>
          <w:lang w:val="es-ES"/>
        </w:rPr>
        <w:t xml:space="preserve">, Nueva Zelandia, Omán, Panamá, </w:t>
      </w:r>
      <w:r w:rsidRPr="00D20996">
        <w:rPr>
          <w:szCs w:val="22"/>
          <w:lang w:val="es-ES"/>
        </w:rPr>
        <w:t>Paraguay</w:t>
      </w:r>
      <w:r w:rsidRPr="00D20996">
        <w:rPr>
          <w:lang w:val="es-ES"/>
        </w:rPr>
        <w:t xml:space="preserve">, República de Corea, Rumania, </w:t>
      </w:r>
      <w:r w:rsidRPr="00D20996">
        <w:rPr>
          <w:szCs w:val="22"/>
          <w:lang w:val="es-ES"/>
        </w:rPr>
        <w:t>Senegal</w:t>
      </w:r>
      <w:r w:rsidRPr="00D20996">
        <w:rPr>
          <w:lang w:val="es-ES"/>
        </w:rPr>
        <w:t xml:space="preserve">, Singapur, Sudáfrica, Suiza, Tailandia, Turquía, Ucrania, </w:t>
      </w:r>
      <w:r w:rsidRPr="00D20996">
        <w:rPr>
          <w:szCs w:val="22"/>
          <w:lang w:val="es-ES"/>
        </w:rPr>
        <w:t>Uruguay (3</w:t>
      </w:r>
      <w:r w:rsidR="002F4F9C">
        <w:rPr>
          <w:szCs w:val="22"/>
          <w:lang w:val="es-ES"/>
        </w:rPr>
        <w:t>7</w:t>
      </w:r>
      <w:r w:rsidRPr="00D20996">
        <w:rPr>
          <w:szCs w:val="22"/>
          <w:lang w:val="es-ES"/>
        </w:rPr>
        <w:t>)</w:t>
      </w:r>
      <w:r w:rsidR="002F4F9C">
        <w:rPr>
          <w:szCs w:val="22"/>
          <w:lang w:val="es-ES"/>
        </w:rPr>
        <w:t>.</w:t>
      </w:r>
    </w:p>
    <w:p w:rsidR="00F17383" w:rsidRPr="00D20996" w:rsidRDefault="00F17383" w:rsidP="00F17383">
      <w:pPr>
        <w:rPr>
          <w:snapToGrid w:val="0"/>
          <w:lang w:val="es-ES"/>
        </w:rPr>
      </w:pPr>
    </w:p>
    <w:p w:rsidR="00F17383" w:rsidRPr="00D20996" w:rsidRDefault="00F17383" w:rsidP="00F17383">
      <w:pPr>
        <w:rPr>
          <w:szCs w:val="22"/>
          <w:lang w:val="es-ES"/>
        </w:rPr>
      </w:pPr>
      <w:r w:rsidRPr="00D20996">
        <w:fldChar w:fldCharType="begin"/>
      </w:r>
      <w:r w:rsidRPr="00D20996">
        <w:rPr>
          <w:lang w:val="es-ES"/>
        </w:rPr>
        <w:instrText xml:space="preserve"> AUTONUM  </w:instrText>
      </w:r>
      <w:r w:rsidRPr="00D20996">
        <w:fldChar w:fldCharType="end"/>
      </w:r>
      <w:r w:rsidRPr="00D20996">
        <w:rPr>
          <w:lang w:val="es-ES"/>
        </w:rPr>
        <w:tab/>
      </w:r>
      <w:r w:rsidRPr="00D20996">
        <w:rPr>
          <w:lang w:val="es-ES_tradnl"/>
        </w:rPr>
        <w:t>Particip</w:t>
      </w:r>
      <w:r w:rsidR="006833DE">
        <w:rPr>
          <w:lang w:val="es-ES_tradnl"/>
        </w:rPr>
        <w:t>aron</w:t>
      </w:r>
      <w:r w:rsidRPr="00D20996">
        <w:rPr>
          <w:lang w:val="es-ES_tradnl"/>
        </w:rPr>
        <w:t xml:space="preserve"> en la reunión, en calidad de observador, </w:t>
      </w:r>
      <w:r w:rsidR="006833DE">
        <w:rPr>
          <w:lang w:val="es-ES_tradnl"/>
        </w:rPr>
        <w:t>los</w:t>
      </w:r>
      <w:r w:rsidRPr="00D20996">
        <w:rPr>
          <w:lang w:val="es-ES_tradnl"/>
        </w:rPr>
        <w:t xml:space="preserve"> representante</w:t>
      </w:r>
      <w:r w:rsidR="006833DE">
        <w:rPr>
          <w:lang w:val="es-ES_tradnl"/>
        </w:rPr>
        <w:t>s</w:t>
      </w:r>
      <w:r w:rsidRPr="00D20996">
        <w:rPr>
          <w:lang w:val="es-ES_tradnl"/>
        </w:rPr>
        <w:t xml:space="preserve"> de la</w:t>
      </w:r>
      <w:r w:rsidR="006833DE">
        <w:rPr>
          <w:lang w:val="es-ES_tradnl"/>
        </w:rPr>
        <w:t>s</w:t>
      </w:r>
      <w:r w:rsidRPr="00D20996">
        <w:rPr>
          <w:lang w:val="es-ES_tradnl"/>
        </w:rPr>
        <w:t xml:space="preserve"> siguiente</w:t>
      </w:r>
      <w:r w:rsidR="006833DE">
        <w:rPr>
          <w:lang w:val="es-ES_tradnl"/>
        </w:rPr>
        <w:t>s</w:t>
      </w:r>
      <w:r w:rsidRPr="00D20996">
        <w:rPr>
          <w:lang w:val="es-ES_tradnl"/>
        </w:rPr>
        <w:t xml:space="preserve"> organizaci</w:t>
      </w:r>
      <w:r w:rsidR="006833DE">
        <w:rPr>
          <w:lang w:val="es-ES_tradnl"/>
        </w:rPr>
        <w:t>ones</w:t>
      </w:r>
      <w:r w:rsidRPr="00D20996">
        <w:rPr>
          <w:lang w:val="es-ES_tradnl"/>
        </w:rPr>
        <w:t xml:space="preserve"> intergubernamental</w:t>
      </w:r>
      <w:r w:rsidR="006833DE">
        <w:rPr>
          <w:lang w:val="es-ES_tradnl"/>
        </w:rPr>
        <w:t>es</w:t>
      </w:r>
      <w:r w:rsidRPr="00D20996">
        <w:rPr>
          <w:lang w:val="es-ES_tradnl"/>
        </w:rPr>
        <w:t xml:space="preserve"> internacional</w:t>
      </w:r>
      <w:r w:rsidR="006833DE">
        <w:rPr>
          <w:lang w:val="es-ES_tradnl"/>
        </w:rPr>
        <w:t>es</w:t>
      </w:r>
      <w:r w:rsidRPr="00D20996">
        <w:rPr>
          <w:lang w:val="es-ES_tradnl"/>
        </w:rPr>
        <w:t>:</w:t>
      </w:r>
      <w:r w:rsidR="00E269BE" w:rsidRPr="00D20996">
        <w:rPr>
          <w:lang w:val="es-ES_tradnl"/>
        </w:rPr>
        <w:t xml:space="preserve"> </w:t>
      </w:r>
      <w:r w:rsidRPr="00D20996">
        <w:rPr>
          <w:lang w:val="es-ES_tradnl"/>
        </w:rPr>
        <w:t xml:space="preserve"> </w:t>
      </w:r>
      <w:r w:rsidR="002F4F9C">
        <w:rPr>
          <w:lang w:val="es-ES_tradnl"/>
        </w:rPr>
        <w:t>Centro de Comercio Internacional (CCI), Oficina Internacional de la Viña y el Vino (OIV), Unión Económica y Monetaria del África Occidental (</w:t>
      </w:r>
      <w:r w:rsidR="002F4F9C" w:rsidRPr="002F4F9C">
        <w:rPr>
          <w:lang w:val="es-ES_tradnl"/>
        </w:rPr>
        <w:t xml:space="preserve">UEMOA </w:t>
      </w:r>
      <w:r w:rsidR="002F4F9C">
        <w:rPr>
          <w:lang w:val="es-ES_tradnl"/>
        </w:rPr>
        <w:t xml:space="preserve">), </w:t>
      </w:r>
      <w:r w:rsidR="002F4F9C" w:rsidRPr="00D20996">
        <w:rPr>
          <w:lang w:val="es-ES_tradnl"/>
        </w:rPr>
        <w:t>Unión Europea (UE)</w:t>
      </w:r>
      <w:r w:rsidR="002F4F9C">
        <w:rPr>
          <w:lang w:val="es-ES_tradnl"/>
        </w:rPr>
        <w:t xml:space="preserve"> (4</w:t>
      </w:r>
      <w:r w:rsidRPr="00D20996">
        <w:rPr>
          <w:lang w:val="es-ES_tradnl"/>
        </w:rPr>
        <w:t>)</w:t>
      </w:r>
      <w:r w:rsidRPr="00D20996">
        <w:rPr>
          <w:szCs w:val="22"/>
          <w:lang w:val="es-ES"/>
        </w:rPr>
        <w:t>.</w:t>
      </w:r>
    </w:p>
    <w:p w:rsidR="00F17383" w:rsidRPr="00D20996" w:rsidRDefault="00F17383" w:rsidP="00F17383">
      <w:pPr>
        <w:rPr>
          <w:szCs w:val="22"/>
          <w:lang w:val="es-ES"/>
        </w:rPr>
      </w:pPr>
    </w:p>
    <w:p w:rsidR="00F17383" w:rsidRPr="00BF4C93" w:rsidRDefault="00F17383" w:rsidP="00F17383">
      <w:pPr>
        <w:rPr>
          <w:szCs w:val="22"/>
        </w:rPr>
      </w:pPr>
      <w:r w:rsidRPr="00D20996">
        <w:fldChar w:fldCharType="begin"/>
      </w:r>
      <w:r w:rsidRPr="00D20996">
        <w:rPr>
          <w:lang w:val="es-ES"/>
        </w:rPr>
        <w:instrText xml:space="preserve"> AUTONUM  </w:instrText>
      </w:r>
      <w:r w:rsidRPr="00D20996">
        <w:fldChar w:fldCharType="end"/>
      </w:r>
      <w:r w:rsidRPr="00D20996">
        <w:rPr>
          <w:lang w:val="es-ES"/>
        </w:rPr>
        <w:tab/>
      </w:r>
      <w:r w:rsidR="0062712B" w:rsidRPr="00D20996">
        <w:rPr>
          <w:lang w:val="es-ES_tradnl"/>
        </w:rPr>
        <w:t xml:space="preserve">Participaron en la reunión, en calidad de observadores, los representantes de las siguientes organizaciones internacionales no gubernamentales: </w:t>
      </w:r>
      <w:r w:rsidR="00706734">
        <w:rPr>
          <w:lang w:val="es-ES_tradnl"/>
        </w:rPr>
        <w:t xml:space="preserve"> </w:t>
      </w:r>
      <w:r w:rsidR="00706734" w:rsidRPr="00D20996">
        <w:rPr>
          <w:lang w:val="es-ES_tradnl"/>
        </w:rPr>
        <w:t>Asociación de Marcas de las Comunidades Europeas (ECTA)</w:t>
      </w:r>
      <w:r w:rsidR="00706734">
        <w:rPr>
          <w:lang w:val="es-ES_tradnl"/>
        </w:rPr>
        <w:t xml:space="preserve">, </w:t>
      </w:r>
      <w:r w:rsidR="00706734" w:rsidRPr="00D20996">
        <w:rPr>
          <w:lang w:val="es-ES_tradnl"/>
        </w:rPr>
        <w:t>Asociación de Titulares Europeos de Marcas (MARQUES)</w:t>
      </w:r>
      <w:r w:rsidR="00706734">
        <w:rPr>
          <w:lang w:val="es-ES_tradnl"/>
        </w:rPr>
        <w:t xml:space="preserve">, </w:t>
      </w:r>
      <w:r w:rsidR="00706734" w:rsidRPr="00D20996">
        <w:rPr>
          <w:lang w:val="es-ES_tradnl"/>
        </w:rPr>
        <w:t>Asociación Internacional de Marcas (INTA)</w:t>
      </w:r>
      <w:r w:rsidR="00706734">
        <w:rPr>
          <w:lang w:val="es-ES_tradnl"/>
        </w:rPr>
        <w:t xml:space="preserve">, </w:t>
      </w:r>
      <w:r w:rsidR="00706734" w:rsidRPr="00D20996">
        <w:rPr>
          <w:lang w:val="es-ES_tradnl"/>
        </w:rPr>
        <w:t>Asociación Internacional para la Protección de la Propiedad Intelectual (APPI)</w:t>
      </w:r>
      <w:r w:rsidR="00706734">
        <w:rPr>
          <w:lang w:val="es-ES_tradnl"/>
        </w:rPr>
        <w:t xml:space="preserve">, </w:t>
      </w:r>
      <w:r w:rsidR="00AE6678" w:rsidRPr="00AE6678">
        <w:rPr>
          <w:lang w:val="es-ES_tradnl"/>
        </w:rPr>
        <w:t>Centro de Estudios Internacionales de la Propiedad Intelectual</w:t>
      </w:r>
      <w:r w:rsidR="00706734" w:rsidRPr="00D20996">
        <w:rPr>
          <w:lang w:val="es-ES_tradnl"/>
        </w:rPr>
        <w:t xml:space="preserve"> (CEIPI)</w:t>
      </w:r>
      <w:r w:rsidR="00706734">
        <w:rPr>
          <w:lang w:val="es-ES_tradnl"/>
        </w:rPr>
        <w:t xml:space="preserve">, </w:t>
      </w:r>
      <w:r w:rsidR="00706734" w:rsidRPr="00706734">
        <w:rPr>
          <w:i/>
          <w:lang w:val="es-ES_tradnl"/>
        </w:rPr>
        <w:t>Consortium for Common Food Names</w:t>
      </w:r>
      <w:r w:rsidR="00706734" w:rsidRPr="00D20996">
        <w:rPr>
          <w:lang w:val="es-ES_tradnl"/>
        </w:rPr>
        <w:t xml:space="preserve"> (CCFN)</w:t>
      </w:r>
      <w:r w:rsidR="00706734">
        <w:rPr>
          <w:lang w:val="es-ES_tradnl"/>
        </w:rPr>
        <w:t xml:space="preserve">, </w:t>
      </w:r>
      <w:r w:rsidR="00706734" w:rsidRPr="00706734">
        <w:rPr>
          <w:i/>
          <w:lang w:val="es-ES_tradnl"/>
        </w:rPr>
        <w:t>Knowledge Ecology International</w:t>
      </w:r>
      <w:r w:rsidR="00706734">
        <w:rPr>
          <w:lang w:val="es-ES_tradnl"/>
        </w:rPr>
        <w:t>,</w:t>
      </w:r>
      <w:r w:rsidR="00706734" w:rsidRPr="00D20996">
        <w:rPr>
          <w:lang w:val="es-ES_tradnl"/>
        </w:rPr>
        <w:t xml:space="preserve"> </w:t>
      </w:r>
      <w:r w:rsidR="00706734" w:rsidRPr="00706734">
        <w:rPr>
          <w:i/>
          <w:lang w:val="es-ES_tradnl"/>
        </w:rPr>
        <w:t>Inc</w:t>
      </w:r>
      <w:r w:rsidR="00706734">
        <w:rPr>
          <w:lang w:val="es-ES_tradnl"/>
        </w:rPr>
        <w:t>.</w:t>
      </w:r>
      <w:r w:rsidR="00706734" w:rsidRPr="00D20996">
        <w:rPr>
          <w:lang w:val="es-ES_tradnl"/>
        </w:rPr>
        <w:t xml:space="preserve"> </w:t>
      </w:r>
      <w:r w:rsidR="00706734" w:rsidRPr="00BF4C93">
        <w:t xml:space="preserve">(KEI), </w:t>
      </w:r>
      <w:r w:rsidR="00706734" w:rsidRPr="00BF4C93">
        <w:rPr>
          <w:i/>
        </w:rPr>
        <w:t>Organization for an International Geographical Indications Network</w:t>
      </w:r>
      <w:r w:rsidR="00706734" w:rsidRPr="00BF4C93">
        <w:t xml:space="preserve"> (oriGIn)</w:t>
      </w:r>
      <w:r w:rsidRPr="00BF4C93">
        <w:rPr>
          <w:szCs w:val="22"/>
        </w:rPr>
        <w:t xml:space="preserve"> (8).</w:t>
      </w:r>
    </w:p>
    <w:p w:rsidR="00E931A9" w:rsidRPr="00BF4C93" w:rsidRDefault="00E931A9" w:rsidP="006A6AAA"/>
    <w:p w:rsidR="00E269BE" w:rsidRPr="00BF4C93" w:rsidRDefault="00E269BE" w:rsidP="006A6AAA"/>
    <w:p w:rsidR="00E269BE" w:rsidRPr="00D20996" w:rsidRDefault="00E269BE" w:rsidP="00E269BE">
      <w:pPr>
        <w:pStyle w:val="Heading1"/>
        <w:spacing w:before="0" w:after="0"/>
        <w:rPr>
          <w:lang w:val="es-ES"/>
        </w:rPr>
      </w:pPr>
      <w:r w:rsidRPr="00D20996">
        <w:t xml:space="preserve">iI.  </w:t>
      </w:r>
      <w:r w:rsidRPr="00D20996">
        <w:rPr>
          <w:rFonts w:eastAsia="Times New Roman"/>
          <w:lang w:val="es-ES_tradnl"/>
        </w:rPr>
        <w:t>ELECCIÓN DEL PRESIDENTE Y DE DOS VICEPRESIDENTES</w:t>
      </w:r>
    </w:p>
    <w:p w:rsidR="00E269BE" w:rsidRPr="00D20996" w:rsidRDefault="00E269BE" w:rsidP="00E269BE">
      <w:pPr>
        <w:rPr>
          <w:lang w:val="es-ES"/>
        </w:rPr>
      </w:pPr>
    </w:p>
    <w:p w:rsidR="00E269BE" w:rsidRPr="00D20996" w:rsidRDefault="00E269BE" w:rsidP="00E269BE">
      <w:pPr>
        <w:rPr>
          <w:lang w:val="es-ES"/>
        </w:rPr>
      </w:pPr>
      <w:r w:rsidRPr="00D20996">
        <w:fldChar w:fldCharType="begin"/>
      </w:r>
      <w:r w:rsidRPr="00D20996">
        <w:rPr>
          <w:lang w:val="es-ES"/>
        </w:rPr>
        <w:instrText xml:space="preserve"> AUTONUM  </w:instrText>
      </w:r>
      <w:r w:rsidRPr="00D20996">
        <w:fldChar w:fldCharType="end"/>
      </w:r>
      <w:r w:rsidRPr="00D20996">
        <w:rPr>
          <w:lang w:val="es-ES"/>
        </w:rPr>
        <w:tab/>
      </w:r>
      <w:r w:rsidRPr="00D20996">
        <w:rPr>
          <w:lang w:val="es-ES_tradnl"/>
        </w:rPr>
        <w:t>El Comité Preparatorio eligió por unanimidad al Sr. Mihály Ficsor (Hungría) como Presidente y a la Sra. Ana Gobechia (Georgia) y al Sr. Alfredo Rendón Algara (México) como Vicepresidentes.  El Sr. Edward Kwakwa, Consejero Jurídico, desempeñó las funciones de Secretario del Comité</w:t>
      </w:r>
      <w:r w:rsidRPr="00D20996">
        <w:rPr>
          <w:lang w:val="es-ES"/>
        </w:rPr>
        <w:t>.</w:t>
      </w:r>
    </w:p>
    <w:p w:rsidR="0062712B" w:rsidRPr="00BF4C93" w:rsidRDefault="0062712B" w:rsidP="0062712B">
      <w:pPr>
        <w:rPr>
          <w:lang w:val="es-ES"/>
        </w:rPr>
      </w:pPr>
    </w:p>
    <w:p w:rsidR="0062712B" w:rsidRPr="00BF4C93" w:rsidRDefault="0062712B" w:rsidP="0062712B">
      <w:pPr>
        <w:rPr>
          <w:lang w:val="es-ES"/>
        </w:rPr>
      </w:pPr>
    </w:p>
    <w:p w:rsidR="0062712B" w:rsidRPr="00D20996" w:rsidRDefault="0062712B" w:rsidP="0062712B">
      <w:pPr>
        <w:pStyle w:val="Heading1"/>
        <w:spacing w:before="0" w:after="0"/>
        <w:rPr>
          <w:lang w:val="es-ES"/>
        </w:rPr>
      </w:pPr>
      <w:r w:rsidRPr="00BF4C93">
        <w:rPr>
          <w:lang w:val="es-ES"/>
        </w:rPr>
        <w:t xml:space="preserve">iII.  </w:t>
      </w:r>
      <w:r w:rsidRPr="00D20996">
        <w:rPr>
          <w:rFonts w:eastAsia="Times New Roman"/>
          <w:lang w:val="es-ES_tradnl"/>
        </w:rPr>
        <w:t xml:space="preserve">APROBACIÓN DEL </w:t>
      </w:r>
      <w:r w:rsidR="00BF4C93">
        <w:rPr>
          <w:rFonts w:eastAsia="Times New Roman"/>
          <w:lang w:val="es-ES_tradnl"/>
        </w:rPr>
        <w:t>ORDEN DEL DÍA</w:t>
      </w:r>
    </w:p>
    <w:p w:rsidR="0062712B" w:rsidRPr="00D20996" w:rsidRDefault="0062712B" w:rsidP="0062712B">
      <w:pPr>
        <w:rPr>
          <w:lang w:val="es-ES"/>
        </w:rPr>
      </w:pPr>
    </w:p>
    <w:p w:rsidR="0062712B" w:rsidRPr="00D20996" w:rsidRDefault="0062712B" w:rsidP="0062712B">
      <w:pPr>
        <w:rPr>
          <w:lang w:val="es-ES"/>
        </w:rPr>
      </w:pPr>
      <w:r w:rsidRPr="00D20996">
        <w:fldChar w:fldCharType="begin"/>
      </w:r>
      <w:r w:rsidRPr="00D20996">
        <w:rPr>
          <w:lang w:val="es-ES"/>
        </w:rPr>
        <w:instrText xml:space="preserve"> AUTONUM  </w:instrText>
      </w:r>
      <w:r w:rsidRPr="00D20996">
        <w:fldChar w:fldCharType="end"/>
      </w:r>
      <w:r w:rsidRPr="00D20996">
        <w:rPr>
          <w:lang w:val="es-ES"/>
        </w:rPr>
        <w:tab/>
      </w:r>
      <w:r w:rsidRPr="00D20996">
        <w:rPr>
          <w:lang w:val="es-ES_tradnl"/>
        </w:rPr>
        <w:t xml:space="preserve">El proyecto de </w:t>
      </w:r>
      <w:r w:rsidR="00BF4C93">
        <w:rPr>
          <w:lang w:val="es-ES_tradnl"/>
        </w:rPr>
        <w:t>orden del día</w:t>
      </w:r>
      <w:r w:rsidRPr="00D20996">
        <w:rPr>
          <w:lang w:val="es-ES_tradnl"/>
        </w:rPr>
        <w:t>, que figura en el documento LI/R/PM/1 Prov.4 se aprobó por unanimidad</w:t>
      </w:r>
      <w:r w:rsidRPr="00D20996">
        <w:rPr>
          <w:lang w:val="es-ES"/>
        </w:rPr>
        <w:t xml:space="preserve">.  </w:t>
      </w:r>
    </w:p>
    <w:p w:rsidR="0062712B" w:rsidRPr="00D20996" w:rsidRDefault="0062712B" w:rsidP="0062712B">
      <w:pPr>
        <w:rPr>
          <w:lang w:val="es-ES"/>
        </w:rPr>
      </w:pPr>
    </w:p>
    <w:p w:rsidR="0062712B" w:rsidRPr="00D20996" w:rsidRDefault="0062712B" w:rsidP="0062712B">
      <w:pPr>
        <w:pStyle w:val="ONUME"/>
        <w:numPr>
          <w:ilvl w:val="0"/>
          <w:numId w:val="0"/>
        </w:numPr>
        <w:spacing w:after="0"/>
        <w:rPr>
          <w:lang w:val="es-ES"/>
        </w:rPr>
      </w:pPr>
    </w:p>
    <w:p w:rsidR="0062712B" w:rsidRPr="00D20996" w:rsidRDefault="0062712B" w:rsidP="0062712B">
      <w:pPr>
        <w:pStyle w:val="ONUME"/>
        <w:numPr>
          <w:ilvl w:val="0"/>
          <w:numId w:val="0"/>
        </w:numPr>
        <w:spacing w:after="0"/>
        <w:rPr>
          <w:b/>
          <w:lang w:val="es-ES"/>
        </w:rPr>
      </w:pPr>
      <w:r w:rsidRPr="00BF4C93">
        <w:rPr>
          <w:b/>
          <w:lang w:val="es-ES"/>
        </w:rPr>
        <w:t xml:space="preserve">IV.  </w:t>
      </w:r>
      <w:r w:rsidRPr="00D20996">
        <w:rPr>
          <w:b/>
          <w:bCs/>
          <w:lang w:val="es-ES_tradnl"/>
        </w:rPr>
        <w:t>EXAMEN DEL PROYECTO DE REGLAMENTO DE LA CONFERENCIA DIPLOMÁTICA</w:t>
      </w:r>
    </w:p>
    <w:p w:rsidR="0062712B" w:rsidRPr="00D20996" w:rsidRDefault="0062712B" w:rsidP="0062712B">
      <w:pPr>
        <w:pStyle w:val="ONUME"/>
        <w:numPr>
          <w:ilvl w:val="0"/>
          <w:numId w:val="0"/>
        </w:numPr>
        <w:spacing w:after="0"/>
        <w:rPr>
          <w:lang w:val="es-ES"/>
        </w:rPr>
      </w:pPr>
    </w:p>
    <w:p w:rsidR="0062712B" w:rsidRPr="00D20996" w:rsidRDefault="0062712B" w:rsidP="0062712B">
      <w:pPr>
        <w:rPr>
          <w:lang w:val="es-ES"/>
        </w:rPr>
      </w:pPr>
      <w:r w:rsidRPr="00D20996">
        <w:fldChar w:fldCharType="begin"/>
      </w:r>
      <w:r w:rsidRPr="00D20996">
        <w:rPr>
          <w:lang w:val="es-ES"/>
        </w:rPr>
        <w:instrText xml:space="preserve"> AUTONUM  </w:instrText>
      </w:r>
      <w:r w:rsidRPr="00D20996">
        <w:fldChar w:fldCharType="end"/>
      </w:r>
      <w:r w:rsidRPr="00D20996">
        <w:rPr>
          <w:lang w:val="es-ES"/>
        </w:rPr>
        <w:tab/>
      </w:r>
      <w:r w:rsidRPr="00D20996">
        <w:rPr>
          <w:lang w:val="es-ES_tradnl"/>
        </w:rPr>
        <w:t>Los debates se basaron en los documentos LI/R/PM/2 y LI/R/PM/5 Rev.2</w:t>
      </w:r>
      <w:r w:rsidRPr="00D20996">
        <w:rPr>
          <w:lang w:val="es-ES"/>
        </w:rPr>
        <w:t>.</w:t>
      </w:r>
    </w:p>
    <w:p w:rsidR="0062712B" w:rsidRPr="00D20996" w:rsidRDefault="0062712B" w:rsidP="0062712B">
      <w:pPr>
        <w:rPr>
          <w:lang w:val="es-ES"/>
        </w:rPr>
      </w:pPr>
    </w:p>
    <w:p w:rsidR="0062712B" w:rsidRPr="00D20996" w:rsidRDefault="0062712B" w:rsidP="0062712B">
      <w:pPr>
        <w:rPr>
          <w:lang w:val="es-ES"/>
        </w:rPr>
      </w:pPr>
      <w:r w:rsidRPr="00D20996">
        <w:fldChar w:fldCharType="begin"/>
      </w:r>
      <w:r w:rsidRPr="00D20996">
        <w:rPr>
          <w:lang w:val="es-ES"/>
        </w:rPr>
        <w:instrText xml:space="preserve"> AUTONUM  </w:instrText>
      </w:r>
      <w:r w:rsidRPr="00D20996">
        <w:fldChar w:fldCharType="end"/>
      </w:r>
      <w:r w:rsidRPr="00D20996">
        <w:rPr>
          <w:lang w:val="es-ES"/>
        </w:rPr>
        <w:tab/>
      </w:r>
      <w:r w:rsidRPr="00D20996">
        <w:rPr>
          <w:lang w:val="es-ES_tradnl"/>
        </w:rPr>
        <w:t xml:space="preserve">La propuesta presentada por un Estado miembro de la Unión de Lisboa, Israel, </w:t>
      </w:r>
      <w:r w:rsidR="00ED5513">
        <w:rPr>
          <w:lang w:val="es-ES_tradnl"/>
        </w:rPr>
        <w:t>conjuntamente</w:t>
      </w:r>
      <w:r w:rsidR="00ED5513" w:rsidRPr="00D20996">
        <w:rPr>
          <w:lang w:val="es-ES_tradnl"/>
        </w:rPr>
        <w:t xml:space="preserve"> </w:t>
      </w:r>
      <w:r w:rsidRPr="00D20996">
        <w:rPr>
          <w:lang w:val="es-ES_tradnl"/>
        </w:rPr>
        <w:t>con los siguientes Estados observadores</w:t>
      </w:r>
      <w:r w:rsidRPr="00D20996">
        <w:rPr>
          <w:lang w:val="es-ES"/>
        </w:rPr>
        <w:t xml:space="preserve"> (Argentina, Australia, Bhután, Canadá, </w:t>
      </w:r>
      <w:r w:rsidRPr="00D20996">
        <w:rPr>
          <w:lang w:val="es-ES"/>
        </w:rPr>
        <w:lastRenderedPageBreak/>
        <w:t>Chile, Estados Unidos de América, Japón, Nueva Zelandia, Panamá, República de Corea, Singapur</w:t>
      </w:r>
      <w:r w:rsidR="00132579">
        <w:rPr>
          <w:lang w:val="es-ES"/>
        </w:rPr>
        <w:t xml:space="preserve"> y</w:t>
      </w:r>
      <w:r w:rsidRPr="00D20996">
        <w:rPr>
          <w:lang w:val="es-ES"/>
        </w:rPr>
        <w:t xml:space="preserve"> Uruguay) </w:t>
      </w:r>
      <w:r w:rsidRPr="00D20996">
        <w:rPr>
          <w:lang w:val="es-ES_tradnl"/>
        </w:rPr>
        <w:t>no recibió apoyo de ningún otro Estado miembro de la Unión de Lisboa</w:t>
      </w:r>
      <w:r w:rsidRPr="00D20996">
        <w:rPr>
          <w:lang w:val="es-ES"/>
        </w:rPr>
        <w:t>.</w:t>
      </w:r>
    </w:p>
    <w:p w:rsidR="00E269BE" w:rsidRDefault="00E269BE" w:rsidP="006A6AAA">
      <w:pPr>
        <w:rPr>
          <w:lang w:val="es-ES"/>
        </w:rPr>
      </w:pPr>
    </w:p>
    <w:p w:rsidR="00AE6678" w:rsidRPr="003D78AC" w:rsidRDefault="00AE6678" w:rsidP="00AE6678">
      <w:pPr>
        <w:pStyle w:val="Footer"/>
        <w:tabs>
          <w:tab w:val="clear" w:pos="4320"/>
          <w:tab w:val="clear" w:pos="8640"/>
        </w:tabs>
        <w:rPr>
          <w:lang w:val="es-ES_tradnl"/>
        </w:rPr>
      </w:pPr>
      <w:r w:rsidRPr="003D78AC">
        <w:rPr>
          <w:lang w:val="es-ES_tradnl"/>
        </w:rPr>
        <w:fldChar w:fldCharType="begin"/>
      </w:r>
      <w:r w:rsidRPr="003D78AC">
        <w:rPr>
          <w:lang w:val="es-ES_tradnl"/>
        </w:rPr>
        <w:instrText xml:space="preserve"> AUTONUM  </w:instrText>
      </w:r>
      <w:r w:rsidRPr="003D78AC">
        <w:rPr>
          <w:lang w:val="es-ES_tradnl"/>
        </w:rPr>
        <w:fldChar w:fldCharType="end"/>
      </w:r>
      <w:r>
        <w:rPr>
          <w:lang w:val="es-ES_tradnl"/>
        </w:rPr>
        <w:tab/>
      </w:r>
      <w:r w:rsidR="002F4F9C">
        <w:rPr>
          <w:lang w:val="es-ES_tradnl"/>
        </w:rPr>
        <w:t>Al tomar nota de las declaraciones hechas por varios Estados miembros de la OMPI que participaron en la reunión en calidad de observador, e</w:t>
      </w:r>
      <w:r w:rsidRPr="003D78AC">
        <w:rPr>
          <w:lang w:val="es-ES_tradnl"/>
        </w:rPr>
        <w:t>l Comité Preparatorio</w:t>
      </w:r>
      <w:r w:rsidR="002F4F9C">
        <w:rPr>
          <w:lang w:val="es-ES_tradnl"/>
        </w:rPr>
        <w:t>, con la excepción de un miembro de la Unión de Lisboa,</w:t>
      </w:r>
      <w:r w:rsidRPr="003D78AC">
        <w:rPr>
          <w:lang w:val="es-ES_tradnl"/>
        </w:rPr>
        <w:t xml:space="preserve"> </w:t>
      </w:r>
      <w:r>
        <w:rPr>
          <w:lang w:val="es-ES_tradnl"/>
        </w:rPr>
        <w:t xml:space="preserve">acordó transmitir a la Conferencia Diplomática el proyecto de </w:t>
      </w:r>
      <w:r w:rsidRPr="003D78AC">
        <w:rPr>
          <w:lang w:val="es-ES_tradnl"/>
        </w:rPr>
        <w:t>Reglamento de la Conferencia Diplomática</w:t>
      </w:r>
      <w:r>
        <w:rPr>
          <w:lang w:val="es-ES_tradnl"/>
        </w:rPr>
        <w:t xml:space="preserve"> (documento </w:t>
      </w:r>
      <w:r w:rsidRPr="003D78AC">
        <w:rPr>
          <w:lang w:val="es-ES_tradnl"/>
        </w:rPr>
        <w:t>LI/R/PM/2</w:t>
      </w:r>
      <w:r>
        <w:rPr>
          <w:lang w:val="es-ES_tradnl"/>
        </w:rPr>
        <w:t>, con los cambios de redacción anunciados por la Secretaría) y acordó recomendar su adopción en la Conferencia Diplomática, en sesión plenaria.</w:t>
      </w:r>
    </w:p>
    <w:p w:rsidR="00AE6678" w:rsidRPr="003D78AC" w:rsidRDefault="00AE6678" w:rsidP="00AE6678">
      <w:pPr>
        <w:pStyle w:val="Footer"/>
        <w:rPr>
          <w:lang w:val="es-ES_tradnl"/>
        </w:rPr>
      </w:pPr>
    </w:p>
    <w:p w:rsidR="00AE6678" w:rsidRPr="003D78AC" w:rsidRDefault="00AE6678" w:rsidP="00AE6678">
      <w:pPr>
        <w:pStyle w:val="Footer"/>
        <w:rPr>
          <w:lang w:val="es-ES_tradnl"/>
        </w:rPr>
      </w:pPr>
      <w:r>
        <w:rPr>
          <w:lang w:val="es-ES_tradnl"/>
        </w:rPr>
        <w:t>Dichos cambios atañen a las Reglas 1 y 29 del proyecto de Reglamento que rezarán como sigue</w:t>
      </w:r>
      <w:r w:rsidRPr="003D78AC">
        <w:rPr>
          <w:lang w:val="es-ES_tradnl"/>
        </w:rPr>
        <w:t xml:space="preserve">:  </w:t>
      </w:r>
    </w:p>
    <w:p w:rsidR="00AE6678" w:rsidRPr="003D78AC" w:rsidRDefault="00AE6678" w:rsidP="00AE6678">
      <w:pPr>
        <w:pStyle w:val="Footer"/>
        <w:rPr>
          <w:lang w:val="es-ES_tradnl"/>
        </w:rPr>
      </w:pPr>
    </w:p>
    <w:p w:rsidR="00AE6678" w:rsidRPr="003D78AC" w:rsidRDefault="00AE6678" w:rsidP="00AE6678">
      <w:pPr>
        <w:pStyle w:val="Footer"/>
        <w:rPr>
          <w:lang w:val="es-ES_tradnl"/>
        </w:rPr>
      </w:pPr>
      <w:r w:rsidRPr="003D78AC">
        <w:rPr>
          <w:lang w:val="es-ES_tradnl"/>
        </w:rPr>
        <w:t>“Re</w:t>
      </w:r>
      <w:r>
        <w:rPr>
          <w:lang w:val="es-ES_tradnl"/>
        </w:rPr>
        <w:t>gla</w:t>
      </w:r>
      <w:r w:rsidRPr="003D78AC">
        <w:rPr>
          <w:lang w:val="es-ES_tradnl"/>
        </w:rPr>
        <w:t xml:space="preserve"> 1</w:t>
      </w:r>
      <w:r>
        <w:rPr>
          <w:lang w:val="es-ES_tradnl"/>
        </w:rPr>
        <w:t>.</w:t>
      </w:r>
      <w:r w:rsidRPr="003D78AC">
        <w:rPr>
          <w:lang w:val="es-ES_tradnl"/>
        </w:rPr>
        <w:t xml:space="preserve">1) </w:t>
      </w:r>
      <w:r w:rsidRPr="007037B1">
        <w:rPr>
          <w:lang w:val="es-ES_tradnl"/>
        </w:rPr>
        <w:t>El objetivo de la Conferencia Diplomática para la adopción de un</w:t>
      </w:r>
      <w:r w:rsidR="0031538F">
        <w:rPr>
          <w:lang w:val="es-ES_tradnl"/>
        </w:rPr>
        <w:t>a n</w:t>
      </w:r>
      <w:r>
        <w:rPr>
          <w:lang w:val="es-ES_tradnl"/>
        </w:rPr>
        <w:t>ueva Acta del</w:t>
      </w:r>
      <w:r w:rsidRPr="007037B1">
        <w:rPr>
          <w:lang w:val="es-ES_tradnl"/>
        </w:rPr>
        <w:t xml:space="preserve"> Arreglo de Lisboa</w:t>
      </w:r>
      <w:r>
        <w:rPr>
          <w:lang w:val="es-ES_tradnl"/>
        </w:rPr>
        <w:t xml:space="preserve"> </w:t>
      </w:r>
      <w:r w:rsidR="0031538F">
        <w:rPr>
          <w:lang w:val="es-ES_tradnl"/>
        </w:rPr>
        <w:t xml:space="preserve">relativo a </w:t>
      </w:r>
      <w:r>
        <w:rPr>
          <w:lang w:val="es-ES_tradnl"/>
        </w:rPr>
        <w:t xml:space="preserve">la protección de </w:t>
      </w:r>
      <w:r w:rsidRPr="007037B1">
        <w:rPr>
          <w:lang w:val="es-ES_tradnl"/>
        </w:rPr>
        <w:t>las Denominaciones de Origen y</w:t>
      </w:r>
      <w:r>
        <w:rPr>
          <w:lang w:val="es-ES_tradnl"/>
        </w:rPr>
        <w:t xml:space="preserve"> su </w:t>
      </w:r>
      <w:r w:rsidR="0031538F">
        <w:rPr>
          <w:lang w:val="es-ES_tradnl"/>
        </w:rPr>
        <w:t>R</w:t>
      </w:r>
      <w:r>
        <w:rPr>
          <w:lang w:val="es-ES_tradnl"/>
        </w:rPr>
        <w:t xml:space="preserve">egistro </w:t>
      </w:r>
      <w:r w:rsidR="0031538F">
        <w:rPr>
          <w:lang w:val="es-ES_tradnl"/>
        </w:rPr>
        <w:t>I</w:t>
      </w:r>
      <w:r>
        <w:rPr>
          <w:lang w:val="es-ES_tradnl"/>
        </w:rPr>
        <w:t xml:space="preserve">nternacional </w:t>
      </w:r>
      <w:r w:rsidRPr="007037B1">
        <w:rPr>
          <w:lang w:val="es-ES_tradnl"/>
        </w:rPr>
        <w:t>(denominada en</w:t>
      </w:r>
      <w:r>
        <w:rPr>
          <w:lang w:val="es-ES_tradnl"/>
        </w:rPr>
        <w:t xml:space="preserve"> </w:t>
      </w:r>
      <w:r w:rsidRPr="007037B1">
        <w:rPr>
          <w:lang w:val="es-ES_tradnl"/>
        </w:rPr>
        <w:t xml:space="preserve">lo sucesivo “la Conferencia”) es negociar y adoptar </w:t>
      </w:r>
      <w:r>
        <w:rPr>
          <w:lang w:val="es-ES_tradnl"/>
        </w:rPr>
        <w:t xml:space="preserve">dicha </w:t>
      </w:r>
      <w:r w:rsidR="0031538F">
        <w:rPr>
          <w:lang w:val="es-ES_tradnl"/>
        </w:rPr>
        <w:t>n</w:t>
      </w:r>
      <w:r>
        <w:rPr>
          <w:lang w:val="es-ES_tradnl"/>
        </w:rPr>
        <w:t>ueva Acta</w:t>
      </w:r>
      <w:r w:rsidRPr="007037B1">
        <w:rPr>
          <w:lang w:val="es-ES_tradnl"/>
        </w:rPr>
        <w:t xml:space="preserve"> y un</w:t>
      </w:r>
      <w:r>
        <w:rPr>
          <w:lang w:val="es-ES_tradnl"/>
        </w:rPr>
        <w:t xml:space="preserve"> Reglamento relativo a dicha Acta.</w:t>
      </w:r>
      <w:r w:rsidRPr="003D78AC">
        <w:rPr>
          <w:lang w:val="es-ES_tradnl"/>
        </w:rPr>
        <w:t>”</w:t>
      </w:r>
    </w:p>
    <w:p w:rsidR="00AE6678" w:rsidRPr="003D78AC" w:rsidRDefault="00AE6678" w:rsidP="00AE6678">
      <w:pPr>
        <w:pStyle w:val="Footer"/>
        <w:rPr>
          <w:lang w:val="es-ES_tradnl"/>
        </w:rPr>
      </w:pPr>
    </w:p>
    <w:p w:rsidR="00AE6678" w:rsidRDefault="00AE6678" w:rsidP="00AE6678">
      <w:pPr>
        <w:pStyle w:val="Footer"/>
        <w:rPr>
          <w:lang w:val="es-ES_tradnl"/>
        </w:rPr>
      </w:pPr>
      <w:r w:rsidRPr="003D78AC">
        <w:rPr>
          <w:lang w:val="es-ES_tradnl"/>
        </w:rPr>
        <w:t>“</w:t>
      </w:r>
      <w:r>
        <w:rPr>
          <w:lang w:val="es-ES_tradnl"/>
        </w:rPr>
        <w:t>Rule 29.1)</w:t>
      </w:r>
      <w:r w:rsidRPr="003D78AC">
        <w:rPr>
          <w:lang w:val="es-ES_tradnl"/>
        </w:rPr>
        <w:t xml:space="preserve">a) </w:t>
      </w:r>
      <w:r>
        <w:rPr>
          <w:lang w:val="es-ES_tradnl"/>
        </w:rPr>
        <w:t xml:space="preserve">Los documentos </w:t>
      </w:r>
      <w:r w:rsidRPr="003D78AC">
        <w:rPr>
          <w:lang w:val="es-ES_tradnl"/>
        </w:rPr>
        <w:t xml:space="preserve">LI/DC/3 </w:t>
      </w:r>
      <w:r>
        <w:rPr>
          <w:lang w:val="es-ES_tradnl"/>
        </w:rPr>
        <w:t xml:space="preserve">y </w:t>
      </w:r>
      <w:r w:rsidRPr="003D78AC">
        <w:rPr>
          <w:lang w:val="es-ES_tradnl"/>
        </w:rPr>
        <w:t xml:space="preserve">4 </w:t>
      </w:r>
      <w:r>
        <w:rPr>
          <w:lang w:val="es-ES_tradnl"/>
        </w:rPr>
        <w:t>constituirán la base de los debates en la Conferencia, y el texto del proyecto de Reglamento contenido en esos documentos constituirá la “propuesta básica”.</w:t>
      </w:r>
    </w:p>
    <w:p w:rsidR="00AE6678" w:rsidRDefault="00AE6678" w:rsidP="00AE6678">
      <w:pPr>
        <w:pStyle w:val="Footer"/>
        <w:rPr>
          <w:lang w:val="es-ES_tradnl"/>
        </w:rPr>
      </w:pPr>
    </w:p>
    <w:p w:rsidR="002F4F9C" w:rsidRPr="002F4F9C" w:rsidRDefault="002F4F9C" w:rsidP="00AE6678">
      <w:pPr>
        <w:pStyle w:val="Footer"/>
        <w:rPr>
          <w:lang w:val="es-ES_tradnl"/>
        </w:rPr>
      </w:pPr>
      <w:r w:rsidRPr="002F4F9C">
        <w:rPr>
          <w:lang w:val="es-ES_tradnl"/>
        </w:rPr>
        <w:t>Asimismo, se añadir</w:t>
      </w:r>
      <w:r w:rsidR="006833DE">
        <w:rPr>
          <w:lang w:val="es-ES_tradnl"/>
        </w:rPr>
        <w:t>á</w:t>
      </w:r>
      <w:r w:rsidRPr="002F4F9C">
        <w:rPr>
          <w:lang w:val="es-ES_tradnl"/>
        </w:rPr>
        <w:t xml:space="preserve"> en la Regla </w:t>
      </w:r>
      <w:r>
        <w:rPr>
          <w:lang w:val="es-ES_tradnl"/>
        </w:rPr>
        <w:t>29.1)</w:t>
      </w:r>
      <w:r w:rsidRPr="002F4F9C">
        <w:rPr>
          <w:lang w:val="es-ES_tradnl"/>
        </w:rPr>
        <w:t>b)</w:t>
      </w:r>
      <w:r w:rsidR="006833DE">
        <w:rPr>
          <w:lang w:val="es-ES_tradnl"/>
        </w:rPr>
        <w:t xml:space="preserve"> l</w:t>
      </w:r>
      <w:r>
        <w:rPr>
          <w:lang w:val="es-ES_tradnl"/>
        </w:rPr>
        <w:t>a</w:t>
      </w:r>
      <w:r w:rsidRPr="002F4F9C">
        <w:rPr>
          <w:lang w:val="es-ES_tradnl"/>
        </w:rPr>
        <w:t xml:space="preserve"> referenc</w:t>
      </w:r>
      <w:r>
        <w:rPr>
          <w:lang w:val="es-ES_tradnl"/>
        </w:rPr>
        <w:t xml:space="preserve">ia </w:t>
      </w:r>
      <w:r w:rsidRPr="002F4F9C">
        <w:rPr>
          <w:lang w:val="es-ES_tradnl"/>
        </w:rPr>
        <w:t xml:space="preserve">“o </w:t>
      </w:r>
      <w:r>
        <w:rPr>
          <w:lang w:val="es-ES_tradnl"/>
        </w:rPr>
        <w:t>el Proyecto de Reglamento</w:t>
      </w:r>
      <w:r w:rsidRPr="002F4F9C">
        <w:rPr>
          <w:lang w:val="es-ES_tradnl"/>
        </w:rPr>
        <w:t>”.</w:t>
      </w:r>
    </w:p>
    <w:p w:rsidR="002F4F9C" w:rsidRPr="002F4F9C" w:rsidRDefault="002F4F9C" w:rsidP="00AE6678">
      <w:pPr>
        <w:pStyle w:val="Footer"/>
        <w:rPr>
          <w:lang w:val="es-ES_tradnl"/>
        </w:rPr>
      </w:pPr>
    </w:p>
    <w:p w:rsidR="00AE6678" w:rsidRDefault="00AE6678" w:rsidP="00AE6678">
      <w:pPr>
        <w:pStyle w:val="Footer"/>
        <w:tabs>
          <w:tab w:val="clear" w:pos="4320"/>
          <w:tab w:val="clear" w:pos="8640"/>
        </w:tabs>
        <w:rPr>
          <w:lang w:val="es-ES_tradnl"/>
        </w:rPr>
      </w:pPr>
      <w:r w:rsidRPr="003D78AC">
        <w:rPr>
          <w:lang w:val="es-ES_tradnl"/>
        </w:rPr>
        <w:fldChar w:fldCharType="begin"/>
      </w:r>
      <w:r w:rsidRPr="003D78AC">
        <w:rPr>
          <w:lang w:val="es-ES_tradnl"/>
        </w:rPr>
        <w:instrText xml:space="preserve"> AUTONUM  </w:instrText>
      </w:r>
      <w:r w:rsidRPr="003D78AC">
        <w:rPr>
          <w:lang w:val="es-ES_tradnl"/>
        </w:rPr>
        <w:fldChar w:fldCharType="end"/>
      </w:r>
      <w:r w:rsidRPr="003D78AC">
        <w:rPr>
          <w:lang w:val="es-ES_tradnl"/>
        </w:rPr>
        <w:tab/>
      </w:r>
      <w:r>
        <w:rPr>
          <w:lang w:val="es-ES_tradnl"/>
        </w:rPr>
        <w:t xml:space="preserve">El Comité Preparatorio acordó asimismo establecer el plazo del 1 de febrero de 2015 para que todos los Estados miembros de la OMPI presenten sus propuestas por escrito a las modificaciones de la propuesta básica sobre cuestiones que el Grupo de Trabajo sobre el Desarrollo del Sistema de Lisboa haya determinado que están pendientes.  La Secretaría compilará dichas propuestas y las remitirá a la Conferencia Diplomática a título informativo. </w:t>
      </w:r>
    </w:p>
    <w:p w:rsidR="00AE6678" w:rsidRDefault="00AE6678" w:rsidP="006A6AAA">
      <w:pPr>
        <w:rPr>
          <w:lang w:val="es-ES_tradnl"/>
        </w:rPr>
      </w:pPr>
    </w:p>
    <w:p w:rsidR="00E80FB8" w:rsidRDefault="00E80FB8" w:rsidP="006A6AAA">
      <w:pPr>
        <w:rPr>
          <w:lang w:val="es-ES_tradnl"/>
        </w:rPr>
      </w:pPr>
    </w:p>
    <w:p w:rsidR="00E80FB8" w:rsidRPr="002B4894" w:rsidRDefault="00E80FB8" w:rsidP="00E80FB8">
      <w:pPr>
        <w:pStyle w:val="Heading1"/>
        <w:tabs>
          <w:tab w:val="left" w:pos="440"/>
        </w:tabs>
        <w:spacing w:before="0" w:after="0"/>
        <w:rPr>
          <w:lang w:val="es-ES_tradnl"/>
        </w:rPr>
      </w:pPr>
      <w:r w:rsidRPr="002B4894">
        <w:rPr>
          <w:lang w:val="es-ES_tradnl"/>
        </w:rPr>
        <w:t>V.  EXAMEN DE LA LISTA DE INVITADOS A LA CONFERENCIA DIPLOMÁTICA Y DEL TEXTO DE LOS BORRADORES DE LAS CARTAS DE INVITACIÓN</w:t>
      </w:r>
    </w:p>
    <w:p w:rsidR="00E80FB8" w:rsidRPr="002B4894" w:rsidRDefault="00E80FB8" w:rsidP="00E80FB8">
      <w:pPr>
        <w:rPr>
          <w:lang w:val="es-ES_tradnl"/>
        </w:rPr>
      </w:pPr>
    </w:p>
    <w:p w:rsidR="00E80FB8" w:rsidRPr="002B4894" w:rsidRDefault="00E80FB8" w:rsidP="00E80FB8">
      <w:pPr>
        <w:rPr>
          <w:lang w:val="es-ES_tradnl"/>
        </w:rPr>
      </w:pPr>
      <w:r w:rsidRPr="002B4894">
        <w:rPr>
          <w:lang w:val="es-ES_tradnl"/>
        </w:rPr>
        <w:fldChar w:fldCharType="begin"/>
      </w:r>
      <w:r w:rsidRPr="002B4894">
        <w:rPr>
          <w:lang w:val="es-ES_tradnl"/>
        </w:rPr>
        <w:instrText xml:space="preserve"> AUTONUM  </w:instrText>
      </w:r>
      <w:r w:rsidRPr="002B4894">
        <w:rPr>
          <w:lang w:val="es-ES_tradnl"/>
        </w:rPr>
        <w:fldChar w:fldCharType="end"/>
      </w:r>
      <w:r w:rsidRPr="002B4894">
        <w:rPr>
          <w:lang w:val="es-ES_tradnl"/>
        </w:rPr>
        <w:tab/>
        <w:t>Los debates se basaron en el documento LI/R/PM/3.</w:t>
      </w:r>
    </w:p>
    <w:p w:rsidR="00E80FB8" w:rsidRPr="002B4894" w:rsidRDefault="00E80FB8" w:rsidP="00E80FB8">
      <w:pPr>
        <w:rPr>
          <w:lang w:val="es-ES_tradnl"/>
        </w:rPr>
      </w:pPr>
    </w:p>
    <w:p w:rsidR="00E80FB8" w:rsidRPr="002B4894" w:rsidRDefault="00E80FB8" w:rsidP="00E80FB8">
      <w:pPr>
        <w:rPr>
          <w:lang w:val="es-ES_tradnl"/>
        </w:rPr>
      </w:pPr>
      <w:r w:rsidRPr="002B4894">
        <w:rPr>
          <w:lang w:val="es-ES_tradnl"/>
        </w:rPr>
        <w:t xml:space="preserve">El Comité Preparatorio aprobó las propuestas contenidas en el documento LI/R/PM/3, </w:t>
      </w:r>
      <w:r>
        <w:rPr>
          <w:lang w:val="es-ES_tradnl"/>
        </w:rPr>
        <w:t>con sujeción a</w:t>
      </w:r>
      <w:r w:rsidRPr="002B4894">
        <w:rPr>
          <w:lang w:val="es-ES_tradnl"/>
        </w:rPr>
        <w:t xml:space="preserve"> las correcciones que se exponen a continuación.</w:t>
      </w:r>
    </w:p>
    <w:p w:rsidR="00E80FB8" w:rsidRPr="002B4894" w:rsidRDefault="00E80FB8" w:rsidP="00E80FB8">
      <w:pPr>
        <w:rPr>
          <w:lang w:val="es-ES_tradnl"/>
        </w:rPr>
      </w:pPr>
    </w:p>
    <w:p w:rsidR="00E80FB8" w:rsidRPr="002B4894" w:rsidRDefault="00E80FB8" w:rsidP="00E80FB8">
      <w:pPr>
        <w:rPr>
          <w:lang w:val="es-ES_tradnl"/>
        </w:rPr>
      </w:pPr>
      <w:r w:rsidRPr="002B4894">
        <w:rPr>
          <w:lang w:val="es-ES_tradnl"/>
        </w:rPr>
        <w:t>Anex</w:t>
      </w:r>
      <w:r>
        <w:rPr>
          <w:lang w:val="es-ES_tradnl"/>
        </w:rPr>
        <w:t>o</w:t>
      </w:r>
      <w:r w:rsidRPr="002B4894">
        <w:rPr>
          <w:lang w:val="es-ES_tradnl"/>
        </w:rPr>
        <w:t xml:space="preserve"> I:  </w:t>
      </w:r>
      <w:r>
        <w:rPr>
          <w:lang w:val="es-ES_tradnl"/>
        </w:rPr>
        <w:t>sustituir</w:t>
      </w:r>
      <w:r w:rsidRPr="002B4894">
        <w:rPr>
          <w:lang w:val="es-ES_tradnl"/>
        </w:rPr>
        <w:t xml:space="preserve"> “R</w:t>
      </w:r>
      <w:r>
        <w:rPr>
          <w:lang w:val="es-ES_tradnl"/>
        </w:rPr>
        <w:t>umania</w:t>
      </w:r>
      <w:r w:rsidRPr="002B4894">
        <w:rPr>
          <w:lang w:val="es-ES_tradnl"/>
        </w:rPr>
        <w:t xml:space="preserve">” </w:t>
      </w:r>
      <w:r>
        <w:rPr>
          <w:lang w:val="es-ES_tradnl"/>
        </w:rPr>
        <w:t>por</w:t>
      </w:r>
      <w:r w:rsidRPr="002B4894">
        <w:rPr>
          <w:lang w:val="es-ES_tradnl"/>
        </w:rPr>
        <w:t xml:space="preserve"> “Hung</w:t>
      </w:r>
      <w:r>
        <w:rPr>
          <w:lang w:val="es-ES_tradnl"/>
        </w:rPr>
        <w:t>ría</w:t>
      </w:r>
      <w:r w:rsidRPr="002B4894">
        <w:rPr>
          <w:lang w:val="es-ES_tradnl"/>
        </w:rPr>
        <w:t xml:space="preserve">” </w:t>
      </w:r>
      <w:r>
        <w:rPr>
          <w:lang w:val="es-ES_tradnl"/>
        </w:rPr>
        <w:t>en la lista de los Estados que se propone invitar como Delegaciones miembros</w:t>
      </w:r>
      <w:r w:rsidRPr="002B4894">
        <w:rPr>
          <w:lang w:val="es-ES_tradnl"/>
        </w:rPr>
        <w:t>.</w:t>
      </w:r>
    </w:p>
    <w:p w:rsidR="00E80FB8" w:rsidRPr="002B4894" w:rsidRDefault="00E80FB8" w:rsidP="00E80FB8">
      <w:pPr>
        <w:rPr>
          <w:lang w:val="es-ES_tradnl"/>
        </w:rPr>
      </w:pPr>
    </w:p>
    <w:p w:rsidR="00E80FB8" w:rsidRPr="002B4894" w:rsidRDefault="00E80FB8" w:rsidP="00E80FB8">
      <w:pPr>
        <w:rPr>
          <w:lang w:val="es-ES_tradnl"/>
        </w:rPr>
      </w:pPr>
      <w:r w:rsidRPr="002B4894">
        <w:rPr>
          <w:lang w:val="es-ES_tradnl"/>
        </w:rPr>
        <w:t>Anex</w:t>
      </w:r>
      <w:r>
        <w:rPr>
          <w:lang w:val="es-ES_tradnl"/>
        </w:rPr>
        <w:t>o</w:t>
      </w:r>
      <w:r w:rsidRPr="002B4894">
        <w:rPr>
          <w:lang w:val="es-ES_tradnl"/>
        </w:rPr>
        <w:t xml:space="preserve"> III:  </w:t>
      </w:r>
      <w:r>
        <w:rPr>
          <w:lang w:val="es-ES_tradnl"/>
        </w:rPr>
        <w:t>sustituir</w:t>
      </w:r>
      <w:r w:rsidRPr="002B4894">
        <w:rPr>
          <w:lang w:val="es-ES_tradnl"/>
        </w:rPr>
        <w:t xml:space="preserve"> “Hung</w:t>
      </w:r>
      <w:r>
        <w:rPr>
          <w:lang w:val="es-ES_tradnl"/>
        </w:rPr>
        <w:t>ría</w:t>
      </w:r>
      <w:r w:rsidRPr="002B4894">
        <w:rPr>
          <w:lang w:val="es-ES_tradnl"/>
        </w:rPr>
        <w:t xml:space="preserve">” </w:t>
      </w:r>
      <w:r>
        <w:rPr>
          <w:lang w:val="es-ES_tradnl"/>
        </w:rPr>
        <w:t xml:space="preserve">por </w:t>
      </w:r>
      <w:r w:rsidRPr="002B4894">
        <w:rPr>
          <w:lang w:val="es-ES_tradnl"/>
        </w:rPr>
        <w:t>“R</w:t>
      </w:r>
      <w:r>
        <w:rPr>
          <w:lang w:val="es-ES_tradnl"/>
        </w:rPr>
        <w:t>u</w:t>
      </w:r>
      <w:r w:rsidRPr="002B4894">
        <w:rPr>
          <w:lang w:val="es-ES_tradnl"/>
        </w:rPr>
        <w:t xml:space="preserve">mania” </w:t>
      </w:r>
      <w:r>
        <w:rPr>
          <w:lang w:val="es-ES_tradnl"/>
        </w:rPr>
        <w:t>e</w:t>
      </w:r>
      <w:r w:rsidRPr="002B4894">
        <w:rPr>
          <w:lang w:val="es-ES_tradnl"/>
        </w:rPr>
        <w:t xml:space="preserve">n </w:t>
      </w:r>
      <w:r>
        <w:rPr>
          <w:lang w:val="es-ES_tradnl"/>
        </w:rPr>
        <w:t>la lista de Estados que se propone invitar en calidad de Delegaciones observadoras</w:t>
      </w:r>
      <w:r w:rsidRPr="002B4894">
        <w:rPr>
          <w:lang w:val="es-ES_tradnl"/>
        </w:rPr>
        <w:t>.</w:t>
      </w:r>
    </w:p>
    <w:p w:rsidR="00E80FB8" w:rsidRPr="002B4894" w:rsidRDefault="00E80FB8" w:rsidP="00E80FB8">
      <w:pPr>
        <w:rPr>
          <w:lang w:val="es-ES_tradnl"/>
        </w:rPr>
      </w:pPr>
    </w:p>
    <w:p w:rsidR="00E80FB8" w:rsidRPr="002B4894" w:rsidRDefault="002F4F9C" w:rsidP="00E80FB8">
      <w:pPr>
        <w:autoSpaceDE w:val="0"/>
        <w:autoSpaceDN w:val="0"/>
        <w:adjustRightInd w:val="0"/>
        <w:rPr>
          <w:lang w:val="es-ES_tradnl"/>
        </w:rPr>
      </w:pPr>
      <w:r>
        <w:rPr>
          <w:lang w:val="es-ES_tradnl"/>
        </w:rPr>
        <w:t xml:space="preserve">Del </w:t>
      </w:r>
      <w:r w:rsidR="00E80FB8" w:rsidRPr="002B4894">
        <w:rPr>
          <w:lang w:val="es-ES_tradnl"/>
        </w:rPr>
        <w:t>Anex</w:t>
      </w:r>
      <w:r w:rsidR="00E80FB8">
        <w:rPr>
          <w:lang w:val="es-ES_tradnl"/>
        </w:rPr>
        <w:t>o</w:t>
      </w:r>
      <w:r w:rsidR="00E80FB8" w:rsidRPr="002B4894">
        <w:rPr>
          <w:lang w:val="es-ES_tradnl"/>
        </w:rPr>
        <w:t xml:space="preserve"> II </w:t>
      </w:r>
      <w:r>
        <w:rPr>
          <w:lang w:val="es-ES_tradnl"/>
        </w:rPr>
        <w:t>al</w:t>
      </w:r>
      <w:r w:rsidR="00E80FB8">
        <w:rPr>
          <w:lang w:val="es-ES_tradnl"/>
        </w:rPr>
        <w:t xml:space="preserve"> </w:t>
      </w:r>
      <w:r w:rsidR="00E80FB8" w:rsidRPr="002B4894">
        <w:rPr>
          <w:lang w:val="es-ES_tradnl"/>
        </w:rPr>
        <w:t>Anex</w:t>
      </w:r>
      <w:r w:rsidR="00E80FB8">
        <w:rPr>
          <w:lang w:val="es-ES_tradnl"/>
        </w:rPr>
        <w:t>o</w:t>
      </w:r>
      <w:r w:rsidR="006833DE">
        <w:rPr>
          <w:lang w:val="es-ES_tradnl"/>
        </w:rPr>
        <w:t xml:space="preserve"> V</w:t>
      </w:r>
      <w:r w:rsidR="00E80FB8" w:rsidRPr="002B4894">
        <w:rPr>
          <w:lang w:val="es-ES_tradnl"/>
        </w:rPr>
        <w:t xml:space="preserve">:  </w:t>
      </w:r>
      <w:r w:rsidR="00E80FB8">
        <w:rPr>
          <w:lang w:val="es-ES_tradnl"/>
        </w:rPr>
        <w:t xml:space="preserve">sustituir </w:t>
      </w:r>
      <w:r w:rsidR="00E80FB8" w:rsidRPr="002B4894">
        <w:rPr>
          <w:lang w:val="es-ES_tradnl"/>
        </w:rPr>
        <w:t>“</w:t>
      </w:r>
      <w:r w:rsidR="00E80FB8" w:rsidRPr="00E80FB8">
        <w:rPr>
          <w:rFonts w:eastAsiaTheme="minorHAnsi"/>
          <w:sz w:val="21"/>
          <w:szCs w:val="21"/>
          <w:lang w:val="es-ES" w:eastAsia="en-US"/>
        </w:rPr>
        <w:t>Arreglo de Lisboa revisado sobre Denominaciones de Origen e Indicaciones Geográficas</w:t>
      </w:r>
      <w:r w:rsidR="00E80FB8" w:rsidRPr="002B4894">
        <w:rPr>
          <w:lang w:val="es-ES_tradnl"/>
        </w:rPr>
        <w:t xml:space="preserve">” </w:t>
      </w:r>
      <w:r w:rsidR="00E80FB8">
        <w:rPr>
          <w:lang w:val="es-ES_tradnl"/>
        </w:rPr>
        <w:t xml:space="preserve">por </w:t>
      </w:r>
      <w:r w:rsidR="00E80FB8" w:rsidRPr="002B4894">
        <w:rPr>
          <w:lang w:val="es-ES_tradnl"/>
        </w:rPr>
        <w:t>“</w:t>
      </w:r>
      <w:r w:rsidR="00E80FB8">
        <w:rPr>
          <w:lang w:val="es-ES_tradnl"/>
        </w:rPr>
        <w:t>nueva Acta del</w:t>
      </w:r>
      <w:r w:rsidR="00E80FB8" w:rsidRPr="002B4894">
        <w:rPr>
          <w:lang w:val="es-ES_tradnl"/>
        </w:rPr>
        <w:t xml:space="preserve"> </w:t>
      </w:r>
      <w:r w:rsidR="00E80FB8">
        <w:rPr>
          <w:lang w:val="es-ES_tradnl"/>
        </w:rPr>
        <w:t>Arreglo de Lisboa relativo a la Protección de las Denominaciones de Origen y su Registro Internacional</w:t>
      </w:r>
      <w:r w:rsidR="00E80FB8" w:rsidRPr="002B4894">
        <w:rPr>
          <w:lang w:val="es-ES_tradnl"/>
        </w:rPr>
        <w:t>.”</w:t>
      </w:r>
    </w:p>
    <w:p w:rsidR="00E80FB8" w:rsidRPr="002B4894" w:rsidRDefault="00E80FB8" w:rsidP="00E80FB8">
      <w:pPr>
        <w:rPr>
          <w:lang w:val="es-ES_tradnl"/>
        </w:rPr>
      </w:pPr>
    </w:p>
    <w:p w:rsidR="00E80FB8" w:rsidRPr="002B4894" w:rsidRDefault="00E80FB8" w:rsidP="00E80FB8">
      <w:pPr>
        <w:rPr>
          <w:lang w:val="es-ES_tradnl"/>
        </w:rPr>
      </w:pPr>
    </w:p>
    <w:p w:rsidR="00E80FB8" w:rsidRPr="002B4894" w:rsidRDefault="00E80FB8" w:rsidP="00E80FB8">
      <w:pPr>
        <w:pStyle w:val="Heading1"/>
        <w:keepLines/>
        <w:tabs>
          <w:tab w:val="left" w:pos="440"/>
        </w:tabs>
        <w:spacing w:before="0" w:after="0"/>
        <w:rPr>
          <w:lang w:val="es-ES_tradnl"/>
        </w:rPr>
      </w:pPr>
      <w:r w:rsidRPr="002B4894">
        <w:rPr>
          <w:lang w:val="es-ES_tradnl"/>
        </w:rPr>
        <w:lastRenderedPageBreak/>
        <w:t xml:space="preserve">VI.  </w:t>
      </w:r>
      <w:r>
        <w:rPr>
          <w:lang w:val="es-ES_tradnl"/>
        </w:rPr>
        <w:t>EXAMEN DEL PROGRAMA, FECHAS, LUGAR DE Celebración Y OTRAS CUESTIONES DE ORGANIZACIÓN DE LA CONFERENCIA DIPLOMÁTICA</w:t>
      </w:r>
    </w:p>
    <w:p w:rsidR="00E80FB8" w:rsidRPr="002B4894" w:rsidRDefault="00E80FB8" w:rsidP="00E80FB8">
      <w:pPr>
        <w:keepNext/>
        <w:keepLines/>
        <w:rPr>
          <w:lang w:val="es-ES_tradnl"/>
        </w:rPr>
      </w:pPr>
    </w:p>
    <w:p w:rsidR="00E80FB8" w:rsidRPr="002B4894" w:rsidRDefault="00E80FB8" w:rsidP="00E80FB8">
      <w:pPr>
        <w:keepNext/>
        <w:keepLines/>
        <w:rPr>
          <w:lang w:val="es-ES_tradnl"/>
        </w:rPr>
      </w:pPr>
    </w:p>
    <w:p w:rsidR="00E80FB8" w:rsidRPr="002B4894" w:rsidRDefault="00E80FB8" w:rsidP="00E80FB8">
      <w:pPr>
        <w:rPr>
          <w:lang w:val="es-ES_tradnl"/>
        </w:rPr>
      </w:pPr>
      <w:r w:rsidRPr="002B4894">
        <w:rPr>
          <w:lang w:val="es-ES_tradnl"/>
        </w:rPr>
        <w:fldChar w:fldCharType="begin"/>
      </w:r>
      <w:r w:rsidRPr="002B4894">
        <w:rPr>
          <w:lang w:val="es-ES_tradnl"/>
        </w:rPr>
        <w:instrText xml:space="preserve"> AUTONUM  </w:instrText>
      </w:r>
      <w:r w:rsidRPr="002B4894">
        <w:rPr>
          <w:lang w:val="es-ES_tradnl"/>
        </w:rPr>
        <w:fldChar w:fldCharType="end"/>
      </w:r>
      <w:r w:rsidRPr="002B4894">
        <w:rPr>
          <w:lang w:val="es-ES_tradnl"/>
        </w:rPr>
        <w:tab/>
      </w:r>
      <w:r>
        <w:rPr>
          <w:lang w:val="es-ES_tradnl"/>
        </w:rPr>
        <w:t xml:space="preserve">El Comité Preparatorio </w:t>
      </w:r>
      <w:r w:rsidR="006833DE">
        <w:rPr>
          <w:lang w:val="es-ES_tradnl"/>
        </w:rPr>
        <w:t>tomó nota de</w:t>
      </w:r>
      <w:r>
        <w:rPr>
          <w:lang w:val="es-ES_tradnl"/>
        </w:rPr>
        <w:t xml:space="preserve"> la retirada del ofrecimiento del Gobierno de Portugal de ser anfitrión de la Conferencia Diplomática en Lisboa (Portugal).  El Comité Preparatorio convino en que la Conferencia Diplomática tenga lugar en Ginebra, en la nueva sala de conferencias de la OMPI, del11</w:t>
      </w:r>
      <w:r w:rsidRPr="002B4894">
        <w:rPr>
          <w:lang w:val="es-ES_tradnl"/>
        </w:rPr>
        <w:t> </w:t>
      </w:r>
      <w:r>
        <w:rPr>
          <w:lang w:val="es-ES_tradnl"/>
        </w:rPr>
        <w:t xml:space="preserve"> al 21 de mayo de</w:t>
      </w:r>
      <w:r w:rsidRPr="002B4894">
        <w:rPr>
          <w:lang w:val="es-ES_tradnl"/>
        </w:rPr>
        <w:t xml:space="preserve"> 2015.</w:t>
      </w:r>
    </w:p>
    <w:p w:rsidR="00E80FB8" w:rsidRPr="002B4894" w:rsidRDefault="00E80FB8" w:rsidP="00E80FB8">
      <w:pPr>
        <w:rPr>
          <w:lang w:val="es-ES_tradnl"/>
        </w:rPr>
      </w:pPr>
    </w:p>
    <w:p w:rsidR="00E80FB8" w:rsidRPr="002B4894" w:rsidRDefault="00E80FB8" w:rsidP="00E80FB8">
      <w:pPr>
        <w:rPr>
          <w:lang w:val="es-ES_tradnl"/>
        </w:rPr>
      </w:pPr>
      <w:r w:rsidRPr="002B4894">
        <w:rPr>
          <w:lang w:val="es-ES_tradnl"/>
        </w:rPr>
        <w:fldChar w:fldCharType="begin"/>
      </w:r>
      <w:r w:rsidRPr="002B4894">
        <w:rPr>
          <w:lang w:val="es-ES_tradnl"/>
        </w:rPr>
        <w:instrText xml:space="preserve"> AUTONUM  </w:instrText>
      </w:r>
      <w:r w:rsidRPr="002B4894">
        <w:rPr>
          <w:lang w:val="es-ES_tradnl"/>
        </w:rPr>
        <w:fldChar w:fldCharType="end"/>
      </w:r>
      <w:r w:rsidRPr="002B4894">
        <w:rPr>
          <w:lang w:val="es-ES_tradnl"/>
        </w:rPr>
        <w:tab/>
      </w:r>
      <w:r>
        <w:rPr>
          <w:lang w:val="es-ES_tradnl"/>
        </w:rPr>
        <w:t>El Comité Preparatorio aprobó el proyecto de programa de la Conferencia Diplomática</w:t>
      </w:r>
      <w:r w:rsidRPr="002B4894">
        <w:rPr>
          <w:lang w:val="es-ES_tradnl"/>
        </w:rPr>
        <w:t>.</w:t>
      </w:r>
    </w:p>
    <w:p w:rsidR="00E80FB8" w:rsidRPr="002B4894" w:rsidRDefault="00E80FB8" w:rsidP="00E80FB8">
      <w:pPr>
        <w:rPr>
          <w:lang w:val="es-ES_tradnl"/>
        </w:rPr>
      </w:pPr>
    </w:p>
    <w:p w:rsidR="00E80FB8" w:rsidRPr="002B4894" w:rsidRDefault="00E80FB8" w:rsidP="00E80FB8">
      <w:pPr>
        <w:rPr>
          <w:lang w:val="es-ES_tradnl"/>
        </w:rPr>
      </w:pPr>
    </w:p>
    <w:p w:rsidR="00E80FB8" w:rsidRPr="002B4894" w:rsidRDefault="00E80FB8" w:rsidP="00E80FB8">
      <w:pPr>
        <w:rPr>
          <w:lang w:val="es-ES_tradnl"/>
        </w:rPr>
      </w:pPr>
      <w:r w:rsidRPr="002B4894">
        <w:rPr>
          <w:b/>
          <w:lang w:val="es-ES_tradnl"/>
        </w:rPr>
        <w:t xml:space="preserve">VII.  </w:t>
      </w:r>
      <w:r>
        <w:rPr>
          <w:b/>
          <w:lang w:val="es-ES_tradnl"/>
        </w:rPr>
        <w:t>APROBACIÓN DEL INFORME</w:t>
      </w:r>
    </w:p>
    <w:p w:rsidR="00E80FB8" w:rsidRPr="002B4894" w:rsidRDefault="00E80FB8" w:rsidP="00E80FB8">
      <w:pPr>
        <w:rPr>
          <w:lang w:val="es-ES_tradnl"/>
        </w:rPr>
      </w:pPr>
    </w:p>
    <w:p w:rsidR="00E80FB8" w:rsidRPr="002B4894" w:rsidRDefault="00E80FB8" w:rsidP="00E80FB8">
      <w:pPr>
        <w:rPr>
          <w:lang w:val="es-ES_tradnl"/>
        </w:rPr>
      </w:pPr>
    </w:p>
    <w:p w:rsidR="00E80FB8" w:rsidRPr="002B4894" w:rsidRDefault="00E80FB8" w:rsidP="00E80FB8">
      <w:pPr>
        <w:rPr>
          <w:lang w:val="es-ES_tradnl"/>
        </w:rPr>
      </w:pPr>
      <w:r w:rsidRPr="002B4894">
        <w:rPr>
          <w:lang w:val="es-ES_tradnl"/>
        </w:rPr>
        <w:fldChar w:fldCharType="begin"/>
      </w:r>
      <w:r w:rsidRPr="002B4894">
        <w:rPr>
          <w:lang w:val="es-ES_tradnl"/>
        </w:rPr>
        <w:instrText xml:space="preserve"> AUTONUM  </w:instrText>
      </w:r>
      <w:r w:rsidRPr="002B4894">
        <w:rPr>
          <w:lang w:val="es-ES_tradnl"/>
        </w:rPr>
        <w:fldChar w:fldCharType="end"/>
      </w:r>
      <w:r w:rsidRPr="002B4894">
        <w:rPr>
          <w:lang w:val="es-ES_tradnl"/>
        </w:rPr>
        <w:tab/>
      </w:r>
      <w:r>
        <w:rPr>
          <w:lang w:val="es-ES_tradnl"/>
        </w:rPr>
        <w:t>Las Delegaciones aprobaron el proyecto de informe por unanimidad.  El Comité Preparatorio convino también en que la Secretaría prepare un informe, a modo de actas literales, de sus deliberaciones.</w:t>
      </w:r>
      <w:r w:rsidRPr="002B4894">
        <w:rPr>
          <w:lang w:val="es-ES_tradnl"/>
        </w:rPr>
        <w:t xml:space="preserve">  </w:t>
      </w:r>
      <w:r>
        <w:rPr>
          <w:lang w:val="es-ES_tradnl"/>
        </w:rPr>
        <w:t>Dicho informe será publicado en el</w:t>
      </w:r>
      <w:r w:rsidR="006833DE">
        <w:rPr>
          <w:lang w:val="es-ES_tradnl"/>
        </w:rPr>
        <w:t xml:space="preserve"> sitio web de la OMPI antes del </w:t>
      </w:r>
      <w:r>
        <w:rPr>
          <w:lang w:val="es-ES_tradnl"/>
        </w:rPr>
        <w:t>1 de diciembre de</w:t>
      </w:r>
      <w:r w:rsidRPr="002B4894">
        <w:rPr>
          <w:lang w:val="es-ES_tradnl"/>
        </w:rPr>
        <w:t xml:space="preserve"> 2014.  </w:t>
      </w:r>
      <w:r>
        <w:rPr>
          <w:lang w:val="es-ES_tradnl"/>
        </w:rPr>
        <w:t xml:space="preserve">Los Estados miembros </w:t>
      </w:r>
      <w:r w:rsidR="006833DE">
        <w:rPr>
          <w:lang w:val="es-ES_tradnl"/>
        </w:rPr>
        <w:t>y los observadores tendrán hasta el 1 de enero de </w:t>
      </w:r>
      <w:r>
        <w:rPr>
          <w:lang w:val="es-ES_tradnl"/>
        </w:rPr>
        <w:t>2015 de plazo para formular comentarios acerca del mismo</w:t>
      </w:r>
      <w:r w:rsidRPr="002B4894">
        <w:rPr>
          <w:lang w:val="es-ES_tradnl"/>
        </w:rPr>
        <w:t>.</w:t>
      </w:r>
    </w:p>
    <w:p w:rsidR="00E80FB8" w:rsidRPr="002B4894" w:rsidRDefault="00E80FB8" w:rsidP="00E80FB8">
      <w:pPr>
        <w:pStyle w:val="Footer"/>
        <w:rPr>
          <w:lang w:val="es-ES_tradnl"/>
        </w:rPr>
      </w:pPr>
    </w:p>
    <w:p w:rsidR="00E80FB8" w:rsidRDefault="00E80FB8" w:rsidP="006A6AAA">
      <w:pPr>
        <w:rPr>
          <w:lang w:val="es-ES_tradnl"/>
        </w:rPr>
      </w:pPr>
    </w:p>
    <w:p w:rsidR="00E80FB8" w:rsidRPr="00AE6678" w:rsidRDefault="00E80FB8" w:rsidP="00E80FB8">
      <w:pPr>
        <w:pStyle w:val="Endofdocument-Annex"/>
        <w:rPr>
          <w:lang w:val="es-ES_tradnl"/>
        </w:rPr>
      </w:pPr>
      <w:r>
        <w:rPr>
          <w:lang w:val="es-ES_tradnl"/>
        </w:rPr>
        <w:t>[Fin del documento]</w:t>
      </w:r>
    </w:p>
    <w:sectPr w:rsidR="00E80FB8" w:rsidRPr="00AE6678" w:rsidSect="00E931A9">
      <w:headerReference w:type="default" r:id="rId10"/>
      <w:endnotePr>
        <w:numFmt w:val="decimal"/>
      </w:endnotePr>
      <w:pgSz w:w="11907" w:h="16840" w:code="9"/>
      <w:pgMar w:top="562" w:right="1138" w:bottom="1411" w:left="1411" w:header="504" w:footer="102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43" w:rsidRDefault="00456543">
      <w:r>
        <w:separator/>
      </w:r>
    </w:p>
  </w:endnote>
  <w:endnote w:type="continuationSeparator" w:id="0">
    <w:p w:rsidR="00456543" w:rsidRDefault="00456543" w:rsidP="003B38C1">
      <w:r>
        <w:separator/>
      </w:r>
    </w:p>
    <w:p w:rsidR="00456543" w:rsidRPr="003B38C1" w:rsidRDefault="00456543" w:rsidP="003B38C1">
      <w:pPr>
        <w:spacing w:after="60"/>
        <w:rPr>
          <w:sz w:val="17"/>
        </w:rPr>
      </w:pPr>
      <w:r>
        <w:rPr>
          <w:sz w:val="17"/>
        </w:rPr>
        <w:t>[Endnote continued from previous page]</w:t>
      </w:r>
    </w:p>
  </w:endnote>
  <w:endnote w:type="continuationNotice" w:id="1">
    <w:p w:rsidR="00456543" w:rsidRPr="003B38C1" w:rsidRDefault="004565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43" w:rsidRDefault="00456543">
      <w:r>
        <w:separator/>
      </w:r>
    </w:p>
  </w:footnote>
  <w:footnote w:type="continuationSeparator" w:id="0">
    <w:p w:rsidR="00456543" w:rsidRDefault="00456543" w:rsidP="008B60B2">
      <w:r>
        <w:separator/>
      </w:r>
    </w:p>
    <w:p w:rsidR="00456543" w:rsidRPr="00ED77FB" w:rsidRDefault="00456543" w:rsidP="008B60B2">
      <w:pPr>
        <w:spacing w:after="60"/>
        <w:rPr>
          <w:sz w:val="17"/>
          <w:szCs w:val="17"/>
        </w:rPr>
      </w:pPr>
      <w:r w:rsidRPr="00ED77FB">
        <w:rPr>
          <w:sz w:val="17"/>
          <w:szCs w:val="17"/>
        </w:rPr>
        <w:t>[Footnote continued from previous page]</w:t>
      </w:r>
    </w:p>
  </w:footnote>
  <w:footnote w:type="continuationNotice" w:id="1">
    <w:p w:rsidR="00456543" w:rsidRPr="00ED77FB" w:rsidRDefault="0045654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43" w:rsidRPr="00712840" w:rsidRDefault="00456543" w:rsidP="00CF7F18">
    <w:pPr>
      <w:pStyle w:val="Header"/>
      <w:jc w:val="right"/>
      <w:rPr>
        <w:lang w:val="es-ES_tradnl"/>
      </w:rPr>
    </w:pPr>
    <w:r w:rsidRPr="00712840">
      <w:rPr>
        <w:lang w:val="es-ES_tradnl"/>
      </w:rPr>
      <w:t>LI/R/PM/</w:t>
    </w:r>
    <w:r w:rsidR="00E931A9">
      <w:rPr>
        <w:lang w:val="es-ES_tradnl"/>
      </w:rPr>
      <w:t>6</w:t>
    </w:r>
  </w:p>
  <w:p w:rsidR="00456543" w:rsidRPr="00712840" w:rsidRDefault="00456543" w:rsidP="00CF7F18">
    <w:pPr>
      <w:pStyle w:val="Header"/>
      <w:jc w:val="right"/>
      <w:rPr>
        <w:lang w:val="es-ES_tradnl"/>
      </w:rPr>
    </w:pPr>
    <w:r w:rsidRPr="00712840">
      <w:rPr>
        <w:lang w:val="es-ES_tradnl"/>
      </w:rPr>
      <w:t xml:space="preserve">página </w:t>
    </w:r>
    <w:sdt>
      <w:sdtPr>
        <w:id w:val="2091269678"/>
        <w:docPartObj>
          <w:docPartGallery w:val="Page Numbers (Top of Page)"/>
          <w:docPartUnique/>
        </w:docPartObj>
      </w:sdtPr>
      <w:sdtEndPr>
        <w:rPr>
          <w:noProof/>
        </w:rPr>
      </w:sdtEndPr>
      <w:sdtContent>
        <w:r>
          <w:fldChar w:fldCharType="begin"/>
        </w:r>
        <w:r w:rsidRPr="00712840">
          <w:rPr>
            <w:lang w:val="es-ES_tradnl"/>
          </w:rPr>
          <w:instrText xml:space="preserve"> PAGE   \* MERGEFORMAT </w:instrText>
        </w:r>
        <w:r>
          <w:fldChar w:fldCharType="separate"/>
        </w:r>
        <w:r w:rsidR="0070613D">
          <w:rPr>
            <w:noProof/>
            <w:lang w:val="es-ES_tradnl"/>
          </w:rPr>
          <w:t>4</w:t>
        </w:r>
        <w:r>
          <w:rPr>
            <w:noProof/>
          </w:rPr>
          <w:fldChar w:fldCharType="end"/>
        </w:r>
      </w:sdtContent>
    </w:sdt>
  </w:p>
  <w:p w:rsidR="00456543" w:rsidRPr="00712840" w:rsidRDefault="00456543" w:rsidP="00CF7F18">
    <w:pP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A366DE1"/>
    <w:multiLevelType w:val="hybridMultilevel"/>
    <w:tmpl w:val="5B0EBABC"/>
    <w:lvl w:ilvl="0" w:tplc="0E042F8E">
      <w:start w:val="15"/>
      <w:numFmt w:val="decimal"/>
      <w:lvlText w:val="%1."/>
      <w:lvlJc w:val="left"/>
      <w:pPr>
        <w:tabs>
          <w:tab w:val="num" w:pos="930"/>
        </w:tabs>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A8C4109"/>
    <w:multiLevelType w:val="hybridMultilevel"/>
    <w:tmpl w:val="6666C680"/>
    <w:lvl w:ilvl="0" w:tplc="0E042F8E">
      <w:start w:val="1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321DD1"/>
    <w:multiLevelType w:val="hybridMultilevel"/>
    <w:tmpl w:val="76143D44"/>
    <w:lvl w:ilvl="0" w:tplc="94667336">
      <w:start w:val="1"/>
      <w:numFmt w:val="decimal"/>
      <w:lvlText w:val="%1."/>
      <w:lvlJc w:val="left"/>
      <w:pPr>
        <w:ind w:left="930" w:hanging="57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8A031BE"/>
    <w:multiLevelType w:val="hybridMultilevel"/>
    <w:tmpl w:val="4738AFA8"/>
    <w:lvl w:ilvl="0" w:tplc="01543DB2">
      <w:start w:val="1"/>
      <w:numFmt w:val="decimal"/>
      <w:lvlText w:val="%1)"/>
      <w:lvlJc w:val="left"/>
      <w:pPr>
        <w:ind w:left="930" w:hanging="57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36CD3"/>
    <w:multiLevelType w:val="hybridMultilevel"/>
    <w:tmpl w:val="455C42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1F7EC6"/>
    <w:multiLevelType w:val="hybridMultilevel"/>
    <w:tmpl w:val="CE1C8586"/>
    <w:lvl w:ilvl="0" w:tplc="0E7AAE36">
      <w:start w:val="7"/>
      <w:numFmt w:val="lowerRoman"/>
      <w:lvlText w:val="%1)"/>
      <w:lvlJc w:val="left"/>
      <w:pPr>
        <w:ind w:left="1288" w:hanging="720"/>
      </w:pPr>
      <w:rPr>
        <w:rFonts w:hint="default"/>
        <w:color w:val="80808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343103FA"/>
    <w:multiLevelType w:val="hybridMultilevel"/>
    <w:tmpl w:val="80107220"/>
    <w:lvl w:ilvl="0" w:tplc="C0A656DA">
      <w:start w:val="1"/>
      <w:numFmt w:val="lowerRoman"/>
      <w:lvlText w:val="%1)"/>
      <w:lvlJc w:val="left"/>
      <w:pPr>
        <w:ind w:left="1287" w:hanging="720"/>
      </w:pPr>
      <w:rPr>
        <w:rFonts w:ascii="Arial" w:eastAsiaTheme="minorHAnsi"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57D317B"/>
    <w:multiLevelType w:val="hybridMultilevel"/>
    <w:tmpl w:val="77068F04"/>
    <w:lvl w:ilvl="0" w:tplc="19123A52">
      <w:start w:val="1"/>
      <w:numFmt w:val="lowerRoman"/>
      <w:lvlText w:val="%1)"/>
      <w:lvlJc w:val="left"/>
      <w:pPr>
        <w:ind w:left="1287" w:hanging="720"/>
      </w:pPr>
      <w:rPr>
        <w:rFonts w:ascii="Arial" w:eastAsiaTheme="minorHAnsi" w:hAnsi="Arial" w:cs="Arial"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D3675E4"/>
    <w:multiLevelType w:val="hybridMultilevel"/>
    <w:tmpl w:val="EEBA047E"/>
    <w:lvl w:ilvl="0" w:tplc="0E042F8E">
      <w:start w:val="15"/>
      <w:numFmt w:val="decimal"/>
      <w:lvlText w:val="%1."/>
      <w:lvlJc w:val="left"/>
      <w:pPr>
        <w:tabs>
          <w:tab w:val="num" w:pos="930"/>
        </w:tabs>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CE6944"/>
    <w:multiLevelType w:val="hybridMultilevel"/>
    <w:tmpl w:val="60F4EE3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5EBE6C35"/>
    <w:multiLevelType w:val="hybridMultilevel"/>
    <w:tmpl w:val="E2AEE35C"/>
    <w:lvl w:ilvl="0" w:tplc="7F94C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1C5E0B"/>
    <w:multiLevelType w:val="hybridMultilevel"/>
    <w:tmpl w:val="75106028"/>
    <w:lvl w:ilvl="0" w:tplc="36FA6D54">
      <w:start w:val="1"/>
      <w:numFmt w:val="lowerRoman"/>
      <w:lvlText w:val="%1)"/>
      <w:lvlJc w:val="left"/>
      <w:pPr>
        <w:ind w:left="1287" w:hanging="720"/>
      </w:pPr>
      <w:rPr>
        <w:rFonts w:ascii="Arial" w:eastAsiaTheme="minorHAnsi" w:hAnsi="Arial" w:cs="Arial"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8AB0151"/>
    <w:multiLevelType w:val="hybridMultilevel"/>
    <w:tmpl w:val="EE001B92"/>
    <w:lvl w:ilvl="0" w:tplc="2376E756">
      <w:start w:val="1"/>
      <w:numFmt w:val="decimal"/>
      <w:pStyle w:val="ListBullet"/>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7C6918B5"/>
    <w:multiLevelType w:val="hybridMultilevel"/>
    <w:tmpl w:val="36305D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7CA11102"/>
    <w:multiLevelType w:val="hybridMultilevel"/>
    <w:tmpl w:val="5E16C7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7FC218CC"/>
    <w:multiLevelType w:val="hybridMultilevel"/>
    <w:tmpl w:val="5568DFF6"/>
    <w:lvl w:ilvl="0" w:tplc="01543DB2">
      <w:start w:val="1"/>
      <w:numFmt w:val="decimal"/>
      <w:lvlText w:val="%1)"/>
      <w:lvlJc w:val="left"/>
      <w:pPr>
        <w:ind w:left="930" w:hanging="57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5"/>
  </w:num>
  <w:num w:numId="5">
    <w:abstractNumId w:val="2"/>
  </w:num>
  <w:num w:numId="6">
    <w:abstractNumId w:val="7"/>
  </w:num>
  <w:num w:numId="7">
    <w:abstractNumId w:val="4"/>
  </w:num>
  <w:num w:numId="8">
    <w:abstractNumId w:val="17"/>
  </w:num>
  <w:num w:numId="9">
    <w:abstractNumId w:val="16"/>
  </w:num>
  <w:num w:numId="10">
    <w:abstractNumId w:val="19"/>
  </w:num>
  <w:num w:numId="11">
    <w:abstractNumId w:val="21"/>
  </w:num>
  <w:num w:numId="12">
    <w:abstractNumId w:val="19"/>
    <w:lvlOverride w:ilvl="0">
      <w:startOverride w:val="1"/>
    </w:lvlOverride>
  </w:num>
  <w:num w:numId="13">
    <w:abstractNumId w:val="20"/>
  </w:num>
  <w:num w:numId="14">
    <w:abstractNumId w:val="5"/>
  </w:num>
  <w:num w:numId="15">
    <w:abstractNumId w:val="3"/>
  </w:num>
  <w:num w:numId="16">
    <w:abstractNumId w:val="13"/>
  </w:num>
  <w:num w:numId="1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18">
    <w:abstractNumId w:val="8"/>
  </w:num>
  <w:num w:numId="19">
    <w:abstractNumId w:val="22"/>
  </w:num>
  <w:num w:numId="20">
    <w:abstractNumId w:val="11"/>
  </w:num>
  <w:num w:numId="21">
    <w:abstractNumId w:val="10"/>
  </w:num>
  <w:num w:numId="22">
    <w:abstractNumId w:val="12"/>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11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04"/>
    <w:rsid w:val="00000DF1"/>
    <w:rsid w:val="000401D1"/>
    <w:rsid w:val="000427AA"/>
    <w:rsid w:val="00043CAA"/>
    <w:rsid w:val="00044D3A"/>
    <w:rsid w:val="00052D73"/>
    <w:rsid w:val="00073AF9"/>
    <w:rsid w:val="00075432"/>
    <w:rsid w:val="000762E4"/>
    <w:rsid w:val="0009657E"/>
    <w:rsid w:val="000968ED"/>
    <w:rsid w:val="000D31FB"/>
    <w:rsid w:val="000D404B"/>
    <w:rsid w:val="000E0006"/>
    <w:rsid w:val="000F5E56"/>
    <w:rsid w:val="00132579"/>
    <w:rsid w:val="001349ED"/>
    <w:rsid w:val="001362EE"/>
    <w:rsid w:val="00142E13"/>
    <w:rsid w:val="001611C4"/>
    <w:rsid w:val="00165289"/>
    <w:rsid w:val="00176873"/>
    <w:rsid w:val="00182A73"/>
    <w:rsid w:val="001832A6"/>
    <w:rsid w:val="00192F08"/>
    <w:rsid w:val="001A3CEA"/>
    <w:rsid w:val="001E2230"/>
    <w:rsid w:val="001F24A3"/>
    <w:rsid w:val="001F36E2"/>
    <w:rsid w:val="00210F02"/>
    <w:rsid w:val="002135BC"/>
    <w:rsid w:val="00215CE4"/>
    <w:rsid w:val="00216551"/>
    <w:rsid w:val="00227FD1"/>
    <w:rsid w:val="00232EF4"/>
    <w:rsid w:val="002373F6"/>
    <w:rsid w:val="002605EA"/>
    <w:rsid w:val="002634C4"/>
    <w:rsid w:val="0026782B"/>
    <w:rsid w:val="00270AB6"/>
    <w:rsid w:val="00275582"/>
    <w:rsid w:val="00283D22"/>
    <w:rsid w:val="002928D3"/>
    <w:rsid w:val="00292BC3"/>
    <w:rsid w:val="00295309"/>
    <w:rsid w:val="002A051C"/>
    <w:rsid w:val="002F1FE6"/>
    <w:rsid w:val="002F4E68"/>
    <w:rsid w:val="002F4F9C"/>
    <w:rsid w:val="00312F7F"/>
    <w:rsid w:val="0031538F"/>
    <w:rsid w:val="00316D4F"/>
    <w:rsid w:val="00320967"/>
    <w:rsid w:val="00321844"/>
    <w:rsid w:val="00323054"/>
    <w:rsid w:val="0032594C"/>
    <w:rsid w:val="00327581"/>
    <w:rsid w:val="00361450"/>
    <w:rsid w:val="0036159D"/>
    <w:rsid w:val="003673CF"/>
    <w:rsid w:val="00370DB8"/>
    <w:rsid w:val="003845C1"/>
    <w:rsid w:val="00396B7D"/>
    <w:rsid w:val="003A6F89"/>
    <w:rsid w:val="003B227C"/>
    <w:rsid w:val="003B38C1"/>
    <w:rsid w:val="003C6E3A"/>
    <w:rsid w:val="003D5578"/>
    <w:rsid w:val="003F4B4B"/>
    <w:rsid w:val="004003D9"/>
    <w:rsid w:val="00417687"/>
    <w:rsid w:val="00423E3E"/>
    <w:rsid w:val="00425740"/>
    <w:rsid w:val="00427AF4"/>
    <w:rsid w:val="00456543"/>
    <w:rsid w:val="004573DF"/>
    <w:rsid w:val="0045787F"/>
    <w:rsid w:val="004647DA"/>
    <w:rsid w:val="00464849"/>
    <w:rsid w:val="00474062"/>
    <w:rsid w:val="004770D3"/>
    <w:rsid w:val="00477D6B"/>
    <w:rsid w:val="004C47FB"/>
    <w:rsid w:val="004C632A"/>
    <w:rsid w:val="004E2E72"/>
    <w:rsid w:val="005019FF"/>
    <w:rsid w:val="005119CE"/>
    <w:rsid w:val="00522859"/>
    <w:rsid w:val="00524DAB"/>
    <w:rsid w:val="0053057A"/>
    <w:rsid w:val="00540543"/>
    <w:rsid w:val="0054632F"/>
    <w:rsid w:val="00560A29"/>
    <w:rsid w:val="00571E3C"/>
    <w:rsid w:val="00572893"/>
    <w:rsid w:val="005A10C7"/>
    <w:rsid w:val="005A4F1F"/>
    <w:rsid w:val="005B32D2"/>
    <w:rsid w:val="005B612A"/>
    <w:rsid w:val="005C21C3"/>
    <w:rsid w:val="005C6649"/>
    <w:rsid w:val="005D4544"/>
    <w:rsid w:val="00605827"/>
    <w:rsid w:val="0062617D"/>
    <w:rsid w:val="0062712B"/>
    <w:rsid w:val="00646050"/>
    <w:rsid w:val="00660A21"/>
    <w:rsid w:val="00664080"/>
    <w:rsid w:val="006713CA"/>
    <w:rsid w:val="00676C5C"/>
    <w:rsid w:val="006833DE"/>
    <w:rsid w:val="00684DAB"/>
    <w:rsid w:val="00690EF8"/>
    <w:rsid w:val="006A6AAA"/>
    <w:rsid w:val="006B0757"/>
    <w:rsid w:val="006D64A1"/>
    <w:rsid w:val="006F1DC5"/>
    <w:rsid w:val="006F449C"/>
    <w:rsid w:val="006F47ED"/>
    <w:rsid w:val="007003CD"/>
    <w:rsid w:val="0070613D"/>
    <w:rsid w:val="00706734"/>
    <w:rsid w:val="00712840"/>
    <w:rsid w:val="00743B90"/>
    <w:rsid w:val="00755DFB"/>
    <w:rsid w:val="007B34C5"/>
    <w:rsid w:val="007B3974"/>
    <w:rsid w:val="007B4207"/>
    <w:rsid w:val="007C1416"/>
    <w:rsid w:val="007C5090"/>
    <w:rsid w:val="007D1613"/>
    <w:rsid w:val="007D5941"/>
    <w:rsid w:val="007E3BFD"/>
    <w:rsid w:val="007F267D"/>
    <w:rsid w:val="00803AA8"/>
    <w:rsid w:val="00806210"/>
    <w:rsid w:val="00822AE8"/>
    <w:rsid w:val="00827AA6"/>
    <w:rsid w:val="008377C4"/>
    <w:rsid w:val="00844CB0"/>
    <w:rsid w:val="00861089"/>
    <w:rsid w:val="0086674D"/>
    <w:rsid w:val="00866E78"/>
    <w:rsid w:val="008743A9"/>
    <w:rsid w:val="00877EAE"/>
    <w:rsid w:val="008858A3"/>
    <w:rsid w:val="008919A6"/>
    <w:rsid w:val="008A543C"/>
    <w:rsid w:val="008A7B58"/>
    <w:rsid w:val="008B2CC1"/>
    <w:rsid w:val="008B4FC4"/>
    <w:rsid w:val="008B60B2"/>
    <w:rsid w:val="008B6E2E"/>
    <w:rsid w:val="008C2F11"/>
    <w:rsid w:val="008C3210"/>
    <w:rsid w:val="008F2F6B"/>
    <w:rsid w:val="0090731E"/>
    <w:rsid w:val="009127AF"/>
    <w:rsid w:val="00914AD2"/>
    <w:rsid w:val="00916EE2"/>
    <w:rsid w:val="00921345"/>
    <w:rsid w:val="009279D1"/>
    <w:rsid w:val="00933CD0"/>
    <w:rsid w:val="00936760"/>
    <w:rsid w:val="00940613"/>
    <w:rsid w:val="009441DB"/>
    <w:rsid w:val="00954C9D"/>
    <w:rsid w:val="00966A22"/>
    <w:rsid w:val="0096722F"/>
    <w:rsid w:val="00973D16"/>
    <w:rsid w:val="00980843"/>
    <w:rsid w:val="009811B5"/>
    <w:rsid w:val="009904CD"/>
    <w:rsid w:val="00991C78"/>
    <w:rsid w:val="009A0AD8"/>
    <w:rsid w:val="009D4820"/>
    <w:rsid w:val="009D4BE0"/>
    <w:rsid w:val="009E2791"/>
    <w:rsid w:val="009E3E0C"/>
    <w:rsid w:val="009E3F6F"/>
    <w:rsid w:val="009E6E24"/>
    <w:rsid w:val="009F0515"/>
    <w:rsid w:val="009F499F"/>
    <w:rsid w:val="009F4DFA"/>
    <w:rsid w:val="00A05207"/>
    <w:rsid w:val="00A42DAF"/>
    <w:rsid w:val="00A45BD8"/>
    <w:rsid w:val="00A71BD3"/>
    <w:rsid w:val="00A823B7"/>
    <w:rsid w:val="00A83C0D"/>
    <w:rsid w:val="00A84BDF"/>
    <w:rsid w:val="00A855D0"/>
    <w:rsid w:val="00A869B7"/>
    <w:rsid w:val="00A954F8"/>
    <w:rsid w:val="00AA5D8A"/>
    <w:rsid w:val="00AB1821"/>
    <w:rsid w:val="00AB79B3"/>
    <w:rsid w:val="00AC10C9"/>
    <w:rsid w:val="00AC1F7E"/>
    <w:rsid w:val="00AC205C"/>
    <w:rsid w:val="00AE295B"/>
    <w:rsid w:val="00AE6678"/>
    <w:rsid w:val="00AE6DAE"/>
    <w:rsid w:val="00AE7EB1"/>
    <w:rsid w:val="00AF0A6B"/>
    <w:rsid w:val="00B05A69"/>
    <w:rsid w:val="00B134F1"/>
    <w:rsid w:val="00B21C78"/>
    <w:rsid w:val="00B22CBA"/>
    <w:rsid w:val="00B230B1"/>
    <w:rsid w:val="00B35C30"/>
    <w:rsid w:val="00B449BB"/>
    <w:rsid w:val="00B506B8"/>
    <w:rsid w:val="00B9734B"/>
    <w:rsid w:val="00BC2AC0"/>
    <w:rsid w:val="00BC2DFD"/>
    <w:rsid w:val="00BE7BB9"/>
    <w:rsid w:val="00BF25D8"/>
    <w:rsid w:val="00BF4C93"/>
    <w:rsid w:val="00BF7223"/>
    <w:rsid w:val="00C11BFE"/>
    <w:rsid w:val="00C141D6"/>
    <w:rsid w:val="00C34CDC"/>
    <w:rsid w:val="00C5368F"/>
    <w:rsid w:val="00C70F7C"/>
    <w:rsid w:val="00C76F32"/>
    <w:rsid w:val="00C817FE"/>
    <w:rsid w:val="00C82C83"/>
    <w:rsid w:val="00CA3D18"/>
    <w:rsid w:val="00CB080F"/>
    <w:rsid w:val="00CC654C"/>
    <w:rsid w:val="00CE40D3"/>
    <w:rsid w:val="00CF7F18"/>
    <w:rsid w:val="00D0216C"/>
    <w:rsid w:val="00D14A0E"/>
    <w:rsid w:val="00D20996"/>
    <w:rsid w:val="00D45252"/>
    <w:rsid w:val="00D56DFD"/>
    <w:rsid w:val="00D71B4D"/>
    <w:rsid w:val="00D7385E"/>
    <w:rsid w:val="00D75572"/>
    <w:rsid w:val="00D80804"/>
    <w:rsid w:val="00D93D55"/>
    <w:rsid w:val="00D97A43"/>
    <w:rsid w:val="00DA1658"/>
    <w:rsid w:val="00DA29DA"/>
    <w:rsid w:val="00DB6B9A"/>
    <w:rsid w:val="00DD4DBB"/>
    <w:rsid w:val="00DE520E"/>
    <w:rsid w:val="00E003FE"/>
    <w:rsid w:val="00E12F85"/>
    <w:rsid w:val="00E14021"/>
    <w:rsid w:val="00E269BE"/>
    <w:rsid w:val="00E3343F"/>
    <w:rsid w:val="00E335FE"/>
    <w:rsid w:val="00E3711F"/>
    <w:rsid w:val="00E408FF"/>
    <w:rsid w:val="00E553CA"/>
    <w:rsid w:val="00E71E13"/>
    <w:rsid w:val="00E80FB8"/>
    <w:rsid w:val="00E931A9"/>
    <w:rsid w:val="00E97FB0"/>
    <w:rsid w:val="00EA4EE4"/>
    <w:rsid w:val="00EB28D3"/>
    <w:rsid w:val="00EC108F"/>
    <w:rsid w:val="00EC4E49"/>
    <w:rsid w:val="00ED5513"/>
    <w:rsid w:val="00ED77FB"/>
    <w:rsid w:val="00EE3C70"/>
    <w:rsid w:val="00EE45FA"/>
    <w:rsid w:val="00EF7AB3"/>
    <w:rsid w:val="00F00300"/>
    <w:rsid w:val="00F03797"/>
    <w:rsid w:val="00F17383"/>
    <w:rsid w:val="00F571A2"/>
    <w:rsid w:val="00F6537A"/>
    <w:rsid w:val="00F66152"/>
    <w:rsid w:val="00F72076"/>
    <w:rsid w:val="00F7529D"/>
    <w:rsid w:val="00F877D6"/>
    <w:rsid w:val="00FA240C"/>
    <w:rsid w:val="00FF20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6B07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D8080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80804"/>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D80804"/>
    <w:pPr>
      <w:tabs>
        <w:tab w:val="right" w:pos="851"/>
      </w:tabs>
      <w:spacing w:after="240"/>
      <w:ind w:firstLine="567"/>
    </w:pPr>
    <w:rPr>
      <w:rFonts w:ascii="Times New Roman" w:eastAsia="Times New Roman" w:hAnsi="Times New Roman" w:cs="Times New Roman"/>
      <w:sz w:val="24"/>
      <w:lang w:eastAsia="en-US"/>
    </w:rPr>
  </w:style>
  <w:style w:type="paragraph" w:customStyle="1" w:styleId="DecisionParagraph">
    <w:name w:val="Decision Paragraph"/>
    <w:basedOn w:val="Normal"/>
    <w:rsid w:val="00D80804"/>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275582"/>
    <w:pPr>
      <w:numPr>
        <w:numId w:val="10"/>
      </w:numPr>
      <w:tabs>
        <w:tab w:val="left" w:pos="630"/>
      </w:tabs>
      <w:ind w:left="0" w:firstLine="0"/>
    </w:pPr>
    <w:rPr>
      <w:rFonts w:eastAsia="Times New Roman"/>
      <w:szCs w:val="22"/>
      <w:lang w:eastAsia="en-US"/>
    </w:rPr>
  </w:style>
  <w:style w:type="character" w:styleId="CommentReference">
    <w:name w:val="annotation reference"/>
    <w:semiHidden/>
    <w:rsid w:val="00D80804"/>
    <w:rPr>
      <w:sz w:val="16"/>
      <w:szCs w:val="16"/>
    </w:rPr>
  </w:style>
  <w:style w:type="paragraph" w:styleId="BalloonText">
    <w:name w:val="Balloon Text"/>
    <w:basedOn w:val="Normal"/>
    <w:semiHidden/>
    <w:rsid w:val="00D80804"/>
    <w:rPr>
      <w:rFonts w:ascii="Tahoma" w:hAnsi="Tahoma" w:cs="Tahoma"/>
      <w:sz w:val="16"/>
      <w:szCs w:val="16"/>
    </w:rPr>
  </w:style>
  <w:style w:type="paragraph" w:styleId="ListParagraph">
    <w:name w:val="List Paragraph"/>
    <w:basedOn w:val="Normal"/>
    <w:uiPriority w:val="34"/>
    <w:qFormat/>
    <w:rsid w:val="00176873"/>
    <w:pPr>
      <w:ind w:left="720"/>
      <w:contextualSpacing/>
    </w:pPr>
  </w:style>
  <w:style w:type="character" w:customStyle="1" w:styleId="HeaderChar">
    <w:name w:val="Header Char"/>
    <w:basedOn w:val="DefaultParagraphFont"/>
    <w:link w:val="Header"/>
    <w:uiPriority w:val="99"/>
    <w:rsid w:val="00192F08"/>
    <w:rPr>
      <w:rFonts w:ascii="Arial" w:eastAsia="SimSun" w:hAnsi="Arial" w:cs="Arial"/>
      <w:sz w:val="22"/>
      <w:lang w:eastAsia="zh-CN"/>
    </w:rPr>
  </w:style>
  <w:style w:type="character" w:customStyle="1" w:styleId="Heading7Char">
    <w:name w:val="Heading 7 Char"/>
    <w:basedOn w:val="DefaultParagraphFont"/>
    <w:link w:val="Heading7"/>
    <w:semiHidden/>
    <w:rsid w:val="006B0757"/>
    <w:rPr>
      <w:rFonts w:asciiTheme="majorHAnsi" w:eastAsiaTheme="majorEastAsia" w:hAnsiTheme="majorHAnsi" w:cstheme="majorBidi"/>
      <w:i/>
      <w:iCs/>
      <w:color w:val="404040" w:themeColor="text1" w:themeTint="BF"/>
      <w:sz w:val="22"/>
      <w:lang w:eastAsia="zh-CN"/>
    </w:rPr>
  </w:style>
  <w:style w:type="paragraph" w:customStyle="1" w:styleId="TitleofDoc">
    <w:name w:val="Title of Doc"/>
    <w:basedOn w:val="Normal"/>
    <w:rsid w:val="006B0757"/>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6B0757"/>
    <w:rPr>
      <w:u w:val="single"/>
    </w:rPr>
  </w:style>
  <w:style w:type="paragraph" w:customStyle="1" w:styleId="imarge">
    <w:name w:val="_i_marge"/>
    <w:basedOn w:val="Normal"/>
    <w:rsid w:val="006B0757"/>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6B0757"/>
    <w:pPr>
      <w:ind w:left="1418" w:hanging="1418"/>
    </w:pPr>
  </w:style>
  <w:style w:type="character" w:customStyle="1" w:styleId="FooterChar">
    <w:name w:val="Footer Char"/>
    <w:basedOn w:val="DefaultParagraphFont"/>
    <w:link w:val="Footer"/>
    <w:semiHidden/>
    <w:rsid w:val="00E80FB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6B07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D8080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80804"/>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D80804"/>
    <w:pPr>
      <w:tabs>
        <w:tab w:val="right" w:pos="851"/>
      </w:tabs>
      <w:spacing w:after="240"/>
      <w:ind w:firstLine="567"/>
    </w:pPr>
    <w:rPr>
      <w:rFonts w:ascii="Times New Roman" w:eastAsia="Times New Roman" w:hAnsi="Times New Roman" w:cs="Times New Roman"/>
      <w:sz w:val="24"/>
      <w:lang w:eastAsia="en-US"/>
    </w:rPr>
  </w:style>
  <w:style w:type="paragraph" w:customStyle="1" w:styleId="DecisionParagraph">
    <w:name w:val="Decision Paragraph"/>
    <w:basedOn w:val="Normal"/>
    <w:rsid w:val="00D80804"/>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275582"/>
    <w:pPr>
      <w:numPr>
        <w:numId w:val="10"/>
      </w:numPr>
      <w:tabs>
        <w:tab w:val="left" w:pos="630"/>
      </w:tabs>
      <w:ind w:left="0" w:firstLine="0"/>
    </w:pPr>
    <w:rPr>
      <w:rFonts w:eastAsia="Times New Roman"/>
      <w:szCs w:val="22"/>
      <w:lang w:eastAsia="en-US"/>
    </w:rPr>
  </w:style>
  <w:style w:type="character" w:styleId="CommentReference">
    <w:name w:val="annotation reference"/>
    <w:semiHidden/>
    <w:rsid w:val="00D80804"/>
    <w:rPr>
      <w:sz w:val="16"/>
      <w:szCs w:val="16"/>
    </w:rPr>
  </w:style>
  <w:style w:type="paragraph" w:styleId="BalloonText">
    <w:name w:val="Balloon Text"/>
    <w:basedOn w:val="Normal"/>
    <w:semiHidden/>
    <w:rsid w:val="00D80804"/>
    <w:rPr>
      <w:rFonts w:ascii="Tahoma" w:hAnsi="Tahoma" w:cs="Tahoma"/>
      <w:sz w:val="16"/>
      <w:szCs w:val="16"/>
    </w:rPr>
  </w:style>
  <w:style w:type="paragraph" w:styleId="ListParagraph">
    <w:name w:val="List Paragraph"/>
    <w:basedOn w:val="Normal"/>
    <w:uiPriority w:val="34"/>
    <w:qFormat/>
    <w:rsid w:val="00176873"/>
    <w:pPr>
      <w:ind w:left="720"/>
      <w:contextualSpacing/>
    </w:pPr>
  </w:style>
  <w:style w:type="character" w:customStyle="1" w:styleId="HeaderChar">
    <w:name w:val="Header Char"/>
    <w:basedOn w:val="DefaultParagraphFont"/>
    <w:link w:val="Header"/>
    <w:uiPriority w:val="99"/>
    <w:rsid w:val="00192F08"/>
    <w:rPr>
      <w:rFonts w:ascii="Arial" w:eastAsia="SimSun" w:hAnsi="Arial" w:cs="Arial"/>
      <w:sz w:val="22"/>
      <w:lang w:eastAsia="zh-CN"/>
    </w:rPr>
  </w:style>
  <w:style w:type="character" w:customStyle="1" w:styleId="Heading7Char">
    <w:name w:val="Heading 7 Char"/>
    <w:basedOn w:val="DefaultParagraphFont"/>
    <w:link w:val="Heading7"/>
    <w:semiHidden/>
    <w:rsid w:val="006B0757"/>
    <w:rPr>
      <w:rFonts w:asciiTheme="majorHAnsi" w:eastAsiaTheme="majorEastAsia" w:hAnsiTheme="majorHAnsi" w:cstheme="majorBidi"/>
      <w:i/>
      <w:iCs/>
      <w:color w:val="404040" w:themeColor="text1" w:themeTint="BF"/>
      <w:sz w:val="22"/>
      <w:lang w:eastAsia="zh-CN"/>
    </w:rPr>
  </w:style>
  <w:style w:type="paragraph" w:customStyle="1" w:styleId="TitleofDoc">
    <w:name w:val="Title of Doc"/>
    <w:basedOn w:val="Normal"/>
    <w:rsid w:val="006B0757"/>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6B0757"/>
    <w:rPr>
      <w:u w:val="single"/>
    </w:rPr>
  </w:style>
  <w:style w:type="paragraph" w:customStyle="1" w:styleId="imarge">
    <w:name w:val="_i_marge"/>
    <w:basedOn w:val="Normal"/>
    <w:rsid w:val="006B0757"/>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6B0757"/>
    <w:pPr>
      <w:ind w:left="1418" w:hanging="1418"/>
    </w:pPr>
  </w:style>
  <w:style w:type="character" w:customStyle="1" w:styleId="FooterChar">
    <w:name w:val="Footer Char"/>
    <w:basedOn w:val="DefaultParagraphFont"/>
    <w:link w:val="Footer"/>
    <w:semiHidden/>
    <w:rsid w:val="00E80FB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177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1726-AC81-4CC5-B429-EE9F24F6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6101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Informe</vt:lpstr>
    </vt:vector>
  </TitlesOfParts>
  <Company>WIPO</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c:title>
  <dc:subject>LI/R/PM/6 Prov.</dc:subject>
  <dc:creator>CEVALLOS</dc:creator>
  <dc:description>CPV/KP/JC - 31/10/2014
LM - 03/11/2014</dc:description>
  <cp:lastModifiedBy>COUSIN Raquel</cp:lastModifiedBy>
  <cp:revision>2</cp:revision>
  <cp:lastPrinted>2014-10-31T15:06:00Z</cp:lastPrinted>
  <dcterms:created xsi:type="dcterms:W3CDTF">2014-11-04T08:17:00Z</dcterms:created>
  <dcterms:modified xsi:type="dcterms:W3CDTF">2014-11-04T08:17:00Z</dcterms:modified>
</cp:coreProperties>
</file>