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216551" w:rsidTr="00361450">
        <w:tc>
          <w:tcPr>
            <w:tcW w:w="4513" w:type="dxa"/>
            <w:tcBorders>
              <w:bottom w:val="single" w:sz="4" w:space="0" w:color="auto"/>
            </w:tcBorders>
            <w:tcMar>
              <w:bottom w:w="170" w:type="dxa"/>
            </w:tcMar>
          </w:tcPr>
          <w:p w:rsidR="00EC4E49" w:rsidRPr="00216551" w:rsidRDefault="00EC4E49" w:rsidP="00916EE2">
            <w:pPr>
              <w:rPr>
                <w:lang w:val="es-ES_tradnl"/>
              </w:rPr>
            </w:pPr>
            <w:bookmarkStart w:id="0" w:name="_GoBack"/>
            <w:bookmarkEnd w:id="0"/>
          </w:p>
        </w:tc>
        <w:tc>
          <w:tcPr>
            <w:tcW w:w="4337" w:type="dxa"/>
            <w:tcBorders>
              <w:bottom w:val="single" w:sz="4" w:space="0" w:color="auto"/>
            </w:tcBorders>
            <w:tcMar>
              <w:left w:w="0" w:type="dxa"/>
              <w:right w:w="0" w:type="dxa"/>
            </w:tcMar>
          </w:tcPr>
          <w:p w:rsidR="00EC4E49" w:rsidRPr="00216551" w:rsidRDefault="00540543" w:rsidP="00916EE2">
            <w:pPr>
              <w:rPr>
                <w:lang w:val="es-ES_tradnl"/>
              </w:rPr>
            </w:pPr>
            <w:r w:rsidRPr="00216551">
              <w:rPr>
                <w:noProof/>
                <w:lang w:eastAsia="en-US"/>
              </w:rPr>
              <w:drawing>
                <wp:inline distT="0" distB="0" distL="0" distR="0" wp14:anchorId="2E1D6C09" wp14:editId="39C6728E">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216551" w:rsidRDefault="00540543" w:rsidP="00540543">
            <w:pPr>
              <w:jc w:val="right"/>
              <w:rPr>
                <w:lang w:val="es-ES_tradnl"/>
              </w:rPr>
            </w:pPr>
            <w:r w:rsidRPr="00216551">
              <w:rPr>
                <w:b/>
                <w:sz w:val="40"/>
                <w:szCs w:val="40"/>
                <w:lang w:val="es-ES_tradnl"/>
              </w:rPr>
              <w:t>S</w:t>
            </w:r>
          </w:p>
        </w:tc>
      </w:tr>
      <w:tr w:rsidR="008B2CC1" w:rsidRPr="00216551"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216551" w:rsidRDefault="00A84BDF" w:rsidP="007D5941">
            <w:pPr>
              <w:jc w:val="right"/>
              <w:rPr>
                <w:rFonts w:ascii="Arial Black" w:hAnsi="Arial Black"/>
                <w:caps/>
                <w:sz w:val="15"/>
                <w:lang w:val="es-ES_tradnl"/>
              </w:rPr>
            </w:pPr>
            <w:r w:rsidRPr="00216551">
              <w:rPr>
                <w:rFonts w:ascii="Arial Black" w:hAnsi="Arial Black"/>
                <w:caps/>
                <w:sz w:val="15"/>
                <w:lang w:val="es-ES_tradnl"/>
              </w:rPr>
              <w:t>LI/R</w:t>
            </w:r>
            <w:r w:rsidR="00D80804" w:rsidRPr="00216551">
              <w:rPr>
                <w:rFonts w:ascii="Arial Black" w:hAnsi="Arial Black"/>
                <w:caps/>
                <w:sz w:val="15"/>
                <w:lang w:val="es-ES_tradnl"/>
              </w:rPr>
              <w:t>/Pm</w:t>
            </w:r>
            <w:r w:rsidR="00844CB0" w:rsidRPr="00216551">
              <w:rPr>
                <w:rFonts w:ascii="Arial Black" w:hAnsi="Arial Black"/>
                <w:caps/>
                <w:sz w:val="15"/>
                <w:lang w:val="es-ES_tradnl"/>
              </w:rPr>
              <w:t>/</w:t>
            </w:r>
            <w:r w:rsidR="007D5941" w:rsidRPr="00216551">
              <w:rPr>
                <w:rFonts w:ascii="Arial Black" w:hAnsi="Arial Black"/>
                <w:caps/>
                <w:sz w:val="15"/>
                <w:lang w:val="es-ES_tradnl"/>
              </w:rPr>
              <w:t>4</w:t>
            </w:r>
            <w:r w:rsidR="00A42DAF" w:rsidRPr="00216551">
              <w:rPr>
                <w:rFonts w:ascii="Arial Black" w:hAnsi="Arial Black"/>
                <w:caps/>
                <w:sz w:val="15"/>
                <w:lang w:val="es-ES_tradnl"/>
              </w:rPr>
              <w:t xml:space="preserve"> </w:t>
            </w:r>
            <w:r w:rsidR="007D5941" w:rsidRPr="00216551">
              <w:rPr>
                <w:rFonts w:ascii="Arial Black" w:hAnsi="Arial Black"/>
                <w:caps/>
                <w:sz w:val="15"/>
                <w:lang w:val="es-ES_tradnl"/>
              </w:rPr>
              <w:t xml:space="preserve">  </w:t>
            </w:r>
          </w:p>
        </w:tc>
        <w:bookmarkStart w:id="1" w:name="Code"/>
        <w:bookmarkEnd w:id="1"/>
      </w:tr>
      <w:tr w:rsidR="008B2CC1" w:rsidRPr="00216551" w:rsidTr="00916EE2">
        <w:trPr>
          <w:trHeight w:hRule="exact" w:val="170"/>
        </w:trPr>
        <w:tc>
          <w:tcPr>
            <w:tcW w:w="9356" w:type="dxa"/>
            <w:gridSpan w:val="3"/>
            <w:noWrap/>
            <w:tcMar>
              <w:left w:w="0" w:type="dxa"/>
              <w:right w:w="0" w:type="dxa"/>
            </w:tcMar>
            <w:vAlign w:val="bottom"/>
          </w:tcPr>
          <w:p w:rsidR="008B2CC1" w:rsidRPr="00216551" w:rsidRDefault="008B2CC1" w:rsidP="00540543">
            <w:pPr>
              <w:jc w:val="right"/>
              <w:rPr>
                <w:rFonts w:ascii="Arial Black" w:hAnsi="Arial Black"/>
                <w:caps/>
                <w:sz w:val="15"/>
                <w:lang w:val="es-ES_tradnl"/>
              </w:rPr>
            </w:pPr>
            <w:r w:rsidRPr="00216551">
              <w:rPr>
                <w:rFonts w:ascii="Arial Black" w:hAnsi="Arial Black"/>
                <w:caps/>
                <w:sz w:val="15"/>
                <w:lang w:val="es-ES_tradnl"/>
              </w:rPr>
              <w:t>ORIGINAL:</w:t>
            </w:r>
            <w:r w:rsidR="00A42DAF" w:rsidRPr="00216551">
              <w:rPr>
                <w:rFonts w:ascii="Arial Black" w:hAnsi="Arial Black"/>
                <w:caps/>
                <w:sz w:val="15"/>
                <w:lang w:val="es-ES_tradnl"/>
              </w:rPr>
              <w:t xml:space="preserve"> </w:t>
            </w:r>
            <w:r w:rsidRPr="00216551">
              <w:rPr>
                <w:rFonts w:ascii="Arial Black" w:hAnsi="Arial Black"/>
                <w:caps/>
                <w:sz w:val="15"/>
                <w:lang w:val="es-ES_tradnl"/>
              </w:rPr>
              <w:t xml:space="preserve"> </w:t>
            </w:r>
            <w:bookmarkStart w:id="2" w:name="Original"/>
            <w:bookmarkEnd w:id="2"/>
            <w:r w:rsidR="00540543" w:rsidRPr="00216551">
              <w:rPr>
                <w:rFonts w:ascii="Arial Black" w:hAnsi="Arial Black"/>
                <w:caps/>
                <w:sz w:val="15"/>
                <w:lang w:val="es-ES_tradnl"/>
              </w:rPr>
              <w:t>inglés</w:t>
            </w:r>
          </w:p>
        </w:tc>
      </w:tr>
      <w:tr w:rsidR="008B2CC1" w:rsidRPr="00216551" w:rsidTr="00916EE2">
        <w:trPr>
          <w:trHeight w:hRule="exact" w:val="198"/>
        </w:trPr>
        <w:tc>
          <w:tcPr>
            <w:tcW w:w="9356" w:type="dxa"/>
            <w:gridSpan w:val="3"/>
            <w:tcMar>
              <w:left w:w="0" w:type="dxa"/>
              <w:right w:w="0" w:type="dxa"/>
            </w:tcMar>
            <w:vAlign w:val="bottom"/>
          </w:tcPr>
          <w:p w:rsidR="008B2CC1" w:rsidRPr="00216551" w:rsidRDefault="00540543" w:rsidP="00540543">
            <w:pPr>
              <w:jc w:val="right"/>
              <w:rPr>
                <w:rFonts w:ascii="Arial Black" w:hAnsi="Arial Black"/>
                <w:caps/>
                <w:sz w:val="15"/>
                <w:lang w:val="es-ES_tradnl"/>
              </w:rPr>
            </w:pPr>
            <w:bookmarkStart w:id="3" w:name="Date"/>
            <w:bookmarkEnd w:id="3"/>
            <w:r w:rsidRPr="00216551">
              <w:rPr>
                <w:rFonts w:ascii="Arial Black" w:hAnsi="Arial Black"/>
                <w:caps/>
                <w:sz w:val="15"/>
                <w:lang w:val="es-ES_tradnl"/>
              </w:rPr>
              <w:t xml:space="preserve">fecha:  </w:t>
            </w:r>
            <w:r w:rsidR="00806210" w:rsidRPr="00216551">
              <w:rPr>
                <w:rFonts w:ascii="Arial Black" w:hAnsi="Arial Black"/>
                <w:caps/>
                <w:sz w:val="15"/>
                <w:lang w:val="es-ES_tradnl"/>
              </w:rPr>
              <w:t>7</w:t>
            </w:r>
            <w:r w:rsidRPr="00216551">
              <w:rPr>
                <w:rFonts w:ascii="Arial Black" w:hAnsi="Arial Black"/>
                <w:caps/>
                <w:sz w:val="15"/>
                <w:lang w:val="es-ES_tradnl"/>
              </w:rPr>
              <w:t xml:space="preserve"> de agosto de</w:t>
            </w:r>
            <w:r w:rsidR="007D5941" w:rsidRPr="00216551">
              <w:rPr>
                <w:rFonts w:ascii="Arial Black" w:hAnsi="Arial Black"/>
                <w:caps/>
                <w:sz w:val="15"/>
                <w:lang w:val="es-ES_tradnl"/>
              </w:rPr>
              <w:t xml:space="preserve"> 2014</w:t>
            </w:r>
          </w:p>
        </w:tc>
      </w:tr>
    </w:tbl>
    <w:p w:rsidR="008B2CC1" w:rsidRPr="00216551" w:rsidRDefault="008B2CC1" w:rsidP="008B2CC1">
      <w:pPr>
        <w:rPr>
          <w:lang w:val="es-ES_tradnl"/>
        </w:rPr>
      </w:pPr>
    </w:p>
    <w:p w:rsidR="008B2CC1" w:rsidRPr="00216551" w:rsidRDefault="008B2CC1" w:rsidP="008B2CC1">
      <w:pPr>
        <w:rPr>
          <w:lang w:val="es-ES_tradnl"/>
        </w:rPr>
      </w:pPr>
    </w:p>
    <w:p w:rsidR="008B2CC1" w:rsidRPr="00216551" w:rsidRDefault="008B2CC1" w:rsidP="008B2CC1">
      <w:pPr>
        <w:rPr>
          <w:lang w:val="es-ES_tradnl"/>
        </w:rPr>
      </w:pPr>
    </w:p>
    <w:p w:rsidR="008B2CC1" w:rsidRPr="00216551" w:rsidRDefault="008B2CC1" w:rsidP="008B2CC1">
      <w:pPr>
        <w:rPr>
          <w:lang w:val="es-ES_tradnl"/>
        </w:rPr>
      </w:pPr>
    </w:p>
    <w:p w:rsidR="008B2CC1" w:rsidRPr="00216551" w:rsidRDefault="008B2CC1" w:rsidP="008B2CC1">
      <w:pPr>
        <w:rPr>
          <w:lang w:val="es-ES_tradnl"/>
        </w:rPr>
      </w:pPr>
    </w:p>
    <w:p w:rsidR="008743A9" w:rsidRPr="00216551" w:rsidRDefault="00216551" w:rsidP="008743A9">
      <w:pPr>
        <w:rPr>
          <w:lang w:val="es-ES_tradnl"/>
        </w:rPr>
      </w:pPr>
      <w:r w:rsidRPr="00216551">
        <w:rPr>
          <w:b/>
          <w:sz w:val="28"/>
          <w:szCs w:val="28"/>
          <w:lang w:val="es-ES_tradnl"/>
        </w:rPr>
        <w:t>Comité Preparatorio</w:t>
      </w:r>
      <w:r w:rsidR="008743A9" w:rsidRPr="00216551">
        <w:rPr>
          <w:b/>
          <w:sz w:val="28"/>
          <w:szCs w:val="28"/>
          <w:lang w:val="es-ES_tradnl"/>
        </w:rPr>
        <w:t xml:space="preserve"> </w:t>
      </w:r>
      <w:r>
        <w:rPr>
          <w:b/>
          <w:sz w:val="28"/>
          <w:szCs w:val="28"/>
          <w:lang w:val="es-ES_tradnl"/>
        </w:rPr>
        <w:t>de la Conferencia</w:t>
      </w:r>
      <w:r w:rsidR="008743A9" w:rsidRPr="00216551">
        <w:rPr>
          <w:b/>
          <w:sz w:val="28"/>
          <w:szCs w:val="28"/>
          <w:lang w:val="es-ES_tradnl"/>
        </w:rPr>
        <w:t xml:space="preserve"> </w:t>
      </w:r>
      <w:r w:rsidR="00522859" w:rsidRPr="00216551">
        <w:rPr>
          <w:b/>
          <w:sz w:val="28"/>
          <w:szCs w:val="28"/>
          <w:lang w:val="es-ES_tradnl"/>
        </w:rPr>
        <w:t>Dipl</w:t>
      </w:r>
      <w:r>
        <w:rPr>
          <w:b/>
          <w:sz w:val="28"/>
          <w:szCs w:val="28"/>
          <w:lang w:val="es-ES_tradnl"/>
        </w:rPr>
        <w:t>o</w:t>
      </w:r>
      <w:r w:rsidR="00522859" w:rsidRPr="00216551">
        <w:rPr>
          <w:b/>
          <w:sz w:val="28"/>
          <w:szCs w:val="28"/>
          <w:lang w:val="es-ES_tradnl"/>
        </w:rPr>
        <w:t>m</w:t>
      </w:r>
      <w:r>
        <w:rPr>
          <w:b/>
          <w:sz w:val="28"/>
          <w:szCs w:val="28"/>
          <w:lang w:val="es-ES_tradnl"/>
        </w:rPr>
        <w:t>á</w:t>
      </w:r>
      <w:r w:rsidR="00522859" w:rsidRPr="00216551">
        <w:rPr>
          <w:b/>
          <w:sz w:val="28"/>
          <w:szCs w:val="28"/>
          <w:lang w:val="es-ES_tradnl"/>
        </w:rPr>
        <w:t>tic</w:t>
      </w:r>
      <w:r>
        <w:rPr>
          <w:b/>
          <w:sz w:val="28"/>
          <w:szCs w:val="28"/>
          <w:lang w:val="es-ES_tradnl"/>
        </w:rPr>
        <w:t>a</w:t>
      </w:r>
      <w:r w:rsidR="00522859" w:rsidRPr="00216551">
        <w:rPr>
          <w:b/>
          <w:sz w:val="28"/>
          <w:szCs w:val="28"/>
          <w:lang w:val="es-ES_tradnl"/>
        </w:rPr>
        <w:t xml:space="preserve"> </w:t>
      </w:r>
      <w:r>
        <w:rPr>
          <w:b/>
          <w:sz w:val="28"/>
          <w:szCs w:val="28"/>
          <w:lang w:val="es-ES_tradnl"/>
        </w:rPr>
        <w:t>para la adopción de un Arregl</w:t>
      </w:r>
      <w:r w:rsidR="002A051C">
        <w:rPr>
          <w:b/>
          <w:sz w:val="28"/>
          <w:szCs w:val="28"/>
          <w:lang w:val="es-ES_tradnl"/>
        </w:rPr>
        <w:t>o de Lisboa revisado sobre las d</w:t>
      </w:r>
      <w:r>
        <w:rPr>
          <w:b/>
          <w:sz w:val="28"/>
          <w:szCs w:val="28"/>
          <w:lang w:val="es-ES_tradnl"/>
        </w:rPr>
        <w:t xml:space="preserve">enominaciones de </w:t>
      </w:r>
      <w:r w:rsidR="002A051C">
        <w:rPr>
          <w:b/>
          <w:sz w:val="28"/>
          <w:szCs w:val="28"/>
          <w:lang w:val="es-ES_tradnl"/>
        </w:rPr>
        <w:t>o</w:t>
      </w:r>
      <w:r>
        <w:rPr>
          <w:b/>
          <w:sz w:val="28"/>
          <w:szCs w:val="28"/>
          <w:lang w:val="es-ES_tradnl"/>
        </w:rPr>
        <w:t xml:space="preserve">rigen y las </w:t>
      </w:r>
      <w:r w:rsidR="002A051C">
        <w:rPr>
          <w:b/>
          <w:sz w:val="28"/>
          <w:szCs w:val="28"/>
          <w:lang w:val="es-ES_tradnl"/>
        </w:rPr>
        <w:t>i</w:t>
      </w:r>
      <w:r>
        <w:rPr>
          <w:b/>
          <w:sz w:val="28"/>
          <w:szCs w:val="28"/>
          <w:lang w:val="es-ES_tradnl"/>
        </w:rPr>
        <w:t xml:space="preserve">ndicaciones </w:t>
      </w:r>
      <w:r w:rsidR="002A051C">
        <w:rPr>
          <w:b/>
          <w:sz w:val="28"/>
          <w:szCs w:val="28"/>
          <w:lang w:val="es-ES_tradnl"/>
        </w:rPr>
        <w:t>g</w:t>
      </w:r>
      <w:r>
        <w:rPr>
          <w:b/>
          <w:sz w:val="28"/>
          <w:szCs w:val="28"/>
          <w:lang w:val="es-ES_tradnl"/>
        </w:rPr>
        <w:t>eográficas</w:t>
      </w:r>
    </w:p>
    <w:p w:rsidR="008743A9" w:rsidRPr="00216551" w:rsidRDefault="008743A9" w:rsidP="008743A9">
      <w:pPr>
        <w:rPr>
          <w:lang w:val="es-ES_tradnl"/>
        </w:rPr>
      </w:pPr>
    </w:p>
    <w:p w:rsidR="008743A9" w:rsidRPr="00216551" w:rsidRDefault="00216551" w:rsidP="008743A9">
      <w:pPr>
        <w:rPr>
          <w:lang w:val="es-ES_tradnl"/>
        </w:rPr>
      </w:pPr>
      <w:r>
        <w:rPr>
          <w:b/>
          <w:sz w:val="24"/>
          <w:szCs w:val="24"/>
          <w:lang w:val="es-ES_tradnl"/>
        </w:rPr>
        <w:t>Ginebra</w:t>
      </w:r>
      <w:r w:rsidR="00A84BDF" w:rsidRPr="00216551">
        <w:rPr>
          <w:b/>
          <w:sz w:val="24"/>
          <w:szCs w:val="24"/>
          <w:lang w:val="es-ES_tradnl"/>
        </w:rPr>
        <w:t xml:space="preserve">, </w:t>
      </w:r>
      <w:r w:rsidR="00806210" w:rsidRPr="00216551">
        <w:rPr>
          <w:b/>
          <w:sz w:val="24"/>
          <w:szCs w:val="24"/>
          <w:lang w:val="es-ES_tradnl"/>
        </w:rPr>
        <w:t>30</w:t>
      </w:r>
      <w:r w:rsidR="00321844" w:rsidRPr="00216551">
        <w:rPr>
          <w:b/>
          <w:sz w:val="24"/>
          <w:szCs w:val="24"/>
          <w:lang w:val="es-ES_tradnl"/>
        </w:rPr>
        <w:t xml:space="preserve"> </w:t>
      </w:r>
      <w:r>
        <w:rPr>
          <w:b/>
          <w:sz w:val="24"/>
          <w:szCs w:val="24"/>
          <w:lang w:val="es-ES_tradnl"/>
        </w:rPr>
        <w:t xml:space="preserve">y </w:t>
      </w:r>
      <w:r w:rsidR="00321844" w:rsidRPr="00216551">
        <w:rPr>
          <w:b/>
          <w:sz w:val="24"/>
          <w:szCs w:val="24"/>
          <w:lang w:val="es-ES_tradnl"/>
        </w:rPr>
        <w:t>31</w:t>
      </w:r>
      <w:r>
        <w:rPr>
          <w:b/>
          <w:sz w:val="24"/>
          <w:szCs w:val="24"/>
          <w:lang w:val="es-ES_tradnl"/>
        </w:rPr>
        <w:t xml:space="preserve"> de octubre de</w:t>
      </w:r>
      <w:r w:rsidR="008743A9" w:rsidRPr="00216551">
        <w:rPr>
          <w:b/>
          <w:sz w:val="24"/>
          <w:szCs w:val="24"/>
          <w:lang w:val="es-ES_tradnl"/>
        </w:rPr>
        <w:t xml:space="preserve"> 2014</w:t>
      </w:r>
    </w:p>
    <w:p w:rsidR="008B2CC1" w:rsidRPr="00216551" w:rsidRDefault="008B2CC1" w:rsidP="008B2CC1">
      <w:pPr>
        <w:rPr>
          <w:lang w:val="es-ES_tradnl"/>
        </w:rPr>
      </w:pPr>
    </w:p>
    <w:p w:rsidR="008B2CC1" w:rsidRPr="00216551" w:rsidRDefault="008B2CC1" w:rsidP="008B2CC1">
      <w:pPr>
        <w:rPr>
          <w:lang w:val="es-ES_tradnl"/>
        </w:rPr>
      </w:pPr>
    </w:p>
    <w:p w:rsidR="008B2CC1" w:rsidRPr="00216551" w:rsidRDefault="008B2CC1" w:rsidP="008B2CC1">
      <w:pPr>
        <w:rPr>
          <w:lang w:val="es-ES_tradnl"/>
        </w:rPr>
      </w:pPr>
    </w:p>
    <w:p w:rsidR="008B2CC1" w:rsidRPr="00216551" w:rsidRDefault="00540543" w:rsidP="008B2CC1">
      <w:pPr>
        <w:rPr>
          <w:caps/>
          <w:sz w:val="24"/>
          <w:lang w:val="es-ES_tradnl"/>
        </w:rPr>
      </w:pPr>
      <w:bookmarkStart w:id="4" w:name="TitleOfDoc"/>
      <w:bookmarkEnd w:id="4"/>
      <w:r w:rsidRPr="00216551">
        <w:rPr>
          <w:caps/>
          <w:sz w:val="24"/>
          <w:lang w:val="es-ES_tradnl"/>
        </w:rPr>
        <w:t>ORDEN DEL DÍA</w:t>
      </w:r>
      <w:r w:rsidR="00D80804" w:rsidRPr="00216551">
        <w:rPr>
          <w:caps/>
          <w:sz w:val="24"/>
          <w:lang w:val="es-ES_tradnl"/>
        </w:rPr>
        <w:t xml:space="preserve">, </w:t>
      </w:r>
      <w:r w:rsidRPr="00216551">
        <w:rPr>
          <w:caps/>
          <w:sz w:val="24"/>
          <w:lang w:val="es-ES_tradnl"/>
        </w:rPr>
        <w:t xml:space="preserve">FECHAS Y LUGAR DE CELEBRACIÓN DE LA CONFERENCIA DIPLOMÁTICA </w:t>
      </w:r>
    </w:p>
    <w:p w:rsidR="008B2CC1" w:rsidRPr="00216551" w:rsidRDefault="008B2CC1" w:rsidP="008B2CC1">
      <w:pPr>
        <w:rPr>
          <w:lang w:val="es-ES_tradnl"/>
        </w:rPr>
      </w:pPr>
    </w:p>
    <w:p w:rsidR="008B2CC1" w:rsidRPr="00216551" w:rsidRDefault="00540543" w:rsidP="008B2CC1">
      <w:pPr>
        <w:rPr>
          <w:i/>
          <w:lang w:val="es-ES_tradnl"/>
        </w:rPr>
      </w:pPr>
      <w:bookmarkStart w:id="5" w:name="Prepared"/>
      <w:bookmarkEnd w:id="5"/>
      <w:r w:rsidRPr="00216551">
        <w:rPr>
          <w:i/>
          <w:lang w:val="es-ES_tradnl"/>
        </w:rPr>
        <w:t>prepara</w:t>
      </w:r>
      <w:r w:rsidR="00D80804" w:rsidRPr="00216551">
        <w:rPr>
          <w:i/>
          <w:lang w:val="es-ES_tradnl"/>
        </w:rPr>
        <w:t>d</w:t>
      </w:r>
      <w:r w:rsidRPr="00216551">
        <w:rPr>
          <w:i/>
          <w:lang w:val="es-ES_tradnl"/>
        </w:rPr>
        <w:t>os</w:t>
      </w:r>
      <w:r w:rsidR="00D80804" w:rsidRPr="00216551">
        <w:rPr>
          <w:i/>
          <w:lang w:val="es-ES_tradnl"/>
        </w:rPr>
        <w:t xml:space="preserve"> </w:t>
      </w:r>
      <w:r w:rsidRPr="00216551">
        <w:rPr>
          <w:i/>
          <w:lang w:val="es-ES_tradnl"/>
        </w:rPr>
        <w:t xml:space="preserve">por el </w:t>
      </w:r>
      <w:r w:rsidR="00D80804" w:rsidRPr="00216551">
        <w:rPr>
          <w:i/>
          <w:lang w:val="es-ES_tradnl"/>
        </w:rPr>
        <w:t>Director General</w:t>
      </w:r>
    </w:p>
    <w:p w:rsidR="00AC205C" w:rsidRPr="00216551" w:rsidRDefault="00AC205C">
      <w:pPr>
        <w:rPr>
          <w:lang w:val="es-ES_tradnl"/>
        </w:rPr>
      </w:pPr>
    </w:p>
    <w:p w:rsidR="000F5E56" w:rsidRPr="00216551" w:rsidRDefault="000F5E56">
      <w:pPr>
        <w:rPr>
          <w:lang w:val="es-ES_tradnl"/>
        </w:rPr>
      </w:pPr>
    </w:p>
    <w:p w:rsidR="002928D3" w:rsidRPr="00216551" w:rsidRDefault="002928D3">
      <w:pPr>
        <w:rPr>
          <w:lang w:val="es-ES_tradnl"/>
        </w:rPr>
      </w:pPr>
    </w:p>
    <w:p w:rsidR="002928D3" w:rsidRPr="00216551" w:rsidRDefault="002928D3" w:rsidP="0053057A">
      <w:pPr>
        <w:rPr>
          <w:lang w:val="es-ES_tradnl"/>
        </w:rPr>
      </w:pPr>
    </w:p>
    <w:p w:rsidR="00D80804" w:rsidRPr="00216551" w:rsidRDefault="00D80804" w:rsidP="009A0AD8">
      <w:pPr>
        <w:keepNext/>
        <w:rPr>
          <w:szCs w:val="22"/>
          <w:u w:val="single"/>
          <w:lang w:val="es-ES_tradnl"/>
        </w:rPr>
      </w:pPr>
      <w:r w:rsidRPr="00216551">
        <w:rPr>
          <w:lang w:val="es-ES_tradnl"/>
        </w:rPr>
        <w:br w:type="page"/>
      </w:r>
      <w:r w:rsidRPr="00216551">
        <w:rPr>
          <w:szCs w:val="22"/>
          <w:u w:val="single"/>
          <w:lang w:val="es-ES_tradnl"/>
        </w:rPr>
        <w:lastRenderedPageBreak/>
        <w:t>I</w:t>
      </w:r>
      <w:r w:rsidR="009D4BE0" w:rsidRPr="00216551">
        <w:rPr>
          <w:szCs w:val="22"/>
          <w:u w:val="single"/>
          <w:lang w:val="es-ES_tradnl"/>
        </w:rPr>
        <w:t>NTRODUC</w:t>
      </w:r>
      <w:r w:rsidR="004C47FB">
        <w:rPr>
          <w:szCs w:val="22"/>
          <w:u w:val="single"/>
          <w:lang w:val="es-ES_tradnl"/>
        </w:rPr>
        <w:t>C</w:t>
      </w:r>
      <w:r w:rsidR="009D4BE0" w:rsidRPr="00216551">
        <w:rPr>
          <w:szCs w:val="22"/>
          <w:u w:val="single"/>
          <w:lang w:val="es-ES_tradnl"/>
        </w:rPr>
        <w:t>I</w:t>
      </w:r>
      <w:r w:rsidR="004C47FB">
        <w:rPr>
          <w:szCs w:val="22"/>
          <w:u w:val="single"/>
          <w:lang w:val="es-ES_tradnl"/>
        </w:rPr>
        <w:t>Ó</w:t>
      </w:r>
      <w:r w:rsidR="009D4BE0" w:rsidRPr="00216551">
        <w:rPr>
          <w:szCs w:val="22"/>
          <w:u w:val="single"/>
          <w:lang w:val="es-ES_tradnl"/>
        </w:rPr>
        <w:t>N</w:t>
      </w:r>
    </w:p>
    <w:p w:rsidR="00AE295B" w:rsidRPr="00216551" w:rsidRDefault="00AE295B" w:rsidP="00192F08">
      <w:pPr>
        <w:rPr>
          <w:szCs w:val="22"/>
          <w:lang w:val="es-ES_tradnl"/>
        </w:rPr>
      </w:pPr>
    </w:p>
    <w:p w:rsidR="00AE295B" w:rsidRPr="00EA4EE4" w:rsidRDefault="004C47FB" w:rsidP="00192F08">
      <w:pPr>
        <w:pStyle w:val="ListBullet"/>
        <w:rPr>
          <w:lang w:val="es-ES_tradnl"/>
        </w:rPr>
      </w:pPr>
      <w:r w:rsidRPr="00EA4EE4">
        <w:rPr>
          <w:lang w:val="es-ES_tradnl"/>
        </w:rPr>
        <w:t xml:space="preserve">En su vigésimo tercer período de sesiones (6º extraordinario), celebrado del 22 al 30 de septiembre de 2008, la Asamblea de la Unión de Lisboa estableció un </w:t>
      </w:r>
      <w:r w:rsidRPr="00EA4EE4">
        <w:rPr>
          <w:rFonts w:eastAsia="SimSun"/>
          <w:lang w:val="es-ES_tradnl" w:eastAsia="zh-CN"/>
        </w:rPr>
        <w:t xml:space="preserve">Grupo de Trabajo sobre el Desarrollo del Sistema de Lisboa (en adelante denominado “el Grupo de Trabajo”) responsable de examinar las mejoras que podrían introducirse en los procedimientos del Sistema de Lisboa, compuesto por todos los Miembros de la Unión de Lisboa y abierto a otros Estados miembros de la OMPI y organizaciones interesadas en calidad de observadores.  En su vigésimo quinto período de sesiones (18º ordinario), celebrado del 22 de septiembre al </w:t>
      </w:r>
      <w:r w:rsidR="00195EB5">
        <w:rPr>
          <w:rFonts w:eastAsia="SimSun"/>
          <w:lang w:val="es-ES_tradnl" w:eastAsia="zh-CN"/>
        </w:rPr>
        <w:br/>
      </w:r>
      <w:r w:rsidRPr="00EA4EE4">
        <w:rPr>
          <w:rFonts w:eastAsia="SimSun"/>
          <w:lang w:val="es-ES_tradnl" w:eastAsia="zh-CN"/>
        </w:rPr>
        <w:t xml:space="preserve">1 de octubre de 2009, la Asamblea encomendó al Grupo de Trabajo que efectuara una revisión completa del Sistema de Lisboa, habida cuenta de la necesidad </w:t>
      </w:r>
      <w:r w:rsidR="00EA4EE4" w:rsidRPr="00EA4EE4">
        <w:rPr>
          <w:rFonts w:eastAsia="SimSun"/>
          <w:lang w:val="es-ES_tradnl" w:eastAsia="zh-CN"/>
        </w:rPr>
        <w:t xml:space="preserve">de mejorar el Sistema de Lisboa para atraer a más usuarios y Estados, salvaguardando al mismo tiempo los principios y objetivos del Arreglo de Lisboa </w:t>
      </w:r>
      <w:r w:rsidR="00AE295B" w:rsidRPr="00EA4EE4">
        <w:rPr>
          <w:lang w:val="es-ES_tradnl"/>
        </w:rPr>
        <w:t>(document</w:t>
      </w:r>
      <w:r w:rsidR="00EA4EE4">
        <w:rPr>
          <w:lang w:val="es-ES_tradnl"/>
        </w:rPr>
        <w:t>o</w:t>
      </w:r>
      <w:r w:rsidR="00AE295B" w:rsidRPr="00EA4EE4">
        <w:rPr>
          <w:lang w:val="es-ES_tradnl"/>
        </w:rPr>
        <w:t xml:space="preserve"> LI/A/25/1 </w:t>
      </w:r>
      <w:r w:rsidR="00EA4EE4">
        <w:rPr>
          <w:lang w:val="es-ES_tradnl"/>
        </w:rPr>
        <w:t xml:space="preserve">y </w:t>
      </w:r>
      <w:r w:rsidR="00AE295B" w:rsidRPr="00EA4EE4">
        <w:rPr>
          <w:lang w:val="es-ES_tradnl"/>
        </w:rPr>
        <w:t xml:space="preserve">2).  </w:t>
      </w:r>
    </w:p>
    <w:p w:rsidR="00AE295B" w:rsidRPr="00216551" w:rsidRDefault="00AE295B" w:rsidP="00192F08">
      <w:pPr>
        <w:rPr>
          <w:szCs w:val="22"/>
          <w:lang w:val="es-ES_tradnl"/>
        </w:rPr>
      </w:pPr>
    </w:p>
    <w:p w:rsidR="00165289" w:rsidRDefault="00165289" w:rsidP="00192F08">
      <w:pPr>
        <w:pStyle w:val="ListParagraph"/>
        <w:numPr>
          <w:ilvl w:val="0"/>
          <w:numId w:val="10"/>
        </w:numPr>
        <w:tabs>
          <w:tab w:val="left" w:pos="630"/>
        </w:tabs>
        <w:ind w:left="0" w:firstLine="0"/>
        <w:rPr>
          <w:szCs w:val="22"/>
          <w:lang w:val="es-ES_tradnl"/>
        </w:rPr>
      </w:pPr>
      <w:r>
        <w:rPr>
          <w:szCs w:val="22"/>
          <w:lang w:val="es-ES_tradnl"/>
        </w:rPr>
        <w:t xml:space="preserve">Desde </w:t>
      </w:r>
      <w:r w:rsidR="00AE295B" w:rsidRPr="00216551">
        <w:rPr>
          <w:szCs w:val="22"/>
          <w:lang w:val="es-ES_tradnl"/>
        </w:rPr>
        <w:t xml:space="preserve">2012, </w:t>
      </w:r>
      <w:r>
        <w:rPr>
          <w:szCs w:val="22"/>
          <w:lang w:val="es-ES_tradnl"/>
        </w:rPr>
        <w:t xml:space="preserve">este examen se ha centrado en:  i) la revisión del Arreglo de Lisboa </w:t>
      </w:r>
      <w:r w:rsidR="00283D22">
        <w:rPr>
          <w:szCs w:val="22"/>
          <w:lang w:val="es-ES_tradnl"/>
        </w:rPr>
        <w:t>que conlleve</w:t>
      </w:r>
      <w:r>
        <w:rPr>
          <w:szCs w:val="22"/>
          <w:lang w:val="es-ES_tradnl"/>
        </w:rPr>
        <w:t xml:space="preserve"> la mejora de su marco jurídico vigente y la inclusión de la posibilidad de adherirse a él para las organizaciones intergubernamentales, salvaguardando al mismo tiempo los principios y objetivos de ese Arreglo;  y ii) el establecimiento de un sistema internacional de registro de las indicaciones geográficas.</w:t>
      </w:r>
    </w:p>
    <w:p w:rsidR="00165289" w:rsidRPr="00192F08" w:rsidRDefault="00165289" w:rsidP="00192F08">
      <w:pPr>
        <w:rPr>
          <w:szCs w:val="22"/>
          <w:lang w:val="es-ES_tradnl"/>
        </w:rPr>
      </w:pPr>
    </w:p>
    <w:p w:rsidR="00AE295B" w:rsidRPr="00000DF1" w:rsidRDefault="00165289" w:rsidP="00192F08">
      <w:pPr>
        <w:pStyle w:val="ListParagraph"/>
        <w:numPr>
          <w:ilvl w:val="0"/>
          <w:numId w:val="10"/>
        </w:numPr>
        <w:tabs>
          <w:tab w:val="left" w:pos="630"/>
        </w:tabs>
        <w:ind w:left="0" w:firstLine="0"/>
        <w:rPr>
          <w:szCs w:val="22"/>
          <w:lang w:val="es-ES_tradnl"/>
        </w:rPr>
      </w:pPr>
      <w:r>
        <w:rPr>
          <w:szCs w:val="22"/>
          <w:lang w:val="es-ES_tradnl"/>
        </w:rPr>
        <w:t xml:space="preserve">En su vigésimo noveno período de sesiones (20º ordinario) (23 de septiembre a </w:t>
      </w:r>
      <w:r w:rsidR="00195EB5">
        <w:rPr>
          <w:szCs w:val="22"/>
          <w:lang w:val="es-ES_tradnl"/>
        </w:rPr>
        <w:br/>
      </w:r>
      <w:r>
        <w:rPr>
          <w:szCs w:val="22"/>
          <w:lang w:val="es-ES_tradnl"/>
        </w:rPr>
        <w:t>2 de octubre de 2013), la Asamblea de la Unión de Lisboa aprobó la convocación de una Confer</w:t>
      </w:r>
      <w:r w:rsidR="00000DF1">
        <w:rPr>
          <w:szCs w:val="22"/>
          <w:lang w:val="es-ES_tradnl"/>
        </w:rPr>
        <w:t>e</w:t>
      </w:r>
      <w:r>
        <w:rPr>
          <w:szCs w:val="22"/>
          <w:lang w:val="es-ES_tradnl"/>
        </w:rPr>
        <w:t>ncia Diplomática para la adopción de un Arreglo de Lisboa revisado sobre las Denominaciones de Origen y las Indicaciones Geográficas en 2015, cuya fecha y lugar de celebración exactos se decidirían en una</w:t>
      </w:r>
      <w:r w:rsidR="00000DF1">
        <w:rPr>
          <w:szCs w:val="22"/>
          <w:lang w:val="es-ES_tradnl"/>
        </w:rPr>
        <w:t xml:space="preserve"> reunión del Comité Preparatorio de esa Conferencia Diplomática</w:t>
      </w:r>
      <w:r w:rsidR="00AE295B" w:rsidRPr="00000DF1">
        <w:rPr>
          <w:szCs w:val="22"/>
          <w:lang w:val="es-ES_tradnl"/>
        </w:rPr>
        <w:t xml:space="preserve"> (</w:t>
      </w:r>
      <w:r w:rsidR="00000DF1">
        <w:rPr>
          <w:szCs w:val="22"/>
          <w:lang w:val="es-ES_tradnl"/>
        </w:rPr>
        <w:t xml:space="preserve">véase el </w:t>
      </w:r>
      <w:r w:rsidR="00AE295B" w:rsidRPr="00000DF1">
        <w:rPr>
          <w:szCs w:val="22"/>
          <w:lang w:val="es-ES_tradnl"/>
        </w:rPr>
        <w:t>document</w:t>
      </w:r>
      <w:r w:rsidR="00000DF1">
        <w:rPr>
          <w:szCs w:val="22"/>
          <w:lang w:val="es-ES_tradnl"/>
        </w:rPr>
        <w:t>o</w:t>
      </w:r>
      <w:r w:rsidR="00524DAB">
        <w:rPr>
          <w:szCs w:val="22"/>
          <w:lang w:val="es-ES_tradnl"/>
        </w:rPr>
        <w:t xml:space="preserve"> LI/</w:t>
      </w:r>
      <w:r w:rsidR="00AE295B" w:rsidRPr="00000DF1">
        <w:rPr>
          <w:szCs w:val="22"/>
          <w:lang w:val="es-ES_tradnl"/>
        </w:rPr>
        <w:t xml:space="preserve">A/29/1 </w:t>
      </w:r>
      <w:r w:rsidR="00000DF1">
        <w:rPr>
          <w:szCs w:val="22"/>
          <w:lang w:val="es-ES_tradnl"/>
        </w:rPr>
        <w:t xml:space="preserve">y </w:t>
      </w:r>
      <w:r w:rsidR="00AE295B" w:rsidRPr="00000DF1">
        <w:rPr>
          <w:szCs w:val="22"/>
          <w:lang w:val="es-ES_tradnl"/>
        </w:rPr>
        <w:t xml:space="preserve">2).  </w:t>
      </w:r>
    </w:p>
    <w:p w:rsidR="00AE295B" w:rsidRPr="00216551" w:rsidRDefault="00AE295B" w:rsidP="00192F08">
      <w:pPr>
        <w:tabs>
          <w:tab w:val="left" w:pos="630"/>
        </w:tabs>
        <w:rPr>
          <w:szCs w:val="22"/>
          <w:lang w:val="es-ES_tradnl"/>
        </w:rPr>
      </w:pPr>
    </w:p>
    <w:p w:rsidR="00AB79B3" w:rsidRDefault="00000DF1" w:rsidP="00192F08">
      <w:pPr>
        <w:pStyle w:val="ListParagraph"/>
        <w:numPr>
          <w:ilvl w:val="0"/>
          <w:numId w:val="10"/>
        </w:numPr>
        <w:tabs>
          <w:tab w:val="left" w:pos="630"/>
        </w:tabs>
        <w:ind w:left="0" w:firstLine="0"/>
        <w:rPr>
          <w:szCs w:val="22"/>
          <w:lang w:val="es-ES_tradnl"/>
        </w:rPr>
      </w:pPr>
      <w:r>
        <w:rPr>
          <w:szCs w:val="22"/>
          <w:lang w:val="es-ES_tradnl"/>
        </w:rPr>
        <w:t xml:space="preserve">Entre marzo de </w:t>
      </w:r>
      <w:r w:rsidR="008C2F11">
        <w:rPr>
          <w:szCs w:val="22"/>
          <w:lang w:val="es-ES_tradnl"/>
        </w:rPr>
        <w:t xml:space="preserve">2009 y junio de 2014 se celebró un total de nueve </w:t>
      </w:r>
      <w:r w:rsidR="00AB79B3">
        <w:rPr>
          <w:szCs w:val="22"/>
          <w:lang w:val="es-ES_tradnl"/>
        </w:rPr>
        <w:t xml:space="preserve">reuniones </w:t>
      </w:r>
      <w:r w:rsidR="008C2F11">
        <w:rPr>
          <w:szCs w:val="22"/>
          <w:lang w:val="es-ES_tradnl"/>
        </w:rPr>
        <w:t xml:space="preserve">del Grupo de Trabajo.  </w:t>
      </w:r>
      <w:r w:rsidR="00AB79B3">
        <w:rPr>
          <w:szCs w:val="22"/>
          <w:lang w:val="es-ES_tradnl"/>
        </w:rPr>
        <w:t xml:space="preserve">Está previsto que tenga lugar la décima reunión del Grupo de Trabajo del 27 al </w:t>
      </w:r>
      <w:r w:rsidR="00195EB5">
        <w:rPr>
          <w:szCs w:val="22"/>
          <w:lang w:val="es-ES_tradnl"/>
        </w:rPr>
        <w:br/>
      </w:r>
      <w:r w:rsidR="00AB79B3">
        <w:rPr>
          <w:szCs w:val="22"/>
          <w:lang w:val="es-ES_tradnl"/>
        </w:rPr>
        <w:t>31 de octubre de 2014, conjuntamente con la reunión del Comité Preparatorio.</w:t>
      </w:r>
    </w:p>
    <w:p w:rsidR="00A954F8" w:rsidRPr="00216551" w:rsidRDefault="00A954F8" w:rsidP="00192F08">
      <w:pPr>
        <w:pStyle w:val="ListParagraph"/>
        <w:tabs>
          <w:tab w:val="left" w:pos="630"/>
        </w:tabs>
        <w:ind w:left="0"/>
        <w:rPr>
          <w:szCs w:val="22"/>
          <w:lang w:val="es-ES_tradnl"/>
        </w:rPr>
      </w:pPr>
    </w:p>
    <w:p w:rsidR="00AB79B3" w:rsidRDefault="00AB79B3" w:rsidP="00192F08">
      <w:pPr>
        <w:pStyle w:val="ListParagraph"/>
        <w:numPr>
          <w:ilvl w:val="0"/>
          <w:numId w:val="10"/>
        </w:numPr>
        <w:tabs>
          <w:tab w:val="left" w:pos="630"/>
        </w:tabs>
        <w:ind w:left="0" w:firstLine="0"/>
        <w:rPr>
          <w:szCs w:val="22"/>
          <w:lang w:val="es-ES_tradnl"/>
        </w:rPr>
      </w:pPr>
      <w:r>
        <w:rPr>
          <w:szCs w:val="22"/>
          <w:lang w:val="es-ES_tradnl"/>
        </w:rPr>
        <w:t>Desde su séptima reunión (29 de abril a 3 de mayo de 2013), el Grupo de Trabajo ha trabajado en los fundamentos del proyecto de artículos y de reglamento de un Arregl</w:t>
      </w:r>
      <w:r w:rsidR="009F0515">
        <w:rPr>
          <w:szCs w:val="22"/>
          <w:lang w:val="es-ES_tradnl"/>
        </w:rPr>
        <w:t>o de Lisboa revisado sobre las d</w:t>
      </w:r>
      <w:r>
        <w:rPr>
          <w:szCs w:val="22"/>
          <w:lang w:val="es-ES_tradnl"/>
        </w:rPr>
        <w:t xml:space="preserve">enominaciones de </w:t>
      </w:r>
      <w:r w:rsidR="009F0515">
        <w:rPr>
          <w:szCs w:val="22"/>
          <w:lang w:val="es-ES_tradnl"/>
        </w:rPr>
        <w:t>o</w:t>
      </w:r>
      <w:r>
        <w:rPr>
          <w:szCs w:val="22"/>
          <w:lang w:val="es-ES_tradnl"/>
        </w:rPr>
        <w:t xml:space="preserve">rigen y las </w:t>
      </w:r>
      <w:r w:rsidR="009F0515">
        <w:rPr>
          <w:szCs w:val="22"/>
          <w:lang w:val="es-ES_tradnl"/>
        </w:rPr>
        <w:t>i</w:t>
      </w:r>
      <w:r>
        <w:rPr>
          <w:szCs w:val="22"/>
          <w:lang w:val="es-ES_tradnl"/>
        </w:rPr>
        <w:t xml:space="preserve">ndicaciones </w:t>
      </w:r>
      <w:r w:rsidR="009F0515">
        <w:rPr>
          <w:szCs w:val="22"/>
          <w:lang w:val="es-ES_tradnl"/>
        </w:rPr>
        <w:t>g</w:t>
      </w:r>
      <w:r>
        <w:rPr>
          <w:szCs w:val="22"/>
          <w:lang w:val="es-ES_tradnl"/>
        </w:rPr>
        <w:t>eográficas y del Reglamento del Arreglo de Lisboa revisado.</w:t>
      </w:r>
    </w:p>
    <w:p w:rsidR="00D80804" w:rsidRPr="00192F08" w:rsidRDefault="00AB79B3" w:rsidP="00192F08">
      <w:pPr>
        <w:pStyle w:val="Heading2"/>
        <w:rPr>
          <w:lang w:val="es-ES_tradnl"/>
        </w:rPr>
      </w:pPr>
      <w:r w:rsidRPr="00192F08">
        <w:rPr>
          <w:lang w:val="es-ES_tradnl"/>
        </w:rPr>
        <w:t>ORDEN DEL DÍA DE LA CONFERENCIA DiplomÁTICA</w:t>
      </w:r>
      <w:r w:rsidR="00522859" w:rsidRPr="00192F08">
        <w:rPr>
          <w:lang w:val="es-ES_tradnl"/>
        </w:rPr>
        <w:t xml:space="preserve"> </w:t>
      </w:r>
    </w:p>
    <w:p w:rsidR="00D80804" w:rsidRPr="00216551" w:rsidRDefault="00D80804" w:rsidP="00192F08">
      <w:pPr>
        <w:pStyle w:val="Footer"/>
        <w:rPr>
          <w:szCs w:val="22"/>
          <w:lang w:val="es-ES_tradnl"/>
        </w:rPr>
      </w:pPr>
    </w:p>
    <w:p w:rsidR="00D80804" w:rsidRPr="00216551" w:rsidRDefault="00BC2AC0" w:rsidP="00192F08">
      <w:pPr>
        <w:pStyle w:val="ListParagraph"/>
        <w:numPr>
          <w:ilvl w:val="0"/>
          <w:numId w:val="10"/>
        </w:numPr>
        <w:tabs>
          <w:tab w:val="left" w:pos="630"/>
        </w:tabs>
        <w:ind w:left="0" w:firstLine="0"/>
        <w:rPr>
          <w:szCs w:val="22"/>
          <w:lang w:val="es-ES_tradnl"/>
        </w:rPr>
      </w:pPr>
      <w:r>
        <w:rPr>
          <w:szCs w:val="22"/>
          <w:lang w:val="es-ES_tradnl"/>
        </w:rPr>
        <w:t>En el Anexo del presente documento se expone la propuesta de proyecto de orden del día de la Conferencia Diplomática</w:t>
      </w:r>
      <w:r w:rsidR="00D80804" w:rsidRPr="00216551">
        <w:rPr>
          <w:szCs w:val="22"/>
          <w:lang w:val="es-ES_tradnl"/>
        </w:rPr>
        <w:t>.</w:t>
      </w:r>
    </w:p>
    <w:p w:rsidR="00D80804" w:rsidRPr="00216551" w:rsidRDefault="00D80804" w:rsidP="00192F08">
      <w:pPr>
        <w:tabs>
          <w:tab w:val="left" w:pos="630"/>
        </w:tabs>
        <w:rPr>
          <w:szCs w:val="22"/>
          <w:lang w:val="es-ES_tradnl"/>
        </w:rPr>
      </w:pPr>
    </w:p>
    <w:p w:rsidR="00195EB5" w:rsidRDefault="00BC2AC0" w:rsidP="00192F08">
      <w:pPr>
        <w:pStyle w:val="ListBullet"/>
        <w:rPr>
          <w:rFonts w:eastAsia="SimSun"/>
          <w:lang w:val="es-ES_tradnl" w:eastAsia="zh-CN"/>
        </w:rPr>
      </w:pPr>
      <w:r>
        <w:rPr>
          <w:lang w:val="es-ES_tradnl"/>
        </w:rPr>
        <w:t>El proyecto de orden del día se inspira en el orden del día de la Conferencia Diplomática de Beijing de 2012 sobre la protección de las interpretaciones y ejecuciones audiovisuales y en el de la Conferencia Diplomática de Marrakech de 2013 sobre un t</w:t>
      </w:r>
      <w:r w:rsidRPr="00BC2AC0">
        <w:rPr>
          <w:rFonts w:eastAsia="SimSun"/>
          <w:lang w:val="es-ES_tradnl" w:eastAsia="zh-CN"/>
        </w:rPr>
        <w:t>ratado para facilitar el acceso a las obras publicadas a las personas ciegas, con discapacidad visual o con otras dificultades para acceder al texto impreso</w:t>
      </w:r>
      <w:r>
        <w:rPr>
          <w:rFonts w:eastAsia="SimSun"/>
          <w:lang w:val="es-ES_tradnl" w:eastAsia="zh-CN"/>
        </w:rPr>
        <w:t>, celebradas bajo los auspicios de la OMPI.</w:t>
      </w:r>
    </w:p>
    <w:p w:rsidR="00195EB5" w:rsidRDefault="00195EB5">
      <w:pPr>
        <w:rPr>
          <w:szCs w:val="22"/>
          <w:lang w:val="es-ES_tradnl"/>
        </w:rPr>
      </w:pPr>
      <w:r>
        <w:rPr>
          <w:lang w:val="es-ES_tradnl"/>
        </w:rPr>
        <w:br w:type="page"/>
      </w:r>
    </w:p>
    <w:p w:rsidR="00D80804" w:rsidRPr="00AC10C9" w:rsidRDefault="00BC2AC0" w:rsidP="00192F08">
      <w:pPr>
        <w:pStyle w:val="Heading2"/>
        <w:rPr>
          <w:lang w:val="es-ES_tradnl"/>
        </w:rPr>
      </w:pPr>
      <w:r w:rsidRPr="00AC10C9">
        <w:rPr>
          <w:lang w:val="es-ES_tradnl"/>
        </w:rPr>
        <w:lastRenderedPageBreak/>
        <w:t>FECHAS Y LUGAR DE CELEBRACIÓN DE LA CONFERENCIA DIPLOMÁTICA</w:t>
      </w:r>
      <w:r w:rsidR="00CC654C" w:rsidRPr="00AC10C9">
        <w:rPr>
          <w:lang w:val="es-ES_tradnl"/>
        </w:rPr>
        <w:t xml:space="preserve"> </w:t>
      </w:r>
    </w:p>
    <w:p w:rsidR="00D80804" w:rsidRPr="00216551" w:rsidRDefault="00D80804" w:rsidP="00192F08">
      <w:pPr>
        <w:rPr>
          <w:szCs w:val="22"/>
          <w:lang w:val="es-ES_tradnl"/>
        </w:rPr>
      </w:pPr>
    </w:p>
    <w:p w:rsidR="00D80804" w:rsidRPr="00216551" w:rsidRDefault="00E408FF" w:rsidP="00192F08">
      <w:pPr>
        <w:pStyle w:val="ListBullet"/>
        <w:rPr>
          <w:lang w:val="es-ES_tradnl"/>
        </w:rPr>
      </w:pPr>
      <w:r>
        <w:rPr>
          <w:lang w:val="es-ES_tradnl"/>
        </w:rPr>
        <w:t>En el momento de finalizar el presente documento</w:t>
      </w:r>
      <w:r w:rsidR="00877EAE" w:rsidRPr="00216551">
        <w:rPr>
          <w:lang w:val="es-ES_tradnl"/>
        </w:rPr>
        <w:t xml:space="preserve">, </w:t>
      </w:r>
      <w:r>
        <w:rPr>
          <w:lang w:val="es-ES_tradnl"/>
        </w:rPr>
        <w:t>la Oficina Internacional</w:t>
      </w:r>
      <w:r w:rsidR="00E553CA" w:rsidRPr="00216551">
        <w:rPr>
          <w:lang w:val="es-ES_tradnl"/>
        </w:rPr>
        <w:t xml:space="preserve"> </w:t>
      </w:r>
      <w:r>
        <w:rPr>
          <w:lang w:val="es-ES_tradnl"/>
        </w:rPr>
        <w:t xml:space="preserve">de la OMPI había recibido una invitación oficial del Gobierno de Portugal para acoger la Conferencia Diplomática </w:t>
      </w:r>
      <w:r w:rsidR="00856293">
        <w:rPr>
          <w:lang w:val="es-ES_tradnl"/>
        </w:rPr>
        <w:t xml:space="preserve">en una </w:t>
      </w:r>
      <w:r>
        <w:rPr>
          <w:lang w:val="es-ES_tradnl"/>
        </w:rPr>
        <w:t xml:space="preserve">carta fechada el 13 de enero de </w:t>
      </w:r>
      <w:r w:rsidR="007B34C5" w:rsidRPr="00216551">
        <w:rPr>
          <w:lang w:val="es-ES_tradnl"/>
        </w:rPr>
        <w:t>2014</w:t>
      </w:r>
      <w:r w:rsidR="00856293">
        <w:rPr>
          <w:lang w:val="es-ES_tradnl"/>
        </w:rPr>
        <w:t xml:space="preserve"> que fue </w:t>
      </w:r>
      <w:r w:rsidR="00557E2E">
        <w:rPr>
          <w:lang w:val="es-ES_tradnl"/>
        </w:rPr>
        <w:t>enviada</w:t>
      </w:r>
      <w:r w:rsidR="002E5D35">
        <w:rPr>
          <w:lang w:val="es-ES_tradnl"/>
        </w:rPr>
        <w:t xml:space="preserve"> a los</w:t>
      </w:r>
      <w:r w:rsidR="00856293">
        <w:rPr>
          <w:lang w:val="es-ES_tradnl"/>
        </w:rPr>
        <w:t xml:space="preserve"> miembros de la Uni</w:t>
      </w:r>
      <w:r w:rsidR="00E7716F">
        <w:rPr>
          <w:lang w:val="es-ES_tradnl"/>
        </w:rPr>
        <w:t>ón de Lisboa mediante la carta c</w:t>
      </w:r>
      <w:r w:rsidR="00856293">
        <w:rPr>
          <w:lang w:val="es-ES_tradnl"/>
        </w:rPr>
        <w:t xml:space="preserve">ircular C. LIS 79 </w:t>
      </w:r>
      <w:r w:rsidR="00724651">
        <w:rPr>
          <w:lang w:val="es-ES_tradnl"/>
        </w:rPr>
        <w:t xml:space="preserve">fechada </w:t>
      </w:r>
      <w:r w:rsidR="00856293">
        <w:rPr>
          <w:lang w:val="es-ES_tradnl"/>
        </w:rPr>
        <w:t xml:space="preserve">el 10 de febrero de 2014. </w:t>
      </w:r>
      <w:r w:rsidR="00192F08">
        <w:rPr>
          <w:lang w:val="es-ES_tradnl"/>
        </w:rPr>
        <w:t xml:space="preserve">  </w:t>
      </w:r>
      <w:r>
        <w:rPr>
          <w:lang w:val="es-ES_tradnl"/>
        </w:rPr>
        <w:t xml:space="preserve">Se propone que la Conferencia Diplomática tenga lugar del </w:t>
      </w:r>
      <w:r w:rsidR="00C36914">
        <w:rPr>
          <w:lang w:val="es-ES_tradnl"/>
        </w:rPr>
        <w:t>11 al 21 de mayo de 2015.</w:t>
      </w:r>
    </w:p>
    <w:p w:rsidR="00A954F8" w:rsidRPr="00216551" w:rsidRDefault="00A954F8" w:rsidP="00192F08">
      <w:pPr>
        <w:pStyle w:val="ListBullet"/>
        <w:numPr>
          <w:ilvl w:val="0"/>
          <w:numId w:val="0"/>
        </w:numPr>
        <w:rPr>
          <w:lang w:val="es-ES_tradnl"/>
        </w:rPr>
      </w:pPr>
    </w:p>
    <w:p w:rsidR="00D80804" w:rsidRPr="00216551" w:rsidRDefault="00AE295B" w:rsidP="00192F08">
      <w:pPr>
        <w:pStyle w:val="DecisionParagraph"/>
        <w:tabs>
          <w:tab w:val="left" w:pos="6096"/>
        </w:tabs>
        <w:ind w:left="5534"/>
        <w:rPr>
          <w:rFonts w:ascii="Arial" w:hAnsi="Arial" w:cs="Arial"/>
          <w:sz w:val="22"/>
          <w:szCs w:val="22"/>
          <w:lang w:val="es-ES_tradnl"/>
        </w:rPr>
      </w:pPr>
      <w:r w:rsidRPr="00216551">
        <w:rPr>
          <w:rFonts w:ascii="Arial" w:hAnsi="Arial" w:cs="Arial"/>
          <w:sz w:val="22"/>
          <w:szCs w:val="22"/>
          <w:lang w:val="es-ES_tradnl"/>
        </w:rPr>
        <w:t>9</w:t>
      </w:r>
      <w:r w:rsidR="00D80804" w:rsidRPr="00216551">
        <w:rPr>
          <w:rFonts w:ascii="Arial" w:hAnsi="Arial" w:cs="Arial"/>
          <w:sz w:val="22"/>
          <w:szCs w:val="22"/>
          <w:lang w:val="es-ES_tradnl"/>
        </w:rPr>
        <w:t>.</w:t>
      </w:r>
      <w:r w:rsidR="009904CD" w:rsidRPr="00216551">
        <w:rPr>
          <w:rFonts w:ascii="Arial" w:hAnsi="Arial" w:cs="Arial"/>
          <w:sz w:val="22"/>
          <w:szCs w:val="22"/>
          <w:lang w:val="es-ES_tradnl"/>
        </w:rPr>
        <w:tab/>
      </w:r>
      <w:r w:rsidR="00316D4F">
        <w:rPr>
          <w:rFonts w:ascii="Arial" w:hAnsi="Arial" w:cs="Arial"/>
          <w:sz w:val="22"/>
          <w:szCs w:val="22"/>
          <w:lang w:val="es-ES_tradnl"/>
        </w:rPr>
        <w:t>Se invita al Comité Preparatorio a aprobar el proyecto de orden del día de la Conferencia Diplomática</w:t>
      </w:r>
      <w:r w:rsidR="00D80804" w:rsidRPr="00216551">
        <w:rPr>
          <w:rFonts w:ascii="Arial" w:hAnsi="Arial" w:cs="Arial"/>
          <w:sz w:val="22"/>
          <w:szCs w:val="22"/>
          <w:lang w:val="es-ES_tradnl"/>
        </w:rPr>
        <w:t xml:space="preserve"> </w:t>
      </w:r>
      <w:r w:rsidR="00316D4F">
        <w:rPr>
          <w:rFonts w:ascii="Arial" w:hAnsi="Arial" w:cs="Arial"/>
          <w:sz w:val="22"/>
          <w:szCs w:val="22"/>
          <w:lang w:val="es-ES_tradnl"/>
        </w:rPr>
        <w:t>y a decidir el lugar de celebración y las fechas de la Conferencia Diplomática</w:t>
      </w:r>
      <w:r w:rsidR="00F6537A" w:rsidRPr="00216551">
        <w:rPr>
          <w:rFonts w:ascii="Arial" w:hAnsi="Arial" w:cs="Arial"/>
          <w:sz w:val="22"/>
          <w:szCs w:val="22"/>
          <w:lang w:val="es-ES_tradnl"/>
        </w:rPr>
        <w:t>.</w:t>
      </w:r>
    </w:p>
    <w:p w:rsidR="00D80804" w:rsidRDefault="00D80804" w:rsidP="00192F08">
      <w:pPr>
        <w:rPr>
          <w:lang w:val="es-ES_tradnl"/>
        </w:rPr>
      </w:pPr>
    </w:p>
    <w:p w:rsidR="00195EB5" w:rsidRPr="00216551" w:rsidRDefault="00195EB5" w:rsidP="00192F08">
      <w:pPr>
        <w:rPr>
          <w:lang w:val="es-ES_tradnl"/>
        </w:rPr>
      </w:pPr>
    </w:p>
    <w:p w:rsidR="00D80804" w:rsidRPr="00216551" w:rsidRDefault="00D80804" w:rsidP="00192F08">
      <w:pPr>
        <w:rPr>
          <w:lang w:val="es-ES_tradnl"/>
        </w:rPr>
      </w:pPr>
    </w:p>
    <w:p w:rsidR="00EB28D3" w:rsidRPr="00216551" w:rsidRDefault="00EB28D3" w:rsidP="009904CD">
      <w:pPr>
        <w:pStyle w:val="EndofDocument"/>
        <w:ind w:left="5533"/>
        <w:jc w:val="left"/>
        <w:rPr>
          <w:rFonts w:ascii="Arial" w:hAnsi="Arial" w:cs="Arial"/>
          <w:sz w:val="22"/>
          <w:szCs w:val="22"/>
          <w:lang w:val="es-ES_tradnl"/>
        </w:rPr>
      </w:pPr>
      <w:r w:rsidRPr="00216551">
        <w:rPr>
          <w:rFonts w:ascii="Arial" w:hAnsi="Arial" w:cs="Arial"/>
          <w:sz w:val="22"/>
          <w:szCs w:val="22"/>
          <w:lang w:val="es-ES_tradnl"/>
        </w:rPr>
        <w:t>[</w:t>
      </w:r>
      <w:r w:rsidR="00316D4F">
        <w:rPr>
          <w:rFonts w:ascii="Arial" w:hAnsi="Arial" w:cs="Arial"/>
          <w:sz w:val="22"/>
          <w:szCs w:val="22"/>
          <w:lang w:val="es-ES_tradnl"/>
        </w:rPr>
        <w:t>Sigue el Anexo</w:t>
      </w:r>
      <w:r w:rsidRPr="00216551">
        <w:rPr>
          <w:rFonts w:ascii="Arial" w:hAnsi="Arial" w:cs="Arial"/>
          <w:sz w:val="22"/>
          <w:szCs w:val="22"/>
          <w:lang w:val="es-ES_tradnl"/>
        </w:rPr>
        <w:t>]</w:t>
      </w:r>
    </w:p>
    <w:p w:rsidR="00D80804" w:rsidRPr="00216551" w:rsidRDefault="00D80804" w:rsidP="00192F08">
      <w:pPr>
        <w:rPr>
          <w:lang w:val="es-ES_tradnl"/>
        </w:rPr>
      </w:pPr>
    </w:p>
    <w:p w:rsidR="00D80804" w:rsidRPr="00216551" w:rsidRDefault="00D80804" w:rsidP="00192F08">
      <w:pPr>
        <w:rPr>
          <w:lang w:val="es-ES_tradnl"/>
        </w:rPr>
      </w:pPr>
    </w:p>
    <w:p w:rsidR="00D80804" w:rsidRPr="00216551" w:rsidRDefault="00D80804" w:rsidP="00192F08">
      <w:pPr>
        <w:rPr>
          <w:lang w:val="es-ES_tradnl"/>
        </w:rPr>
      </w:pPr>
    </w:p>
    <w:p w:rsidR="00192F08" w:rsidRDefault="00192F08" w:rsidP="00D80804">
      <w:pPr>
        <w:rPr>
          <w:szCs w:val="22"/>
          <w:lang w:val="es-ES_tradnl"/>
        </w:rPr>
        <w:sectPr w:rsidR="00192F08" w:rsidSect="00D80804">
          <w:headerReference w:type="default" r:id="rId10"/>
          <w:endnotePr>
            <w:numFmt w:val="decimal"/>
          </w:endnotePr>
          <w:pgSz w:w="11907" w:h="16840" w:code="9"/>
          <w:pgMar w:top="567" w:right="1134" w:bottom="1418" w:left="1418" w:header="510" w:footer="1021" w:gutter="0"/>
          <w:cols w:space="720"/>
          <w:titlePg/>
          <w:docGrid w:linePitch="299"/>
        </w:sectPr>
      </w:pPr>
    </w:p>
    <w:p w:rsidR="00AC10C9" w:rsidRDefault="00AC10C9" w:rsidP="00D80804">
      <w:pPr>
        <w:rPr>
          <w:szCs w:val="22"/>
          <w:lang w:val="es-ES_tradnl"/>
        </w:rPr>
      </w:pPr>
    </w:p>
    <w:p w:rsidR="00D80804" w:rsidRPr="00216551" w:rsidRDefault="00690EF8" w:rsidP="00D80804">
      <w:pPr>
        <w:rPr>
          <w:szCs w:val="22"/>
          <w:lang w:val="es-ES_tradnl"/>
        </w:rPr>
      </w:pPr>
      <w:r>
        <w:rPr>
          <w:szCs w:val="22"/>
          <w:lang w:val="es-ES_tradnl"/>
        </w:rPr>
        <w:t>PROYECTO DE ORDEN DEL DÍA DE LA CONFERENCIA DIPLOMÁTICA</w:t>
      </w:r>
      <w:r w:rsidR="00D80804" w:rsidRPr="00216551">
        <w:rPr>
          <w:szCs w:val="22"/>
          <w:lang w:val="es-ES_tradnl"/>
        </w:rPr>
        <w:t xml:space="preserve"> </w:t>
      </w:r>
    </w:p>
    <w:p w:rsidR="00D80804" w:rsidRPr="00216551" w:rsidRDefault="00D80804" w:rsidP="00D80804">
      <w:pPr>
        <w:ind w:left="567" w:hanging="567"/>
        <w:rPr>
          <w:szCs w:val="22"/>
          <w:lang w:val="es-ES_tradnl"/>
        </w:rPr>
      </w:pPr>
    </w:p>
    <w:p w:rsidR="007B4207" w:rsidRDefault="007B4207" w:rsidP="007B4207">
      <w:pPr>
        <w:pStyle w:val="ListParagraph"/>
        <w:numPr>
          <w:ilvl w:val="0"/>
          <w:numId w:val="14"/>
        </w:numPr>
        <w:tabs>
          <w:tab w:val="left" w:pos="630"/>
        </w:tabs>
        <w:ind w:left="630" w:hanging="630"/>
        <w:rPr>
          <w:szCs w:val="22"/>
          <w:lang w:val="es-ES_tradnl"/>
        </w:rPr>
      </w:pPr>
      <w:r w:rsidRPr="007B4207">
        <w:rPr>
          <w:szCs w:val="22"/>
          <w:lang w:val="es-ES_tradnl"/>
        </w:rPr>
        <w:t>Apertura de la Conferencia por el Director General de la OMPI</w:t>
      </w:r>
    </w:p>
    <w:p w:rsidR="007B4207" w:rsidRPr="00AC10C9" w:rsidRDefault="007B4207" w:rsidP="00AC10C9">
      <w:pPr>
        <w:tabs>
          <w:tab w:val="left" w:pos="630"/>
        </w:tabs>
        <w:rPr>
          <w:szCs w:val="22"/>
          <w:lang w:val="es-ES_tradnl"/>
        </w:rPr>
      </w:pPr>
    </w:p>
    <w:p w:rsidR="007B4207" w:rsidRDefault="007B4207" w:rsidP="007B4207">
      <w:pPr>
        <w:pStyle w:val="ListParagraph"/>
        <w:numPr>
          <w:ilvl w:val="0"/>
          <w:numId w:val="14"/>
        </w:numPr>
        <w:tabs>
          <w:tab w:val="left" w:pos="630"/>
        </w:tabs>
        <w:ind w:left="630" w:hanging="630"/>
        <w:rPr>
          <w:szCs w:val="22"/>
          <w:lang w:val="es-ES_tradnl"/>
        </w:rPr>
      </w:pPr>
      <w:r w:rsidRPr="007B4207">
        <w:rPr>
          <w:szCs w:val="22"/>
          <w:lang w:val="es-ES_tradnl"/>
        </w:rPr>
        <w:t xml:space="preserve">Examen y aprobación del Reglamento </w:t>
      </w:r>
      <w:r w:rsidR="00861089">
        <w:rPr>
          <w:szCs w:val="22"/>
          <w:lang w:val="es-ES_tradnl"/>
        </w:rPr>
        <w:t>interno</w:t>
      </w:r>
    </w:p>
    <w:p w:rsidR="007B4207" w:rsidRPr="00AC10C9" w:rsidRDefault="007B4207" w:rsidP="00AC10C9">
      <w:pPr>
        <w:rPr>
          <w:szCs w:val="22"/>
          <w:lang w:val="es-ES_tradnl"/>
        </w:rPr>
      </w:pPr>
    </w:p>
    <w:p w:rsidR="007B4207" w:rsidRDefault="007B4207" w:rsidP="007B4207">
      <w:pPr>
        <w:pStyle w:val="ListParagraph"/>
        <w:numPr>
          <w:ilvl w:val="0"/>
          <w:numId w:val="14"/>
        </w:numPr>
        <w:tabs>
          <w:tab w:val="left" w:pos="630"/>
        </w:tabs>
        <w:ind w:left="630" w:hanging="630"/>
        <w:rPr>
          <w:szCs w:val="22"/>
          <w:lang w:val="es-ES_tradnl"/>
        </w:rPr>
      </w:pPr>
      <w:r w:rsidRPr="007B4207">
        <w:rPr>
          <w:szCs w:val="22"/>
          <w:lang w:val="es-ES_tradnl"/>
        </w:rPr>
        <w:t>Elección del Presidente de la Conferencia</w:t>
      </w:r>
    </w:p>
    <w:p w:rsidR="007B4207" w:rsidRPr="00AC10C9" w:rsidRDefault="007B4207" w:rsidP="00AC10C9">
      <w:pPr>
        <w:rPr>
          <w:szCs w:val="22"/>
          <w:lang w:val="es-ES_tradnl"/>
        </w:rPr>
      </w:pPr>
    </w:p>
    <w:p w:rsidR="007B4207" w:rsidRDefault="007B4207" w:rsidP="007B4207">
      <w:pPr>
        <w:pStyle w:val="ListParagraph"/>
        <w:numPr>
          <w:ilvl w:val="0"/>
          <w:numId w:val="14"/>
        </w:numPr>
        <w:tabs>
          <w:tab w:val="left" w:pos="630"/>
        </w:tabs>
        <w:ind w:left="630" w:hanging="630"/>
        <w:rPr>
          <w:szCs w:val="22"/>
          <w:lang w:val="es-ES_tradnl"/>
        </w:rPr>
      </w:pPr>
      <w:r w:rsidRPr="007B4207">
        <w:rPr>
          <w:szCs w:val="22"/>
          <w:lang w:val="es-ES_tradnl"/>
        </w:rPr>
        <w:t>Examen y aprobación del programa</w:t>
      </w:r>
    </w:p>
    <w:p w:rsidR="007B4207" w:rsidRPr="00AC10C9" w:rsidRDefault="007B4207" w:rsidP="00AC10C9">
      <w:pPr>
        <w:rPr>
          <w:szCs w:val="22"/>
          <w:lang w:val="es-ES_tradnl"/>
        </w:rPr>
      </w:pPr>
    </w:p>
    <w:p w:rsidR="009E3E0C" w:rsidRDefault="007B4207" w:rsidP="009E3E0C">
      <w:pPr>
        <w:pStyle w:val="ListParagraph"/>
        <w:numPr>
          <w:ilvl w:val="0"/>
          <w:numId w:val="14"/>
        </w:numPr>
        <w:tabs>
          <w:tab w:val="left" w:pos="630"/>
        </w:tabs>
        <w:ind w:left="630" w:hanging="630"/>
        <w:rPr>
          <w:szCs w:val="22"/>
          <w:lang w:val="es-ES_tradnl"/>
        </w:rPr>
      </w:pPr>
      <w:r w:rsidRPr="007B4207">
        <w:rPr>
          <w:szCs w:val="22"/>
          <w:lang w:val="es-ES_tradnl"/>
        </w:rPr>
        <w:t>Elección de los Vicepresidentes de la Conferencia</w:t>
      </w:r>
    </w:p>
    <w:p w:rsidR="009E3E0C" w:rsidRPr="00AC10C9" w:rsidRDefault="009E3E0C" w:rsidP="00AC10C9">
      <w:pPr>
        <w:rPr>
          <w:szCs w:val="22"/>
          <w:lang w:val="es-ES_tradnl"/>
        </w:rPr>
      </w:pPr>
    </w:p>
    <w:p w:rsidR="009E3E0C" w:rsidRDefault="007B4207" w:rsidP="009E3E0C">
      <w:pPr>
        <w:pStyle w:val="ListParagraph"/>
        <w:numPr>
          <w:ilvl w:val="0"/>
          <w:numId w:val="14"/>
        </w:numPr>
        <w:tabs>
          <w:tab w:val="left" w:pos="630"/>
        </w:tabs>
        <w:ind w:left="630" w:hanging="630"/>
        <w:rPr>
          <w:szCs w:val="22"/>
          <w:lang w:val="es-ES_tradnl"/>
        </w:rPr>
      </w:pPr>
      <w:r w:rsidRPr="009E3E0C">
        <w:rPr>
          <w:szCs w:val="22"/>
          <w:lang w:val="es-ES_tradnl"/>
        </w:rPr>
        <w:t>Elección de los miembros de la Comisión de Verificación de Poderes</w:t>
      </w:r>
    </w:p>
    <w:p w:rsidR="009E3E0C" w:rsidRPr="00AC10C9" w:rsidRDefault="009E3E0C" w:rsidP="00AC10C9">
      <w:pPr>
        <w:rPr>
          <w:szCs w:val="22"/>
          <w:lang w:val="es-ES_tradnl"/>
        </w:rPr>
      </w:pPr>
    </w:p>
    <w:p w:rsidR="009E3E0C" w:rsidRDefault="007B4207" w:rsidP="009E3E0C">
      <w:pPr>
        <w:pStyle w:val="ListParagraph"/>
        <w:numPr>
          <w:ilvl w:val="0"/>
          <w:numId w:val="14"/>
        </w:numPr>
        <w:tabs>
          <w:tab w:val="left" w:pos="630"/>
        </w:tabs>
        <w:ind w:left="630" w:hanging="630"/>
        <w:rPr>
          <w:szCs w:val="22"/>
          <w:lang w:val="es-ES_tradnl"/>
        </w:rPr>
      </w:pPr>
      <w:r w:rsidRPr="009E3E0C">
        <w:rPr>
          <w:szCs w:val="22"/>
          <w:lang w:val="es-ES_tradnl"/>
        </w:rPr>
        <w:t>Elección de los miembros del Comité de Redacción</w:t>
      </w:r>
    </w:p>
    <w:p w:rsidR="009E3E0C" w:rsidRPr="00AC10C9" w:rsidRDefault="009E3E0C" w:rsidP="00AC10C9">
      <w:pPr>
        <w:rPr>
          <w:szCs w:val="22"/>
          <w:lang w:val="es-ES_tradnl"/>
        </w:rPr>
      </w:pPr>
    </w:p>
    <w:p w:rsidR="009E3E0C" w:rsidRDefault="007B4207" w:rsidP="009E3E0C">
      <w:pPr>
        <w:pStyle w:val="ListParagraph"/>
        <w:numPr>
          <w:ilvl w:val="0"/>
          <w:numId w:val="14"/>
        </w:numPr>
        <w:tabs>
          <w:tab w:val="left" w:pos="630"/>
        </w:tabs>
        <w:ind w:left="630" w:hanging="630"/>
        <w:rPr>
          <w:szCs w:val="22"/>
          <w:lang w:val="es-ES_tradnl"/>
        </w:rPr>
      </w:pPr>
      <w:r w:rsidRPr="009E3E0C">
        <w:rPr>
          <w:szCs w:val="22"/>
          <w:lang w:val="es-ES_tradnl"/>
        </w:rPr>
        <w:t>Elección de los integrantes de las Mesas de la Comisión de Verificación de Poderes, de las Comisiones Principales y del Comité de Redacción</w:t>
      </w:r>
    </w:p>
    <w:p w:rsidR="009E3E0C" w:rsidRPr="00AC10C9" w:rsidRDefault="009E3E0C" w:rsidP="00AC10C9">
      <w:pPr>
        <w:rPr>
          <w:szCs w:val="22"/>
          <w:lang w:val="es-ES_tradnl"/>
        </w:rPr>
      </w:pPr>
    </w:p>
    <w:p w:rsidR="009E3E0C" w:rsidRDefault="009E3E0C" w:rsidP="009E3E0C">
      <w:pPr>
        <w:pStyle w:val="ListParagraph"/>
        <w:numPr>
          <w:ilvl w:val="0"/>
          <w:numId w:val="14"/>
        </w:numPr>
        <w:tabs>
          <w:tab w:val="left" w:pos="630"/>
        </w:tabs>
        <w:ind w:left="630" w:hanging="630"/>
        <w:rPr>
          <w:szCs w:val="22"/>
          <w:lang w:val="es-ES_tradnl"/>
        </w:rPr>
      </w:pPr>
      <w:r w:rsidRPr="009E3E0C">
        <w:rPr>
          <w:szCs w:val="22"/>
          <w:lang w:val="es-ES_tradnl"/>
        </w:rPr>
        <w:t>Declaraciones de apertura de las delegaciones y los representantes de los observadores</w:t>
      </w:r>
    </w:p>
    <w:p w:rsidR="009E3E0C" w:rsidRPr="009E3E0C" w:rsidRDefault="009E3E0C" w:rsidP="009E3E0C">
      <w:pPr>
        <w:tabs>
          <w:tab w:val="left" w:pos="630"/>
        </w:tabs>
        <w:rPr>
          <w:szCs w:val="22"/>
          <w:lang w:val="es-ES_tradnl"/>
        </w:rPr>
      </w:pPr>
    </w:p>
    <w:p w:rsidR="009E3E0C" w:rsidRDefault="007B4207" w:rsidP="009E3E0C">
      <w:pPr>
        <w:pStyle w:val="ListParagraph"/>
        <w:numPr>
          <w:ilvl w:val="0"/>
          <w:numId w:val="14"/>
        </w:numPr>
        <w:tabs>
          <w:tab w:val="left" w:pos="630"/>
        </w:tabs>
        <w:ind w:left="630" w:hanging="630"/>
        <w:rPr>
          <w:szCs w:val="22"/>
          <w:lang w:val="es-ES_tradnl"/>
        </w:rPr>
      </w:pPr>
      <w:r w:rsidRPr="009E3E0C">
        <w:rPr>
          <w:szCs w:val="22"/>
          <w:lang w:val="es-ES_tradnl"/>
        </w:rPr>
        <w:t>Examen del primer informe de la Comisión de Verificación de Poderes</w:t>
      </w:r>
    </w:p>
    <w:p w:rsidR="009E3E0C" w:rsidRPr="00AC10C9" w:rsidRDefault="009E3E0C" w:rsidP="00AC10C9">
      <w:pPr>
        <w:rPr>
          <w:szCs w:val="22"/>
          <w:lang w:val="es-ES_tradnl"/>
        </w:rPr>
      </w:pPr>
    </w:p>
    <w:p w:rsidR="009E3E0C" w:rsidRDefault="007B4207" w:rsidP="009E3E0C">
      <w:pPr>
        <w:pStyle w:val="ListParagraph"/>
        <w:numPr>
          <w:ilvl w:val="0"/>
          <w:numId w:val="14"/>
        </w:numPr>
        <w:tabs>
          <w:tab w:val="left" w:pos="630"/>
        </w:tabs>
        <w:ind w:left="630" w:hanging="630"/>
        <w:rPr>
          <w:szCs w:val="22"/>
          <w:lang w:val="es-ES_tradnl"/>
        </w:rPr>
      </w:pPr>
      <w:r w:rsidRPr="009E3E0C">
        <w:rPr>
          <w:szCs w:val="22"/>
          <w:lang w:val="es-ES_tradnl"/>
        </w:rPr>
        <w:t>Examen de los textos propuestos por las Comisiones Principales</w:t>
      </w:r>
    </w:p>
    <w:p w:rsidR="009E3E0C" w:rsidRPr="00AC10C9" w:rsidRDefault="009E3E0C" w:rsidP="00AC10C9">
      <w:pPr>
        <w:rPr>
          <w:szCs w:val="22"/>
          <w:lang w:val="es-ES_tradnl"/>
        </w:rPr>
      </w:pPr>
    </w:p>
    <w:p w:rsidR="009E3E0C" w:rsidRDefault="007B4207" w:rsidP="009E3E0C">
      <w:pPr>
        <w:pStyle w:val="ListParagraph"/>
        <w:numPr>
          <w:ilvl w:val="0"/>
          <w:numId w:val="14"/>
        </w:numPr>
        <w:tabs>
          <w:tab w:val="left" w:pos="630"/>
        </w:tabs>
        <w:ind w:left="630" w:hanging="630"/>
        <w:rPr>
          <w:szCs w:val="22"/>
          <w:lang w:val="es-ES_tradnl"/>
        </w:rPr>
      </w:pPr>
      <w:r w:rsidRPr="009E3E0C">
        <w:rPr>
          <w:szCs w:val="22"/>
          <w:lang w:val="es-ES_tradnl"/>
        </w:rPr>
        <w:t>Examen del segundo informe de la Comisión de Verificación de Poderes</w:t>
      </w:r>
    </w:p>
    <w:p w:rsidR="009E3E0C" w:rsidRPr="00AC10C9" w:rsidRDefault="009E3E0C" w:rsidP="00AC10C9">
      <w:pPr>
        <w:rPr>
          <w:szCs w:val="22"/>
          <w:lang w:val="es-ES_tradnl"/>
        </w:rPr>
      </w:pPr>
    </w:p>
    <w:p w:rsidR="009E3E0C" w:rsidRDefault="007B4207" w:rsidP="009E3E0C">
      <w:pPr>
        <w:pStyle w:val="ListParagraph"/>
        <w:numPr>
          <w:ilvl w:val="0"/>
          <w:numId w:val="14"/>
        </w:numPr>
        <w:tabs>
          <w:tab w:val="left" w:pos="630"/>
        </w:tabs>
        <w:ind w:left="630" w:hanging="630"/>
        <w:rPr>
          <w:szCs w:val="22"/>
          <w:lang w:val="es-ES_tradnl"/>
        </w:rPr>
      </w:pPr>
      <w:r w:rsidRPr="009E3E0C">
        <w:rPr>
          <w:szCs w:val="22"/>
          <w:lang w:val="es-ES_tradnl"/>
        </w:rPr>
        <w:t>Adopción del Tratado y de su Reglamento</w:t>
      </w:r>
    </w:p>
    <w:p w:rsidR="009E3E0C" w:rsidRPr="00AC10C9" w:rsidRDefault="009E3E0C" w:rsidP="00AC10C9">
      <w:pPr>
        <w:rPr>
          <w:szCs w:val="22"/>
          <w:lang w:val="es-ES_tradnl"/>
        </w:rPr>
      </w:pPr>
    </w:p>
    <w:p w:rsidR="009E3E0C" w:rsidRDefault="007B4207" w:rsidP="009E3E0C">
      <w:pPr>
        <w:pStyle w:val="ListParagraph"/>
        <w:numPr>
          <w:ilvl w:val="0"/>
          <w:numId w:val="14"/>
        </w:numPr>
        <w:tabs>
          <w:tab w:val="left" w:pos="630"/>
        </w:tabs>
        <w:ind w:left="630" w:hanging="630"/>
        <w:rPr>
          <w:szCs w:val="22"/>
          <w:lang w:val="es-ES_tradnl"/>
        </w:rPr>
      </w:pPr>
      <w:r w:rsidRPr="009E3E0C">
        <w:rPr>
          <w:szCs w:val="22"/>
          <w:lang w:val="es-ES_tradnl"/>
        </w:rPr>
        <w:t>Adopción de toda recomendación, resolución, declaración concertada o acta final</w:t>
      </w:r>
    </w:p>
    <w:p w:rsidR="009E3E0C" w:rsidRPr="00AC10C9" w:rsidRDefault="009E3E0C" w:rsidP="00AC10C9">
      <w:pPr>
        <w:rPr>
          <w:szCs w:val="22"/>
          <w:lang w:val="es-ES_tradnl"/>
        </w:rPr>
      </w:pPr>
    </w:p>
    <w:p w:rsidR="009E3E0C" w:rsidRDefault="007B4207" w:rsidP="009E3E0C">
      <w:pPr>
        <w:pStyle w:val="ListParagraph"/>
        <w:numPr>
          <w:ilvl w:val="0"/>
          <w:numId w:val="14"/>
        </w:numPr>
        <w:tabs>
          <w:tab w:val="left" w:pos="630"/>
        </w:tabs>
        <w:ind w:left="630" w:hanging="630"/>
        <w:rPr>
          <w:szCs w:val="22"/>
          <w:lang w:val="es-ES_tradnl"/>
        </w:rPr>
      </w:pPr>
      <w:r w:rsidRPr="009E3E0C">
        <w:rPr>
          <w:szCs w:val="22"/>
          <w:lang w:val="es-ES_tradnl"/>
        </w:rPr>
        <w:t>Declaraciones de clausura de las delegaciones y los representantes de los observadores</w:t>
      </w:r>
    </w:p>
    <w:p w:rsidR="009E3E0C" w:rsidRPr="00AC10C9" w:rsidRDefault="009E3E0C" w:rsidP="00AC10C9">
      <w:pPr>
        <w:rPr>
          <w:szCs w:val="22"/>
          <w:lang w:val="es-ES_tradnl"/>
        </w:rPr>
      </w:pPr>
    </w:p>
    <w:p w:rsidR="00D80804" w:rsidRPr="009E3E0C" w:rsidRDefault="007B4207" w:rsidP="009E3E0C">
      <w:pPr>
        <w:pStyle w:val="ListParagraph"/>
        <w:numPr>
          <w:ilvl w:val="0"/>
          <w:numId w:val="14"/>
        </w:numPr>
        <w:tabs>
          <w:tab w:val="left" w:pos="630"/>
        </w:tabs>
        <w:ind w:left="630" w:hanging="630"/>
        <w:rPr>
          <w:szCs w:val="22"/>
          <w:lang w:val="es-ES_tradnl"/>
        </w:rPr>
      </w:pPr>
      <w:r w:rsidRPr="009E3E0C">
        <w:rPr>
          <w:szCs w:val="22"/>
          <w:lang w:val="es-ES_tradnl"/>
        </w:rPr>
        <w:t>Clausura de l</w:t>
      </w:r>
      <w:r w:rsidR="009E3E0C">
        <w:rPr>
          <w:szCs w:val="22"/>
          <w:lang w:val="es-ES_tradnl"/>
        </w:rPr>
        <w:t>a Conferencia por el Presidente</w:t>
      </w:r>
      <w:r w:rsidR="00D80804" w:rsidRPr="00216551">
        <w:rPr>
          <w:rStyle w:val="FootnoteReference"/>
          <w:szCs w:val="22"/>
          <w:lang w:val="es-ES_tradnl"/>
        </w:rPr>
        <w:footnoteReference w:customMarkFollows="1" w:id="2"/>
        <w:sym w:font="Symbol" w:char="F02A"/>
      </w:r>
    </w:p>
    <w:p w:rsidR="00D80804" w:rsidRPr="00216551" w:rsidRDefault="00D80804" w:rsidP="00D80804">
      <w:pPr>
        <w:rPr>
          <w:szCs w:val="22"/>
          <w:lang w:val="es-ES_tradnl"/>
        </w:rPr>
      </w:pPr>
    </w:p>
    <w:p w:rsidR="00D80804" w:rsidRPr="00216551" w:rsidRDefault="00D80804" w:rsidP="00D80804">
      <w:pPr>
        <w:rPr>
          <w:szCs w:val="22"/>
          <w:lang w:val="es-ES_tradnl"/>
        </w:rPr>
      </w:pPr>
    </w:p>
    <w:p w:rsidR="00D80804" w:rsidRPr="00216551" w:rsidRDefault="00D80804" w:rsidP="00D80804">
      <w:pPr>
        <w:rPr>
          <w:szCs w:val="22"/>
          <w:lang w:val="es-ES_tradnl"/>
        </w:rPr>
      </w:pPr>
    </w:p>
    <w:p w:rsidR="002928D3" w:rsidRPr="00AC10C9" w:rsidRDefault="00D80804" w:rsidP="00AC10C9">
      <w:pPr>
        <w:pStyle w:val="EndofDocument"/>
        <w:ind w:left="5529"/>
        <w:jc w:val="left"/>
        <w:rPr>
          <w:rFonts w:ascii="Arial" w:hAnsi="Arial" w:cs="Arial"/>
          <w:sz w:val="22"/>
          <w:szCs w:val="22"/>
          <w:lang w:val="es-ES_tradnl"/>
        </w:rPr>
      </w:pPr>
      <w:r w:rsidRPr="00216551">
        <w:rPr>
          <w:rFonts w:ascii="Arial" w:hAnsi="Arial" w:cs="Arial"/>
          <w:sz w:val="22"/>
          <w:szCs w:val="22"/>
          <w:lang w:val="es-ES_tradnl"/>
        </w:rPr>
        <w:t>[</w:t>
      </w:r>
      <w:r w:rsidR="00316D4F">
        <w:rPr>
          <w:rFonts w:ascii="Arial" w:hAnsi="Arial" w:cs="Arial"/>
          <w:sz w:val="22"/>
          <w:szCs w:val="22"/>
          <w:lang w:val="es-ES_tradnl"/>
        </w:rPr>
        <w:t>Fin del Anexo y del documento</w:t>
      </w:r>
      <w:r w:rsidRPr="00216551">
        <w:rPr>
          <w:rFonts w:ascii="Arial" w:hAnsi="Arial" w:cs="Arial"/>
          <w:sz w:val="22"/>
          <w:szCs w:val="22"/>
          <w:lang w:val="es-ES_tradnl"/>
        </w:rPr>
        <w:t>]</w:t>
      </w:r>
    </w:p>
    <w:sectPr w:rsidR="002928D3" w:rsidRPr="00AC10C9" w:rsidSect="00D80804">
      <w:headerReference w:type="firs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F44" w:rsidRDefault="00E03F44">
      <w:r>
        <w:separator/>
      </w:r>
    </w:p>
  </w:endnote>
  <w:endnote w:type="continuationSeparator" w:id="0">
    <w:p w:rsidR="00E03F44" w:rsidRDefault="00E03F44" w:rsidP="003B38C1">
      <w:r>
        <w:separator/>
      </w:r>
    </w:p>
    <w:p w:rsidR="00E03F44" w:rsidRPr="003B38C1" w:rsidRDefault="00E03F44" w:rsidP="003B38C1">
      <w:pPr>
        <w:spacing w:after="60"/>
        <w:rPr>
          <w:sz w:val="17"/>
        </w:rPr>
      </w:pPr>
      <w:r>
        <w:rPr>
          <w:sz w:val="17"/>
        </w:rPr>
        <w:t>[Endnote continued from previous page]</w:t>
      </w:r>
    </w:p>
  </w:endnote>
  <w:endnote w:type="continuationNotice" w:id="1">
    <w:p w:rsidR="00E03F44" w:rsidRPr="003B38C1" w:rsidRDefault="00E03F4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F44" w:rsidRDefault="00E03F44">
      <w:r>
        <w:separator/>
      </w:r>
    </w:p>
  </w:footnote>
  <w:footnote w:type="continuationSeparator" w:id="0">
    <w:p w:rsidR="00E03F44" w:rsidRDefault="00E03F44" w:rsidP="008B60B2">
      <w:r>
        <w:separator/>
      </w:r>
    </w:p>
    <w:p w:rsidR="00E03F44" w:rsidRPr="00ED77FB" w:rsidRDefault="00E03F44" w:rsidP="008B60B2">
      <w:pPr>
        <w:spacing w:after="60"/>
        <w:rPr>
          <w:sz w:val="17"/>
          <w:szCs w:val="17"/>
        </w:rPr>
      </w:pPr>
      <w:r w:rsidRPr="00ED77FB">
        <w:rPr>
          <w:sz w:val="17"/>
          <w:szCs w:val="17"/>
        </w:rPr>
        <w:t>[Footnote continued from previous page]</w:t>
      </w:r>
    </w:p>
  </w:footnote>
  <w:footnote w:type="continuationNotice" w:id="1">
    <w:p w:rsidR="00E03F44" w:rsidRPr="00ED77FB" w:rsidRDefault="00E03F44" w:rsidP="008B60B2">
      <w:pPr>
        <w:spacing w:before="60"/>
        <w:jc w:val="right"/>
        <w:rPr>
          <w:sz w:val="17"/>
          <w:szCs w:val="17"/>
        </w:rPr>
      </w:pPr>
      <w:r w:rsidRPr="00ED77FB">
        <w:rPr>
          <w:sz w:val="17"/>
          <w:szCs w:val="17"/>
        </w:rPr>
        <w:t>[Footnote continued on next page]</w:t>
      </w:r>
    </w:p>
  </w:footnote>
  <w:footnote w:id="2">
    <w:p w:rsidR="00A855D0" w:rsidRPr="000762E4" w:rsidRDefault="00A855D0" w:rsidP="00D80804">
      <w:pPr>
        <w:pStyle w:val="FootnoteText"/>
        <w:rPr>
          <w:sz w:val="16"/>
          <w:szCs w:val="16"/>
          <w:lang w:val="es-ES_tradnl"/>
        </w:rPr>
      </w:pPr>
      <w:r w:rsidRPr="000762E4">
        <w:rPr>
          <w:rStyle w:val="FootnoteReference"/>
          <w:sz w:val="16"/>
          <w:szCs w:val="16"/>
          <w:lang w:val="es-ES_tradnl"/>
        </w:rPr>
        <w:sym w:font="Symbol" w:char="F02A"/>
      </w:r>
      <w:r w:rsidRPr="000762E4">
        <w:rPr>
          <w:sz w:val="16"/>
          <w:szCs w:val="16"/>
          <w:lang w:val="es-ES_tradnl"/>
        </w:rPr>
        <w:tab/>
      </w:r>
      <w:r w:rsidR="000762E4" w:rsidRPr="000762E4">
        <w:rPr>
          <w:sz w:val="16"/>
          <w:szCs w:val="16"/>
          <w:lang w:val="es-ES_tradnl"/>
        </w:rPr>
        <w:t>Inmediatamente después de la clausura de la Conferencia, el Acta Final, y el Instrumento, si lo hubiere, quedarán abiertos a la firma.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5D0" w:rsidRDefault="00CA3D18" w:rsidP="00477D6B">
    <w:pPr>
      <w:jc w:val="right"/>
    </w:pPr>
    <w:r>
      <w:t>LI/R</w:t>
    </w:r>
    <w:r w:rsidR="00292BC3">
      <w:t>/PM/4</w:t>
    </w:r>
  </w:p>
  <w:p w:rsidR="00192F08" w:rsidRDefault="00192F08" w:rsidP="00192F08">
    <w:pPr>
      <w:pStyle w:val="Header"/>
      <w:jc w:val="right"/>
    </w:pPr>
    <w:proofErr w:type="spellStart"/>
    <w:proofErr w:type="gramStart"/>
    <w:r>
      <w:t>página</w:t>
    </w:r>
    <w:proofErr w:type="spellEnd"/>
    <w:proofErr w:type="gramEnd"/>
    <w:r>
      <w:t xml:space="preserve"> </w:t>
    </w:r>
    <w:sdt>
      <w:sdtPr>
        <w:id w:val="198057622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D61ED">
          <w:rPr>
            <w:noProof/>
          </w:rPr>
          <w:t>4</w:t>
        </w:r>
        <w:r>
          <w:rPr>
            <w:noProof/>
          </w:rPr>
          <w:fldChar w:fldCharType="end"/>
        </w:r>
      </w:sdtContent>
    </w:sdt>
  </w:p>
  <w:p w:rsidR="00A855D0" w:rsidRDefault="00A855D0" w:rsidP="00477D6B">
    <w:pPr>
      <w:jc w:val="right"/>
    </w:pPr>
  </w:p>
  <w:p w:rsidR="00A855D0" w:rsidRDefault="00A855D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F08" w:rsidRDefault="00192F08" w:rsidP="00192F08">
    <w:pPr>
      <w:jc w:val="right"/>
    </w:pPr>
    <w:r>
      <w:t>LI/R/PM/4</w:t>
    </w:r>
  </w:p>
  <w:p w:rsidR="00192F08" w:rsidRDefault="00192F08" w:rsidP="00192F08">
    <w:pPr>
      <w:pStyle w:val="Header"/>
      <w:jc w:val="right"/>
    </w:pPr>
    <w:r>
      <w:t>ANEXO</w:t>
    </w:r>
  </w:p>
  <w:p w:rsidR="00192F08" w:rsidRDefault="00192F08" w:rsidP="00192F0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A366DE1"/>
    <w:multiLevelType w:val="hybridMultilevel"/>
    <w:tmpl w:val="5B0EBABC"/>
    <w:lvl w:ilvl="0" w:tplc="0E042F8E">
      <w:start w:val="15"/>
      <w:numFmt w:val="decimal"/>
      <w:lvlText w:val="%1."/>
      <w:lvlJc w:val="left"/>
      <w:pPr>
        <w:tabs>
          <w:tab w:val="num" w:pos="930"/>
        </w:tabs>
        <w:ind w:left="930" w:hanging="57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nsid w:val="0A8C4109"/>
    <w:multiLevelType w:val="hybridMultilevel"/>
    <w:tmpl w:val="6666C680"/>
    <w:lvl w:ilvl="0" w:tplc="0E042F8E">
      <w:start w:val="1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321DD1"/>
    <w:multiLevelType w:val="hybridMultilevel"/>
    <w:tmpl w:val="76143D44"/>
    <w:lvl w:ilvl="0" w:tplc="94667336">
      <w:start w:val="1"/>
      <w:numFmt w:val="decimal"/>
      <w:lvlText w:val="%1."/>
      <w:lvlJc w:val="left"/>
      <w:pPr>
        <w:ind w:left="930" w:hanging="57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3D3675E4"/>
    <w:multiLevelType w:val="hybridMultilevel"/>
    <w:tmpl w:val="EEBA047E"/>
    <w:lvl w:ilvl="0" w:tplc="0E042F8E">
      <w:start w:val="15"/>
      <w:numFmt w:val="decimal"/>
      <w:lvlText w:val="%1."/>
      <w:lvlJc w:val="left"/>
      <w:pPr>
        <w:tabs>
          <w:tab w:val="num" w:pos="930"/>
        </w:tabs>
        <w:ind w:left="930" w:hanging="57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CE6944"/>
    <w:multiLevelType w:val="hybridMultilevel"/>
    <w:tmpl w:val="60F4EE3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nsid w:val="5EBE6C35"/>
    <w:multiLevelType w:val="hybridMultilevel"/>
    <w:tmpl w:val="E2AEE35C"/>
    <w:lvl w:ilvl="0" w:tplc="7F94C9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AB0151"/>
    <w:multiLevelType w:val="hybridMultilevel"/>
    <w:tmpl w:val="EE001B92"/>
    <w:lvl w:ilvl="0" w:tplc="2376E756">
      <w:start w:val="1"/>
      <w:numFmt w:val="decimal"/>
      <w:pStyle w:val="ListBullet"/>
      <w:lvlText w:val="%1."/>
      <w:lvlJc w:val="left"/>
      <w:pPr>
        <w:ind w:left="930" w:hanging="57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nsid w:val="7C6918B5"/>
    <w:multiLevelType w:val="hybridMultilevel"/>
    <w:tmpl w:val="36305D0A"/>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nsid w:val="7CA11102"/>
    <w:multiLevelType w:val="hybridMultilevel"/>
    <w:tmpl w:val="5E16C7A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9"/>
  </w:num>
  <w:num w:numId="5">
    <w:abstractNumId w:val="1"/>
  </w:num>
  <w:num w:numId="6">
    <w:abstractNumId w:val="6"/>
  </w:num>
  <w:num w:numId="7">
    <w:abstractNumId w:val="3"/>
  </w:num>
  <w:num w:numId="8">
    <w:abstractNumId w:val="11"/>
  </w:num>
  <w:num w:numId="9">
    <w:abstractNumId w:val="10"/>
  </w:num>
  <w:num w:numId="10">
    <w:abstractNumId w:val="12"/>
  </w:num>
  <w:num w:numId="11">
    <w:abstractNumId w:val="14"/>
  </w:num>
  <w:num w:numId="12">
    <w:abstractNumId w:val="12"/>
    <w:lvlOverride w:ilvl="0">
      <w:startOverride w:val="1"/>
    </w:lvlOverride>
  </w:num>
  <w:num w:numId="13">
    <w:abstractNumId w:val="13"/>
  </w:num>
  <w:num w:numId="14">
    <w:abstractNumId w:val="4"/>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804"/>
    <w:rsid w:val="00000DF1"/>
    <w:rsid w:val="000427AA"/>
    <w:rsid w:val="00043CAA"/>
    <w:rsid w:val="00044D3A"/>
    <w:rsid w:val="00052D73"/>
    <w:rsid w:val="00075432"/>
    <w:rsid w:val="000762E4"/>
    <w:rsid w:val="000968ED"/>
    <w:rsid w:val="000D61ED"/>
    <w:rsid w:val="000E0006"/>
    <w:rsid w:val="000F5E56"/>
    <w:rsid w:val="001362EE"/>
    <w:rsid w:val="00142E13"/>
    <w:rsid w:val="001611C4"/>
    <w:rsid w:val="00165289"/>
    <w:rsid w:val="00176873"/>
    <w:rsid w:val="00182A73"/>
    <w:rsid w:val="001832A6"/>
    <w:rsid w:val="00192F08"/>
    <w:rsid w:val="00195EB5"/>
    <w:rsid w:val="001A3CEA"/>
    <w:rsid w:val="001F24A3"/>
    <w:rsid w:val="001F36E2"/>
    <w:rsid w:val="00216551"/>
    <w:rsid w:val="00227FD1"/>
    <w:rsid w:val="00232EF4"/>
    <w:rsid w:val="002373F6"/>
    <w:rsid w:val="002605EA"/>
    <w:rsid w:val="002634C4"/>
    <w:rsid w:val="0026782B"/>
    <w:rsid w:val="00270AB6"/>
    <w:rsid w:val="00275582"/>
    <w:rsid w:val="00283D22"/>
    <w:rsid w:val="002928D3"/>
    <w:rsid w:val="00292BC3"/>
    <w:rsid w:val="00295309"/>
    <w:rsid w:val="002A051C"/>
    <w:rsid w:val="002E5D35"/>
    <w:rsid w:val="002F1FE6"/>
    <w:rsid w:val="002F4E68"/>
    <w:rsid w:val="00312F7F"/>
    <w:rsid w:val="00316D4F"/>
    <w:rsid w:val="00321844"/>
    <w:rsid w:val="00323054"/>
    <w:rsid w:val="0032594C"/>
    <w:rsid w:val="00327581"/>
    <w:rsid w:val="00361450"/>
    <w:rsid w:val="0036159D"/>
    <w:rsid w:val="003673CF"/>
    <w:rsid w:val="003845C1"/>
    <w:rsid w:val="00396B7D"/>
    <w:rsid w:val="003A6F89"/>
    <w:rsid w:val="003B227C"/>
    <w:rsid w:val="003B38C1"/>
    <w:rsid w:val="003F4B4B"/>
    <w:rsid w:val="00417687"/>
    <w:rsid w:val="00423E3E"/>
    <w:rsid w:val="00427AF4"/>
    <w:rsid w:val="004647DA"/>
    <w:rsid w:val="00474062"/>
    <w:rsid w:val="004770D3"/>
    <w:rsid w:val="00477D6B"/>
    <w:rsid w:val="004C47FB"/>
    <w:rsid w:val="005019FF"/>
    <w:rsid w:val="005119CE"/>
    <w:rsid w:val="00522859"/>
    <w:rsid w:val="00524DAB"/>
    <w:rsid w:val="0053057A"/>
    <w:rsid w:val="00540543"/>
    <w:rsid w:val="00557E2E"/>
    <w:rsid w:val="00560A29"/>
    <w:rsid w:val="00571E3C"/>
    <w:rsid w:val="00572893"/>
    <w:rsid w:val="005A4F1F"/>
    <w:rsid w:val="005B32D2"/>
    <w:rsid w:val="005B612A"/>
    <w:rsid w:val="005C21C3"/>
    <w:rsid w:val="005C6649"/>
    <w:rsid w:val="005D4544"/>
    <w:rsid w:val="00605827"/>
    <w:rsid w:val="00646050"/>
    <w:rsid w:val="00664080"/>
    <w:rsid w:val="006713CA"/>
    <w:rsid w:val="00676C5C"/>
    <w:rsid w:val="00690EF8"/>
    <w:rsid w:val="006F449C"/>
    <w:rsid w:val="007003CD"/>
    <w:rsid w:val="00724651"/>
    <w:rsid w:val="00743B90"/>
    <w:rsid w:val="00745BE1"/>
    <w:rsid w:val="00755DFB"/>
    <w:rsid w:val="007B34C5"/>
    <w:rsid w:val="007B3974"/>
    <w:rsid w:val="007B4207"/>
    <w:rsid w:val="007B443B"/>
    <w:rsid w:val="007C1416"/>
    <w:rsid w:val="007C5090"/>
    <w:rsid w:val="007D1613"/>
    <w:rsid w:val="007D5941"/>
    <w:rsid w:val="007E3BFD"/>
    <w:rsid w:val="007F267D"/>
    <w:rsid w:val="00806210"/>
    <w:rsid w:val="00822AE8"/>
    <w:rsid w:val="00827AA6"/>
    <w:rsid w:val="008377C4"/>
    <w:rsid w:val="00844CB0"/>
    <w:rsid w:val="00856293"/>
    <w:rsid w:val="00861089"/>
    <w:rsid w:val="00866E78"/>
    <w:rsid w:val="008743A9"/>
    <w:rsid w:val="00877EAE"/>
    <w:rsid w:val="008858A3"/>
    <w:rsid w:val="008919A6"/>
    <w:rsid w:val="008A543C"/>
    <w:rsid w:val="008A7B58"/>
    <w:rsid w:val="008B2CC1"/>
    <w:rsid w:val="008B60B2"/>
    <w:rsid w:val="008C2F11"/>
    <w:rsid w:val="008F2F6B"/>
    <w:rsid w:val="0090731E"/>
    <w:rsid w:val="009127AF"/>
    <w:rsid w:val="00914AD2"/>
    <w:rsid w:val="00916EE2"/>
    <w:rsid w:val="00921345"/>
    <w:rsid w:val="009279D1"/>
    <w:rsid w:val="00933CD0"/>
    <w:rsid w:val="00936760"/>
    <w:rsid w:val="00954C9D"/>
    <w:rsid w:val="00966A22"/>
    <w:rsid w:val="0096722F"/>
    <w:rsid w:val="00973D16"/>
    <w:rsid w:val="00980843"/>
    <w:rsid w:val="009811B5"/>
    <w:rsid w:val="009904CD"/>
    <w:rsid w:val="00991C78"/>
    <w:rsid w:val="009A0AD8"/>
    <w:rsid w:val="009D4820"/>
    <w:rsid w:val="009D4BE0"/>
    <w:rsid w:val="009E2791"/>
    <w:rsid w:val="009E3E0C"/>
    <w:rsid w:val="009E3F6F"/>
    <w:rsid w:val="009E6E24"/>
    <w:rsid w:val="009F0515"/>
    <w:rsid w:val="009F499F"/>
    <w:rsid w:val="009F4DFA"/>
    <w:rsid w:val="00A05207"/>
    <w:rsid w:val="00A42DAF"/>
    <w:rsid w:val="00A45BD8"/>
    <w:rsid w:val="00A71BD3"/>
    <w:rsid w:val="00A823B7"/>
    <w:rsid w:val="00A84BDF"/>
    <w:rsid w:val="00A855D0"/>
    <w:rsid w:val="00A869B7"/>
    <w:rsid w:val="00A954F8"/>
    <w:rsid w:val="00AB1821"/>
    <w:rsid w:val="00AB79B3"/>
    <w:rsid w:val="00AC10C9"/>
    <w:rsid w:val="00AC205C"/>
    <w:rsid w:val="00AE295B"/>
    <w:rsid w:val="00AE6DAE"/>
    <w:rsid w:val="00AF0A6B"/>
    <w:rsid w:val="00B05A69"/>
    <w:rsid w:val="00B21C78"/>
    <w:rsid w:val="00B22CBA"/>
    <w:rsid w:val="00B35C30"/>
    <w:rsid w:val="00B506B8"/>
    <w:rsid w:val="00B9734B"/>
    <w:rsid w:val="00BC2AC0"/>
    <w:rsid w:val="00BC2DFD"/>
    <w:rsid w:val="00BE7BB9"/>
    <w:rsid w:val="00BF25D8"/>
    <w:rsid w:val="00BF7223"/>
    <w:rsid w:val="00C11BFE"/>
    <w:rsid w:val="00C141D6"/>
    <w:rsid w:val="00C36914"/>
    <w:rsid w:val="00C70F7C"/>
    <w:rsid w:val="00C76F32"/>
    <w:rsid w:val="00C817FE"/>
    <w:rsid w:val="00CA3D18"/>
    <w:rsid w:val="00CC654C"/>
    <w:rsid w:val="00CF05F5"/>
    <w:rsid w:val="00D0216C"/>
    <w:rsid w:val="00D14A0E"/>
    <w:rsid w:val="00D45252"/>
    <w:rsid w:val="00D71B4D"/>
    <w:rsid w:val="00D7385E"/>
    <w:rsid w:val="00D75572"/>
    <w:rsid w:val="00D80804"/>
    <w:rsid w:val="00D93D55"/>
    <w:rsid w:val="00DA1658"/>
    <w:rsid w:val="00DA29DA"/>
    <w:rsid w:val="00DB6B9A"/>
    <w:rsid w:val="00DE520E"/>
    <w:rsid w:val="00E03F44"/>
    <w:rsid w:val="00E3343F"/>
    <w:rsid w:val="00E335FE"/>
    <w:rsid w:val="00E3711F"/>
    <w:rsid w:val="00E408FF"/>
    <w:rsid w:val="00E553CA"/>
    <w:rsid w:val="00E71E13"/>
    <w:rsid w:val="00E7716F"/>
    <w:rsid w:val="00EA4EE4"/>
    <w:rsid w:val="00EB28D3"/>
    <w:rsid w:val="00EC4E49"/>
    <w:rsid w:val="00ED77FB"/>
    <w:rsid w:val="00EE3C70"/>
    <w:rsid w:val="00EE45FA"/>
    <w:rsid w:val="00EF7AB3"/>
    <w:rsid w:val="00F00300"/>
    <w:rsid w:val="00F03797"/>
    <w:rsid w:val="00F04BE1"/>
    <w:rsid w:val="00F571A2"/>
    <w:rsid w:val="00F6537A"/>
    <w:rsid w:val="00F66152"/>
    <w:rsid w:val="00F877D6"/>
    <w:rsid w:val="00FF20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semiHidden/>
    <w:rsid w:val="00D80804"/>
    <w:rPr>
      <w:vertAlign w:val="superscript"/>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D80804"/>
    <w:pPr>
      <w:ind w:left="4536"/>
      <w:jc w:val="center"/>
    </w:pPr>
    <w:rPr>
      <w:rFonts w:ascii="Times New Roman" w:eastAsia="Times New Roman" w:hAnsi="Times New Roman" w:cs="Times New Roman"/>
      <w:sz w:val="24"/>
      <w:lang w:eastAsia="en-US"/>
    </w:rPr>
  </w:style>
  <w:style w:type="paragraph" w:styleId="BodyTextIndent2">
    <w:name w:val="Body Text Indent 2"/>
    <w:basedOn w:val="Normal"/>
    <w:rsid w:val="00D80804"/>
    <w:pPr>
      <w:tabs>
        <w:tab w:val="right" w:pos="851"/>
      </w:tabs>
      <w:spacing w:after="240"/>
      <w:ind w:firstLine="567"/>
    </w:pPr>
    <w:rPr>
      <w:rFonts w:ascii="Times New Roman" w:eastAsia="Times New Roman" w:hAnsi="Times New Roman" w:cs="Times New Roman"/>
      <w:sz w:val="24"/>
      <w:lang w:eastAsia="en-US"/>
    </w:rPr>
  </w:style>
  <w:style w:type="paragraph" w:customStyle="1" w:styleId="DecisionParagraph">
    <w:name w:val="Decision Paragraph"/>
    <w:basedOn w:val="Normal"/>
    <w:rsid w:val="00D80804"/>
    <w:pPr>
      <w:ind w:left="4536"/>
    </w:pPr>
    <w:rPr>
      <w:rFonts w:ascii="Times New Roman" w:eastAsia="Times New Roman" w:hAnsi="Times New Roman" w:cs="Times New Roman"/>
      <w:i/>
      <w:sz w:val="24"/>
      <w:lang w:eastAsia="en-US"/>
    </w:rPr>
  </w:style>
  <w:style w:type="paragraph" w:styleId="ListBullet">
    <w:name w:val="List Bullet"/>
    <w:basedOn w:val="Normal"/>
    <w:autoRedefine/>
    <w:rsid w:val="00275582"/>
    <w:pPr>
      <w:numPr>
        <w:numId w:val="10"/>
      </w:numPr>
      <w:tabs>
        <w:tab w:val="left" w:pos="630"/>
      </w:tabs>
      <w:ind w:left="0" w:firstLine="0"/>
    </w:pPr>
    <w:rPr>
      <w:rFonts w:eastAsia="Times New Roman"/>
      <w:szCs w:val="22"/>
      <w:lang w:eastAsia="en-US"/>
    </w:rPr>
  </w:style>
  <w:style w:type="character" w:styleId="CommentReference">
    <w:name w:val="annotation reference"/>
    <w:semiHidden/>
    <w:rsid w:val="00D80804"/>
    <w:rPr>
      <w:sz w:val="16"/>
      <w:szCs w:val="16"/>
    </w:rPr>
  </w:style>
  <w:style w:type="paragraph" w:styleId="BalloonText">
    <w:name w:val="Balloon Text"/>
    <w:basedOn w:val="Normal"/>
    <w:semiHidden/>
    <w:rsid w:val="00D80804"/>
    <w:rPr>
      <w:rFonts w:ascii="Tahoma" w:hAnsi="Tahoma" w:cs="Tahoma"/>
      <w:sz w:val="16"/>
      <w:szCs w:val="16"/>
    </w:rPr>
  </w:style>
  <w:style w:type="paragraph" w:styleId="ListParagraph">
    <w:name w:val="List Paragraph"/>
    <w:basedOn w:val="Normal"/>
    <w:uiPriority w:val="34"/>
    <w:qFormat/>
    <w:rsid w:val="00176873"/>
    <w:pPr>
      <w:ind w:left="720"/>
      <w:contextualSpacing/>
    </w:pPr>
  </w:style>
  <w:style w:type="character" w:customStyle="1" w:styleId="HeaderChar">
    <w:name w:val="Header Char"/>
    <w:basedOn w:val="DefaultParagraphFont"/>
    <w:link w:val="Header"/>
    <w:uiPriority w:val="99"/>
    <w:rsid w:val="00192F08"/>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semiHidden/>
    <w:rsid w:val="00D80804"/>
    <w:rPr>
      <w:vertAlign w:val="superscript"/>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D80804"/>
    <w:pPr>
      <w:ind w:left="4536"/>
      <w:jc w:val="center"/>
    </w:pPr>
    <w:rPr>
      <w:rFonts w:ascii="Times New Roman" w:eastAsia="Times New Roman" w:hAnsi="Times New Roman" w:cs="Times New Roman"/>
      <w:sz w:val="24"/>
      <w:lang w:eastAsia="en-US"/>
    </w:rPr>
  </w:style>
  <w:style w:type="paragraph" w:styleId="BodyTextIndent2">
    <w:name w:val="Body Text Indent 2"/>
    <w:basedOn w:val="Normal"/>
    <w:rsid w:val="00D80804"/>
    <w:pPr>
      <w:tabs>
        <w:tab w:val="right" w:pos="851"/>
      </w:tabs>
      <w:spacing w:after="240"/>
      <w:ind w:firstLine="567"/>
    </w:pPr>
    <w:rPr>
      <w:rFonts w:ascii="Times New Roman" w:eastAsia="Times New Roman" w:hAnsi="Times New Roman" w:cs="Times New Roman"/>
      <w:sz w:val="24"/>
      <w:lang w:eastAsia="en-US"/>
    </w:rPr>
  </w:style>
  <w:style w:type="paragraph" w:customStyle="1" w:styleId="DecisionParagraph">
    <w:name w:val="Decision Paragraph"/>
    <w:basedOn w:val="Normal"/>
    <w:rsid w:val="00D80804"/>
    <w:pPr>
      <w:ind w:left="4536"/>
    </w:pPr>
    <w:rPr>
      <w:rFonts w:ascii="Times New Roman" w:eastAsia="Times New Roman" w:hAnsi="Times New Roman" w:cs="Times New Roman"/>
      <w:i/>
      <w:sz w:val="24"/>
      <w:lang w:eastAsia="en-US"/>
    </w:rPr>
  </w:style>
  <w:style w:type="paragraph" w:styleId="ListBullet">
    <w:name w:val="List Bullet"/>
    <w:basedOn w:val="Normal"/>
    <w:autoRedefine/>
    <w:rsid w:val="00275582"/>
    <w:pPr>
      <w:numPr>
        <w:numId w:val="10"/>
      </w:numPr>
      <w:tabs>
        <w:tab w:val="left" w:pos="630"/>
      </w:tabs>
      <w:ind w:left="0" w:firstLine="0"/>
    </w:pPr>
    <w:rPr>
      <w:rFonts w:eastAsia="Times New Roman"/>
      <w:szCs w:val="22"/>
      <w:lang w:eastAsia="en-US"/>
    </w:rPr>
  </w:style>
  <w:style w:type="character" w:styleId="CommentReference">
    <w:name w:val="annotation reference"/>
    <w:semiHidden/>
    <w:rsid w:val="00D80804"/>
    <w:rPr>
      <w:sz w:val="16"/>
      <w:szCs w:val="16"/>
    </w:rPr>
  </w:style>
  <w:style w:type="paragraph" w:styleId="BalloonText">
    <w:name w:val="Balloon Text"/>
    <w:basedOn w:val="Normal"/>
    <w:semiHidden/>
    <w:rsid w:val="00D80804"/>
    <w:rPr>
      <w:rFonts w:ascii="Tahoma" w:hAnsi="Tahoma" w:cs="Tahoma"/>
      <w:sz w:val="16"/>
      <w:szCs w:val="16"/>
    </w:rPr>
  </w:style>
  <w:style w:type="paragraph" w:styleId="ListParagraph">
    <w:name w:val="List Paragraph"/>
    <w:basedOn w:val="Normal"/>
    <w:uiPriority w:val="34"/>
    <w:qFormat/>
    <w:rsid w:val="00176873"/>
    <w:pPr>
      <w:ind w:left="720"/>
      <w:contextualSpacing/>
    </w:pPr>
  </w:style>
  <w:style w:type="character" w:customStyle="1" w:styleId="HeaderChar">
    <w:name w:val="Header Char"/>
    <w:basedOn w:val="DefaultParagraphFont"/>
    <w:link w:val="Header"/>
    <w:uiPriority w:val="99"/>
    <w:rsid w:val="00192F08"/>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18813-F736-43ED-8FC2-DB88EB121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873</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WIPO/IS/VIP-PPD/GE/12/</vt:lpstr>
    </vt:vector>
  </TitlesOfParts>
  <Company>WIPO</Company>
  <LinksUpToDate>false</LinksUpToDate>
  <CharactersWithSpaces>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WIPO/IS/VIP-PPD/GE/12/</dc:title>
  <dc:creator>Haizel</dc:creator>
  <cp:lastModifiedBy>VINCENT Anouck</cp:lastModifiedBy>
  <cp:revision>6</cp:revision>
  <cp:lastPrinted>2014-09-29T14:31:00Z</cp:lastPrinted>
  <dcterms:created xsi:type="dcterms:W3CDTF">2014-09-16T15:53:00Z</dcterms:created>
  <dcterms:modified xsi:type="dcterms:W3CDTF">2014-09-29T14:31:00Z</dcterms:modified>
</cp:coreProperties>
</file>