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849DE" w14:textId="77777777" w:rsidR="008B2CC1" w:rsidRPr="00887ED7" w:rsidRDefault="00472A6E" w:rsidP="00762AC6">
      <w:pPr>
        <w:pBdr>
          <w:bottom w:val="single" w:sz="4" w:space="11" w:color="auto"/>
        </w:pBdr>
        <w:spacing w:after="120"/>
        <w:ind w:right="-57"/>
        <w:jc w:val="right"/>
        <w:rPr>
          <w:lang w:val="es-419"/>
        </w:rPr>
      </w:pPr>
      <w:bookmarkStart w:id="0" w:name="_GoBack"/>
      <w:bookmarkEnd w:id="0"/>
      <w:r w:rsidRPr="00887ED7">
        <w:rPr>
          <w:noProof/>
          <w:lang w:val="en-US" w:eastAsia="en-US"/>
        </w:rPr>
        <w:drawing>
          <wp:inline distT="0" distB="0" distL="0" distR="0" wp14:anchorId="7C66271B" wp14:editId="75F72061">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2C6B46B" w14:textId="77777777" w:rsidR="00472A6E" w:rsidRPr="00887ED7" w:rsidRDefault="009C0927" w:rsidP="00472A6E">
      <w:pPr>
        <w:jc w:val="right"/>
        <w:rPr>
          <w:rFonts w:ascii="Arial Black" w:hAnsi="Arial Black"/>
          <w:caps/>
          <w:sz w:val="15"/>
          <w:lang w:val="es-419"/>
        </w:rPr>
      </w:pPr>
      <w:r w:rsidRPr="00887ED7">
        <w:rPr>
          <w:rFonts w:ascii="Arial Black" w:hAnsi="Arial Black"/>
          <w:caps/>
          <w:sz w:val="15"/>
          <w:lang w:val="es-419"/>
        </w:rPr>
        <w:t>CDIP/30/</w:t>
      </w:r>
      <w:bookmarkStart w:id="1" w:name="Code"/>
      <w:bookmarkEnd w:id="1"/>
      <w:r w:rsidRPr="00887ED7">
        <w:rPr>
          <w:rFonts w:ascii="Arial Black" w:hAnsi="Arial Black"/>
          <w:caps/>
          <w:sz w:val="15"/>
          <w:lang w:val="es-419"/>
        </w:rPr>
        <w:t>5</w:t>
      </w:r>
    </w:p>
    <w:p w14:paraId="4C0466DB" w14:textId="77777777" w:rsidR="008B2CC1" w:rsidRPr="00887ED7" w:rsidRDefault="00472A6E" w:rsidP="00472A6E">
      <w:pPr>
        <w:jc w:val="right"/>
        <w:rPr>
          <w:lang w:val="es-419"/>
        </w:rPr>
      </w:pPr>
      <w:r w:rsidRPr="00887ED7">
        <w:rPr>
          <w:rFonts w:ascii="Arial Black" w:hAnsi="Arial Black"/>
          <w:caps/>
          <w:sz w:val="15"/>
          <w:lang w:val="es-419"/>
        </w:rPr>
        <w:t xml:space="preserve">ORIGINAL: </w:t>
      </w:r>
      <w:bookmarkStart w:id="2" w:name="Original"/>
      <w:r w:rsidRPr="00887ED7">
        <w:rPr>
          <w:rFonts w:ascii="Arial Black" w:hAnsi="Arial Black"/>
          <w:caps/>
          <w:sz w:val="15"/>
          <w:lang w:val="es-419"/>
        </w:rPr>
        <w:t>INGLÉS</w:t>
      </w:r>
    </w:p>
    <w:bookmarkEnd w:id="2"/>
    <w:p w14:paraId="5FEAAE4E" w14:textId="77777777" w:rsidR="008B2CC1" w:rsidRPr="00887ED7" w:rsidRDefault="00472A6E" w:rsidP="00472A6E">
      <w:pPr>
        <w:spacing w:after="1200"/>
        <w:jc w:val="right"/>
        <w:rPr>
          <w:lang w:val="es-419"/>
        </w:rPr>
      </w:pPr>
      <w:r w:rsidRPr="00887ED7">
        <w:rPr>
          <w:rFonts w:ascii="Arial Black" w:hAnsi="Arial Black"/>
          <w:caps/>
          <w:sz w:val="15"/>
          <w:lang w:val="es-419"/>
        </w:rPr>
        <w:t xml:space="preserve">fecha: </w:t>
      </w:r>
      <w:bookmarkStart w:id="3" w:name="Date"/>
      <w:r w:rsidRPr="00887ED7">
        <w:rPr>
          <w:rFonts w:ascii="Arial Black" w:hAnsi="Arial Black"/>
          <w:caps/>
          <w:sz w:val="15"/>
          <w:lang w:val="es-419"/>
        </w:rPr>
        <w:t>20 DE FEBRERO DE 2023</w:t>
      </w:r>
    </w:p>
    <w:bookmarkEnd w:id="3"/>
    <w:p w14:paraId="492DE2DE" w14:textId="77777777" w:rsidR="00B67CDC" w:rsidRPr="00887ED7" w:rsidRDefault="00762AC6" w:rsidP="00FB31F5">
      <w:pPr>
        <w:pStyle w:val="Heading1"/>
        <w:spacing w:before="0" w:after="600"/>
        <w:rPr>
          <w:sz w:val="28"/>
          <w:lang w:val="es-419"/>
        </w:rPr>
      </w:pPr>
      <w:r w:rsidRPr="00887ED7">
        <w:rPr>
          <w:caps w:val="0"/>
          <w:sz w:val="28"/>
          <w:lang w:val="es-419"/>
        </w:rPr>
        <w:t>Comité de Desarrollo y Propiedad Intelectual (CDIP)</w:t>
      </w:r>
    </w:p>
    <w:p w14:paraId="00653425" w14:textId="77777777" w:rsidR="005B2EAE" w:rsidRPr="00887ED7" w:rsidRDefault="00762AC6" w:rsidP="005B2EAE">
      <w:pPr>
        <w:outlineLvl w:val="1"/>
        <w:rPr>
          <w:b/>
          <w:sz w:val="24"/>
          <w:szCs w:val="24"/>
          <w:lang w:val="es-419"/>
        </w:rPr>
      </w:pPr>
      <w:r w:rsidRPr="00887ED7">
        <w:rPr>
          <w:b/>
          <w:sz w:val="24"/>
          <w:lang w:val="es-419"/>
        </w:rPr>
        <w:t>Trigésima Sesión</w:t>
      </w:r>
    </w:p>
    <w:p w14:paraId="458E2C95" w14:textId="77777777" w:rsidR="00B67CDC" w:rsidRPr="00887ED7" w:rsidRDefault="00762AC6" w:rsidP="00472A6E">
      <w:pPr>
        <w:spacing w:after="720"/>
        <w:outlineLvl w:val="1"/>
        <w:rPr>
          <w:b/>
          <w:sz w:val="24"/>
          <w:szCs w:val="24"/>
          <w:lang w:val="es-419"/>
        </w:rPr>
      </w:pPr>
      <w:r w:rsidRPr="00887ED7">
        <w:rPr>
          <w:b/>
          <w:sz w:val="24"/>
          <w:lang w:val="es-419"/>
        </w:rPr>
        <w:t>Ginebra, 24 a 28 de abril de 2023</w:t>
      </w:r>
    </w:p>
    <w:p w14:paraId="7A51325C" w14:textId="6215D8C4" w:rsidR="008B2CC1" w:rsidRPr="00887ED7" w:rsidRDefault="009F31D9" w:rsidP="00472A6E">
      <w:pPr>
        <w:spacing w:after="360"/>
        <w:rPr>
          <w:caps/>
          <w:sz w:val="24"/>
          <w:lang w:val="es-419"/>
        </w:rPr>
      </w:pPr>
      <w:bookmarkStart w:id="4" w:name="TitleOfDoc"/>
      <w:r w:rsidRPr="00887ED7">
        <w:rPr>
          <w:sz w:val="24"/>
          <w:lang w:val="es-419"/>
        </w:rPr>
        <w:t>INFORME DE FINALIZACIÓN DEL PROYECTO SOBRE PROPIEDAD INTELECTUAL Y TURISMO GASTRONÓMICO EN EL PERÚ Y OTROS PAÍSES EN DESARROLLO</w:t>
      </w:r>
      <w:r w:rsidR="00887ED7">
        <w:rPr>
          <w:sz w:val="24"/>
          <w:lang w:val="es-419"/>
        </w:rPr>
        <w:t xml:space="preserve">: </w:t>
      </w:r>
      <w:r w:rsidRPr="00887ED7">
        <w:rPr>
          <w:sz w:val="24"/>
          <w:lang w:val="es-419"/>
        </w:rPr>
        <w:t>FOMENTO DEL DESARROLLO DEL TURISMO GASTRONÓMICO A TRAVÉS DE LA PROPIEDAD INTELECTUAL</w:t>
      </w:r>
    </w:p>
    <w:p w14:paraId="1805E0AC" w14:textId="77777777" w:rsidR="008B2CC1" w:rsidRPr="00887ED7" w:rsidRDefault="009F31D9" w:rsidP="00FB31F5">
      <w:pPr>
        <w:spacing w:after="960"/>
        <w:rPr>
          <w:i/>
          <w:lang w:val="es-419"/>
        </w:rPr>
      </w:pPr>
      <w:bookmarkStart w:id="5" w:name="Prepared"/>
      <w:bookmarkEnd w:id="4"/>
      <w:bookmarkEnd w:id="5"/>
      <w:r w:rsidRPr="00887ED7">
        <w:rPr>
          <w:i/>
          <w:lang w:val="es-419"/>
        </w:rPr>
        <w:t>preparado por la Secretaría</w:t>
      </w:r>
    </w:p>
    <w:p w14:paraId="3488D3AB" w14:textId="01B886DC" w:rsidR="009F31D9" w:rsidRPr="00887ED7" w:rsidRDefault="00C43CBA" w:rsidP="009F31D9">
      <w:pPr>
        <w:pStyle w:val="TableParagraph"/>
        <w:spacing w:before="1"/>
        <w:rPr>
          <w:rFonts w:eastAsia="Batang"/>
          <w:color w:val="000000"/>
          <w:lang w:val="es-419"/>
        </w:rPr>
      </w:pPr>
      <w:r>
        <w:rPr>
          <w:lang w:val="es-419"/>
        </w:rPr>
        <w:fldChar w:fldCharType="begin"/>
      </w:r>
      <w:r>
        <w:rPr>
          <w:lang w:val="es-419"/>
        </w:rPr>
        <w:instrText xml:space="preserve"> AUTONUM  </w:instrText>
      </w:r>
      <w:r>
        <w:rPr>
          <w:lang w:val="es-419"/>
        </w:rPr>
        <w:fldChar w:fldCharType="end"/>
      </w:r>
      <w:r>
        <w:rPr>
          <w:lang w:val="es-419"/>
        </w:rPr>
        <w:tab/>
      </w:r>
      <w:r w:rsidR="009F31D9" w:rsidRPr="00887ED7">
        <w:rPr>
          <w:lang w:val="es-419"/>
        </w:rPr>
        <w:t>En el Anexo del presente documento figura el informe de finalización del proyecto de la Agenda para el Desarrollo (AD) sobre Propiedad intelectual y turismo gastronómico en el Perú y otros países en desarrollo: fomento del desarrollo del turismo gastronómico a través de la propiedad intelectual</w:t>
      </w:r>
      <w:r w:rsidR="00887ED7">
        <w:rPr>
          <w:lang w:val="es-419"/>
        </w:rPr>
        <w:t xml:space="preserve">. </w:t>
      </w:r>
      <w:r w:rsidR="009F31D9" w:rsidRPr="00887ED7">
        <w:rPr>
          <w:color w:val="000000"/>
          <w:lang w:val="es-419"/>
        </w:rPr>
        <w:t xml:space="preserve">El informe abarca el período completo de ejecución del proyecto, es decir, de mayo de 2019 a diciembre de 2022 </w:t>
      </w:r>
    </w:p>
    <w:p w14:paraId="002D0EE8" w14:textId="77777777" w:rsidR="009F31D9" w:rsidRPr="00887ED7" w:rsidRDefault="009F31D9" w:rsidP="009F31D9">
      <w:pPr>
        <w:spacing w:after="720"/>
        <w:ind w:left="5530"/>
        <w:rPr>
          <w:rFonts w:eastAsia="Times New Roman" w:cs="Times New Roman"/>
          <w:i/>
          <w:iCs/>
          <w:szCs w:val="22"/>
          <w:lang w:val="es-419"/>
        </w:rPr>
      </w:pPr>
      <w:r w:rsidRPr="00887ED7">
        <w:rPr>
          <w:rFonts w:eastAsia="Times New Roman" w:cs="Times New Roman"/>
          <w:i/>
          <w:lang w:val="es-419"/>
        </w:rPr>
        <w:fldChar w:fldCharType="begin"/>
      </w:r>
      <w:r w:rsidRPr="00887ED7">
        <w:rPr>
          <w:rFonts w:eastAsia="Times New Roman" w:cs="Times New Roman"/>
          <w:i/>
          <w:lang w:val="es-419"/>
        </w:rPr>
        <w:instrText xml:space="preserve"> AUTONUM  </w:instrText>
      </w:r>
      <w:r w:rsidRPr="00887ED7">
        <w:rPr>
          <w:rFonts w:eastAsia="Times New Roman" w:cs="Times New Roman"/>
          <w:i/>
          <w:lang w:val="es-419"/>
        </w:rPr>
        <w:fldChar w:fldCharType="end"/>
      </w:r>
      <w:r w:rsidRPr="00887ED7">
        <w:rPr>
          <w:lang w:val="es-419"/>
        </w:rPr>
        <w:tab/>
      </w:r>
      <w:r w:rsidRPr="00887ED7">
        <w:rPr>
          <w:i/>
          <w:lang w:val="es-419"/>
        </w:rPr>
        <w:t>Se invita al CDIP a tomar nota de la información que figura en el Anexo del presente documento.</w:t>
      </w:r>
    </w:p>
    <w:p w14:paraId="1D8461FA" w14:textId="460D2B1F" w:rsidR="009F31D9" w:rsidRPr="00887ED7" w:rsidRDefault="009F31D9" w:rsidP="009F31D9">
      <w:pPr>
        <w:tabs>
          <w:tab w:val="left" w:pos="5580"/>
        </w:tabs>
        <w:spacing w:after="960"/>
        <w:ind w:left="4963" w:firstLine="567"/>
        <w:rPr>
          <w:rFonts w:eastAsia="Arial"/>
          <w:szCs w:val="22"/>
          <w:lang w:val="es-419"/>
        </w:rPr>
        <w:sectPr w:rsidR="009F31D9" w:rsidRPr="00887ED7" w:rsidSect="00C434E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2" w:gutter="0"/>
          <w:cols w:space="720"/>
          <w:titlePg/>
          <w:docGrid w:linePitch="299"/>
        </w:sectPr>
      </w:pPr>
      <w:r w:rsidRPr="00887ED7">
        <w:rPr>
          <w:lang w:val="es-419"/>
        </w:rPr>
        <w:t>[Sigue el Anexo]</w:t>
      </w:r>
    </w:p>
    <w:p w14:paraId="7AAF87F6" w14:textId="77777777" w:rsidR="009F31D9" w:rsidRPr="00887ED7" w:rsidRDefault="009F31D9" w:rsidP="009F31D9">
      <w:pPr>
        <w:jc w:val="right"/>
        <w:rPr>
          <w:lang w:val="es-419"/>
        </w:rPr>
      </w:pPr>
    </w:p>
    <w:p w14:paraId="3AFFE7E5" w14:textId="77777777" w:rsidR="009F31D9" w:rsidRPr="00887ED7" w:rsidRDefault="009F31D9" w:rsidP="009F31D9">
      <w:pPr>
        <w:jc w:val="right"/>
        <w:rPr>
          <w:lang w:val="es-419"/>
        </w:rPr>
      </w:pPr>
    </w:p>
    <w:tbl>
      <w:tblPr>
        <w:tblW w:w="929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6913"/>
      </w:tblGrid>
      <w:tr w:rsidR="009F31D9" w:rsidRPr="00887ED7" w14:paraId="15EFF83C" w14:textId="77777777" w:rsidTr="00066986">
        <w:trPr>
          <w:trHeight w:val="431"/>
        </w:trPr>
        <w:tc>
          <w:tcPr>
            <w:tcW w:w="9290" w:type="dxa"/>
            <w:gridSpan w:val="2"/>
            <w:vAlign w:val="center"/>
          </w:tcPr>
          <w:p w14:paraId="06701C07" w14:textId="77777777" w:rsidR="009F31D9" w:rsidRPr="00887ED7" w:rsidRDefault="009F31D9" w:rsidP="00066986">
            <w:pPr>
              <w:pStyle w:val="TableParagraph"/>
              <w:spacing w:before="88"/>
              <w:ind w:left="110"/>
              <w:rPr>
                <w:lang w:val="es-419"/>
              </w:rPr>
            </w:pPr>
            <w:r w:rsidRPr="00887ED7">
              <w:rPr>
                <w:lang w:val="es-419"/>
              </w:rPr>
              <w:t>RESUMEN DEL PROYECTO</w:t>
            </w:r>
          </w:p>
        </w:tc>
      </w:tr>
      <w:tr w:rsidR="009F31D9" w:rsidRPr="00887ED7" w14:paraId="274FBB63" w14:textId="77777777" w:rsidTr="00066986">
        <w:trPr>
          <w:trHeight w:val="414"/>
        </w:trPr>
        <w:tc>
          <w:tcPr>
            <w:tcW w:w="2377" w:type="dxa"/>
            <w:shd w:val="clear" w:color="auto" w:fill="8DB3E1"/>
            <w:vAlign w:val="center"/>
          </w:tcPr>
          <w:p w14:paraId="3212D869" w14:textId="77777777" w:rsidR="009F31D9" w:rsidRPr="00887ED7" w:rsidRDefault="009F31D9" w:rsidP="00066986">
            <w:pPr>
              <w:pStyle w:val="TableParagraph"/>
              <w:ind w:left="110"/>
              <w:rPr>
                <w:lang w:val="es-419"/>
              </w:rPr>
            </w:pPr>
            <w:r w:rsidRPr="00887ED7">
              <w:rPr>
                <w:u w:val="single"/>
                <w:lang w:val="es-419"/>
              </w:rPr>
              <w:t>Código del proyecto</w:t>
            </w:r>
          </w:p>
        </w:tc>
        <w:tc>
          <w:tcPr>
            <w:tcW w:w="6913" w:type="dxa"/>
            <w:vAlign w:val="center"/>
          </w:tcPr>
          <w:p w14:paraId="1804F9FB" w14:textId="77777777" w:rsidR="009F31D9" w:rsidRPr="00887ED7" w:rsidRDefault="009F31D9" w:rsidP="00066986">
            <w:pPr>
              <w:pStyle w:val="TableParagraph"/>
              <w:ind w:left="109"/>
              <w:rPr>
                <w:lang w:val="es-419"/>
              </w:rPr>
            </w:pPr>
          </w:p>
          <w:p w14:paraId="11F6D0C0" w14:textId="77777777" w:rsidR="009F31D9" w:rsidRPr="00887ED7" w:rsidRDefault="009F31D9" w:rsidP="00066986">
            <w:pPr>
              <w:pStyle w:val="TableParagraph"/>
              <w:ind w:left="109"/>
              <w:rPr>
                <w:lang w:val="es-419"/>
              </w:rPr>
            </w:pPr>
            <w:r w:rsidRPr="00887ED7">
              <w:rPr>
                <w:lang w:val="es-419"/>
              </w:rPr>
              <w:t>DA_1_10_12_01</w:t>
            </w:r>
          </w:p>
          <w:p w14:paraId="44B322ED" w14:textId="77777777" w:rsidR="009F31D9" w:rsidRPr="00887ED7" w:rsidRDefault="009F31D9" w:rsidP="00066986">
            <w:pPr>
              <w:pStyle w:val="TableParagraph"/>
              <w:ind w:left="109"/>
              <w:rPr>
                <w:lang w:val="es-419"/>
              </w:rPr>
            </w:pPr>
          </w:p>
        </w:tc>
      </w:tr>
      <w:tr w:rsidR="009F31D9" w:rsidRPr="00887ED7" w14:paraId="7251BC9B" w14:textId="77777777" w:rsidTr="00066986">
        <w:trPr>
          <w:trHeight w:val="342"/>
        </w:trPr>
        <w:tc>
          <w:tcPr>
            <w:tcW w:w="2377" w:type="dxa"/>
            <w:shd w:val="clear" w:color="auto" w:fill="8DB3E1"/>
            <w:vAlign w:val="center"/>
          </w:tcPr>
          <w:p w14:paraId="38D47DE9" w14:textId="77777777" w:rsidR="009F31D9" w:rsidRPr="00887ED7" w:rsidRDefault="009F31D9" w:rsidP="00066986">
            <w:pPr>
              <w:pStyle w:val="TableParagraph"/>
              <w:spacing w:before="1"/>
              <w:ind w:left="110"/>
              <w:rPr>
                <w:lang w:val="es-419"/>
              </w:rPr>
            </w:pPr>
            <w:r w:rsidRPr="00887ED7">
              <w:rPr>
                <w:u w:val="single"/>
                <w:lang w:val="es-419"/>
              </w:rPr>
              <w:t>Título</w:t>
            </w:r>
          </w:p>
        </w:tc>
        <w:tc>
          <w:tcPr>
            <w:tcW w:w="6913" w:type="dxa"/>
            <w:vAlign w:val="center"/>
          </w:tcPr>
          <w:p w14:paraId="4AEF2F48" w14:textId="77777777" w:rsidR="009F31D9" w:rsidRPr="00887ED7" w:rsidRDefault="009F31D9" w:rsidP="00066986">
            <w:pPr>
              <w:pStyle w:val="TableParagraph"/>
              <w:spacing w:before="240"/>
              <w:ind w:left="115"/>
              <w:rPr>
                <w:lang w:val="es-419"/>
              </w:rPr>
            </w:pPr>
            <w:r w:rsidRPr="00887ED7">
              <w:rPr>
                <w:lang w:val="es-419"/>
              </w:rPr>
              <w:t>Propiedad intelectual y turismo gastronómico en el Perú y otros países en desarrollo: fomento del desarrollo del turismo gastronómico a través de la propiedad intelectual.</w:t>
            </w:r>
          </w:p>
          <w:p w14:paraId="54F5BC9D" w14:textId="77777777" w:rsidR="009F31D9" w:rsidRPr="00887ED7" w:rsidRDefault="009F31D9" w:rsidP="00066986">
            <w:pPr>
              <w:pStyle w:val="TableParagraph"/>
              <w:spacing w:before="1"/>
              <w:ind w:left="109"/>
              <w:rPr>
                <w:lang w:val="es-419"/>
              </w:rPr>
            </w:pPr>
          </w:p>
        </w:tc>
      </w:tr>
      <w:tr w:rsidR="009F31D9" w:rsidRPr="00887ED7" w14:paraId="79A88A8E" w14:textId="77777777" w:rsidTr="00066986">
        <w:trPr>
          <w:trHeight w:val="621"/>
        </w:trPr>
        <w:tc>
          <w:tcPr>
            <w:tcW w:w="2377" w:type="dxa"/>
            <w:shd w:val="clear" w:color="auto" w:fill="8DB3E1"/>
            <w:vAlign w:val="center"/>
          </w:tcPr>
          <w:p w14:paraId="44BD83E3" w14:textId="4BA4FE13" w:rsidR="009F31D9" w:rsidRPr="00887ED7" w:rsidRDefault="003802C1" w:rsidP="00066986">
            <w:pPr>
              <w:pStyle w:val="TableParagraph"/>
              <w:ind w:left="110" w:right="121"/>
              <w:rPr>
                <w:lang w:val="es-419"/>
              </w:rPr>
            </w:pPr>
            <w:hyperlink r:id="rId15" w:history="1">
              <w:r w:rsidR="009F31D9" w:rsidRPr="00887ED7">
                <w:rPr>
                  <w:rStyle w:val="Hyperlink"/>
                  <w:lang w:val="es-419"/>
                </w:rPr>
                <w:t>Recomendación en el marco de la Agenda para el Desarrollo</w:t>
              </w:r>
            </w:hyperlink>
          </w:p>
        </w:tc>
        <w:tc>
          <w:tcPr>
            <w:tcW w:w="6913" w:type="dxa"/>
            <w:vAlign w:val="center"/>
          </w:tcPr>
          <w:p w14:paraId="357985CA" w14:textId="73E528A9" w:rsidR="009F31D9" w:rsidRPr="00887ED7" w:rsidRDefault="009F31D9" w:rsidP="00066986">
            <w:pPr>
              <w:pStyle w:val="TableParagraph"/>
              <w:spacing w:before="240" w:after="240"/>
              <w:ind w:left="115" w:right="878"/>
              <w:rPr>
                <w:lang w:val="es-419"/>
              </w:rPr>
            </w:pPr>
            <w:r w:rsidRPr="00887ED7">
              <w:rPr>
                <w:i/>
                <w:lang w:val="es-419"/>
              </w:rPr>
              <w:t>Recomendación 1</w:t>
            </w:r>
            <w:r w:rsidR="00887ED7">
              <w:rPr>
                <w:i/>
                <w:lang w:val="es-419"/>
              </w:rPr>
              <w:t xml:space="preserve">: </w:t>
            </w:r>
            <w:r w:rsidRPr="00887ED7">
              <w:rPr>
                <w:lang w:val="es-419"/>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887ED7">
              <w:rPr>
                <w:lang w:val="es-419"/>
              </w:rPr>
              <w:t xml:space="preserve">. </w:t>
            </w:r>
            <w:r w:rsidRPr="00887ED7">
              <w:rPr>
                <w:lang w:val="es-419"/>
              </w:rPr>
              <w:t>A este respecto, el diseño, los mecanismos de ejecución y los procesos de evaluación de los programas de asistencia técnica deberán estar adaptados a cada país.</w:t>
            </w:r>
          </w:p>
          <w:p w14:paraId="120E668F" w14:textId="2B46EBD1" w:rsidR="009F31D9" w:rsidRPr="00887ED7" w:rsidRDefault="009F31D9" w:rsidP="00066986">
            <w:pPr>
              <w:pStyle w:val="TableParagraph"/>
              <w:spacing w:after="240"/>
              <w:ind w:left="115" w:right="878"/>
              <w:rPr>
                <w:lang w:val="es-419"/>
              </w:rPr>
            </w:pPr>
            <w:r w:rsidRPr="00887ED7">
              <w:rPr>
                <w:i/>
                <w:lang w:val="es-419"/>
              </w:rPr>
              <w:t>Recomendación 10</w:t>
            </w:r>
            <w:r w:rsidR="00887ED7">
              <w:rPr>
                <w:i/>
                <w:lang w:val="es-419"/>
              </w:rPr>
              <w:t xml:space="preserve">: </w:t>
            </w:r>
            <w:r w:rsidRPr="00887ED7">
              <w:rPr>
                <w:lang w:val="es-419"/>
              </w:rPr>
              <w:t>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 Este tipo de asistencia técnica debe beneficiar también a las organizaciones regionales y subregionales de propiedad intelectual.</w:t>
            </w:r>
          </w:p>
          <w:p w14:paraId="4D813D10" w14:textId="31D40940" w:rsidR="009F31D9" w:rsidRPr="00887ED7" w:rsidRDefault="009F31D9" w:rsidP="00066986">
            <w:pPr>
              <w:pStyle w:val="TableParagraph"/>
              <w:ind w:left="109" w:right="880"/>
              <w:rPr>
                <w:lang w:val="es-419"/>
              </w:rPr>
            </w:pPr>
            <w:r w:rsidRPr="00887ED7">
              <w:rPr>
                <w:i/>
                <w:lang w:val="es-419"/>
              </w:rPr>
              <w:t>Recomendación 12</w:t>
            </w:r>
            <w:r w:rsidR="00887ED7">
              <w:rPr>
                <w:i/>
                <w:lang w:val="es-419"/>
              </w:rPr>
              <w:t xml:space="preserve">: </w:t>
            </w:r>
            <w:r w:rsidRPr="00887ED7">
              <w:rPr>
                <w:lang w:val="es-419"/>
              </w:rPr>
              <w:t>Facilitar la incorporación de las cuestiones de desarrollo a las actividades y los debates de asistencia técnica y de otra índole que lleva a cabo la OMPI, con arreglo a su mandato.</w:t>
            </w:r>
          </w:p>
          <w:p w14:paraId="721062BB" w14:textId="77777777" w:rsidR="009F31D9" w:rsidRPr="00887ED7" w:rsidRDefault="009F31D9" w:rsidP="00066986">
            <w:pPr>
              <w:pStyle w:val="TableParagraph"/>
              <w:ind w:left="109" w:right="880"/>
              <w:rPr>
                <w:lang w:val="es-419"/>
              </w:rPr>
            </w:pPr>
          </w:p>
        </w:tc>
      </w:tr>
      <w:tr w:rsidR="009F31D9" w:rsidRPr="00887ED7" w14:paraId="25ED903F" w14:textId="77777777" w:rsidTr="00066986">
        <w:trPr>
          <w:trHeight w:val="531"/>
        </w:trPr>
        <w:tc>
          <w:tcPr>
            <w:tcW w:w="2377" w:type="dxa"/>
            <w:shd w:val="clear" w:color="auto" w:fill="8DB3E1"/>
            <w:vAlign w:val="center"/>
          </w:tcPr>
          <w:p w14:paraId="51D855B5" w14:textId="77777777" w:rsidR="009F31D9" w:rsidRPr="00887ED7" w:rsidRDefault="009F31D9" w:rsidP="00066986">
            <w:pPr>
              <w:pStyle w:val="TableParagraph"/>
              <w:ind w:left="110"/>
              <w:rPr>
                <w:lang w:val="es-419"/>
              </w:rPr>
            </w:pPr>
            <w:r w:rsidRPr="00887ED7">
              <w:rPr>
                <w:u w:val="single"/>
                <w:lang w:val="es-419"/>
              </w:rPr>
              <w:t>Presupuesto del proyecto</w:t>
            </w:r>
          </w:p>
        </w:tc>
        <w:tc>
          <w:tcPr>
            <w:tcW w:w="6913" w:type="dxa"/>
            <w:vAlign w:val="center"/>
          </w:tcPr>
          <w:p w14:paraId="735CDEC9" w14:textId="25A7DE5A" w:rsidR="009F31D9" w:rsidRPr="00887ED7" w:rsidRDefault="009F31D9" w:rsidP="00066986">
            <w:pPr>
              <w:pStyle w:val="TableParagraph"/>
              <w:spacing w:before="240"/>
              <w:ind w:left="115" w:right="259"/>
              <w:rPr>
                <w:lang w:val="es-419"/>
              </w:rPr>
            </w:pPr>
            <w:r w:rsidRPr="00887ED7">
              <w:rPr>
                <w:lang w:val="es-419"/>
              </w:rPr>
              <w:t>Presupuesto total</w:t>
            </w:r>
            <w:r w:rsidR="00887ED7">
              <w:rPr>
                <w:lang w:val="es-419"/>
              </w:rPr>
              <w:t xml:space="preserve">: </w:t>
            </w:r>
            <w:r w:rsidRPr="00887ED7">
              <w:rPr>
                <w:lang w:val="es-419"/>
              </w:rPr>
              <w:t>540.500 francos suizos, de los cuales 353.000 corresponden a recursos no relativos a personal y 187.500 a recursos de personal (P2 50%).</w:t>
            </w:r>
          </w:p>
          <w:p w14:paraId="4CDBC3A6" w14:textId="77777777" w:rsidR="009F31D9" w:rsidRPr="00887ED7" w:rsidRDefault="009F31D9" w:rsidP="00066986">
            <w:pPr>
              <w:pStyle w:val="TableParagraph"/>
              <w:ind w:right="255"/>
              <w:rPr>
                <w:lang w:val="es-419"/>
              </w:rPr>
            </w:pPr>
          </w:p>
        </w:tc>
      </w:tr>
      <w:tr w:rsidR="009F31D9" w:rsidRPr="00887ED7" w14:paraId="0C43987B" w14:textId="77777777" w:rsidTr="00066986">
        <w:trPr>
          <w:trHeight w:val="441"/>
        </w:trPr>
        <w:tc>
          <w:tcPr>
            <w:tcW w:w="2377" w:type="dxa"/>
            <w:shd w:val="clear" w:color="auto" w:fill="8DB3E1"/>
            <w:vAlign w:val="center"/>
          </w:tcPr>
          <w:p w14:paraId="25C38BAB" w14:textId="77777777" w:rsidR="009F31D9" w:rsidRPr="00887ED7" w:rsidRDefault="009F31D9" w:rsidP="00066986">
            <w:pPr>
              <w:pStyle w:val="TableParagraph"/>
              <w:spacing w:before="1"/>
              <w:ind w:left="110"/>
              <w:rPr>
                <w:lang w:val="es-419"/>
              </w:rPr>
            </w:pPr>
            <w:r w:rsidRPr="00887ED7">
              <w:rPr>
                <w:u w:val="single"/>
                <w:lang w:val="es-419"/>
              </w:rPr>
              <w:t>Duración del proyecto</w:t>
            </w:r>
          </w:p>
        </w:tc>
        <w:tc>
          <w:tcPr>
            <w:tcW w:w="6913" w:type="dxa"/>
            <w:vAlign w:val="center"/>
          </w:tcPr>
          <w:p w14:paraId="59D1DD3C" w14:textId="43D9B47B" w:rsidR="009F31D9" w:rsidRPr="00887ED7" w:rsidRDefault="009F31D9" w:rsidP="00066986">
            <w:pPr>
              <w:pStyle w:val="TableParagraph"/>
              <w:spacing w:before="240"/>
              <w:ind w:left="115" w:right="259"/>
              <w:rPr>
                <w:lang w:val="es-419"/>
              </w:rPr>
            </w:pPr>
            <w:r w:rsidRPr="00887ED7">
              <w:rPr>
                <w:lang w:val="es-419"/>
              </w:rPr>
              <w:t>42 meses</w:t>
            </w:r>
            <w:r w:rsidR="00887ED7">
              <w:rPr>
                <w:lang w:val="es-419"/>
              </w:rPr>
              <w:t xml:space="preserve">. </w:t>
            </w:r>
            <w:r w:rsidRPr="00887ED7">
              <w:rPr>
                <w:lang w:val="es-419"/>
              </w:rPr>
              <w:t>El proyecto se aprobó inicialmente por un periodo de 36 meses</w:t>
            </w:r>
            <w:r w:rsidR="00887ED7">
              <w:rPr>
                <w:lang w:val="es-419"/>
              </w:rPr>
              <w:t xml:space="preserve">. </w:t>
            </w:r>
            <w:r w:rsidRPr="00887ED7">
              <w:rPr>
                <w:lang w:val="es-419"/>
              </w:rPr>
              <w:t>El CDIP, en su 26.</w:t>
            </w:r>
            <w:r w:rsidRPr="00887ED7">
              <w:rPr>
                <w:vertAlign w:val="superscript"/>
                <w:lang w:val="es-419"/>
              </w:rPr>
              <w:t>a</w:t>
            </w:r>
            <w:r w:rsidRPr="00887ED7">
              <w:rPr>
                <w:lang w:val="es-419"/>
              </w:rPr>
              <w:t xml:space="preserve"> sesión, celebrada en julio de 2021, aprobó una ampliación del proyecto por 18 meses.</w:t>
            </w:r>
          </w:p>
          <w:p w14:paraId="632136E3" w14:textId="77777777" w:rsidR="009F31D9" w:rsidRPr="00887ED7" w:rsidRDefault="009F31D9" w:rsidP="00066986">
            <w:pPr>
              <w:pStyle w:val="TableParagraph"/>
              <w:ind w:left="109" w:right="255"/>
              <w:rPr>
                <w:lang w:val="es-419"/>
              </w:rPr>
            </w:pPr>
          </w:p>
        </w:tc>
      </w:tr>
      <w:tr w:rsidR="009F31D9" w:rsidRPr="00887ED7" w14:paraId="076C7F20" w14:textId="77777777" w:rsidTr="00066986">
        <w:trPr>
          <w:trHeight w:val="891"/>
        </w:trPr>
        <w:tc>
          <w:tcPr>
            <w:tcW w:w="2377" w:type="dxa"/>
            <w:shd w:val="clear" w:color="auto" w:fill="8DB3E1"/>
            <w:vAlign w:val="center"/>
          </w:tcPr>
          <w:p w14:paraId="183D5D62" w14:textId="77777777" w:rsidR="009F31D9" w:rsidRPr="00887ED7" w:rsidRDefault="009F31D9" w:rsidP="00066986">
            <w:pPr>
              <w:pStyle w:val="TableParagraph"/>
              <w:spacing w:line="252" w:lineRule="exact"/>
              <w:ind w:left="110"/>
              <w:rPr>
                <w:lang w:val="es-419"/>
              </w:rPr>
            </w:pPr>
            <w:r w:rsidRPr="00887ED7">
              <w:rPr>
                <w:u w:val="single"/>
                <w:lang w:val="es-419"/>
              </w:rPr>
              <w:t>Principales sectores/ámbitos de la OMPI que participan en la ejecución del proyecto</w:t>
            </w:r>
          </w:p>
        </w:tc>
        <w:tc>
          <w:tcPr>
            <w:tcW w:w="6913" w:type="dxa"/>
            <w:vAlign w:val="center"/>
          </w:tcPr>
          <w:p w14:paraId="05344302" w14:textId="7B5E25A4" w:rsidR="009F31D9" w:rsidRPr="00887ED7" w:rsidRDefault="009F31D9" w:rsidP="00066986">
            <w:pPr>
              <w:pStyle w:val="TableParagraph"/>
              <w:ind w:left="109" w:right="531"/>
              <w:rPr>
                <w:lang w:val="es-419"/>
              </w:rPr>
            </w:pPr>
            <w:r w:rsidRPr="00887ED7">
              <w:rPr>
                <w:lang w:val="es-419"/>
              </w:rPr>
              <w:t>Sector encargado de la ejecución</w:t>
            </w:r>
            <w:r w:rsidR="00887ED7">
              <w:rPr>
                <w:lang w:val="es-419"/>
              </w:rPr>
              <w:t xml:space="preserve">: </w:t>
            </w:r>
            <w:r w:rsidRPr="00887ED7">
              <w:rPr>
                <w:lang w:val="es-419"/>
              </w:rPr>
              <w:t xml:space="preserve">Sector de Marcas y Diseños </w:t>
            </w:r>
          </w:p>
          <w:p w14:paraId="40FB655D" w14:textId="035B2FCB" w:rsidR="009F31D9" w:rsidRPr="00887ED7" w:rsidRDefault="009F31D9" w:rsidP="00066986">
            <w:pPr>
              <w:pStyle w:val="TableParagraph"/>
              <w:ind w:left="109" w:right="531"/>
              <w:rPr>
                <w:lang w:val="es-419"/>
              </w:rPr>
            </w:pPr>
            <w:r w:rsidRPr="00887ED7">
              <w:rPr>
                <w:lang w:val="es-419"/>
              </w:rPr>
              <w:t>Otro sector interesado</w:t>
            </w:r>
            <w:r w:rsidR="00887ED7">
              <w:rPr>
                <w:lang w:val="es-419"/>
              </w:rPr>
              <w:t xml:space="preserve">: </w:t>
            </w:r>
            <w:r w:rsidRPr="00887ED7">
              <w:rPr>
                <w:lang w:val="es-419"/>
              </w:rPr>
              <w:t>Desarrollo Regional y Nacional</w:t>
            </w:r>
          </w:p>
        </w:tc>
      </w:tr>
      <w:tr w:rsidR="009F31D9" w:rsidRPr="00887ED7" w14:paraId="5820BEEB" w14:textId="77777777" w:rsidTr="00066986">
        <w:trPr>
          <w:trHeight w:val="621"/>
        </w:trPr>
        <w:tc>
          <w:tcPr>
            <w:tcW w:w="2377" w:type="dxa"/>
            <w:shd w:val="clear" w:color="auto" w:fill="8DB3E1"/>
            <w:vAlign w:val="center"/>
          </w:tcPr>
          <w:p w14:paraId="68559609" w14:textId="77777777" w:rsidR="009F31D9" w:rsidRPr="00887ED7" w:rsidRDefault="009F31D9" w:rsidP="00066986">
            <w:pPr>
              <w:pStyle w:val="TableParagraph"/>
              <w:spacing w:before="1"/>
              <w:ind w:left="110" w:right="378"/>
              <w:rPr>
                <w:lang w:val="es-419"/>
              </w:rPr>
            </w:pPr>
            <w:r w:rsidRPr="00887ED7">
              <w:rPr>
                <w:u w:val="single"/>
                <w:lang w:val="es-419"/>
              </w:rPr>
              <w:lastRenderedPageBreak/>
              <w:t>Breve descripción del proyecto</w:t>
            </w:r>
          </w:p>
        </w:tc>
        <w:tc>
          <w:tcPr>
            <w:tcW w:w="6913" w:type="dxa"/>
            <w:vAlign w:val="center"/>
          </w:tcPr>
          <w:p w14:paraId="3669C5F1" w14:textId="77777777" w:rsidR="009F31D9" w:rsidRPr="00887ED7" w:rsidRDefault="009F31D9" w:rsidP="00066986">
            <w:pPr>
              <w:pStyle w:val="TableParagraph"/>
              <w:spacing w:before="240" w:after="240"/>
              <w:ind w:left="115"/>
              <w:rPr>
                <w:lang w:val="es-419"/>
              </w:rPr>
            </w:pPr>
            <w:r w:rsidRPr="00887ED7">
              <w:rPr>
                <w:lang w:val="es-419"/>
              </w:rPr>
              <w:t xml:space="preserve">El proyecto tiene por objeto promover la propiedad intelectual (PI) en lo concerniente a las tradiciones culinarias (alimentos y bebidas) para aplicarla en el sector turístico del Perú y de otros países en desarrollo, a saber, el Camerún, Malasia y Marruecos. </w:t>
            </w:r>
          </w:p>
          <w:p w14:paraId="12DB6CE5" w14:textId="77777777" w:rsidR="009F31D9" w:rsidRPr="00887ED7" w:rsidRDefault="009F31D9" w:rsidP="00066986">
            <w:pPr>
              <w:pStyle w:val="TableParagraph"/>
              <w:spacing w:after="240"/>
              <w:ind w:left="115"/>
              <w:rPr>
                <w:lang w:val="es-419"/>
              </w:rPr>
            </w:pPr>
            <w:r w:rsidRPr="00887ED7">
              <w:rPr>
                <w:lang w:val="es-419"/>
              </w:rPr>
              <w:t>Más en concreto, el proyecto tiene por objetivos:</w:t>
            </w:r>
          </w:p>
          <w:p w14:paraId="06ED4577" w14:textId="77777777" w:rsidR="009F31D9" w:rsidRPr="00887ED7" w:rsidRDefault="009F31D9" w:rsidP="00066986">
            <w:pPr>
              <w:pStyle w:val="TableParagraph"/>
              <w:spacing w:before="1"/>
              <w:ind w:left="109"/>
              <w:rPr>
                <w:lang w:val="es-419"/>
              </w:rPr>
            </w:pPr>
            <w:r w:rsidRPr="00887ED7">
              <w:rPr>
                <w:lang w:val="es-419"/>
              </w:rPr>
              <w:t>a)</w:t>
            </w:r>
            <w:r w:rsidRPr="00887ED7">
              <w:rPr>
                <w:lang w:val="es-419"/>
              </w:rPr>
              <w:tab/>
              <w:t>facilitar el inventario, el desarrollo y el uso sostenible de las tradiciones culinarias de los cuatro países;</w:t>
            </w:r>
          </w:p>
          <w:p w14:paraId="578EA984" w14:textId="77777777" w:rsidR="009F31D9" w:rsidRPr="00887ED7" w:rsidRDefault="009F31D9" w:rsidP="00066986">
            <w:pPr>
              <w:pStyle w:val="TableParagraph"/>
              <w:spacing w:before="74"/>
              <w:ind w:left="115"/>
              <w:rPr>
                <w:lang w:val="es-419"/>
              </w:rPr>
            </w:pPr>
            <w:r w:rsidRPr="00887ED7">
              <w:rPr>
                <w:lang w:val="es-419"/>
              </w:rPr>
              <w:t>b)</w:t>
            </w:r>
            <w:r w:rsidRPr="00887ED7">
              <w:rPr>
                <w:lang w:val="es-419"/>
              </w:rPr>
              <w:tab/>
              <w:t>fortalecer la capacidad de los operadores económicos vinculados al sector del turismo gastronómico y de las autoridades nacionales, incluidas las Oficinas de PI, para utilizar y aprovechar las herramientas y las estrategias de PI; y</w:t>
            </w:r>
          </w:p>
          <w:p w14:paraId="170A0B24" w14:textId="77777777" w:rsidR="009F31D9" w:rsidRPr="00887ED7" w:rsidRDefault="009F31D9" w:rsidP="00066986">
            <w:pPr>
              <w:pStyle w:val="TableParagraph"/>
              <w:spacing w:before="74" w:after="240"/>
              <w:ind w:left="115"/>
              <w:rPr>
                <w:lang w:val="es-419"/>
              </w:rPr>
            </w:pPr>
            <w:r w:rsidRPr="00887ED7">
              <w:rPr>
                <w:lang w:val="es-419"/>
              </w:rPr>
              <w:t>c)</w:t>
            </w:r>
            <w:r w:rsidRPr="00887ED7">
              <w:rPr>
                <w:lang w:val="es-419"/>
              </w:rPr>
              <w:tab/>
              <w:t>sensibilizar sobre las ventajas del uso de la PI en las actividades de turismo gastronómico.</w:t>
            </w:r>
          </w:p>
          <w:p w14:paraId="775A23EA" w14:textId="77777777" w:rsidR="009F31D9" w:rsidRPr="00887ED7" w:rsidRDefault="009F31D9" w:rsidP="00066986">
            <w:pPr>
              <w:pStyle w:val="TableParagraph"/>
              <w:spacing w:after="240"/>
              <w:ind w:left="115"/>
              <w:rPr>
                <w:lang w:val="es-419"/>
              </w:rPr>
            </w:pPr>
            <w:r w:rsidRPr="00887ED7">
              <w:rPr>
                <w:lang w:val="es-419"/>
              </w:rPr>
              <w:t>Para conseguirlo, el proyecto incluyó dos productos (un estudio exploratorio y un análisis de PI) y tres actividades (una mesa redonda, un seminario nacional y un taller internacional) con la participación de las principales partes interesadas vinculadas al turismo, la gastronomía y la PI, tanto del sector público como del sector privado.</w:t>
            </w:r>
          </w:p>
        </w:tc>
      </w:tr>
      <w:tr w:rsidR="009F31D9" w:rsidRPr="00887ED7" w14:paraId="42CF3AF9" w14:textId="77777777" w:rsidTr="00066986">
        <w:trPr>
          <w:trHeight w:val="441"/>
        </w:trPr>
        <w:tc>
          <w:tcPr>
            <w:tcW w:w="2377" w:type="dxa"/>
            <w:shd w:val="clear" w:color="auto" w:fill="8DB3E1"/>
            <w:vAlign w:val="center"/>
          </w:tcPr>
          <w:p w14:paraId="7B492166" w14:textId="77777777" w:rsidR="009F31D9" w:rsidRPr="00887ED7" w:rsidRDefault="009F31D9" w:rsidP="00066986">
            <w:pPr>
              <w:pStyle w:val="TableParagraph"/>
              <w:ind w:left="110"/>
              <w:rPr>
                <w:lang w:val="es-419"/>
              </w:rPr>
            </w:pPr>
            <w:r w:rsidRPr="00887ED7">
              <w:rPr>
                <w:u w:val="single"/>
                <w:lang w:val="es-419"/>
              </w:rPr>
              <w:t>Director de proyecto</w:t>
            </w:r>
          </w:p>
        </w:tc>
        <w:tc>
          <w:tcPr>
            <w:tcW w:w="6913" w:type="dxa"/>
            <w:vAlign w:val="center"/>
          </w:tcPr>
          <w:p w14:paraId="3F9332B3" w14:textId="77777777" w:rsidR="009F31D9" w:rsidRPr="00887ED7" w:rsidRDefault="009F31D9" w:rsidP="00066986">
            <w:pPr>
              <w:pStyle w:val="TableParagraph"/>
              <w:spacing w:before="240"/>
              <w:ind w:left="115"/>
              <w:rPr>
                <w:lang w:val="es-419"/>
              </w:rPr>
            </w:pPr>
            <w:r w:rsidRPr="00887ED7">
              <w:rPr>
                <w:lang w:val="es-419"/>
              </w:rPr>
              <w:t>Sra. Marie Paule Rizo, jefa de la Sección de Asesoramiento Legislativo y de Políticas, Departamento de Marcas, Diseños Industriales e Indicaciones Geográficas</w:t>
            </w:r>
          </w:p>
          <w:p w14:paraId="0D0CE58E" w14:textId="77777777" w:rsidR="009F31D9" w:rsidRPr="00887ED7" w:rsidRDefault="009F31D9" w:rsidP="00066986">
            <w:pPr>
              <w:pStyle w:val="TableParagraph"/>
              <w:ind w:left="109"/>
              <w:rPr>
                <w:lang w:val="es-419"/>
              </w:rPr>
            </w:pPr>
          </w:p>
        </w:tc>
      </w:tr>
      <w:tr w:rsidR="009F31D9" w:rsidRPr="00887ED7" w14:paraId="2FFC4B19" w14:textId="77777777" w:rsidTr="00887ED7">
        <w:trPr>
          <w:trHeight w:val="591"/>
        </w:trPr>
        <w:tc>
          <w:tcPr>
            <w:tcW w:w="2377" w:type="dxa"/>
            <w:shd w:val="clear" w:color="auto" w:fill="8DB3E1"/>
            <w:vAlign w:val="center"/>
          </w:tcPr>
          <w:p w14:paraId="231639C0" w14:textId="77777777" w:rsidR="009F31D9" w:rsidRPr="00887ED7" w:rsidRDefault="009F31D9" w:rsidP="00066986">
            <w:pPr>
              <w:pStyle w:val="TableParagraph"/>
              <w:ind w:left="110" w:right="221"/>
              <w:rPr>
                <w:lang w:val="es-419"/>
              </w:rPr>
            </w:pPr>
            <w:r w:rsidRPr="00887ED7">
              <w:rPr>
                <w:u w:val="single"/>
                <w:lang w:val="es-419"/>
              </w:rPr>
              <w:t>Vínculos con los resultados previstos en el programa de trabajo y presupuesto</w:t>
            </w:r>
          </w:p>
        </w:tc>
        <w:tc>
          <w:tcPr>
            <w:tcW w:w="6913" w:type="dxa"/>
            <w:vAlign w:val="center"/>
          </w:tcPr>
          <w:p w14:paraId="26B245AE" w14:textId="77777777" w:rsidR="009F31D9" w:rsidRPr="00887ED7" w:rsidRDefault="009F31D9" w:rsidP="00066986">
            <w:pPr>
              <w:pStyle w:val="TableParagraph"/>
              <w:spacing w:before="240"/>
              <w:ind w:left="115" w:right="115"/>
              <w:rPr>
                <w:u w:val="single"/>
                <w:lang w:val="es-419"/>
              </w:rPr>
            </w:pPr>
            <w:r w:rsidRPr="00887ED7">
              <w:rPr>
                <w:u w:val="single"/>
                <w:lang w:val="es-419"/>
              </w:rPr>
              <w:t>Presupuesto por programas para 2018/19 y 2020/21</w:t>
            </w:r>
          </w:p>
          <w:p w14:paraId="2027F044" w14:textId="62B64822" w:rsidR="009F31D9" w:rsidRPr="00887ED7" w:rsidRDefault="009F31D9" w:rsidP="00066986">
            <w:pPr>
              <w:pStyle w:val="TableParagraph"/>
              <w:spacing w:before="240"/>
              <w:ind w:left="115" w:right="115"/>
              <w:rPr>
                <w:lang w:val="es-419"/>
              </w:rPr>
            </w:pPr>
            <w:r w:rsidRPr="00887ED7">
              <w:rPr>
                <w:lang w:val="es-419"/>
              </w:rPr>
              <w:t>Resultado previsto III.1</w:t>
            </w:r>
            <w:r w:rsidR="00887ED7">
              <w:rPr>
                <w:lang w:val="es-419"/>
              </w:rPr>
              <w:t xml:space="preserve">: </w:t>
            </w:r>
            <w:r w:rsidRPr="00887ED7">
              <w:rPr>
                <w:lang w:val="es-419"/>
              </w:rPr>
              <w:t xml:space="preserve">Estrategias y planes nacionales de innovación y de PI que estén en sintonía con los objetivos nacionales de desarrollo. </w:t>
            </w:r>
          </w:p>
          <w:p w14:paraId="37392231" w14:textId="66F0F9CA" w:rsidR="009F31D9" w:rsidRPr="00887ED7" w:rsidRDefault="009F31D9" w:rsidP="00066986">
            <w:pPr>
              <w:pStyle w:val="TableParagraph"/>
              <w:spacing w:before="240"/>
              <w:ind w:left="115" w:right="115"/>
              <w:rPr>
                <w:lang w:val="es-419"/>
              </w:rPr>
            </w:pPr>
            <w:r w:rsidRPr="00887ED7">
              <w:rPr>
                <w:lang w:val="es-419"/>
              </w:rPr>
              <w:t>Resultado previsto III.2</w:t>
            </w:r>
            <w:r w:rsidR="00887ED7">
              <w:rPr>
                <w:lang w:val="es-419"/>
              </w:rPr>
              <w:t xml:space="preserve">: </w:t>
            </w:r>
            <w:r w:rsidRPr="00887ED7">
              <w:rPr>
                <w:lang w:val="es-419"/>
              </w:rPr>
              <w:t>Mejora de las capacidades en el ámbito de los recursos humanos para hacer frente a la gran diversidad de exigencias que supone la utilización eficaz de la PI para fomentar el desarrollo en los países en desarrollo, PMA y países con economías en transición.</w:t>
            </w:r>
          </w:p>
          <w:p w14:paraId="25E18233" w14:textId="77777777" w:rsidR="009F31D9" w:rsidRPr="00887ED7" w:rsidRDefault="009F31D9" w:rsidP="00066986">
            <w:pPr>
              <w:pStyle w:val="TableParagraph"/>
              <w:spacing w:before="240"/>
              <w:ind w:left="115" w:right="115"/>
              <w:rPr>
                <w:u w:val="single"/>
                <w:lang w:val="es-419"/>
              </w:rPr>
            </w:pPr>
            <w:r w:rsidRPr="00887ED7">
              <w:rPr>
                <w:u w:val="single"/>
                <w:lang w:val="es-419"/>
              </w:rPr>
              <w:t>Presupuesto por programas para 2022/23:</w:t>
            </w:r>
          </w:p>
          <w:p w14:paraId="574CB48B" w14:textId="77777777" w:rsidR="009F31D9" w:rsidRPr="00887ED7" w:rsidRDefault="009F31D9" w:rsidP="00066986">
            <w:pPr>
              <w:pStyle w:val="TableParagraph"/>
              <w:spacing w:before="240"/>
              <w:ind w:left="173" w:right="115"/>
              <w:rPr>
                <w:lang w:val="es-419"/>
              </w:rPr>
            </w:pPr>
            <w:r w:rsidRPr="00887ED7">
              <w:rPr>
                <w:lang w:val="es-419"/>
              </w:rPr>
              <w:t>Resultado previsto 4.1. Un uso más eficaz de la propiedad intelectual para apoyar el crecimiento y el desarrollo de todos los Estados miembros y sus regiones y subregiones, entre otras cosas, mediante la aplicación de las recomendaciones de la Agenda para el Desarrollo.</w:t>
            </w:r>
          </w:p>
          <w:p w14:paraId="34B7266B" w14:textId="77777777" w:rsidR="009F31D9" w:rsidRPr="00887ED7" w:rsidRDefault="009F31D9" w:rsidP="00066986">
            <w:pPr>
              <w:pStyle w:val="TableParagraph"/>
              <w:spacing w:before="240"/>
              <w:ind w:left="173" w:right="115"/>
              <w:rPr>
                <w:lang w:val="es-419"/>
              </w:rPr>
            </w:pPr>
            <w:r w:rsidRPr="00887ED7">
              <w:rPr>
                <w:lang w:val="es-419"/>
              </w:rPr>
              <w:t>Resultado previsto 4.2. Aumento de los conocimientos y competencias en materia de PI en todos los Estados miembros.</w:t>
            </w:r>
          </w:p>
          <w:p w14:paraId="71499C41" w14:textId="77777777" w:rsidR="009F31D9" w:rsidRPr="00887ED7" w:rsidRDefault="009F31D9" w:rsidP="00066986">
            <w:pPr>
              <w:pStyle w:val="TableParagraph"/>
              <w:spacing w:before="240" w:after="480"/>
              <w:ind w:left="173" w:right="115"/>
              <w:rPr>
                <w:lang w:val="es-419"/>
              </w:rPr>
            </w:pPr>
            <w:r w:rsidRPr="00887ED7">
              <w:rPr>
                <w:lang w:val="es-419"/>
              </w:rPr>
              <w:t xml:space="preserve">Resultado previsto 4.3. Más innovadores, creadores, pymes, </w:t>
            </w:r>
            <w:r w:rsidRPr="00887ED7">
              <w:rPr>
                <w:lang w:val="es-419"/>
              </w:rPr>
              <w:lastRenderedPageBreak/>
              <w:t>universidades, instituciones de investigación y comunidades sacan provecho de la PI.</w:t>
            </w:r>
          </w:p>
        </w:tc>
      </w:tr>
      <w:tr w:rsidR="009F31D9" w:rsidRPr="00887ED7" w14:paraId="2A82150D" w14:textId="77777777" w:rsidTr="00066986">
        <w:trPr>
          <w:trHeight w:val="801"/>
        </w:trPr>
        <w:tc>
          <w:tcPr>
            <w:tcW w:w="2377" w:type="dxa"/>
            <w:shd w:val="clear" w:color="auto" w:fill="8DB3E1"/>
            <w:vAlign w:val="center"/>
          </w:tcPr>
          <w:p w14:paraId="7CD9BDB1" w14:textId="77777777" w:rsidR="009F31D9" w:rsidRPr="00887ED7" w:rsidRDefault="009F31D9" w:rsidP="00066986">
            <w:pPr>
              <w:pStyle w:val="TableParagraph"/>
              <w:spacing w:before="1"/>
              <w:ind w:left="110" w:right="708"/>
              <w:rPr>
                <w:lang w:val="es-419"/>
              </w:rPr>
            </w:pPr>
            <w:r w:rsidRPr="00887ED7">
              <w:rPr>
                <w:u w:val="single"/>
                <w:lang w:val="es-419"/>
              </w:rPr>
              <w:lastRenderedPageBreak/>
              <w:t>Visión de conjunto de la ejecución del proyecto</w:t>
            </w:r>
          </w:p>
        </w:tc>
        <w:tc>
          <w:tcPr>
            <w:tcW w:w="6913" w:type="dxa"/>
            <w:vAlign w:val="center"/>
          </w:tcPr>
          <w:p w14:paraId="484F37AC" w14:textId="77777777" w:rsidR="009F31D9" w:rsidRPr="00887ED7" w:rsidRDefault="009F31D9" w:rsidP="00066986">
            <w:pPr>
              <w:spacing w:before="240"/>
              <w:ind w:left="115" w:right="86"/>
              <w:rPr>
                <w:bCs/>
                <w:iCs/>
                <w:u w:val="single"/>
                <w:lang w:val="es-419"/>
              </w:rPr>
            </w:pPr>
            <w:r w:rsidRPr="00887ED7">
              <w:rPr>
                <w:u w:val="single"/>
                <w:lang w:val="es-419"/>
              </w:rPr>
              <w:t>Perú</w:t>
            </w:r>
          </w:p>
          <w:p w14:paraId="22178B71" w14:textId="65C91931" w:rsidR="009F31D9" w:rsidRPr="00887ED7" w:rsidRDefault="009F31D9" w:rsidP="00066986">
            <w:pPr>
              <w:numPr>
                <w:ilvl w:val="0"/>
                <w:numId w:val="8"/>
              </w:numPr>
              <w:spacing w:before="74"/>
              <w:ind w:right="86"/>
              <w:rPr>
                <w:iCs/>
                <w:lang w:val="es-419"/>
              </w:rPr>
            </w:pPr>
            <w:r w:rsidRPr="00887ED7">
              <w:rPr>
                <w:u w:val="single"/>
                <w:lang w:val="es-419"/>
              </w:rPr>
              <w:t>Integrantes del equipo y plan de proyecto a nivel nacional</w:t>
            </w:r>
            <w:r w:rsidR="00887ED7">
              <w:rPr>
                <w:u w:val="single"/>
                <w:lang w:val="es-419"/>
              </w:rPr>
              <w:t xml:space="preserve">: </w:t>
            </w:r>
            <w:r w:rsidRPr="00887ED7">
              <w:rPr>
                <w:lang w:val="es-419"/>
              </w:rPr>
              <w:t>En mayo de 2019, el Perú designó al coordinador local del proyecto en el Instituto Nacional de Defensa de la Competencia y de la Protección de la Propiedad Intelectual (INDECOPI)</w:t>
            </w:r>
            <w:r w:rsidR="00887ED7">
              <w:rPr>
                <w:lang w:val="es-419"/>
              </w:rPr>
              <w:t xml:space="preserve">. </w:t>
            </w:r>
            <w:r w:rsidRPr="00887ED7">
              <w:rPr>
                <w:lang w:val="es-419"/>
              </w:rPr>
              <w:t>En el mismo mes, se elaboró, en coordinación con el INDECOPI, un plan de proyecto a nivel nacional, en el que se describen los objetivos, los recursos y la estrategia de ejecución del proyecto con una planificación provisional a nivel de país</w:t>
            </w:r>
            <w:r w:rsidR="00887ED7">
              <w:rPr>
                <w:lang w:val="es-419"/>
              </w:rPr>
              <w:t xml:space="preserve">. </w:t>
            </w:r>
            <w:r w:rsidRPr="00887ED7">
              <w:rPr>
                <w:lang w:val="es-419"/>
              </w:rPr>
              <w:t xml:space="preserve">El plan de proyecto a nivel nacional para el Perú fue aprobado por el INDICOPI en mayo de 2019. </w:t>
            </w:r>
          </w:p>
          <w:p w14:paraId="7C4D2C3D" w14:textId="7CA19626" w:rsidR="009F31D9" w:rsidRPr="00887ED7" w:rsidRDefault="009F31D9" w:rsidP="00066986">
            <w:pPr>
              <w:numPr>
                <w:ilvl w:val="0"/>
                <w:numId w:val="8"/>
              </w:numPr>
              <w:spacing w:before="74"/>
              <w:ind w:right="86"/>
              <w:rPr>
                <w:iCs/>
                <w:lang w:val="es-419"/>
              </w:rPr>
            </w:pPr>
            <w:r w:rsidRPr="00887ED7">
              <w:rPr>
                <w:u w:val="single"/>
                <w:lang w:val="es-419"/>
              </w:rPr>
              <w:t>Identificación de las partes interesadas</w:t>
            </w:r>
            <w:r w:rsidR="00887ED7">
              <w:rPr>
                <w:u w:val="single"/>
                <w:lang w:val="es-419"/>
              </w:rPr>
              <w:t xml:space="preserve">: </w:t>
            </w:r>
            <w:r w:rsidRPr="00887ED7">
              <w:rPr>
                <w:lang w:val="es-419"/>
              </w:rPr>
              <w:t>El INDECOPI llevó a cabo el proceso de identificación de las partes interesadas pertinentes de la industria del turismo gastronómico durante el cuarto trimestre de 2019, que incluyó la administración de cuestionarios y la celebración de talleres para determinar las necesidades e intereses.</w:t>
            </w:r>
          </w:p>
          <w:p w14:paraId="37A71739" w14:textId="13B404E2" w:rsidR="009F31D9" w:rsidRPr="00887ED7" w:rsidRDefault="009F31D9" w:rsidP="00066986">
            <w:pPr>
              <w:numPr>
                <w:ilvl w:val="0"/>
                <w:numId w:val="8"/>
              </w:numPr>
              <w:spacing w:before="74"/>
              <w:ind w:right="86"/>
              <w:rPr>
                <w:iCs/>
                <w:lang w:val="es-419"/>
              </w:rPr>
            </w:pPr>
            <w:r w:rsidRPr="00887ED7">
              <w:rPr>
                <w:u w:val="single"/>
                <w:lang w:val="es-419"/>
              </w:rPr>
              <w:t>Estudio exploratorio</w:t>
            </w:r>
            <w:r w:rsidR="00887ED7">
              <w:rPr>
                <w:u w:val="single"/>
                <w:lang w:val="es-419"/>
              </w:rPr>
              <w:t xml:space="preserve">: </w:t>
            </w:r>
            <w:r w:rsidRPr="00887ED7">
              <w:rPr>
                <w:lang w:val="es-419"/>
              </w:rPr>
              <w:t>En julio de 2019, se designó un consultor para la preparación del estudio exploratorio sobre la elaboración de un inventario de las principales tradiciones culinarias</w:t>
            </w:r>
            <w:r w:rsidR="00887ED7">
              <w:rPr>
                <w:lang w:val="es-419"/>
              </w:rPr>
              <w:t xml:space="preserve">. </w:t>
            </w:r>
            <w:r w:rsidRPr="00887ED7">
              <w:rPr>
                <w:lang w:val="es-419"/>
              </w:rPr>
              <w:t xml:space="preserve">En marzo de 2020 se finalizó el estudio </w:t>
            </w:r>
            <w:r w:rsidR="00887ED7" w:rsidRPr="00887ED7">
              <w:rPr>
                <w:lang w:val="es-419"/>
              </w:rPr>
              <w:t>exploratorio, que</w:t>
            </w:r>
            <w:r w:rsidRPr="00887ED7">
              <w:rPr>
                <w:lang w:val="es-419"/>
              </w:rPr>
              <w:t xml:space="preserve"> incorporaba los comentarios realizados durante la mesa redonda</w:t>
            </w:r>
            <w:r w:rsidR="00887ED7">
              <w:rPr>
                <w:lang w:val="es-419"/>
              </w:rPr>
              <w:t xml:space="preserve">. </w:t>
            </w:r>
            <w:r w:rsidRPr="00887ED7">
              <w:rPr>
                <w:lang w:val="es-419"/>
              </w:rPr>
              <w:t>El estudio exploratorio se centró en 12 platos típicos</w:t>
            </w:r>
            <w:r w:rsidR="00887ED7">
              <w:rPr>
                <w:lang w:val="es-419"/>
              </w:rPr>
              <w:t xml:space="preserve">. </w:t>
            </w:r>
            <w:r w:rsidRPr="00887ED7">
              <w:rPr>
                <w:lang w:val="es-419"/>
              </w:rPr>
              <w:t>Los resultados del estudio exploratorio se presentaron a la 25.ª sesión del CDIP celebrada en noviembre de 2020</w:t>
            </w:r>
            <w:r w:rsidR="00887ED7">
              <w:rPr>
                <w:lang w:val="es-419"/>
              </w:rPr>
              <w:t xml:space="preserve">. </w:t>
            </w:r>
            <w:r w:rsidRPr="00887ED7">
              <w:rPr>
                <w:lang w:val="es-419"/>
              </w:rPr>
              <w:t>El estudio exploratorio está disponible en</w:t>
            </w:r>
            <w:r w:rsidR="00887ED7">
              <w:rPr>
                <w:lang w:val="es-419"/>
              </w:rPr>
              <w:t xml:space="preserve">: </w:t>
            </w:r>
            <w:hyperlink r:id="rId16" w:history="1">
              <w:r w:rsidRPr="00887ED7">
                <w:rPr>
                  <w:rStyle w:val="Hyperlink"/>
                  <w:lang w:val="es-419"/>
                </w:rPr>
                <w:t>https://www.wipo.int/export/sites/www/ip-development/es/docs/Scoping_Study_Peru_es.pdf</w:t>
              </w:r>
            </w:hyperlink>
          </w:p>
          <w:p w14:paraId="2032B150" w14:textId="0D4B8AB5" w:rsidR="009F31D9" w:rsidRPr="00887ED7" w:rsidRDefault="009F31D9" w:rsidP="00066986">
            <w:pPr>
              <w:numPr>
                <w:ilvl w:val="0"/>
                <w:numId w:val="8"/>
              </w:numPr>
              <w:spacing w:before="74"/>
              <w:ind w:right="86"/>
              <w:rPr>
                <w:iCs/>
                <w:lang w:val="es-419"/>
              </w:rPr>
            </w:pPr>
            <w:r w:rsidRPr="00887ED7">
              <w:rPr>
                <w:u w:val="single"/>
                <w:lang w:val="es-419"/>
              </w:rPr>
              <w:t>Mesa redonda</w:t>
            </w:r>
            <w:r w:rsidR="00887ED7">
              <w:rPr>
                <w:u w:val="single"/>
                <w:lang w:val="es-419"/>
              </w:rPr>
              <w:t xml:space="preserve">: </w:t>
            </w:r>
            <w:r w:rsidRPr="00887ED7">
              <w:rPr>
                <w:lang w:val="es-419"/>
              </w:rPr>
              <w:t>En marzo de 2020 se celebró en Lima una mesa redonda que reunió a las principales partes interesadas del sector turístico, la gastronomía y la propiedad intelectual del Perú</w:t>
            </w:r>
            <w:r w:rsidR="00887ED7">
              <w:rPr>
                <w:lang w:val="es-419"/>
              </w:rPr>
              <w:t xml:space="preserve">. </w:t>
            </w:r>
            <w:r w:rsidRPr="00887ED7">
              <w:rPr>
                <w:lang w:val="es-419"/>
              </w:rPr>
              <w:t xml:space="preserve">Para el análisis de PI, se seleccionaron seis especialidades. </w:t>
            </w:r>
          </w:p>
          <w:p w14:paraId="53C9081A" w14:textId="7C2C0DBE" w:rsidR="009F31D9" w:rsidRPr="00887ED7" w:rsidRDefault="009F31D9" w:rsidP="00066986">
            <w:pPr>
              <w:pStyle w:val="ListParagraph"/>
              <w:numPr>
                <w:ilvl w:val="0"/>
                <w:numId w:val="8"/>
              </w:numPr>
              <w:spacing w:before="74"/>
              <w:rPr>
                <w:iCs/>
                <w:lang w:val="es-419"/>
              </w:rPr>
            </w:pPr>
            <w:r w:rsidRPr="00887ED7">
              <w:rPr>
                <w:u w:val="single"/>
                <w:lang w:val="es-419"/>
              </w:rPr>
              <w:t>Análisis de PI</w:t>
            </w:r>
            <w:r w:rsidR="00887ED7">
              <w:rPr>
                <w:u w:val="single"/>
                <w:lang w:val="es-419"/>
              </w:rPr>
              <w:t xml:space="preserve">: </w:t>
            </w:r>
            <w:r w:rsidRPr="00887ED7">
              <w:rPr>
                <w:lang w:val="es-419"/>
              </w:rPr>
              <w:t>En abril de 2020, se designó un consultor para la preparación del análisis de PI</w:t>
            </w:r>
            <w:r w:rsidR="00887ED7">
              <w:rPr>
                <w:lang w:val="es-419"/>
              </w:rPr>
              <w:t xml:space="preserve">. </w:t>
            </w:r>
            <w:r w:rsidRPr="00887ED7">
              <w:rPr>
                <w:lang w:val="es-419"/>
              </w:rPr>
              <w:t xml:space="preserve">El análisis de PI fue finalizado en marzo de 2022 y está disponible en: </w:t>
            </w:r>
            <w:hyperlink r:id="rId17" w:history="1">
              <w:r w:rsidRPr="00887ED7">
                <w:rPr>
                  <w:rStyle w:val="Hyperlink"/>
                  <w:lang w:val="es-419"/>
                </w:rPr>
                <w:t>https://www.wipo.int/export/sites/www/ip-development/es/docs/ip-analysis-peru.pdf</w:t>
              </w:r>
            </w:hyperlink>
          </w:p>
          <w:p w14:paraId="6248B691" w14:textId="26F4A29F" w:rsidR="009F31D9" w:rsidRPr="00887ED7" w:rsidRDefault="009F31D9" w:rsidP="00066986">
            <w:pPr>
              <w:numPr>
                <w:ilvl w:val="0"/>
                <w:numId w:val="8"/>
              </w:numPr>
              <w:spacing w:before="74"/>
              <w:ind w:right="86"/>
              <w:rPr>
                <w:iCs/>
                <w:lang w:val="es-419"/>
              </w:rPr>
            </w:pPr>
            <w:r w:rsidRPr="00887ED7">
              <w:rPr>
                <w:u w:val="single"/>
                <w:lang w:val="es-419"/>
              </w:rPr>
              <w:t>Seminario nacional</w:t>
            </w:r>
            <w:r w:rsidR="00887ED7">
              <w:rPr>
                <w:u w:val="single"/>
                <w:lang w:val="es-419"/>
              </w:rPr>
              <w:t xml:space="preserve">: </w:t>
            </w:r>
            <w:r w:rsidRPr="00887ED7">
              <w:rPr>
                <w:lang w:val="es-419"/>
              </w:rPr>
              <w:t>En junio de 2022 se celebró un seminario nacional organizado por la OMPI y el INDECOPI</w:t>
            </w:r>
            <w:r w:rsidR="00887ED7">
              <w:rPr>
                <w:lang w:val="es-419"/>
              </w:rPr>
              <w:t xml:space="preserve">. </w:t>
            </w:r>
            <w:r w:rsidRPr="00887ED7">
              <w:rPr>
                <w:lang w:val="es-419"/>
              </w:rPr>
              <w:t xml:space="preserve">El seminario contó con 70 participantes en modo presencial y 171 </w:t>
            </w:r>
            <w:r w:rsidR="0044229F" w:rsidRPr="00887ED7">
              <w:rPr>
                <w:lang w:val="es-419"/>
              </w:rPr>
              <w:t>a distancia</w:t>
            </w:r>
            <w:r w:rsidR="00887ED7">
              <w:rPr>
                <w:lang w:val="es-419"/>
              </w:rPr>
              <w:t xml:space="preserve">. </w:t>
            </w:r>
            <w:r w:rsidRPr="00887ED7">
              <w:rPr>
                <w:lang w:val="es-419"/>
              </w:rPr>
              <w:t>El seminario nacional tuvo importantes repercusiones positivas en las siguientes etapas del proyecto</w:t>
            </w:r>
            <w:r w:rsidR="00887ED7">
              <w:rPr>
                <w:lang w:val="es-419"/>
              </w:rPr>
              <w:t xml:space="preserve">. </w:t>
            </w:r>
            <w:r w:rsidRPr="00887ED7">
              <w:rPr>
                <w:lang w:val="es-419"/>
              </w:rPr>
              <w:t>Contó con la participación de muchas celebridades del ámbito de la gastronomía, lo que dio una enorme publicidad al proyecto y aumentó la sensibilización gracias a una amplia cobertura en los medios de comunicación.</w:t>
            </w:r>
          </w:p>
          <w:p w14:paraId="1A90D2D0" w14:textId="41182257" w:rsidR="009F31D9" w:rsidRPr="00887ED7" w:rsidRDefault="009F31D9" w:rsidP="00066986">
            <w:pPr>
              <w:numPr>
                <w:ilvl w:val="0"/>
                <w:numId w:val="8"/>
              </w:numPr>
              <w:spacing w:before="74" w:after="240"/>
              <w:ind w:right="86"/>
              <w:rPr>
                <w:iCs/>
                <w:lang w:val="es-419"/>
              </w:rPr>
            </w:pPr>
            <w:r w:rsidRPr="00887ED7">
              <w:rPr>
                <w:u w:val="single"/>
                <w:lang w:val="es-419"/>
              </w:rPr>
              <w:lastRenderedPageBreak/>
              <w:t>Toda la información pertinente sobre los resultados del proyecto en el Perú está disponible en</w:t>
            </w:r>
            <w:r w:rsidR="00887ED7">
              <w:rPr>
                <w:lang w:val="es-419"/>
              </w:rPr>
              <w:t xml:space="preserve">: </w:t>
            </w:r>
            <w:hyperlink r:id="rId18" w:history="1">
              <w:r w:rsidRPr="00887ED7">
                <w:rPr>
                  <w:rStyle w:val="Hyperlink"/>
                  <w:lang w:val="es-419"/>
                </w:rPr>
                <w:t>https://www.wipo.int/ip-development/es/agenda/projects/peru.html</w:t>
              </w:r>
            </w:hyperlink>
            <w:r w:rsidRPr="00887ED7">
              <w:rPr>
                <w:lang w:val="es-419"/>
              </w:rPr>
              <w:t xml:space="preserve">  </w:t>
            </w:r>
          </w:p>
          <w:p w14:paraId="40F42BE3" w14:textId="77777777" w:rsidR="009F31D9" w:rsidRPr="00887ED7" w:rsidRDefault="009F31D9" w:rsidP="00066986">
            <w:pPr>
              <w:ind w:left="109" w:right="84"/>
              <w:rPr>
                <w:bCs/>
                <w:iCs/>
                <w:u w:val="single"/>
                <w:lang w:val="es-419"/>
              </w:rPr>
            </w:pPr>
            <w:r w:rsidRPr="00887ED7">
              <w:rPr>
                <w:u w:val="single"/>
                <w:lang w:val="es-419"/>
              </w:rPr>
              <w:t>Camerún</w:t>
            </w:r>
          </w:p>
          <w:p w14:paraId="72447163" w14:textId="0B4DB67B" w:rsidR="009F31D9" w:rsidRPr="00887ED7" w:rsidRDefault="009F31D9" w:rsidP="00066986">
            <w:pPr>
              <w:numPr>
                <w:ilvl w:val="0"/>
                <w:numId w:val="8"/>
              </w:numPr>
              <w:spacing w:before="74"/>
              <w:ind w:right="86"/>
              <w:rPr>
                <w:iCs/>
                <w:lang w:val="es-419"/>
              </w:rPr>
            </w:pPr>
            <w:r w:rsidRPr="00887ED7">
              <w:rPr>
                <w:u w:val="single"/>
                <w:lang w:val="es-419"/>
              </w:rPr>
              <w:t>Integrantes del equipo y plan de proyecto a nivel nacional</w:t>
            </w:r>
            <w:r w:rsidR="00887ED7">
              <w:rPr>
                <w:u w:val="single"/>
                <w:lang w:val="es-419"/>
              </w:rPr>
              <w:t xml:space="preserve">: </w:t>
            </w:r>
            <w:r w:rsidRPr="00887ED7">
              <w:rPr>
                <w:lang w:val="es-419"/>
              </w:rPr>
              <w:t>Se designó en noviembre de 2019 al coordinador local del proyecto</w:t>
            </w:r>
            <w:r w:rsidR="00887ED7">
              <w:rPr>
                <w:lang w:val="es-419"/>
              </w:rPr>
              <w:t xml:space="preserve">. </w:t>
            </w:r>
            <w:r w:rsidRPr="00887ED7">
              <w:rPr>
                <w:lang w:val="es-419"/>
              </w:rPr>
              <w:t>El plan de proyecto a nivel nacional para Camerún fue elaborado, en coordinación con el Ministerio de Turismo y Ocio (MINTOUL), de diciembre de 2019 a enero de 2020</w:t>
            </w:r>
            <w:r w:rsidR="00887ED7">
              <w:rPr>
                <w:lang w:val="es-419"/>
              </w:rPr>
              <w:t xml:space="preserve">. </w:t>
            </w:r>
            <w:r w:rsidRPr="00887ED7">
              <w:rPr>
                <w:lang w:val="es-419"/>
              </w:rPr>
              <w:t xml:space="preserve">El plan de proyecto a nivel nacional fue aprobado por el MINTOUL en febrero de 2020. </w:t>
            </w:r>
          </w:p>
          <w:p w14:paraId="46BEDF92" w14:textId="1B9FAFCA" w:rsidR="009F31D9" w:rsidRPr="00887ED7" w:rsidRDefault="009F31D9" w:rsidP="00066986">
            <w:pPr>
              <w:numPr>
                <w:ilvl w:val="0"/>
                <w:numId w:val="8"/>
              </w:numPr>
              <w:spacing w:before="74"/>
              <w:ind w:right="86"/>
              <w:rPr>
                <w:iCs/>
                <w:lang w:val="es-419"/>
              </w:rPr>
            </w:pPr>
            <w:r w:rsidRPr="00887ED7">
              <w:rPr>
                <w:u w:val="single"/>
                <w:lang w:val="es-419"/>
              </w:rPr>
              <w:t>Identificación de las partes interesadas</w:t>
            </w:r>
            <w:r w:rsidR="00887ED7">
              <w:rPr>
                <w:u w:val="single"/>
                <w:lang w:val="es-419"/>
              </w:rPr>
              <w:t xml:space="preserve">: </w:t>
            </w:r>
            <w:r w:rsidRPr="00887ED7">
              <w:rPr>
                <w:lang w:val="es-419"/>
              </w:rPr>
              <w:t xml:space="preserve">El MINTOUL creó un comité integrado por representantes de varios ministerios de Camerún </w:t>
            </w:r>
            <w:r w:rsidRPr="00887ED7">
              <w:rPr>
                <w:i/>
                <w:lang w:val="es-419"/>
              </w:rPr>
              <w:t>(Comité interministerial</w:t>
            </w:r>
            <w:r w:rsidRPr="00887ED7">
              <w:rPr>
                <w:lang w:val="es-419"/>
              </w:rPr>
              <w:t>, presidido por el Secretario General del MINTOUL)</w:t>
            </w:r>
            <w:r w:rsidR="00887ED7">
              <w:rPr>
                <w:lang w:val="es-419"/>
              </w:rPr>
              <w:t xml:space="preserve">. </w:t>
            </w:r>
            <w:r w:rsidRPr="00887ED7">
              <w:rPr>
                <w:lang w:val="es-419"/>
              </w:rPr>
              <w:t>El comité celebró reuniones (en formato presencial y virtual) y determinó varias categorías de beneficiarios en marzo de 2021.</w:t>
            </w:r>
          </w:p>
          <w:p w14:paraId="2393C094" w14:textId="55EA483C" w:rsidR="009F31D9" w:rsidRPr="00887ED7" w:rsidRDefault="009F31D9" w:rsidP="00066986">
            <w:pPr>
              <w:numPr>
                <w:ilvl w:val="0"/>
                <w:numId w:val="8"/>
              </w:numPr>
              <w:spacing w:before="74"/>
              <w:ind w:right="86"/>
              <w:rPr>
                <w:iCs/>
                <w:lang w:val="es-419"/>
              </w:rPr>
            </w:pPr>
            <w:r w:rsidRPr="00887ED7">
              <w:rPr>
                <w:u w:val="single"/>
                <w:lang w:val="es-419"/>
              </w:rPr>
              <w:t>Estudio exploratorio</w:t>
            </w:r>
            <w:r w:rsidR="00887ED7">
              <w:rPr>
                <w:u w:val="single"/>
                <w:lang w:val="es-419"/>
              </w:rPr>
              <w:t xml:space="preserve">: </w:t>
            </w:r>
            <w:r w:rsidRPr="00887ED7">
              <w:rPr>
                <w:lang w:val="es-419"/>
              </w:rPr>
              <w:t>En abril de 2020, se designó un consultor para la preparación del estudio exploratorio sobre la elaboración de un inventario de las principales tradiciones culinarias</w:t>
            </w:r>
            <w:r w:rsidR="00887ED7">
              <w:rPr>
                <w:lang w:val="es-419"/>
              </w:rPr>
              <w:t xml:space="preserve">. </w:t>
            </w:r>
            <w:r w:rsidRPr="00887ED7">
              <w:rPr>
                <w:lang w:val="es-419"/>
              </w:rPr>
              <w:t>En diciembre de 2021, se finalizó el estudio exploratorio, centrado en 20 platos típicos, que incorporaba los comentarios realizados durante la mesa redonda (véase abajo)</w:t>
            </w:r>
            <w:r w:rsidR="00887ED7">
              <w:rPr>
                <w:lang w:val="es-419"/>
              </w:rPr>
              <w:t xml:space="preserve">. </w:t>
            </w:r>
            <w:r w:rsidRPr="00887ED7">
              <w:rPr>
                <w:lang w:val="es-419"/>
              </w:rPr>
              <w:t xml:space="preserve">Está disponible en: </w:t>
            </w:r>
            <w:hyperlink r:id="rId19" w:history="1">
              <w:r w:rsidRPr="00887ED7">
                <w:rPr>
                  <w:rStyle w:val="Hyperlink"/>
                  <w:lang w:val="es-419"/>
                </w:rPr>
                <w:t>https://www.wipo.int/export/sites/www/ip-development/en/docs/scoping-study-cameroon.pdf</w:t>
              </w:r>
            </w:hyperlink>
          </w:p>
          <w:p w14:paraId="764FADC0" w14:textId="1DB48035" w:rsidR="009F31D9" w:rsidRPr="00887ED7" w:rsidRDefault="009F31D9" w:rsidP="00066986">
            <w:pPr>
              <w:numPr>
                <w:ilvl w:val="0"/>
                <w:numId w:val="8"/>
              </w:numPr>
              <w:spacing w:before="74"/>
              <w:ind w:right="86"/>
              <w:rPr>
                <w:iCs/>
                <w:lang w:val="es-419"/>
              </w:rPr>
            </w:pPr>
            <w:r w:rsidRPr="00887ED7">
              <w:rPr>
                <w:u w:val="single"/>
                <w:lang w:val="es-419"/>
              </w:rPr>
              <w:t>Mesa redonda</w:t>
            </w:r>
            <w:r w:rsidR="00887ED7">
              <w:rPr>
                <w:lang w:val="es-419"/>
              </w:rPr>
              <w:t xml:space="preserve">: </w:t>
            </w:r>
            <w:r w:rsidRPr="00887ED7">
              <w:rPr>
                <w:lang w:val="es-419"/>
              </w:rPr>
              <w:t>La OMPI y el Ministerio de Turismo y Ocio del Camerún (MINTOUL) organizaron conjuntamente una mesa redonda con las partes interesadas el 7 de diciembre de 2021</w:t>
            </w:r>
            <w:r w:rsidR="00887ED7">
              <w:rPr>
                <w:lang w:val="es-419"/>
              </w:rPr>
              <w:t xml:space="preserve">. </w:t>
            </w:r>
            <w:r w:rsidRPr="00887ED7">
              <w:rPr>
                <w:lang w:val="es-419"/>
              </w:rPr>
              <w:t>La mesa redonda contó con aproximadamente 100 participantes</w:t>
            </w:r>
            <w:r w:rsidR="00887ED7">
              <w:rPr>
                <w:lang w:val="es-419"/>
              </w:rPr>
              <w:t xml:space="preserve">. </w:t>
            </w:r>
            <w:r w:rsidRPr="00887ED7">
              <w:rPr>
                <w:lang w:val="es-419"/>
              </w:rPr>
              <w:t>Para el análisis del período de investigación se seleccionaron diez especialidades y cuatro especialidades quedaron en reserva.</w:t>
            </w:r>
          </w:p>
          <w:p w14:paraId="69C9A398" w14:textId="17E1FD77" w:rsidR="009F31D9" w:rsidRPr="00887ED7" w:rsidRDefault="009F31D9" w:rsidP="00066986">
            <w:pPr>
              <w:numPr>
                <w:ilvl w:val="0"/>
                <w:numId w:val="8"/>
              </w:numPr>
              <w:spacing w:before="74"/>
              <w:ind w:right="86"/>
              <w:rPr>
                <w:iCs/>
                <w:lang w:val="es-419"/>
              </w:rPr>
            </w:pPr>
            <w:r w:rsidRPr="00887ED7">
              <w:rPr>
                <w:u w:val="single"/>
                <w:lang w:val="es-419"/>
              </w:rPr>
              <w:t>Análisis de PI</w:t>
            </w:r>
            <w:r w:rsidR="00887ED7">
              <w:rPr>
                <w:u w:val="single"/>
                <w:lang w:val="es-419"/>
              </w:rPr>
              <w:t>:</w:t>
            </w:r>
            <w:r w:rsidR="00436B1E">
              <w:rPr>
                <w:lang w:val="es-419"/>
              </w:rPr>
              <w:t xml:space="preserve"> E</w:t>
            </w:r>
            <w:r w:rsidRPr="00887ED7">
              <w:rPr>
                <w:lang w:val="es-419"/>
              </w:rPr>
              <w:t>n noviembre de 2021, se designó un consultor para la preparación del análisis de PI</w:t>
            </w:r>
            <w:r w:rsidR="00887ED7">
              <w:rPr>
                <w:lang w:val="es-419"/>
              </w:rPr>
              <w:t xml:space="preserve">. </w:t>
            </w:r>
            <w:r w:rsidRPr="00887ED7">
              <w:rPr>
                <w:lang w:val="es-419"/>
              </w:rPr>
              <w:t>El análisis de PI fue finalizado en junio de 2022 y está disponible en</w:t>
            </w:r>
            <w:r w:rsidR="00887ED7">
              <w:rPr>
                <w:lang w:val="es-419"/>
              </w:rPr>
              <w:t xml:space="preserve">: </w:t>
            </w:r>
            <w:hyperlink r:id="rId20" w:history="1">
              <w:r w:rsidRPr="00887ED7">
                <w:rPr>
                  <w:rStyle w:val="Hyperlink"/>
                  <w:lang w:val="es-419"/>
                </w:rPr>
                <w:t>www.wipo.int/export/sites/www/ip-development/fr/agenda/docs/analyse_ip_cameroon_fr.pdf</w:t>
              </w:r>
            </w:hyperlink>
          </w:p>
          <w:p w14:paraId="7796005E" w14:textId="31C8D771" w:rsidR="009F31D9" w:rsidRPr="00887ED7" w:rsidRDefault="009F31D9" w:rsidP="00066986">
            <w:pPr>
              <w:numPr>
                <w:ilvl w:val="0"/>
                <w:numId w:val="8"/>
              </w:numPr>
              <w:spacing w:before="74"/>
              <w:ind w:right="86"/>
              <w:rPr>
                <w:iCs/>
                <w:lang w:val="es-419"/>
              </w:rPr>
            </w:pPr>
            <w:r w:rsidRPr="00887ED7">
              <w:rPr>
                <w:u w:val="single"/>
                <w:lang w:val="es-419"/>
              </w:rPr>
              <w:t>Seminario nacional</w:t>
            </w:r>
            <w:r w:rsidR="00887ED7">
              <w:rPr>
                <w:u w:val="single"/>
                <w:lang w:val="es-419"/>
              </w:rPr>
              <w:t>:</w:t>
            </w:r>
            <w:r w:rsidR="00436B1E">
              <w:rPr>
                <w:lang w:val="es-419"/>
              </w:rPr>
              <w:t xml:space="preserve"> L</w:t>
            </w:r>
            <w:r w:rsidRPr="00887ED7">
              <w:rPr>
                <w:lang w:val="es-419"/>
              </w:rPr>
              <w:t>a OMPI y el MINTOUL organizaron conjuntamente un seminario nacional el 24 de junio de 2022, que contó con unos 150 participantes.</w:t>
            </w:r>
          </w:p>
          <w:p w14:paraId="5099038B" w14:textId="5AD4AA9D" w:rsidR="009F31D9" w:rsidRPr="00887ED7" w:rsidRDefault="009F31D9" w:rsidP="00066986">
            <w:pPr>
              <w:numPr>
                <w:ilvl w:val="0"/>
                <w:numId w:val="8"/>
              </w:numPr>
              <w:spacing w:before="74"/>
              <w:ind w:right="86"/>
              <w:rPr>
                <w:iCs/>
                <w:u w:val="single"/>
                <w:lang w:val="es-419"/>
              </w:rPr>
            </w:pPr>
            <w:r w:rsidRPr="00887ED7">
              <w:rPr>
                <w:u w:val="single"/>
                <w:lang w:val="es-419"/>
              </w:rPr>
              <w:t>Otros</w:t>
            </w:r>
            <w:r w:rsidR="00887ED7">
              <w:rPr>
                <w:u w:val="single"/>
                <w:lang w:val="es-419"/>
              </w:rPr>
              <w:t>:</w:t>
            </w:r>
            <w:r w:rsidR="00436B1E">
              <w:rPr>
                <w:lang w:val="es-419"/>
              </w:rPr>
              <w:t xml:space="preserve"> C</w:t>
            </w:r>
            <w:r w:rsidRPr="00887ED7">
              <w:rPr>
                <w:lang w:val="es-419"/>
              </w:rPr>
              <w:t>amerún tardó algún tiempo en designar a un coordinador local del proyecto</w:t>
            </w:r>
            <w:r w:rsidR="00887ED7">
              <w:rPr>
                <w:lang w:val="es-419"/>
              </w:rPr>
              <w:t xml:space="preserve">. </w:t>
            </w:r>
            <w:r w:rsidRPr="00887ED7">
              <w:rPr>
                <w:lang w:val="es-419"/>
              </w:rPr>
              <w:t>A diferencia de los demás países participantes, el coordinador local del proyecto que fue designado no pertenecía a la Oficina de Propiedad Intelectual, sino al Ministerio de Turismo y Ocio (MINTOUL)</w:t>
            </w:r>
            <w:r w:rsidR="00887ED7">
              <w:rPr>
                <w:lang w:val="es-419"/>
              </w:rPr>
              <w:t xml:space="preserve">. </w:t>
            </w:r>
            <w:r w:rsidRPr="00887ED7">
              <w:rPr>
                <w:lang w:val="es-419"/>
              </w:rPr>
              <w:t>Dada la naturaleza del proyecto y su vinculación con la PI, esta entidad necesitó algún tiempo para familiarizarse con este tema, lo cual constituía un requisito previo para comprender el proyecto</w:t>
            </w:r>
            <w:r w:rsidR="00887ED7">
              <w:rPr>
                <w:lang w:val="es-419"/>
              </w:rPr>
              <w:t xml:space="preserve">. </w:t>
            </w:r>
            <w:r w:rsidRPr="00887ED7">
              <w:rPr>
                <w:lang w:val="es-419"/>
              </w:rPr>
              <w:t xml:space="preserve">Para ello, en diciembre de 2019 se celebró un taller </w:t>
            </w:r>
            <w:r w:rsidRPr="00887ED7">
              <w:rPr>
                <w:lang w:val="es-419"/>
              </w:rPr>
              <w:lastRenderedPageBreak/>
              <w:t xml:space="preserve">virtual sobre PI, dirigido al personal del MINTOUL, en el equipo del proyecto de la OMPI presentó ponencias. </w:t>
            </w:r>
          </w:p>
          <w:p w14:paraId="1929CCD5" w14:textId="6CE31125" w:rsidR="009F31D9" w:rsidRPr="00887ED7" w:rsidRDefault="009F31D9" w:rsidP="00066986">
            <w:pPr>
              <w:numPr>
                <w:ilvl w:val="0"/>
                <w:numId w:val="8"/>
              </w:numPr>
              <w:spacing w:before="74" w:after="240"/>
              <w:ind w:right="86"/>
              <w:rPr>
                <w:iCs/>
                <w:u w:val="single"/>
                <w:lang w:val="es-419"/>
              </w:rPr>
            </w:pPr>
            <w:r w:rsidRPr="00887ED7">
              <w:rPr>
                <w:u w:val="single"/>
                <w:lang w:val="es-419"/>
              </w:rPr>
              <w:t>Toda la información pertinente sobre los resultados del proyecto en el Camerún está disponible en</w:t>
            </w:r>
            <w:r w:rsidR="00887ED7">
              <w:rPr>
                <w:lang w:val="es-419"/>
              </w:rPr>
              <w:t xml:space="preserve">: </w:t>
            </w:r>
            <w:r w:rsidRPr="00887ED7">
              <w:rPr>
                <w:rStyle w:val="Hyperlink"/>
                <w:lang w:val="es-419"/>
              </w:rPr>
              <w:t>https://www.wipo.int/ip-development/es/agenda/projects/cameroon.html</w:t>
            </w:r>
          </w:p>
          <w:p w14:paraId="73A3B8FB" w14:textId="77777777" w:rsidR="009F31D9" w:rsidRPr="00887ED7" w:rsidRDefault="009F31D9" w:rsidP="00066986">
            <w:pPr>
              <w:ind w:left="109" w:right="84"/>
              <w:rPr>
                <w:bCs/>
                <w:iCs/>
                <w:u w:val="single"/>
                <w:lang w:val="es-419"/>
              </w:rPr>
            </w:pPr>
            <w:r w:rsidRPr="00887ED7">
              <w:rPr>
                <w:u w:val="single"/>
                <w:lang w:val="es-419"/>
              </w:rPr>
              <w:t>Malasia</w:t>
            </w:r>
          </w:p>
          <w:p w14:paraId="6AFC5876" w14:textId="0B3B4B0E" w:rsidR="009F31D9" w:rsidRPr="00887ED7" w:rsidRDefault="009F31D9" w:rsidP="00066986">
            <w:pPr>
              <w:numPr>
                <w:ilvl w:val="0"/>
                <w:numId w:val="8"/>
              </w:numPr>
              <w:spacing w:before="74"/>
              <w:ind w:right="86"/>
              <w:rPr>
                <w:iCs/>
                <w:lang w:val="es-419"/>
              </w:rPr>
            </w:pPr>
            <w:r w:rsidRPr="00887ED7">
              <w:rPr>
                <w:u w:val="single"/>
                <w:lang w:val="es-419"/>
              </w:rPr>
              <w:t>Integrantes del equipo y plan de proyecto a nivel nacional</w:t>
            </w:r>
            <w:r w:rsidR="00887ED7">
              <w:rPr>
                <w:u w:val="single"/>
                <w:lang w:val="es-419"/>
              </w:rPr>
              <w:t>:</w:t>
            </w:r>
            <w:r w:rsidR="00436B1E">
              <w:rPr>
                <w:lang w:val="es-419"/>
              </w:rPr>
              <w:t xml:space="preserve"> E</w:t>
            </w:r>
            <w:r w:rsidRPr="00887ED7">
              <w:rPr>
                <w:lang w:val="es-419"/>
              </w:rPr>
              <w:t>n julio de 2019, Malasia designó al coordinador local del proyecto en la Oficina de Propiedad Intelectual de Malasia (MyIPO)</w:t>
            </w:r>
            <w:r w:rsidR="00887ED7">
              <w:rPr>
                <w:lang w:val="es-419"/>
              </w:rPr>
              <w:t xml:space="preserve">. </w:t>
            </w:r>
            <w:r w:rsidRPr="00887ED7">
              <w:rPr>
                <w:lang w:val="es-419"/>
              </w:rPr>
              <w:t>El plan de proyecto a nivel nacional para Malasia fue preparado, en coordinación con</w:t>
            </w:r>
            <w:r w:rsidR="00B04B5F" w:rsidRPr="00887ED7">
              <w:rPr>
                <w:lang w:val="es-419"/>
              </w:rPr>
              <w:t xml:space="preserve"> la</w:t>
            </w:r>
            <w:r w:rsidRPr="00887ED7">
              <w:rPr>
                <w:lang w:val="es-419"/>
              </w:rPr>
              <w:t xml:space="preserve"> MyIPO, en julio de 2019</w:t>
            </w:r>
            <w:r w:rsidR="00887ED7">
              <w:rPr>
                <w:lang w:val="es-419"/>
              </w:rPr>
              <w:t xml:space="preserve">. </w:t>
            </w:r>
            <w:r w:rsidRPr="00887ED7">
              <w:rPr>
                <w:lang w:val="es-419"/>
              </w:rPr>
              <w:t>El plan de proyecto a nivel nacional fue aprobado la MyIPO en febrero de 2020.</w:t>
            </w:r>
          </w:p>
          <w:p w14:paraId="6DDA9AA1" w14:textId="6BFE96C8" w:rsidR="009F31D9" w:rsidRPr="00887ED7" w:rsidRDefault="009F31D9" w:rsidP="00066986">
            <w:pPr>
              <w:numPr>
                <w:ilvl w:val="0"/>
                <w:numId w:val="8"/>
              </w:numPr>
              <w:spacing w:before="74"/>
              <w:ind w:right="86"/>
              <w:rPr>
                <w:iCs/>
                <w:lang w:val="es-419"/>
              </w:rPr>
            </w:pPr>
            <w:r w:rsidRPr="00887ED7">
              <w:rPr>
                <w:u w:val="single"/>
                <w:lang w:val="es-419"/>
              </w:rPr>
              <w:t>Identificación de las partes interesadas</w:t>
            </w:r>
            <w:r w:rsidR="00887ED7">
              <w:rPr>
                <w:u w:val="single"/>
                <w:lang w:val="es-419"/>
              </w:rPr>
              <w:t>:</w:t>
            </w:r>
            <w:r w:rsidR="00436B1E">
              <w:rPr>
                <w:lang w:val="es-419"/>
              </w:rPr>
              <w:t xml:space="preserve"> L</w:t>
            </w:r>
            <w:r w:rsidRPr="00887ED7">
              <w:rPr>
                <w:lang w:val="es-419"/>
              </w:rPr>
              <w:t>a MyIPO identificó a las partes interesadas y a los beneficiarios del proyecto en el primer trimestre de 2020, y los describió en el plan de proyecto revisado a nivel nacional</w:t>
            </w:r>
            <w:r w:rsidR="00887ED7">
              <w:rPr>
                <w:lang w:val="es-419"/>
              </w:rPr>
              <w:t xml:space="preserve">. </w:t>
            </w:r>
            <w:r w:rsidRPr="00887ED7">
              <w:rPr>
                <w:lang w:val="es-419"/>
              </w:rPr>
              <w:t>El proceso de identificación incluyó reuniones virtuales con representantes del sector gastronómico y turístico, entidades públicas centrales y locales, así como asociaciones de empresarios</w:t>
            </w:r>
            <w:r w:rsidR="00887ED7">
              <w:rPr>
                <w:lang w:val="es-419"/>
              </w:rPr>
              <w:t xml:space="preserve">. </w:t>
            </w:r>
            <w:r w:rsidRPr="00887ED7">
              <w:rPr>
                <w:lang w:val="es-419"/>
              </w:rPr>
              <w:t>En el sitio web de la MyIPO se publicó un folleto en el que se explicaba el proyecto y se invitaba a participar a posibles partes interesadas</w:t>
            </w:r>
            <w:r w:rsidR="00887ED7">
              <w:rPr>
                <w:lang w:val="es-419"/>
              </w:rPr>
              <w:t xml:space="preserve">. </w:t>
            </w:r>
            <w:r w:rsidRPr="00887ED7">
              <w:rPr>
                <w:lang w:val="es-419"/>
              </w:rPr>
              <w:t>El consultor identificó a otras partes interesadas (propietarios de cafeterías, promotores gastronómicos y asociaciones de guías de turismo) para el estudio exploratorio, al tiempo que se realizaron investigaciones y visitas de campo en el norte de Malasia.</w:t>
            </w:r>
          </w:p>
          <w:p w14:paraId="766B04C0" w14:textId="53C585A3" w:rsidR="009F31D9" w:rsidRPr="00887ED7" w:rsidRDefault="009F31D9" w:rsidP="00066986">
            <w:pPr>
              <w:numPr>
                <w:ilvl w:val="0"/>
                <w:numId w:val="8"/>
              </w:numPr>
              <w:spacing w:before="74"/>
              <w:ind w:right="86"/>
              <w:rPr>
                <w:iCs/>
                <w:lang w:val="es-419"/>
              </w:rPr>
            </w:pPr>
            <w:r w:rsidRPr="00887ED7">
              <w:rPr>
                <w:u w:val="single"/>
                <w:lang w:val="es-419"/>
              </w:rPr>
              <w:t>Estudio exploratorio</w:t>
            </w:r>
            <w:r w:rsidR="00887ED7">
              <w:rPr>
                <w:u w:val="single"/>
                <w:lang w:val="es-419"/>
              </w:rPr>
              <w:t>:</w:t>
            </w:r>
            <w:r w:rsidR="00436B1E">
              <w:rPr>
                <w:lang w:val="es-419"/>
              </w:rPr>
              <w:t xml:space="preserve"> E</w:t>
            </w:r>
            <w:r w:rsidRPr="00887ED7">
              <w:rPr>
                <w:lang w:val="es-419"/>
              </w:rPr>
              <w:t>n mayo de 2020, se designó un consultor para la preparación del estudio exploratorio sobre la elaboración de un inventario de las principales tradiciones culinarias</w:t>
            </w:r>
            <w:r w:rsidR="00887ED7">
              <w:rPr>
                <w:lang w:val="es-419"/>
              </w:rPr>
              <w:t xml:space="preserve">. </w:t>
            </w:r>
            <w:r w:rsidRPr="00887ED7">
              <w:rPr>
                <w:lang w:val="es-419"/>
              </w:rPr>
              <w:t>En noviembre de 2021, se finalizó el estudio exploratorio</w:t>
            </w:r>
            <w:r w:rsidR="00887ED7">
              <w:rPr>
                <w:lang w:val="es-419"/>
              </w:rPr>
              <w:t xml:space="preserve">. </w:t>
            </w:r>
            <w:r w:rsidRPr="00887ED7">
              <w:rPr>
                <w:lang w:val="es-419"/>
              </w:rPr>
              <w:t>Se analizaron 15 platos y recetas típicos</w:t>
            </w:r>
            <w:r w:rsidR="00887ED7">
              <w:rPr>
                <w:lang w:val="es-419"/>
              </w:rPr>
              <w:t xml:space="preserve">. </w:t>
            </w:r>
            <w:r w:rsidRPr="00887ED7">
              <w:rPr>
                <w:lang w:val="es-419"/>
              </w:rPr>
              <w:t>El estudio exploratorio está disponible en</w:t>
            </w:r>
            <w:r w:rsidR="00887ED7">
              <w:rPr>
                <w:lang w:val="es-419"/>
              </w:rPr>
              <w:t xml:space="preserve">: </w:t>
            </w:r>
            <w:hyperlink r:id="rId21" w:history="1">
              <w:r w:rsidRPr="00887ED7">
                <w:rPr>
                  <w:rStyle w:val="Hyperlink"/>
                  <w:lang w:val="es-419"/>
                </w:rPr>
                <w:t>https://www.wipo.int/export/sites/www/ip-development/en/docs/scoping-study-malaysia.pdf</w:t>
              </w:r>
            </w:hyperlink>
          </w:p>
          <w:p w14:paraId="02A23A1B" w14:textId="49B20E12" w:rsidR="009F31D9" w:rsidRPr="00887ED7" w:rsidRDefault="009F31D9" w:rsidP="00066986">
            <w:pPr>
              <w:numPr>
                <w:ilvl w:val="0"/>
                <w:numId w:val="8"/>
              </w:numPr>
              <w:spacing w:before="74"/>
              <w:ind w:right="86"/>
              <w:rPr>
                <w:iCs/>
                <w:lang w:val="es-419"/>
              </w:rPr>
            </w:pPr>
            <w:r w:rsidRPr="00887ED7">
              <w:rPr>
                <w:u w:val="single"/>
                <w:lang w:val="es-419"/>
              </w:rPr>
              <w:t>Mesa redonda</w:t>
            </w:r>
            <w:r w:rsidR="00887ED7">
              <w:rPr>
                <w:u w:val="single"/>
                <w:lang w:val="es-419"/>
              </w:rPr>
              <w:t>:</w:t>
            </w:r>
            <w:r w:rsidR="00436B1E">
              <w:rPr>
                <w:lang w:val="es-419"/>
              </w:rPr>
              <w:t xml:space="preserve"> E</w:t>
            </w:r>
            <w:r w:rsidRPr="00887ED7">
              <w:rPr>
                <w:lang w:val="es-419"/>
              </w:rPr>
              <w:t>n diciembre de 2021, la MyIPO organizó una mesa redonda con las partes interesadas para debatir el estudio exploratorio</w:t>
            </w:r>
            <w:r w:rsidR="00887ED7">
              <w:rPr>
                <w:lang w:val="es-419"/>
              </w:rPr>
              <w:t xml:space="preserve">. </w:t>
            </w:r>
            <w:r w:rsidRPr="00887ED7">
              <w:rPr>
                <w:lang w:val="es-419"/>
              </w:rPr>
              <w:t>Para el análisis del período de investigación se seleccionaron siete especialidades.</w:t>
            </w:r>
          </w:p>
          <w:p w14:paraId="249BD721" w14:textId="5BA49C06" w:rsidR="009F31D9" w:rsidRPr="00887ED7" w:rsidRDefault="009F31D9" w:rsidP="00066986">
            <w:pPr>
              <w:numPr>
                <w:ilvl w:val="0"/>
                <w:numId w:val="8"/>
              </w:numPr>
              <w:spacing w:before="74"/>
              <w:ind w:right="86"/>
              <w:rPr>
                <w:iCs/>
                <w:lang w:val="es-419"/>
              </w:rPr>
            </w:pPr>
            <w:r w:rsidRPr="00887ED7">
              <w:rPr>
                <w:u w:val="single"/>
                <w:lang w:val="es-419"/>
              </w:rPr>
              <w:t>Análisis de PI</w:t>
            </w:r>
            <w:r w:rsidR="00887ED7">
              <w:rPr>
                <w:u w:val="single"/>
                <w:lang w:val="es-419"/>
              </w:rPr>
              <w:t>:</w:t>
            </w:r>
            <w:r w:rsidR="00436B1E">
              <w:rPr>
                <w:lang w:val="es-419"/>
              </w:rPr>
              <w:t xml:space="preserve"> E</w:t>
            </w:r>
            <w:r w:rsidRPr="00887ED7">
              <w:rPr>
                <w:lang w:val="es-419"/>
              </w:rPr>
              <w:t>n febrero de 2022, se designó un consultor para la preparación del análisis de PI</w:t>
            </w:r>
            <w:r w:rsidR="00887ED7">
              <w:rPr>
                <w:lang w:val="es-419"/>
              </w:rPr>
              <w:t xml:space="preserve">. </w:t>
            </w:r>
            <w:r w:rsidRPr="00887ED7">
              <w:rPr>
                <w:lang w:val="es-419"/>
              </w:rPr>
              <w:t xml:space="preserve">El análisis de PI fue finalizado en junio de 2022 y está disponible en: </w:t>
            </w:r>
            <w:hyperlink r:id="rId22" w:history="1">
              <w:r w:rsidRPr="00887ED7">
                <w:rPr>
                  <w:rStyle w:val="Hyperlink"/>
                  <w:lang w:val="es-419"/>
                </w:rPr>
                <w:t>https://www.wipo.int/export/sites/www/ip-development/en/docs/ip-analysis.pdf</w:t>
              </w:r>
            </w:hyperlink>
          </w:p>
          <w:p w14:paraId="0998E51C" w14:textId="29285609" w:rsidR="009F31D9" w:rsidRPr="00887ED7" w:rsidRDefault="009F31D9" w:rsidP="00066986">
            <w:pPr>
              <w:numPr>
                <w:ilvl w:val="0"/>
                <w:numId w:val="8"/>
              </w:numPr>
              <w:spacing w:before="74"/>
              <w:ind w:right="86"/>
              <w:rPr>
                <w:iCs/>
                <w:lang w:val="es-419"/>
              </w:rPr>
            </w:pPr>
            <w:r w:rsidRPr="00887ED7">
              <w:rPr>
                <w:u w:val="single"/>
                <w:lang w:val="es-419"/>
              </w:rPr>
              <w:t>Seminario nacional</w:t>
            </w:r>
            <w:r w:rsidR="00887ED7">
              <w:rPr>
                <w:u w:val="single"/>
                <w:lang w:val="es-419"/>
              </w:rPr>
              <w:t>:</w:t>
            </w:r>
            <w:r w:rsidR="00436B1E">
              <w:rPr>
                <w:lang w:val="es-419"/>
              </w:rPr>
              <w:t xml:space="preserve"> L</w:t>
            </w:r>
            <w:r w:rsidRPr="00887ED7">
              <w:rPr>
                <w:lang w:val="es-419"/>
              </w:rPr>
              <w:t>a OMPI y la MyIPO organizaron conjuntamente un seminario nacional en junio de 2022</w:t>
            </w:r>
            <w:r w:rsidR="00887ED7">
              <w:rPr>
                <w:lang w:val="es-419"/>
              </w:rPr>
              <w:t xml:space="preserve">. </w:t>
            </w:r>
            <w:r w:rsidRPr="00887ED7">
              <w:rPr>
                <w:lang w:val="es-419"/>
              </w:rPr>
              <w:t>Más de 30 partes interesadas participaron en el seminario.</w:t>
            </w:r>
          </w:p>
          <w:p w14:paraId="499A1EAA" w14:textId="55027BE7" w:rsidR="009F31D9" w:rsidRPr="00887ED7" w:rsidRDefault="009F31D9" w:rsidP="00066986">
            <w:pPr>
              <w:numPr>
                <w:ilvl w:val="0"/>
                <w:numId w:val="8"/>
              </w:numPr>
              <w:spacing w:before="74" w:after="240"/>
              <w:ind w:right="86"/>
              <w:rPr>
                <w:iCs/>
                <w:lang w:val="es-419"/>
              </w:rPr>
            </w:pPr>
            <w:r w:rsidRPr="00887ED7">
              <w:rPr>
                <w:u w:val="single"/>
                <w:lang w:val="es-419"/>
              </w:rPr>
              <w:t>Toda la información pertinente sobre los resultados del proyecto en Malasia está disponible en</w:t>
            </w:r>
            <w:r w:rsidR="00887ED7">
              <w:rPr>
                <w:lang w:val="es-419"/>
              </w:rPr>
              <w:t xml:space="preserve">: </w:t>
            </w:r>
            <w:hyperlink r:id="rId23" w:history="1">
              <w:r w:rsidRPr="00887ED7">
                <w:rPr>
                  <w:rStyle w:val="Hyperlink"/>
                  <w:lang w:val="es-419"/>
                </w:rPr>
                <w:t>https://www.wipo.int/ip-development/en/agenda/projects/malaysia.html</w:t>
              </w:r>
            </w:hyperlink>
            <w:r w:rsidRPr="00887ED7">
              <w:rPr>
                <w:lang w:val="es-419"/>
              </w:rPr>
              <w:t xml:space="preserve"> </w:t>
            </w:r>
          </w:p>
          <w:p w14:paraId="38974224" w14:textId="77777777" w:rsidR="009F31D9" w:rsidRPr="00887ED7" w:rsidRDefault="009F31D9" w:rsidP="00066986">
            <w:pPr>
              <w:ind w:left="115" w:right="86"/>
              <w:rPr>
                <w:bCs/>
                <w:iCs/>
                <w:u w:val="single"/>
                <w:lang w:val="es-419"/>
              </w:rPr>
            </w:pPr>
            <w:r w:rsidRPr="00887ED7">
              <w:rPr>
                <w:u w:val="single"/>
                <w:lang w:val="es-419"/>
              </w:rPr>
              <w:t>Marruecos</w:t>
            </w:r>
          </w:p>
          <w:p w14:paraId="1DD12583" w14:textId="3A74D9D6" w:rsidR="009F31D9" w:rsidRPr="00887ED7" w:rsidRDefault="009F31D9" w:rsidP="00066986">
            <w:pPr>
              <w:numPr>
                <w:ilvl w:val="0"/>
                <w:numId w:val="8"/>
              </w:numPr>
              <w:spacing w:before="74"/>
              <w:ind w:right="86"/>
              <w:rPr>
                <w:iCs/>
                <w:u w:val="single"/>
                <w:lang w:val="es-419"/>
              </w:rPr>
            </w:pPr>
            <w:r w:rsidRPr="00887ED7">
              <w:rPr>
                <w:u w:val="single"/>
                <w:lang w:val="es-419"/>
              </w:rPr>
              <w:t>Integrantes del equipo y plan de proyecto a nivel nacional</w:t>
            </w:r>
            <w:r w:rsidR="00887ED7">
              <w:rPr>
                <w:u w:val="single"/>
                <w:lang w:val="es-419"/>
              </w:rPr>
              <w:t>:</w:t>
            </w:r>
            <w:r w:rsidR="00436B1E">
              <w:rPr>
                <w:lang w:val="es-419"/>
              </w:rPr>
              <w:t xml:space="preserve"> E</w:t>
            </w:r>
            <w:r w:rsidRPr="00887ED7">
              <w:rPr>
                <w:lang w:val="es-419"/>
              </w:rPr>
              <w:t>n junio tuvo lugar en la sede de la OMPI en Ginebra un primer debate con la Oficina Marroquí de la Propiedad Industrial y Comercial (OMPIC)</w:t>
            </w:r>
            <w:r w:rsidR="00887ED7">
              <w:rPr>
                <w:lang w:val="es-419"/>
              </w:rPr>
              <w:t xml:space="preserve">. </w:t>
            </w:r>
            <w:r w:rsidRPr="00887ED7">
              <w:rPr>
                <w:lang w:val="es-419"/>
              </w:rPr>
              <w:t>En julio de 2019, Marruecos designó al coordinador local del proyecto en la OMPIC</w:t>
            </w:r>
            <w:r w:rsidR="00887ED7">
              <w:rPr>
                <w:lang w:val="es-419"/>
              </w:rPr>
              <w:t xml:space="preserve">. </w:t>
            </w:r>
            <w:r w:rsidRPr="00887ED7">
              <w:rPr>
                <w:lang w:val="es-419"/>
              </w:rPr>
              <w:t>El plan de proyecto a nivel nacional para Marruecos fue preparado, en coordinación con la OMPIC, de agosto a septiembre de 2019</w:t>
            </w:r>
            <w:r w:rsidR="00887ED7">
              <w:rPr>
                <w:lang w:val="es-419"/>
              </w:rPr>
              <w:t xml:space="preserve">. </w:t>
            </w:r>
            <w:r w:rsidRPr="00887ED7">
              <w:rPr>
                <w:lang w:val="es-419"/>
              </w:rPr>
              <w:t>El plan de proyecto a nivel nacional fue aprobado por la OMPIC en octubre de 2019.</w:t>
            </w:r>
          </w:p>
          <w:p w14:paraId="7B98E289" w14:textId="2A3DB09A" w:rsidR="009F31D9" w:rsidRPr="00887ED7" w:rsidRDefault="009F31D9" w:rsidP="00066986">
            <w:pPr>
              <w:numPr>
                <w:ilvl w:val="0"/>
                <w:numId w:val="8"/>
              </w:numPr>
              <w:autoSpaceDN w:val="0"/>
              <w:spacing w:before="74"/>
              <w:ind w:right="86"/>
              <w:rPr>
                <w:rFonts w:ascii="Calibri" w:eastAsia="Times New Roman" w:hAnsi="Calibri" w:cs="Calibri"/>
                <w:lang w:val="es-419"/>
              </w:rPr>
            </w:pPr>
            <w:r w:rsidRPr="00887ED7">
              <w:rPr>
                <w:u w:val="single"/>
                <w:lang w:val="es-419"/>
              </w:rPr>
              <w:t>Identificación de las partes interesadas</w:t>
            </w:r>
            <w:r w:rsidR="00887ED7">
              <w:rPr>
                <w:u w:val="single"/>
                <w:lang w:val="es-419"/>
              </w:rPr>
              <w:t>:</w:t>
            </w:r>
            <w:r w:rsidR="00887ED7" w:rsidRPr="002028FE">
              <w:rPr>
                <w:lang w:val="es-419"/>
              </w:rPr>
              <w:t xml:space="preserve"> </w:t>
            </w:r>
            <w:r w:rsidRPr="00887ED7">
              <w:rPr>
                <w:lang w:val="es-419"/>
              </w:rPr>
              <w:t>La OMPIC llevó a cabo el proceso de identificación de las partes interesadas pertinentes del sector del turismo gastronómico durante el primer trimestre de 2020, incluida la distribución de un folleto explicativo del proyecto (véanse las herramientas de difusión)</w:t>
            </w:r>
            <w:r w:rsidR="00887ED7">
              <w:rPr>
                <w:lang w:val="es-419"/>
              </w:rPr>
              <w:t xml:space="preserve">. </w:t>
            </w:r>
            <w:r w:rsidRPr="00887ED7">
              <w:rPr>
                <w:lang w:val="es-419"/>
              </w:rPr>
              <w:t>Debido a las restricciones relacionadas con la COVID-19, se canceló una reunión de las partes interesadas, prevista para marzo de 2020, y se sustituyó por consultas virtuales</w:t>
            </w:r>
            <w:r w:rsidR="00887ED7">
              <w:rPr>
                <w:lang w:val="es-419"/>
              </w:rPr>
              <w:t xml:space="preserve">. </w:t>
            </w:r>
            <w:r w:rsidRPr="00887ED7">
              <w:rPr>
                <w:lang w:val="es-419"/>
              </w:rPr>
              <w:t>Además, el consultor para el análisis de PI proporcionó una lista exhaustiva de las partes interesadas que debían participar en la preparación de dicho documento.</w:t>
            </w:r>
          </w:p>
          <w:p w14:paraId="33379AB4" w14:textId="5B583212" w:rsidR="009F31D9" w:rsidRPr="00887ED7" w:rsidRDefault="009F31D9" w:rsidP="00066986">
            <w:pPr>
              <w:numPr>
                <w:ilvl w:val="0"/>
                <w:numId w:val="8"/>
              </w:numPr>
              <w:spacing w:before="74" w:after="74"/>
              <w:ind w:right="86"/>
              <w:rPr>
                <w:iCs/>
                <w:lang w:val="es-419"/>
              </w:rPr>
            </w:pPr>
            <w:r w:rsidRPr="00887ED7">
              <w:rPr>
                <w:u w:val="single"/>
                <w:lang w:val="es-419"/>
              </w:rPr>
              <w:t>Estudio exploratorio</w:t>
            </w:r>
            <w:r w:rsidR="00887ED7">
              <w:rPr>
                <w:u w:val="single"/>
                <w:lang w:val="es-419"/>
              </w:rPr>
              <w:t>:</w:t>
            </w:r>
            <w:r w:rsidR="00887ED7" w:rsidRPr="002028FE">
              <w:rPr>
                <w:lang w:val="es-419"/>
              </w:rPr>
              <w:t xml:space="preserve"> </w:t>
            </w:r>
            <w:r w:rsidRPr="00887ED7">
              <w:rPr>
                <w:lang w:val="es-419"/>
              </w:rPr>
              <w:t>En julio de 2020, se designó un consultor para la preparación del estudio exploratorio (nueve meses después de que la OMPIC aprobara el plan de proyecto a nivel nacional)</w:t>
            </w:r>
            <w:r w:rsidR="00887ED7">
              <w:rPr>
                <w:lang w:val="es-419"/>
              </w:rPr>
              <w:t xml:space="preserve">. </w:t>
            </w:r>
            <w:r w:rsidRPr="00887ED7">
              <w:rPr>
                <w:lang w:val="es-419"/>
              </w:rPr>
              <w:t>El retraso en esta designación obedeció a dos factores</w:t>
            </w:r>
            <w:r w:rsidR="00887ED7">
              <w:rPr>
                <w:lang w:val="es-419"/>
              </w:rPr>
              <w:t xml:space="preserve">: </w:t>
            </w:r>
            <w:r w:rsidRPr="00887ED7">
              <w:rPr>
                <w:lang w:val="es-419"/>
              </w:rPr>
              <w:t>a) la dificultad para encontrar un consultor con los conocimientos necesarios; y b) el brote de la pandemia de COVID-19</w:t>
            </w:r>
            <w:r w:rsidR="00887ED7">
              <w:rPr>
                <w:lang w:val="es-419"/>
              </w:rPr>
              <w:t xml:space="preserve">. </w:t>
            </w:r>
            <w:r w:rsidRPr="00887ED7">
              <w:rPr>
                <w:lang w:val="es-419"/>
              </w:rPr>
              <w:t>En noviembre de 2021, se finalizó el estudio exploratorio</w:t>
            </w:r>
            <w:r w:rsidR="00887ED7">
              <w:rPr>
                <w:lang w:val="es-419"/>
              </w:rPr>
              <w:t xml:space="preserve">. </w:t>
            </w:r>
            <w:r w:rsidRPr="00887ED7">
              <w:rPr>
                <w:lang w:val="es-419"/>
              </w:rPr>
              <w:t>Se centró en 13 especialidades culinarias</w:t>
            </w:r>
            <w:r w:rsidR="00887ED7">
              <w:rPr>
                <w:lang w:val="es-419"/>
              </w:rPr>
              <w:t xml:space="preserve">. </w:t>
            </w:r>
            <w:r w:rsidRPr="00887ED7">
              <w:rPr>
                <w:lang w:val="es-419"/>
              </w:rPr>
              <w:t>El estudio exploratorio está disponible en</w:t>
            </w:r>
            <w:r w:rsidR="00887ED7">
              <w:rPr>
                <w:lang w:val="es-419"/>
              </w:rPr>
              <w:t xml:space="preserve">: </w:t>
            </w:r>
            <w:hyperlink r:id="rId24" w:history="1">
              <w:r w:rsidRPr="00887ED7">
                <w:rPr>
                  <w:rStyle w:val="Hyperlink"/>
                  <w:lang w:val="es-419"/>
                </w:rPr>
                <w:t>https://www.wipo.int/export/sites/www/ip-development/en/docs/Scoping_Study_en_Morocco.pdf</w:t>
              </w:r>
            </w:hyperlink>
          </w:p>
          <w:p w14:paraId="7736CBD2" w14:textId="7511BA60" w:rsidR="009F31D9" w:rsidRPr="00887ED7" w:rsidRDefault="009F31D9" w:rsidP="00066986">
            <w:pPr>
              <w:numPr>
                <w:ilvl w:val="0"/>
                <w:numId w:val="8"/>
              </w:numPr>
              <w:ind w:right="84"/>
              <w:rPr>
                <w:iCs/>
                <w:lang w:val="es-419"/>
              </w:rPr>
            </w:pPr>
            <w:r w:rsidRPr="00887ED7">
              <w:rPr>
                <w:u w:val="single"/>
                <w:lang w:val="es-419"/>
              </w:rPr>
              <w:t>Mesa redonda</w:t>
            </w:r>
            <w:r w:rsidR="002028FE">
              <w:rPr>
                <w:u w:val="single"/>
                <w:lang w:val="es-419"/>
              </w:rPr>
              <w:t>:</w:t>
            </w:r>
            <w:r w:rsidR="002028FE">
              <w:rPr>
                <w:lang w:val="es-419"/>
              </w:rPr>
              <w:t xml:space="preserve"> L</w:t>
            </w:r>
            <w:r w:rsidRPr="00887ED7">
              <w:rPr>
                <w:lang w:val="es-419"/>
              </w:rPr>
              <w:t>a OMPIC organizó una mesa redonda con las partes interesadas para debatir el estudio exploratorio</w:t>
            </w:r>
            <w:r w:rsidR="00887ED7">
              <w:rPr>
                <w:lang w:val="es-419"/>
              </w:rPr>
              <w:t xml:space="preserve">. </w:t>
            </w:r>
            <w:r w:rsidRPr="00887ED7">
              <w:rPr>
                <w:lang w:val="es-419"/>
              </w:rPr>
              <w:t>Para el análisis de PI se seleccionaron seis especialidades.</w:t>
            </w:r>
          </w:p>
          <w:p w14:paraId="0C362EBA" w14:textId="6185BE9E" w:rsidR="009F31D9" w:rsidRPr="00887ED7" w:rsidRDefault="009F31D9" w:rsidP="00066986">
            <w:pPr>
              <w:numPr>
                <w:ilvl w:val="0"/>
                <w:numId w:val="8"/>
              </w:numPr>
              <w:spacing w:before="74"/>
              <w:ind w:right="86"/>
              <w:rPr>
                <w:iCs/>
                <w:lang w:val="es-419"/>
              </w:rPr>
            </w:pPr>
            <w:r w:rsidRPr="00887ED7">
              <w:rPr>
                <w:u w:val="single"/>
                <w:lang w:val="es-419"/>
              </w:rPr>
              <w:t>Análisis de PI</w:t>
            </w:r>
            <w:r w:rsidR="00887ED7">
              <w:rPr>
                <w:u w:val="single"/>
                <w:lang w:val="es-419"/>
              </w:rPr>
              <w:t>:</w:t>
            </w:r>
            <w:r w:rsidR="002028FE">
              <w:rPr>
                <w:lang w:val="es-419"/>
              </w:rPr>
              <w:t xml:space="preserve"> E</w:t>
            </w:r>
            <w:r w:rsidRPr="00887ED7">
              <w:rPr>
                <w:lang w:val="es-419"/>
              </w:rPr>
              <w:t>n diciembre de 2021, se designó un consultor para el análisis de PI</w:t>
            </w:r>
            <w:r w:rsidR="00887ED7">
              <w:rPr>
                <w:lang w:val="es-419"/>
              </w:rPr>
              <w:t xml:space="preserve">. </w:t>
            </w:r>
            <w:r w:rsidRPr="00887ED7">
              <w:rPr>
                <w:lang w:val="es-419"/>
              </w:rPr>
              <w:t>El análisis de PI fue finalizado en junio de 2022 y está disponible en</w:t>
            </w:r>
            <w:r w:rsidR="00887ED7">
              <w:rPr>
                <w:lang w:val="es-419"/>
              </w:rPr>
              <w:t xml:space="preserve">: </w:t>
            </w:r>
            <w:hyperlink r:id="rId25" w:history="1">
              <w:r w:rsidRPr="00887ED7">
                <w:rPr>
                  <w:rStyle w:val="Hyperlink"/>
                  <w:lang w:val="es-419"/>
                </w:rPr>
                <w:t>www.wipo.int/export/sites/www/ip-development/fr/agenda/docs/rapport_maroc_octobre2022_fr.pdf</w:t>
              </w:r>
            </w:hyperlink>
            <w:r w:rsidRPr="00887ED7">
              <w:rPr>
                <w:lang w:val="es-419"/>
              </w:rPr>
              <w:t xml:space="preserve"> </w:t>
            </w:r>
          </w:p>
          <w:p w14:paraId="15AB5DBB" w14:textId="01053FF7" w:rsidR="009F31D9" w:rsidRPr="00887ED7" w:rsidRDefault="009F31D9" w:rsidP="00066986">
            <w:pPr>
              <w:numPr>
                <w:ilvl w:val="0"/>
                <w:numId w:val="8"/>
              </w:numPr>
              <w:spacing w:before="74"/>
              <w:ind w:right="86"/>
              <w:rPr>
                <w:iCs/>
                <w:lang w:val="es-419"/>
              </w:rPr>
            </w:pPr>
            <w:r w:rsidRPr="00887ED7">
              <w:rPr>
                <w:u w:val="single"/>
                <w:lang w:val="es-419"/>
              </w:rPr>
              <w:t>Seminario nacional</w:t>
            </w:r>
            <w:r w:rsidR="00887ED7">
              <w:rPr>
                <w:u w:val="single"/>
                <w:lang w:val="es-419"/>
              </w:rPr>
              <w:t>:</w:t>
            </w:r>
            <w:r w:rsidR="002028FE">
              <w:rPr>
                <w:lang w:val="es-419"/>
              </w:rPr>
              <w:t xml:space="preserve"> E</w:t>
            </w:r>
            <w:r w:rsidRPr="00887ED7">
              <w:rPr>
                <w:lang w:val="es-419"/>
              </w:rPr>
              <w:t>n septiembre de 2022, se celebró un seminario nacional en Casablanca.</w:t>
            </w:r>
          </w:p>
          <w:p w14:paraId="6A377F56" w14:textId="62EEAAAF" w:rsidR="009F31D9" w:rsidRPr="00887ED7" w:rsidRDefault="009F31D9" w:rsidP="00066986">
            <w:pPr>
              <w:numPr>
                <w:ilvl w:val="0"/>
                <w:numId w:val="8"/>
              </w:numPr>
              <w:spacing w:before="74" w:after="240"/>
              <w:ind w:right="86"/>
              <w:rPr>
                <w:iCs/>
                <w:lang w:val="es-419"/>
              </w:rPr>
            </w:pPr>
            <w:r w:rsidRPr="00887ED7">
              <w:rPr>
                <w:u w:val="single"/>
                <w:lang w:val="es-419"/>
              </w:rPr>
              <w:t>Toda la información pertinente sobre los resultados del proyecto en Marruecos está disponible en</w:t>
            </w:r>
            <w:r w:rsidR="00887ED7">
              <w:rPr>
                <w:lang w:val="es-419"/>
              </w:rPr>
              <w:t xml:space="preserve">: </w:t>
            </w:r>
            <w:hyperlink r:id="rId26" w:history="1">
              <w:r w:rsidRPr="00887ED7">
                <w:rPr>
                  <w:rStyle w:val="Hyperlink"/>
                  <w:lang w:val="es-419"/>
                </w:rPr>
                <w:t>https://www.wipo.int/ip-development/en/agenda/projects/morocco.html</w:t>
              </w:r>
            </w:hyperlink>
            <w:r w:rsidRPr="00887ED7">
              <w:rPr>
                <w:lang w:val="es-419"/>
              </w:rPr>
              <w:t xml:space="preserve"> </w:t>
            </w:r>
          </w:p>
          <w:p w14:paraId="6E1CED1E" w14:textId="77777777" w:rsidR="009F31D9" w:rsidRPr="00887ED7" w:rsidRDefault="009F31D9" w:rsidP="00066986">
            <w:pPr>
              <w:pStyle w:val="TableParagraph"/>
              <w:ind w:right="109"/>
              <w:rPr>
                <w:lang w:val="es-419"/>
              </w:rPr>
            </w:pPr>
            <w:r w:rsidRPr="00887ED7">
              <w:rPr>
                <w:lang w:val="es-419"/>
              </w:rPr>
              <w:t>Actividades horizontales:</w:t>
            </w:r>
          </w:p>
          <w:p w14:paraId="66C180CC" w14:textId="30C346D0" w:rsidR="009F31D9" w:rsidRPr="00887ED7" w:rsidRDefault="009F31D9" w:rsidP="00066986">
            <w:pPr>
              <w:pStyle w:val="TableParagraph"/>
              <w:numPr>
                <w:ilvl w:val="0"/>
                <w:numId w:val="8"/>
              </w:numPr>
              <w:spacing w:before="240"/>
              <w:ind w:right="115"/>
              <w:rPr>
                <w:lang w:val="es-419"/>
              </w:rPr>
            </w:pPr>
            <w:r w:rsidRPr="00887ED7">
              <w:rPr>
                <w:lang w:val="es-419"/>
              </w:rPr>
              <w:lastRenderedPageBreak/>
              <w:t xml:space="preserve">El equipo de coordinación de la OMPI organizó un </w:t>
            </w:r>
            <w:r w:rsidRPr="00887ED7">
              <w:rPr>
                <w:u w:val="single"/>
                <w:lang w:val="es-419"/>
              </w:rPr>
              <w:t>taller internacional</w:t>
            </w:r>
            <w:r w:rsidRPr="00887ED7">
              <w:rPr>
                <w:lang w:val="es-419"/>
              </w:rPr>
              <w:t xml:space="preserve"> el 18 de octubre de 2022 en la sede de la OMPI</w:t>
            </w:r>
            <w:r w:rsidR="00887ED7">
              <w:rPr>
                <w:lang w:val="es-419"/>
              </w:rPr>
              <w:t xml:space="preserve">. </w:t>
            </w:r>
            <w:r w:rsidRPr="00887ED7">
              <w:rPr>
                <w:lang w:val="es-419"/>
              </w:rPr>
              <w:t>Reunió a los cuatro países participantes (el Perú, el Camerún, Malasia y Marruecos) y a expertos, que compartieron sus experiencias en la ejecución del proyecto y debatieron sobre conclusiones e ideas en relación con acciones futuras</w:t>
            </w:r>
            <w:r w:rsidR="00887ED7">
              <w:rPr>
                <w:lang w:val="es-419"/>
              </w:rPr>
              <w:t xml:space="preserve">. </w:t>
            </w:r>
            <w:r w:rsidRPr="00887ED7">
              <w:rPr>
                <w:lang w:val="es-419"/>
              </w:rPr>
              <w:t>La Organización Mundial del Turismo (OMT) también asistió al taller con el fin de estudiar con los países las maneras de difundir y llevar adelante el apartado del proyecto que se refiere al turismo.</w:t>
            </w:r>
          </w:p>
          <w:p w14:paraId="2876F757" w14:textId="77777777" w:rsidR="009F31D9" w:rsidRPr="00887ED7" w:rsidRDefault="009F31D9" w:rsidP="00066986">
            <w:pPr>
              <w:pStyle w:val="TableParagraph"/>
              <w:numPr>
                <w:ilvl w:val="0"/>
                <w:numId w:val="8"/>
              </w:numPr>
              <w:spacing w:before="74"/>
              <w:ind w:right="115"/>
              <w:rPr>
                <w:lang w:val="es-419"/>
              </w:rPr>
            </w:pPr>
            <w:r w:rsidRPr="00887ED7">
              <w:rPr>
                <w:lang w:val="es-419"/>
              </w:rPr>
              <w:t xml:space="preserve">Se celebró un </w:t>
            </w:r>
            <w:r w:rsidRPr="00887ED7">
              <w:rPr>
                <w:u w:val="single"/>
                <w:lang w:val="es-419"/>
              </w:rPr>
              <w:t>acto paralelo</w:t>
            </w:r>
            <w:r w:rsidRPr="00887ED7">
              <w:rPr>
                <w:lang w:val="es-419"/>
              </w:rPr>
              <w:t xml:space="preserve"> a la 29.</w:t>
            </w:r>
            <w:r w:rsidRPr="00887ED7">
              <w:rPr>
                <w:vertAlign w:val="superscript"/>
                <w:lang w:val="es-419"/>
              </w:rPr>
              <w:t>a</w:t>
            </w:r>
            <w:r w:rsidRPr="00887ED7">
              <w:rPr>
                <w:lang w:val="es-419"/>
              </w:rPr>
              <w:t xml:space="preserve"> sesión del CDIP en el que los países participantes presentaron las conclusiones del proyecto a los Estados miembros. </w:t>
            </w:r>
          </w:p>
          <w:p w14:paraId="76FB874A" w14:textId="77777777" w:rsidR="009F31D9" w:rsidRPr="00887ED7" w:rsidRDefault="009F31D9" w:rsidP="00066986">
            <w:pPr>
              <w:ind w:right="84"/>
              <w:rPr>
                <w:iCs/>
                <w:lang w:val="es-419"/>
              </w:rPr>
            </w:pPr>
          </w:p>
        </w:tc>
      </w:tr>
      <w:tr w:rsidR="009F31D9" w:rsidRPr="00887ED7" w14:paraId="1BA78E3C" w14:textId="77777777" w:rsidTr="00066986">
        <w:trPr>
          <w:trHeight w:val="801"/>
        </w:trPr>
        <w:tc>
          <w:tcPr>
            <w:tcW w:w="2377" w:type="dxa"/>
            <w:shd w:val="clear" w:color="auto" w:fill="8DB3E1"/>
            <w:vAlign w:val="center"/>
          </w:tcPr>
          <w:p w14:paraId="5B6E4E3E" w14:textId="77777777" w:rsidR="009F31D9" w:rsidRPr="00887ED7" w:rsidRDefault="009F31D9" w:rsidP="00066986">
            <w:pPr>
              <w:pStyle w:val="TableParagraph"/>
              <w:spacing w:line="242" w:lineRule="auto"/>
              <w:ind w:left="110" w:right="235"/>
              <w:rPr>
                <w:lang w:val="es-419"/>
              </w:rPr>
            </w:pPr>
            <w:r w:rsidRPr="00887ED7">
              <w:rPr>
                <w:u w:val="single"/>
                <w:lang w:val="es-419"/>
              </w:rPr>
              <w:lastRenderedPageBreak/>
              <w:t>Principales resultados y efectos del proyecto</w:t>
            </w:r>
          </w:p>
        </w:tc>
        <w:tc>
          <w:tcPr>
            <w:tcW w:w="6913" w:type="dxa"/>
            <w:vAlign w:val="center"/>
          </w:tcPr>
          <w:p w14:paraId="31BC750B" w14:textId="302B9B5A" w:rsidR="009F31D9" w:rsidRPr="00887ED7" w:rsidRDefault="009F31D9" w:rsidP="00066986">
            <w:pPr>
              <w:spacing w:before="240" w:after="240"/>
              <w:ind w:left="115" w:right="86"/>
              <w:rPr>
                <w:lang w:val="es-419"/>
              </w:rPr>
            </w:pPr>
            <w:r w:rsidRPr="00887ED7">
              <w:rPr>
                <w:b/>
                <w:lang w:val="es-419"/>
              </w:rPr>
              <w:t>1)</w:t>
            </w:r>
            <w:r w:rsidRPr="00887ED7">
              <w:rPr>
                <w:b/>
                <w:lang w:val="es-419"/>
              </w:rPr>
              <w:tab/>
              <w:t>Inventario de las tradiciones culinarias en los cuatro países participantes: los estudios exploratorios fueron finalizados en el plazo previsto y se centraron en la cadena de valor de un número importante de tradiciones culinarias (12 en el Perú, 20 en el Camerún, 15 en Malasia y 13 en Marruecos)</w:t>
            </w:r>
            <w:r w:rsidR="00887ED7">
              <w:rPr>
                <w:b/>
                <w:lang w:val="es-419"/>
              </w:rPr>
              <w:t xml:space="preserve">. </w:t>
            </w:r>
            <w:r w:rsidRPr="00887ED7">
              <w:rPr>
                <w:b/>
                <w:lang w:val="es-419"/>
              </w:rPr>
              <w:t>Los estudios reflejaron la diversidad geográfica, étnica y cultural de los países</w:t>
            </w:r>
            <w:r w:rsidRPr="00887ED7">
              <w:rPr>
                <w:lang w:val="es-419"/>
              </w:rPr>
              <w:t>.</w:t>
            </w:r>
          </w:p>
          <w:p w14:paraId="25E2FCA4" w14:textId="77777777" w:rsidR="009F31D9" w:rsidRPr="00887ED7" w:rsidRDefault="009F31D9" w:rsidP="00066986">
            <w:pPr>
              <w:spacing w:after="240"/>
              <w:ind w:left="115" w:right="86"/>
              <w:rPr>
                <w:lang w:val="es-419"/>
              </w:rPr>
            </w:pPr>
            <w:r w:rsidRPr="00887ED7">
              <w:rPr>
                <w:lang w:val="es-419"/>
              </w:rPr>
              <w:t>2)</w:t>
            </w:r>
            <w:r w:rsidRPr="00887ED7">
              <w:rPr>
                <w:lang w:val="es-419"/>
              </w:rPr>
              <w:tab/>
            </w:r>
            <w:r w:rsidRPr="00887ED7">
              <w:rPr>
                <w:b/>
                <w:lang w:val="es-419"/>
              </w:rPr>
              <w:t>Mejora de la capacidad de los operadores económicos vinculados al sector del turismo gastronómico y de las autoridades nacionales, incluidas las Oficinas de PI, para utilizar y aprovechar las herramientas y las estrategias de PI:</w:t>
            </w:r>
            <w:r w:rsidRPr="00887ED7">
              <w:rPr>
                <w:lang w:val="es-419"/>
              </w:rPr>
              <w:t xml:space="preserve"> </w:t>
            </w:r>
          </w:p>
          <w:p w14:paraId="1002EAA9" w14:textId="3C5D97A6" w:rsidR="009F31D9" w:rsidRPr="00887ED7" w:rsidRDefault="009F31D9" w:rsidP="00066986">
            <w:pPr>
              <w:pStyle w:val="TableParagraph"/>
              <w:spacing w:after="240"/>
              <w:ind w:left="302" w:right="806"/>
              <w:rPr>
                <w:lang w:val="es-419"/>
              </w:rPr>
            </w:pPr>
            <w:r w:rsidRPr="00887ED7">
              <w:rPr>
                <w:b/>
                <w:lang w:val="es-419"/>
              </w:rPr>
              <w:t>Indicador 1</w:t>
            </w:r>
            <w:r w:rsidR="00887ED7">
              <w:rPr>
                <w:b/>
                <w:lang w:val="es-419"/>
              </w:rPr>
              <w:t xml:space="preserve">: </w:t>
            </w:r>
            <w:r w:rsidRPr="00887ED7">
              <w:rPr>
                <w:lang w:val="es-419"/>
              </w:rPr>
              <w:t>Cantidad de operadores económicos del sector del turismo gastronómico que, después del proyecto, han puesto en marcha planes para utilizar y aprovechar las herramientas de PI a fin de agregar valor a sus productos o servicios.</w:t>
            </w:r>
          </w:p>
          <w:p w14:paraId="5AF10905" w14:textId="77777777" w:rsidR="009F31D9" w:rsidRPr="00887ED7" w:rsidRDefault="009F31D9" w:rsidP="00066986">
            <w:pPr>
              <w:pStyle w:val="TableParagraph"/>
              <w:numPr>
                <w:ilvl w:val="0"/>
                <w:numId w:val="13"/>
              </w:numPr>
              <w:ind w:right="806"/>
              <w:rPr>
                <w:lang w:val="es-419"/>
              </w:rPr>
            </w:pPr>
            <w:r w:rsidRPr="00887ED7">
              <w:rPr>
                <w:lang w:val="es-419"/>
              </w:rPr>
              <w:t>Se realizó una encuesta en línea dirigida a las partes interesadas, a la que podía responderse entre el 6 de septiembre y el 13 de octubre de 2022 y que tuvo los siguientes resultados:</w:t>
            </w:r>
          </w:p>
          <w:p w14:paraId="6BF3E46C" w14:textId="77777777" w:rsidR="009F31D9" w:rsidRPr="00887ED7" w:rsidRDefault="009F31D9" w:rsidP="00066986">
            <w:pPr>
              <w:pStyle w:val="TableParagraph"/>
              <w:numPr>
                <w:ilvl w:val="0"/>
                <w:numId w:val="11"/>
              </w:numPr>
              <w:spacing w:before="74"/>
              <w:ind w:right="805"/>
              <w:rPr>
                <w:lang w:val="es-419"/>
              </w:rPr>
            </w:pPr>
            <w:r w:rsidRPr="00887ED7">
              <w:rPr>
                <w:lang w:val="es-419"/>
              </w:rPr>
              <w:t>48 participantes respondieron a la encuesta en línea;</w:t>
            </w:r>
          </w:p>
          <w:p w14:paraId="068EFAC0" w14:textId="77777777" w:rsidR="009F31D9" w:rsidRPr="00887ED7" w:rsidRDefault="009F31D9" w:rsidP="00066986">
            <w:pPr>
              <w:pStyle w:val="TableParagraph"/>
              <w:numPr>
                <w:ilvl w:val="0"/>
                <w:numId w:val="11"/>
              </w:numPr>
              <w:spacing w:before="74"/>
              <w:ind w:right="805"/>
              <w:rPr>
                <w:lang w:val="es-419"/>
              </w:rPr>
            </w:pPr>
            <w:r w:rsidRPr="00887ED7">
              <w:rPr>
                <w:lang w:val="es-419"/>
              </w:rPr>
              <w:t xml:space="preserve">el 84% de los encuestados consideró que el proyecto era útil o muy útil (en particular, el 63% le atribuyó la puntuación más alta), ya que permitió, entre otras cosas: </w:t>
            </w:r>
          </w:p>
          <w:p w14:paraId="36364070" w14:textId="77777777" w:rsidR="009F31D9" w:rsidRPr="00887ED7" w:rsidRDefault="009F31D9" w:rsidP="00066986">
            <w:pPr>
              <w:pStyle w:val="TableParagraph"/>
              <w:numPr>
                <w:ilvl w:val="0"/>
                <w:numId w:val="12"/>
              </w:numPr>
              <w:spacing w:before="74"/>
              <w:ind w:right="805"/>
              <w:rPr>
                <w:lang w:val="es-419"/>
              </w:rPr>
            </w:pPr>
            <w:r w:rsidRPr="00887ED7">
              <w:rPr>
                <w:lang w:val="es-419"/>
              </w:rPr>
              <w:t>identificar las herramientas de PI e informar sobre la manera de utilizar las herramientas y estrategias de PI (mencionado 56 veces en las respuestas);</w:t>
            </w:r>
          </w:p>
          <w:p w14:paraId="5A52D45D" w14:textId="0831DFDF" w:rsidR="009F31D9" w:rsidRPr="00887ED7" w:rsidRDefault="00D33A35" w:rsidP="00066986">
            <w:pPr>
              <w:pStyle w:val="TableParagraph"/>
              <w:numPr>
                <w:ilvl w:val="0"/>
                <w:numId w:val="12"/>
              </w:numPr>
              <w:spacing w:before="74"/>
              <w:ind w:right="805"/>
              <w:rPr>
                <w:lang w:val="es-419"/>
              </w:rPr>
            </w:pPr>
            <w:r w:rsidRPr="00887ED7">
              <w:rPr>
                <w:lang w:val="es-419"/>
              </w:rPr>
              <w:t>mejorar la</w:t>
            </w:r>
            <w:r w:rsidR="009F31D9" w:rsidRPr="00887ED7">
              <w:rPr>
                <w:lang w:val="es-419"/>
              </w:rPr>
              <w:t xml:space="preserve"> comprensión general del potencial de las tradiciones culinarias o mejorar el conocimiento de las </w:t>
            </w:r>
            <w:r w:rsidR="009F31D9" w:rsidRPr="00887ED7">
              <w:rPr>
                <w:lang w:val="es-419"/>
              </w:rPr>
              <w:lastRenderedPageBreak/>
              <w:t>tradiciones culinarias del país mediante documentación y su inventario (mencionado 42 veces en las respuestas);</w:t>
            </w:r>
          </w:p>
          <w:p w14:paraId="36A9DF29" w14:textId="77777777" w:rsidR="009F31D9" w:rsidRPr="00887ED7" w:rsidRDefault="009F31D9" w:rsidP="00066986">
            <w:pPr>
              <w:pStyle w:val="TableParagraph"/>
              <w:numPr>
                <w:ilvl w:val="0"/>
                <w:numId w:val="11"/>
              </w:numPr>
              <w:spacing w:before="74" w:after="240"/>
              <w:ind w:left="1397" w:right="806"/>
              <w:rPr>
                <w:lang w:val="es-419"/>
              </w:rPr>
            </w:pPr>
            <w:r w:rsidRPr="00887ED7">
              <w:rPr>
                <w:lang w:val="es-419"/>
              </w:rPr>
              <w:t>el 59% de las partes interesadas que respondieron manifestaron que han empezado o tienen previsto empezar a utilizar las herramientas de PI para añadir valor a sus productos o servicios.</w:t>
            </w:r>
          </w:p>
          <w:p w14:paraId="2DE2E689" w14:textId="77777777" w:rsidR="009F31D9" w:rsidRPr="00887ED7" w:rsidRDefault="009F31D9" w:rsidP="00066986">
            <w:pPr>
              <w:pStyle w:val="TableParagraph"/>
              <w:numPr>
                <w:ilvl w:val="0"/>
                <w:numId w:val="13"/>
              </w:numPr>
              <w:spacing w:after="240"/>
              <w:ind w:right="806"/>
              <w:rPr>
                <w:lang w:val="es-419"/>
              </w:rPr>
            </w:pPr>
            <w:r w:rsidRPr="00887ED7">
              <w:rPr>
                <w:lang w:val="es-419"/>
              </w:rPr>
              <w:t>Los resultados de las encuestas de satisfacción realizadas tras las mesas redondas organizadas por cada uno de los países participantes indicaron lo siguiente:</w:t>
            </w:r>
          </w:p>
          <w:p w14:paraId="74B2E9E9" w14:textId="77777777" w:rsidR="009F31D9" w:rsidRPr="00887ED7" w:rsidRDefault="009F31D9" w:rsidP="00066986">
            <w:pPr>
              <w:pStyle w:val="TableParagraph"/>
              <w:ind w:left="734" w:right="806"/>
              <w:rPr>
                <w:u w:val="single"/>
                <w:lang w:val="es-419"/>
              </w:rPr>
            </w:pPr>
            <w:r w:rsidRPr="00887ED7">
              <w:rPr>
                <w:u w:val="single"/>
                <w:lang w:val="es-419"/>
              </w:rPr>
              <w:t>Perú:</w:t>
            </w:r>
          </w:p>
          <w:p w14:paraId="0EC48F2D" w14:textId="77777777" w:rsidR="009F31D9" w:rsidRPr="00887ED7" w:rsidRDefault="009F31D9" w:rsidP="00066986">
            <w:pPr>
              <w:pStyle w:val="TableParagraph"/>
              <w:numPr>
                <w:ilvl w:val="0"/>
                <w:numId w:val="10"/>
              </w:numPr>
              <w:spacing w:before="74"/>
              <w:ind w:left="734" w:right="806" w:firstLine="0"/>
              <w:rPr>
                <w:rFonts w:eastAsiaTheme="minorEastAsia"/>
                <w:lang w:val="es-419"/>
              </w:rPr>
            </w:pPr>
            <w:r w:rsidRPr="00887ED7">
              <w:rPr>
                <w:lang w:val="es-419"/>
              </w:rPr>
              <w:t xml:space="preserve">El 100% de los encuestados declaró que su nivel de conocimiento y comprensión de los objetivos del proyecto había aumentado después de la mesa redonda. </w:t>
            </w:r>
          </w:p>
          <w:p w14:paraId="25B56AD2" w14:textId="7C428DD8" w:rsidR="009F31D9" w:rsidRPr="00887ED7" w:rsidRDefault="009F31D9" w:rsidP="00066986">
            <w:pPr>
              <w:pStyle w:val="TableParagraph"/>
              <w:numPr>
                <w:ilvl w:val="0"/>
                <w:numId w:val="10"/>
              </w:numPr>
              <w:spacing w:before="74"/>
              <w:ind w:left="734" w:right="806" w:firstLine="0"/>
              <w:rPr>
                <w:lang w:val="es-419"/>
              </w:rPr>
            </w:pPr>
            <w:r w:rsidRPr="00887ED7">
              <w:rPr>
                <w:lang w:val="es-419"/>
              </w:rPr>
              <w:t xml:space="preserve">El 33% de los encuestados manifestó estar más dispuesto (el 67% </w:t>
            </w:r>
            <w:r w:rsidR="0044229F" w:rsidRPr="00887ED7">
              <w:rPr>
                <w:lang w:val="es-419"/>
              </w:rPr>
              <w:t>restante mantuvo</w:t>
            </w:r>
            <w:r w:rsidRPr="00887ED7">
              <w:rPr>
                <w:lang w:val="es-419"/>
              </w:rPr>
              <w:t xml:space="preserve"> el mismo grado de disposición) a participar en el proyecto después de la mesa redonda.</w:t>
            </w:r>
          </w:p>
          <w:p w14:paraId="3BCFB9FB" w14:textId="77777777" w:rsidR="009F31D9" w:rsidRPr="00887ED7" w:rsidRDefault="009F31D9" w:rsidP="00066986">
            <w:pPr>
              <w:pStyle w:val="TableParagraph"/>
              <w:numPr>
                <w:ilvl w:val="0"/>
                <w:numId w:val="10"/>
              </w:numPr>
              <w:spacing w:before="74" w:after="240"/>
              <w:ind w:left="734" w:right="806" w:firstLine="0"/>
              <w:rPr>
                <w:lang w:val="es-419"/>
              </w:rPr>
            </w:pPr>
            <w:r w:rsidRPr="00887ED7">
              <w:rPr>
                <w:lang w:val="es-419"/>
              </w:rPr>
              <w:t>El 87% de los encuestados consideró que los debates mantenidos durante la mesa redonda fueron útiles o muy útiles (resultados representados por una puntuación superior a 4 inclusive).</w:t>
            </w:r>
          </w:p>
          <w:p w14:paraId="2B1E94CC" w14:textId="77777777" w:rsidR="009F31D9" w:rsidRPr="00887ED7" w:rsidRDefault="009F31D9" w:rsidP="00066986">
            <w:pPr>
              <w:pStyle w:val="TableParagraph"/>
              <w:ind w:left="706" w:right="806"/>
              <w:rPr>
                <w:u w:val="single"/>
                <w:lang w:val="es-419"/>
              </w:rPr>
            </w:pPr>
            <w:r w:rsidRPr="00887ED7">
              <w:rPr>
                <w:u w:val="single"/>
                <w:lang w:val="es-419"/>
              </w:rPr>
              <w:t>Camerún:</w:t>
            </w:r>
          </w:p>
          <w:p w14:paraId="4F3F1BF1" w14:textId="77777777" w:rsidR="009F31D9" w:rsidRPr="00887ED7" w:rsidRDefault="009F31D9" w:rsidP="00066986">
            <w:pPr>
              <w:pStyle w:val="TableParagraph"/>
              <w:numPr>
                <w:ilvl w:val="0"/>
                <w:numId w:val="10"/>
              </w:numPr>
              <w:spacing w:before="74"/>
              <w:ind w:left="734" w:right="806" w:firstLine="0"/>
              <w:rPr>
                <w:lang w:val="es-419"/>
              </w:rPr>
            </w:pPr>
            <w:r w:rsidRPr="00887ED7">
              <w:rPr>
                <w:lang w:val="es-419"/>
              </w:rPr>
              <w:t xml:space="preserve">El 92,5% de los encuestados declaró que su nivel de conocimiento y comprensión de los objetivos del proyecto había aumentado después de la mesa redonda. </w:t>
            </w:r>
          </w:p>
          <w:p w14:paraId="431FD17B" w14:textId="77777777" w:rsidR="009F31D9" w:rsidRPr="00887ED7" w:rsidRDefault="009F31D9" w:rsidP="00066986">
            <w:pPr>
              <w:pStyle w:val="TableParagraph"/>
              <w:numPr>
                <w:ilvl w:val="0"/>
                <w:numId w:val="10"/>
              </w:numPr>
              <w:spacing w:before="74"/>
              <w:ind w:left="734" w:right="806" w:firstLine="0"/>
              <w:rPr>
                <w:lang w:val="es-419"/>
              </w:rPr>
            </w:pPr>
            <w:r w:rsidRPr="00887ED7">
              <w:rPr>
                <w:lang w:val="es-419"/>
              </w:rPr>
              <w:t>El 51% de los encuestados manifestaron estar más dispuestos a participar en el proyecto de lo que esperaban antes de la mesa redonda.</w:t>
            </w:r>
          </w:p>
          <w:p w14:paraId="36B428DC" w14:textId="77777777" w:rsidR="009F31D9" w:rsidRPr="00887ED7" w:rsidRDefault="009F31D9" w:rsidP="00066986">
            <w:pPr>
              <w:pStyle w:val="TableParagraph"/>
              <w:numPr>
                <w:ilvl w:val="0"/>
                <w:numId w:val="10"/>
              </w:numPr>
              <w:spacing w:before="74"/>
              <w:ind w:left="731" w:right="805" w:firstLine="0"/>
              <w:rPr>
                <w:lang w:val="es-419"/>
              </w:rPr>
            </w:pPr>
            <w:r w:rsidRPr="00887ED7">
              <w:rPr>
                <w:lang w:val="es-419"/>
              </w:rPr>
              <w:t>El 84% de los encuestados consideró que los debates mantenidos durante la mesa redonda fueron útiles o muy útiles (resultados representados por una puntuación superior a 4 inclusive).</w:t>
            </w:r>
          </w:p>
          <w:p w14:paraId="38905D35" w14:textId="3DB2FBDA" w:rsidR="009F31D9" w:rsidRPr="00887ED7" w:rsidRDefault="009F31D9" w:rsidP="00066986">
            <w:pPr>
              <w:pStyle w:val="TableParagraph"/>
              <w:spacing w:after="240"/>
              <w:ind w:left="734" w:right="806"/>
              <w:rPr>
                <w:lang w:val="es-419"/>
              </w:rPr>
            </w:pPr>
            <w:r w:rsidRPr="00887ED7">
              <w:rPr>
                <w:lang w:val="es-419"/>
              </w:rPr>
              <w:t xml:space="preserve">(No </w:t>
            </w:r>
            <w:r w:rsidR="00B76EA7" w:rsidRPr="00887ED7">
              <w:rPr>
                <w:lang w:val="es-419"/>
              </w:rPr>
              <w:t xml:space="preserve">se </w:t>
            </w:r>
            <w:r w:rsidRPr="00887ED7">
              <w:rPr>
                <w:lang w:val="es-419"/>
              </w:rPr>
              <w:t xml:space="preserve">aplica a Malasia y Marruecos porque no </w:t>
            </w:r>
            <w:r w:rsidR="00E302B1" w:rsidRPr="00887ED7">
              <w:rPr>
                <w:lang w:val="es-419"/>
              </w:rPr>
              <w:t>se disponía</w:t>
            </w:r>
            <w:r w:rsidRPr="00887ED7">
              <w:rPr>
                <w:lang w:val="es-419"/>
              </w:rPr>
              <w:t xml:space="preserve"> </w:t>
            </w:r>
            <w:r w:rsidR="00B24C4B" w:rsidRPr="00887ED7">
              <w:rPr>
                <w:lang w:val="es-419"/>
              </w:rPr>
              <w:t>de</w:t>
            </w:r>
            <w:r w:rsidR="00E302B1" w:rsidRPr="00887ED7">
              <w:rPr>
                <w:lang w:val="es-419"/>
              </w:rPr>
              <w:t xml:space="preserve"> </w:t>
            </w:r>
            <w:r w:rsidRPr="00887ED7">
              <w:rPr>
                <w:lang w:val="es-419"/>
              </w:rPr>
              <w:t xml:space="preserve">datos de encuestas finalizadas que pudieran resumirse). </w:t>
            </w:r>
          </w:p>
          <w:p w14:paraId="15549991" w14:textId="3A22898D" w:rsidR="009F31D9" w:rsidRPr="00887ED7" w:rsidRDefault="009F31D9" w:rsidP="00066986">
            <w:pPr>
              <w:pStyle w:val="TableParagraph"/>
              <w:spacing w:before="240" w:after="240"/>
              <w:ind w:left="302" w:right="806"/>
              <w:rPr>
                <w:lang w:val="es-419"/>
              </w:rPr>
            </w:pPr>
            <w:r w:rsidRPr="00887ED7">
              <w:rPr>
                <w:b/>
                <w:lang w:val="es-419"/>
              </w:rPr>
              <w:t>Indicador 2</w:t>
            </w:r>
            <w:r w:rsidR="00887ED7">
              <w:rPr>
                <w:b/>
                <w:lang w:val="es-419"/>
              </w:rPr>
              <w:t xml:space="preserve">: </w:t>
            </w:r>
            <w:r w:rsidRPr="00887ED7">
              <w:rPr>
                <w:lang w:val="es-419"/>
              </w:rPr>
              <w:t>Cantidad y pertinencia de las actividades de fortalecimiento de la capacidad llevadas a cabo por autoridades nacionales, incluidas las Oficinas de PI, con objeto de prestar servicios de asesoramiento sobre el uso de las herramientas de PI en el sector del turismo gastronómico.</w:t>
            </w:r>
          </w:p>
          <w:p w14:paraId="699404F3" w14:textId="77777777" w:rsidR="009F31D9" w:rsidRPr="00887ED7" w:rsidRDefault="009F31D9" w:rsidP="00066986">
            <w:pPr>
              <w:pStyle w:val="TableParagraph"/>
              <w:numPr>
                <w:ilvl w:val="0"/>
                <w:numId w:val="14"/>
              </w:numPr>
              <w:spacing w:after="240"/>
              <w:ind w:right="806"/>
              <w:rPr>
                <w:lang w:val="es-419"/>
              </w:rPr>
            </w:pPr>
            <w:r w:rsidRPr="00887ED7">
              <w:rPr>
                <w:lang w:val="es-419"/>
              </w:rPr>
              <w:lastRenderedPageBreak/>
              <w:t>La asistencia general a las cuatro mesas redondas y a los cuatro seminarios nacionales organizados por las autoridades nacionales puso de manifiesto el interés de las partes interesadas por participar en los distintos debates relacionados con este proyecto.</w:t>
            </w:r>
          </w:p>
          <w:p w14:paraId="6E8EBDBC" w14:textId="77777777" w:rsidR="009F31D9" w:rsidRPr="00887ED7" w:rsidRDefault="009F31D9" w:rsidP="00066986">
            <w:pPr>
              <w:pStyle w:val="TableParagraph"/>
              <w:ind w:left="720" w:right="806"/>
              <w:rPr>
                <w:u w:val="single"/>
                <w:lang w:val="es-419"/>
              </w:rPr>
            </w:pPr>
            <w:r w:rsidRPr="00887ED7">
              <w:rPr>
                <w:u w:val="single"/>
                <w:lang w:val="es-419"/>
              </w:rPr>
              <w:t>Perú:</w:t>
            </w:r>
          </w:p>
          <w:p w14:paraId="7511BEDE" w14:textId="041136BB" w:rsidR="009F31D9" w:rsidRPr="00887ED7" w:rsidRDefault="009F31D9" w:rsidP="00066986">
            <w:pPr>
              <w:pStyle w:val="TableParagraph"/>
              <w:numPr>
                <w:ilvl w:val="0"/>
                <w:numId w:val="15"/>
              </w:numPr>
              <w:spacing w:before="74"/>
              <w:ind w:right="805"/>
              <w:rPr>
                <w:lang w:val="es-419"/>
              </w:rPr>
            </w:pPr>
            <w:r w:rsidRPr="00887ED7">
              <w:rPr>
                <w:lang w:val="es-419"/>
              </w:rPr>
              <w:t>35 participantes (en formato híbrido) asistieron a la mesa redonda</w:t>
            </w:r>
            <w:r w:rsidR="00887ED7">
              <w:rPr>
                <w:lang w:val="es-419"/>
              </w:rPr>
              <w:t xml:space="preserve">. </w:t>
            </w:r>
          </w:p>
          <w:p w14:paraId="44D4484E" w14:textId="77777777" w:rsidR="009F31D9" w:rsidRPr="00887ED7" w:rsidRDefault="009F31D9" w:rsidP="00066986">
            <w:pPr>
              <w:pStyle w:val="TableParagraph"/>
              <w:numPr>
                <w:ilvl w:val="0"/>
                <w:numId w:val="15"/>
              </w:numPr>
              <w:spacing w:before="74"/>
              <w:ind w:right="805"/>
              <w:rPr>
                <w:lang w:val="es-419"/>
              </w:rPr>
            </w:pPr>
            <w:r w:rsidRPr="00887ED7">
              <w:rPr>
                <w:lang w:val="es-419"/>
              </w:rPr>
              <w:t>Antes de la actividad formal se celebró una reunión previa a la mesa redonda para recabar más comentarios e información.</w:t>
            </w:r>
          </w:p>
          <w:p w14:paraId="1EE6A357" w14:textId="77777777" w:rsidR="009F31D9" w:rsidRPr="00887ED7" w:rsidRDefault="009F31D9" w:rsidP="00066986">
            <w:pPr>
              <w:pStyle w:val="TableParagraph"/>
              <w:numPr>
                <w:ilvl w:val="0"/>
                <w:numId w:val="15"/>
              </w:numPr>
              <w:spacing w:before="74"/>
              <w:ind w:right="805"/>
              <w:rPr>
                <w:lang w:val="es-419"/>
              </w:rPr>
            </w:pPr>
            <w:r w:rsidRPr="00887ED7">
              <w:rPr>
                <w:lang w:val="es-419"/>
              </w:rPr>
              <w:t xml:space="preserve">Más de 200 participantes (70 en modo presencial y 171 modo virtual) asistieron al seminario nacional. </w:t>
            </w:r>
          </w:p>
          <w:p w14:paraId="111513A1" w14:textId="77777777" w:rsidR="009F31D9" w:rsidRPr="00887ED7" w:rsidRDefault="009F31D9" w:rsidP="00066986">
            <w:pPr>
              <w:pStyle w:val="TableParagraph"/>
              <w:spacing w:before="120"/>
              <w:ind w:left="720" w:right="806"/>
              <w:rPr>
                <w:u w:val="single"/>
                <w:lang w:val="es-419"/>
              </w:rPr>
            </w:pPr>
            <w:r w:rsidRPr="00887ED7">
              <w:rPr>
                <w:u w:val="single"/>
                <w:lang w:val="es-419"/>
              </w:rPr>
              <w:t>Camerún:</w:t>
            </w:r>
          </w:p>
          <w:p w14:paraId="709EC4DA" w14:textId="77777777" w:rsidR="009F31D9" w:rsidRPr="00887ED7" w:rsidRDefault="009F31D9" w:rsidP="00066986">
            <w:pPr>
              <w:pStyle w:val="TableParagraph"/>
              <w:numPr>
                <w:ilvl w:val="0"/>
                <w:numId w:val="15"/>
              </w:numPr>
              <w:spacing w:before="74"/>
              <w:ind w:right="805"/>
              <w:rPr>
                <w:lang w:val="es-419"/>
              </w:rPr>
            </w:pPr>
            <w:r w:rsidRPr="00887ED7">
              <w:rPr>
                <w:lang w:val="es-419"/>
              </w:rPr>
              <w:t xml:space="preserve">La mesa redonda contó con 100 participantes. </w:t>
            </w:r>
          </w:p>
          <w:p w14:paraId="15F2D656" w14:textId="77777777" w:rsidR="009F31D9" w:rsidRPr="00887ED7" w:rsidRDefault="009F31D9" w:rsidP="00066986">
            <w:pPr>
              <w:pStyle w:val="TableParagraph"/>
              <w:numPr>
                <w:ilvl w:val="0"/>
                <w:numId w:val="15"/>
              </w:numPr>
              <w:spacing w:before="74"/>
              <w:ind w:right="805"/>
              <w:rPr>
                <w:lang w:val="es-419"/>
              </w:rPr>
            </w:pPr>
            <w:r w:rsidRPr="00887ED7">
              <w:rPr>
                <w:lang w:val="es-419"/>
              </w:rPr>
              <w:t xml:space="preserve">El seminario nacional contó con 150 participantes. </w:t>
            </w:r>
          </w:p>
          <w:p w14:paraId="20154D87" w14:textId="77777777" w:rsidR="009F31D9" w:rsidRPr="00887ED7" w:rsidRDefault="009F31D9" w:rsidP="00066986">
            <w:pPr>
              <w:pStyle w:val="TableParagraph"/>
              <w:spacing w:before="120"/>
              <w:ind w:left="720" w:right="806"/>
              <w:rPr>
                <w:u w:val="single"/>
                <w:lang w:val="es-419"/>
              </w:rPr>
            </w:pPr>
            <w:r w:rsidRPr="00887ED7">
              <w:rPr>
                <w:u w:val="single"/>
                <w:lang w:val="es-419"/>
              </w:rPr>
              <w:t>Malasia:</w:t>
            </w:r>
          </w:p>
          <w:p w14:paraId="6C4BF4EE" w14:textId="77777777" w:rsidR="009F31D9" w:rsidRPr="00887ED7" w:rsidRDefault="009F31D9" w:rsidP="00066986">
            <w:pPr>
              <w:pStyle w:val="TableParagraph"/>
              <w:numPr>
                <w:ilvl w:val="0"/>
                <w:numId w:val="15"/>
              </w:numPr>
              <w:spacing w:before="74"/>
              <w:ind w:right="805"/>
              <w:rPr>
                <w:lang w:val="es-419"/>
              </w:rPr>
            </w:pPr>
            <w:r w:rsidRPr="00887ED7">
              <w:rPr>
                <w:lang w:val="es-419"/>
              </w:rPr>
              <w:t xml:space="preserve">La mesa redonda contó con 21 participantes. </w:t>
            </w:r>
          </w:p>
          <w:p w14:paraId="390033D7" w14:textId="77777777" w:rsidR="009F31D9" w:rsidRPr="00887ED7" w:rsidRDefault="009F31D9" w:rsidP="00066986">
            <w:pPr>
              <w:pStyle w:val="TableParagraph"/>
              <w:numPr>
                <w:ilvl w:val="0"/>
                <w:numId w:val="15"/>
              </w:numPr>
              <w:spacing w:before="74"/>
              <w:ind w:right="805"/>
              <w:rPr>
                <w:lang w:val="es-419"/>
              </w:rPr>
            </w:pPr>
            <w:r w:rsidRPr="00887ED7">
              <w:rPr>
                <w:lang w:val="es-419"/>
              </w:rPr>
              <w:t xml:space="preserve">30 partes interesadas participaron en el seminario nacional. </w:t>
            </w:r>
          </w:p>
          <w:p w14:paraId="57D18FCD" w14:textId="77777777" w:rsidR="009F31D9" w:rsidRPr="00887ED7" w:rsidRDefault="009F31D9" w:rsidP="00066986">
            <w:pPr>
              <w:pStyle w:val="TableParagraph"/>
              <w:spacing w:before="120"/>
              <w:ind w:left="720" w:right="806"/>
              <w:rPr>
                <w:u w:val="single"/>
                <w:lang w:val="es-419"/>
              </w:rPr>
            </w:pPr>
            <w:r w:rsidRPr="00887ED7">
              <w:rPr>
                <w:u w:val="single"/>
                <w:lang w:val="es-419"/>
              </w:rPr>
              <w:t>Marruecos:</w:t>
            </w:r>
          </w:p>
          <w:p w14:paraId="1D869D5E" w14:textId="77777777" w:rsidR="009F31D9" w:rsidRPr="00887ED7" w:rsidRDefault="009F31D9" w:rsidP="00066986">
            <w:pPr>
              <w:pStyle w:val="TableParagraph"/>
              <w:numPr>
                <w:ilvl w:val="0"/>
                <w:numId w:val="15"/>
              </w:numPr>
              <w:spacing w:before="74"/>
              <w:ind w:right="805"/>
              <w:rPr>
                <w:lang w:val="es-419"/>
              </w:rPr>
            </w:pPr>
            <w:r w:rsidRPr="00887ED7">
              <w:rPr>
                <w:lang w:val="es-419"/>
              </w:rPr>
              <w:t>La mesa redonda contó con 14 participantes.</w:t>
            </w:r>
          </w:p>
          <w:p w14:paraId="504FD638" w14:textId="77777777" w:rsidR="009F31D9" w:rsidRPr="00887ED7" w:rsidRDefault="009F31D9" w:rsidP="00066986">
            <w:pPr>
              <w:pStyle w:val="TableParagraph"/>
              <w:numPr>
                <w:ilvl w:val="0"/>
                <w:numId w:val="15"/>
              </w:numPr>
              <w:spacing w:before="74"/>
              <w:ind w:right="805"/>
              <w:rPr>
                <w:lang w:val="es-419"/>
              </w:rPr>
            </w:pPr>
            <w:r w:rsidRPr="00887ED7">
              <w:rPr>
                <w:lang w:val="es-419"/>
              </w:rPr>
              <w:t>El seminario nacional contó con 20 participantes.</w:t>
            </w:r>
          </w:p>
          <w:p w14:paraId="21DA0F97" w14:textId="77777777" w:rsidR="009F31D9" w:rsidRPr="00887ED7" w:rsidRDefault="009F31D9" w:rsidP="00066986">
            <w:pPr>
              <w:pStyle w:val="TableParagraph"/>
              <w:ind w:left="1440" w:right="806"/>
              <w:rPr>
                <w:lang w:val="es-419"/>
              </w:rPr>
            </w:pPr>
          </w:p>
          <w:p w14:paraId="4594E740" w14:textId="0A9B22A2" w:rsidR="009F31D9" w:rsidRPr="00887ED7" w:rsidRDefault="009F31D9" w:rsidP="00066986">
            <w:pPr>
              <w:pStyle w:val="TableParagraph"/>
              <w:numPr>
                <w:ilvl w:val="0"/>
                <w:numId w:val="14"/>
              </w:numPr>
              <w:ind w:right="806"/>
              <w:rPr>
                <w:lang w:val="es-419"/>
              </w:rPr>
            </w:pPr>
            <w:r w:rsidRPr="00887ED7">
              <w:rPr>
                <w:lang w:val="es-419"/>
              </w:rPr>
              <w:t>Los resultados de la encuesta en línea dirigida a las partes interesadas (48 encuestados) indicaron</w:t>
            </w:r>
            <w:r w:rsidR="00C85A01" w:rsidRPr="00887ED7">
              <w:rPr>
                <w:lang w:val="es-419"/>
              </w:rPr>
              <w:t xml:space="preserve"> que</w:t>
            </w:r>
            <w:r w:rsidRPr="00887ED7">
              <w:rPr>
                <w:lang w:val="es-419"/>
              </w:rPr>
              <w:t>:</w:t>
            </w:r>
          </w:p>
          <w:p w14:paraId="7C786274" w14:textId="77777777" w:rsidR="009F31D9" w:rsidRPr="00887ED7" w:rsidRDefault="009F31D9" w:rsidP="00066986">
            <w:pPr>
              <w:pStyle w:val="TableParagraph"/>
              <w:numPr>
                <w:ilvl w:val="0"/>
                <w:numId w:val="11"/>
              </w:numPr>
              <w:spacing w:before="74" w:after="240"/>
              <w:ind w:left="1397" w:right="806"/>
              <w:rPr>
                <w:lang w:val="es-419"/>
              </w:rPr>
            </w:pPr>
            <w:r w:rsidRPr="00887ED7">
              <w:rPr>
                <w:lang w:val="es-419"/>
              </w:rPr>
              <w:t>el 51% de las entidades públicas que respondieron manifestaron que han empezado o tienen previsto empezar a promocionar o a prestar asesoramiento sobre el uso de las herramientas de PI en el sector del turismo gastronómico.</w:t>
            </w:r>
          </w:p>
          <w:p w14:paraId="31660509" w14:textId="77777777" w:rsidR="009F31D9" w:rsidRPr="00887ED7" w:rsidRDefault="009F31D9" w:rsidP="00066986">
            <w:pPr>
              <w:spacing w:after="480"/>
              <w:ind w:left="115" w:right="86"/>
              <w:rPr>
                <w:lang w:val="es-419"/>
              </w:rPr>
            </w:pPr>
            <w:r w:rsidRPr="00887ED7">
              <w:rPr>
                <w:lang w:val="es-419"/>
              </w:rPr>
              <w:t>3)</w:t>
            </w:r>
            <w:r w:rsidRPr="00887ED7">
              <w:rPr>
                <w:lang w:val="es-419"/>
              </w:rPr>
              <w:tab/>
            </w:r>
            <w:r w:rsidRPr="00887ED7">
              <w:rPr>
                <w:b/>
                <w:lang w:val="es-419"/>
              </w:rPr>
              <w:t>Aumento de la sensibilización sobre las ventajas que puede brindar el uso de la PI en las actividades de turismo gastronómico</w:t>
            </w:r>
            <w:r w:rsidRPr="00887ED7">
              <w:rPr>
                <w:lang w:val="es-419"/>
              </w:rPr>
              <w:t xml:space="preserve">. </w:t>
            </w:r>
          </w:p>
          <w:p w14:paraId="31DBFEB7" w14:textId="5C67BD6F" w:rsidR="009F31D9" w:rsidRPr="00887ED7" w:rsidRDefault="009F31D9" w:rsidP="00066986">
            <w:pPr>
              <w:pStyle w:val="TableParagraph"/>
              <w:spacing w:after="240"/>
              <w:ind w:left="302" w:right="806"/>
              <w:rPr>
                <w:lang w:val="es-419"/>
              </w:rPr>
            </w:pPr>
            <w:r w:rsidRPr="00887ED7">
              <w:rPr>
                <w:b/>
                <w:lang w:val="es-419"/>
              </w:rPr>
              <w:t>Indicador 1</w:t>
            </w:r>
            <w:r w:rsidR="00887ED7">
              <w:rPr>
                <w:b/>
                <w:lang w:val="es-419"/>
              </w:rPr>
              <w:t xml:space="preserve">: </w:t>
            </w:r>
            <w:r w:rsidRPr="00887ED7">
              <w:rPr>
                <w:lang w:val="es-419"/>
              </w:rPr>
              <w:t>Porcentaje de participantes en las mesas redondas y seminarios que han afirmado comprender mejor las posibles ventajas que la PI puede ofrecer al sector del turismo gastronómico.</w:t>
            </w:r>
          </w:p>
          <w:p w14:paraId="5FC78127" w14:textId="77777777" w:rsidR="009F31D9" w:rsidRPr="00887ED7" w:rsidRDefault="009F31D9" w:rsidP="00066986">
            <w:pPr>
              <w:pStyle w:val="TableParagraph"/>
              <w:numPr>
                <w:ilvl w:val="0"/>
                <w:numId w:val="16"/>
              </w:numPr>
              <w:spacing w:after="240"/>
              <w:ind w:right="806"/>
              <w:rPr>
                <w:lang w:val="es-419"/>
              </w:rPr>
            </w:pPr>
            <w:r w:rsidRPr="00887ED7">
              <w:rPr>
                <w:lang w:val="es-419"/>
              </w:rPr>
              <w:t xml:space="preserve">Los resultados de las encuestas de satisfacción realizadas tras las mesas redondas organizadas por </w:t>
            </w:r>
            <w:r w:rsidRPr="00887ED7">
              <w:rPr>
                <w:lang w:val="es-419"/>
              </w:rPr>
              <w:lastRenderedPageBreak/>
              <w:t>cada uno de los países participantes indicaron:</w:t>
            </w:r>
          </w:p>
          <w:p w14:paraId="03B2AABC" w14:textId="77777777" w:rsidR="009F31D9" w:rsidRPr="00887ED7" w:rsidRDefault="009F31D9" w:rsidP="00066986">
            <w:pPr>
              <w:pStyle w:val="TableParagraph"/>
              <w:ind w:left="734" w:right="806"/>
              <w:rPr>
                <w:u w:val="single"/>
                <w:lang w:val="es-419"/>
              </w:rPr>
            </w:pPr>
            <w:r w:rsidRPr="00887ED7">
              <w:rPr>
                <w:u w:val="single"/>
                <w:lang w:val="es-419"/>
              </w:rPr>
              <w:t>Perú:</w:t>
            </w:r>
          </w:p>
          <w:p w14:paraId="784CA18B" w14:textId="77777777" w:rsidR="009F31D9" w:rsidRPr="00887ED7" w:rsidRDefault="009F31D9" w:rsidP="00066986">
            <w:pPr>
              <w:pStyle w:val="TableParagraph"/>
              <w:numPr>
                <w:ilvl w:val="0"/>
                <w:numId w:val="10"/>
              </w:numPr>
              <w:spacing w:before="74" w:after="240"/>
              <w:ind w:left="734" w:right="806" w:firstLine="0"/>
              <w:rPr>
                <w:lang w:val="es-419"/>
              </w:rPr>
            </w:pPr>
            <w:r w:rsidRPr="00887ED7">
              <w:rPr>
                <w:lang w:val="es-419"/>
              </w:rPr>
              <w:t xml:space="preserve">El 100% de los encuestados declaró que su nivel de conocimiento y comprensión de las posibles herramientas de PI que podían utilizarse para la promoción de las tradiciones culinarias en el Perú había aumentado después de la mesa redonda. </w:t>
            </w:r>
          </w:p>
          <w:p w14:paraId="2EDE5AFE" w14:textId="77777777" w:rsidR="009F31D9" w:rsidRPr="00887ED7" w:rsidRDefault="009F31D9" w:rsidP="00066986">
            <w:pPr>
              <w:pStyle w:val="TableParagraph"/>
              <w:ind w:left="706" w:right="806"/>
              <w:rPr>
                <w:u w:val="single"/>
                <w:lang w:val="es-419"/>
              </w:rPr>
            </w:pPr>
            <w:r w:rsidRPr="00887ED7">
              <w:rPr>
                <w:u w:val="single"/>
                <w:lang w:val="es-419"/>
              </w:rPr>
              <w:t>Camerún:</w:t>
            </w:r>
          </w:p>
          <w:p w14:paraId="235581BD" w14:textId="77777777" w:rsidR="009F31D9" w:rsidRPr="00887ED7" w:rsidRDefault="009F31D9" w:rsidP="00066986">
            <w:pPr>
              <w:pStyle w:val="TableParagraph"/>
              <w:numPr>
                <w:ilvl w:val="0"/>
                <w:numId w:val="10"/>
              </w:numPr>
              <w:spacing w:before="74"/>
              <w:ind w:left="734" w:right="806" w:firstLine="0"/>
              <w:rPr>
                <w:lang w:val="es-419"/>
              </w:rPr>
            </w:pPr>
            <w:r w:rsidRPr="00887ED7">
              <w:rPr>
                <w:lang w:val="es-419"/>
              </w:rPr>
              <w:t>El 100% de los encuestados declaró que su comprensión de las posibles herramientas de PI que podían utilizarse había aumentado después de la mesa redonda.</w:t>
            </w:r>
          </w:p>
          <w:p w14:paraId="225F03BB" w14:textId="08942E98" w:rsidR="009F31D9" w:rsidRPr="00887ED7" w:rsidRDefault="009F31D9" w:rsidP="00066986">
            <w:pPr>
              <w:pStyle w:val="TableParagraph"/>
              <w:spacing w:after="240"/>
              <w:ind w:left="734" w:right="806"/>
              <w:rPr>
                <w:lang w:val="es-419"/>
              </w:rPr>
            </w:pPr>
            <w:r w:rsidRPr="00887ED7">
              <w:rPr>
                <w:lang w:val="es-419"/>
              </w:rPr>
              <w:t>(</w:t>
            </w:r>
            <w:r w:rsidR="00E302B1" w:rsidRPr="00887ED7">
              <w:rPr>
                <w:lang w:val="es-419"/>
              </w:rPr>
              <w:t xml:space="preserve">No se aplica a Malasia y Marruecos porque no se disponía </w:t>
            </w:r>
            <w:r w:rsidR="00B24C4B" w:rsidRPr="00887ED7">
              <w:rPr>
                <w:lang w:val="es-419"/>
              </w:rPr>
              <w:t>de</w:t>
            </w:r>
            <w:r w:rsidR="00E302B1" w:rsidRPr="00887ED7">
              <w:rPr>
                <w:lang w:val="es-419"/>
              </w:rPr>
              <w:t xml:space="preserve"> datos de encuestas finalizadas que pudieran resumirse</w:t>
            </w:r>
            <w:r w:rsidRPr="00887ED7">
              <w:rPr>
                <w:lang w:val="es-419"/>
              </w:rPr>
              <w:t xml:space="preserve">). </w:t>
            </w:r>
          </w:p>
          <w:p w14:paraId="321EEF22" w14:textId="77777777" w:rsidR="009F31D9" w:rsidRPr="00887ED7" w:rsidRDefault="009F31D9" w:rsidP="00066986">
            <w:pPr>
              <w:pStyle w:val="TableParagraph"/>
              <w:numPr>
                <w:ilvl w:val="0"/>
                <w:numId w:val="16"/>
              </w:numPr>
              <w:spacing w:after="240"/>
              <w:ind w:right="806"/>
              <w:rPr>
                <w:lang w:val="es-419"/>
              </w:rPr>
            </w:pPr>
            <w:r w:rsidRPr="00887ED7">
              <w:rPr>
                <w:lang w:val="es-419"/>
              </w:rPr>
              <w:t>Los resultados de las encuestas de satisfacción realizadas tras los seminarios nacionales indicaron:</w:t>
            </w:r>
          </w:p>
          <w:p w14:paraId="67C8A8CA" w14:textId="77777777" w:rsidR="009F31D9" w:rsidRPr="00887ED7" w:rsidRDefault="009F31D9" w:rsidP="00066986">
            <w:pPr>
              <w:pStyle w:val="TableParagraph"/>
              <w:ind w:left="734" w:right="806"/>
              <w:rPr>
                <w:u w:val="single"/>
                <w:lang w:val="es-419"/>
              </w:rPr>
            </w:pPr>
            <w:r w:rsidRPr="00887ED7">
              <w:rPr>
                <w:u w:val="single"/>
                <w:lang w:val="es-419"/>
              </w:rPr>
              <w:t>Perú:</w:t>
            </w:r>
          </w:p>
          <w:p w14:paraId="18004B7D" w14:textId="5788AE24" w:rsidR="009F31D9" w:rsidRPr="00887ED7" w:rsidRDefault="009F31D9" w:rsidP="00066986">
            <w:pPr>
              <w:pStyle w:val="TableParagraph"/>
              <w:numPr>
                <w:ilvl w:val="0"/>
                <w:numId w:val="10"/>
              </w:numPr>
              <w:spacing w:before="74"/>
              <w:ind w:left="731" w:right="805" w:firstLine="0"/>
              <w:rPr>
                <w:lang w:val="es-419"/>
              </w:rPr>
            </w:pPr>
            <w:r w:rsidRPr="00887ED7">
              <w:rPr>
                <w:lang w:val="es-419"/>
              </w:rPr>
              <w:t xml:space="preserve">El 100% de los encuestados declaró que el seminario los </w:t>
            </w:r>
            <w:r w:rsidR="00F95879" w:rsidRPr="00887ED7">
              <w:rPr>
                <w:lang w:val="es-419"/>
              </w:rPr>
              <w:t>animó</w:t>
            </w:r>
            <w:r w:rsidRPr="00887ED7">
              <w:rPr>
                <w:lang w:val="es-419"/>
              </w:rPr>
              <w:t xml:space="preserve"> a utilizar las herramientas de PI en su negocio.</w:t>
            </w:r>
          </w:p>
          <w:p w14:paraId="5E5CC8C9" w14:textId="77777777" w:rsidR="009F31D9" w:rsidRPr="00887ED7" w:rsidRDefault="009F31D9" w:rsidP="00066986">
            <w:pPr>
              <w:pStyle w:val="TableParagraph"/>
              <w:numPr>
                <w:ilvl w:val="0"/>
                <w:numId w:val="10"/>
              </w:numPr>
              <w:spacing w:before="74" w:after="240"/>
              <w:ind w:left="734" w:right="806" w:firstLine="0"/>
              <w:rPr>
                <w:lang w:val="es-419"/>
              </w:rPr>
            </w:pPr>
            <w:r w:rsidRPr="00887ED7">
              <w:rPr>
                <w:lang w:val="es-419"/>
              </w:rPr>
              <w:t>El 66,7% de los encuestados consideró que los debates del seminario nacional fueron útiles o muy útiles (resultados representados por una puntuación superior a 4 inclusive).</w:t>
            </w:r>
          </w:p>
          <w:p w14:paraId="288FA0B6" w14:textId="77777777" w:rsidR="009F31D9" w:rsidRPr="00887ED7" w:rsidRDefault="009F31D9" w:rsidP="00066986">
            <w:pPr>
              <w:pStyle w:val="TableParagraph"/>
              <w:ind w:left="734" w:right="806"/>
              <w:rPr>
                <w:u w:val="single"/>
                <w:lang w:val="es-419"/>
              </w:rPr>
            </w:pPr>
            <w:r w:rsidRPr="00887ED7">
              <w:rPr>
                <w:u w:val="single"/>
                <w:lang w:val="es-419"/>
              </w:rPr>
              <w:t>Camerún:</w:t>
            </w:r>
          </w:p>
          <w:p w14:paraId="291529DB" w14:textId="77777777" w:rsidR="009F31D9" w:rsidRPr="00887ED7" w:rsidRDefault="009F31D9" w:rsidP="00066986">
            <w:pPr>
              <w:pStyle w:val="TableParagraph"/>
              <w:numPr>
                <w:ilvl w:val="0"/>
                <w:numId w:val="10"/>
              </w:numPr>
              <w:spacing w:before="74"/>
              <w:ind w:left="731" w:right="805" w:firstLine="0"/>
              <w:rPr>
                <w:lang w:val="es-419"/>
              </w:rPr>
            </w:pPr>
            <w:r w:rsidRPr="00887ED7">
              <w:rPr>
                <w:lang w:val="es-419"/>
              </w:rPr>
              <w:t>El 93% de los encuestados declaró que el seminario nacional los animó a utilizar las herramientas de PI en su negocio.</w:t>
            </w:r>
          </w:p>
          <w:p w14:paraId="2BF371D4" w14:textId="77777777" w:rsidR="009F31D9" w:rsidRPr="00887ED7" w:rsidRDefault="009F31D9" w:rsidP="00066986">
            <w:pPr>
              <w:pStyle w:val="TableParagraph"/>
              <w:numPr>
                <w:ilvl w:val="0"/>
                <w:numId w:val="10"/>
              </w:numPr>
              <w:spacing w:before="74" w:after="240"/>
              <w:ind w:left="734" w:right="806" w:firstLine="0"/>
              <w:rPr>
                <w:lang w:val="es-419"/>
              </w:rPr>
            </w:pPr>
            <w:r w:rsidRPr="00887ED7">
              <w:rPr>
                <w:lang w:val="es-419"/>
              </w:rPr>
              <w:t>El 79,7% de los encuestados consideró que los debates del seminario fueron útiles o muy útiles.</w:t>
            </w:r>
          </w:p>
          <w:p w14:paraId="35629F7E" w14:textId="7C872C1B" w:rsidR="009F31D9" w:rsidRPr="00887ED7" w:rsidRDefault="009F31D9" w:rsidP="00066986">
            <w:pPr>
              <w:pStyle w:val="TableParagraph"/>
              <w:ind w:left="734" w:right="806"/>
              <w:rPr>
                <w:u w:val="single"/>
                <w:lang w:val="es-419"/>
              </w:rPr>
            </w:pPr>
            <w:r w:rsidRPr="00887ED7">
              <w:rPr>
                <w:u w:val="single"/>
                <w:lang w:val="es-419"/>
              </w:rPr>
              <w:t>Malasia</w:t>
            </w:r>
            <w:r w:rsidR="001629DB" w:rsidRPr="00887ED7">
              <w:rPr>
                <w:u w:val="single"/>
                <w:lang w:val="es-419"/>
              </w:rPr>
              <w:t>:</w:t>
            </w:r>
          </w:p>
          <w:p w14:paraId="238D7792" w14:textId="77777777" w:rsidR="009F31D9" w:rsidRPr="00887ED7" w:rsidRDefault="009F31D9" w:rsidP="00066986">
            <w:pPr>
              <w:pStyle w:val="TableParagraph"/>
              <w:numPr>
                <w:ilvl w:val="0"/>
                <w:numId w:val="10"/>
              </w:numPr>
              <w:spacing w:before="74"/>
              <w:ind w:left="731" w:right="805" w:firstLine="0"/>
              <w:rPr>
                <w:lang w:val="es-419"/>
              </w:rPr>
            </w:pPr>
            <w:r w:rsidRPr="00887ED7">
              <w:rPr>
                <w:lang w:val="es-419"/>
              </w:rPr>
              <w:t>El 40% de los encuestados declaró que el seminario nacional los animó a utilizar las herramientas de PI en su negocio.</w:t>
            </w:r>
          </w:p>
          <w:p w14:paraId="0530EADE" w14:textId="77777777" w:rsidR="009F31D9" w:rsidRPr="00887ED7" w:rsidRDefault="009F31D9" w:rsidP="00066986">
            <w:pPr>
              <w:pStyle w:val="TableParagraph"/>
              <w:numPr>
                <w:ilvl w:val="0"/>
                <w:numId w:val="10"/>
              </w:numPr>
              <w:spacing w:before="74" w:after="240"/>
              <w:ind w:left="734" w:right="806" w:firstLine="0"/>
              <w:rPr>
                <w:lang w:val="es-419"/>
              </w:rPr>
            </w:pPr>
            <w:r w:rsidRPr="00887ED7">
              <w:rPr>
                <w:lang w:val="es-419"/>
              </w:rPr>
              <w:t>El 57% de los encuestados consideró que los debates del seminario fueron útiles o muy útiles.</w:t>
            </w:r>
          </w:p>
          <w:p w14:paraId="40AEFD6C" w14:textId="77777777" w:rsidR="009F31D9" w:rsidRPr="00887ED7" w:rsidRDefault="009F31D9" w:rsidP="00066986">
            <w:pPr>
              <w:pStyle w:val="TableParagraph"/>
              <w:ind w:left="734" w:right="806"/>
              <w:rPr>
                <w:u w:val="single"/>
                <w:lang w:val="es-419"/>
              </w:rPr>
            </w:pPr>
            <w:r w:rsidRPr="00887ED7">
              <w:rPr>
                <w:u w:val="single"/>
                <w:lang w:val="es-419"/>
              </w:rPr>
              <w:t>Marruecos:</w:t>
            </w:r>
          </w:p>
          <w:p w14:paraId="143CE99C" w14:textId="77777777" w:rsidR="009F31D9" w:rsidRPr="00887ED7" w:rsidRDefault="009F31D9" w:rsidP="00066986">
            <w:pPr>
              <w:pStyle w:val="TableParagraph"/>
              <w:numPr>
                <w:ilvl w:val="0"/>
                <w:numId w:val="10"/>
              </w:numPr>
              <w:spacing w:before="74"/>
              <w:ind w:left="731" w:right="805" w:firstLine="0"/>
              <w:rPr>
                <w:lang w:val="es-419"/>
              </w:rPr>
            </w:pPr>
            <w:r w:rsidRPr="00887ED7">
              <w:rPr>
                <w:lang w:val="es-419"/>
              </w:rPr>
              <w:t>El 100% de los encuestados declaró que el seminario nacional los animó a utilizar o a seguir utilizando las herramientas de PI en su negocio.</w:t>
            </w:r>
          </w:p>
          <w:p w14:paraId="7FDAC32F" w14:textId="77777777" w:rsidR="009F31D9" w:rsidRPr="00887ED7" w:rsidRDefault="009F31D9" w:rsidP="00066986">
            <w:pPr>
              <w:pStyle w:val="TableParagraph"/>
              <w:numPr>
                <w:ilvl w:val="0"/>
                <w:numId w:val="10"/>
              </w:numPr>
              <w:spacing w:before="74" w:after="240"/>
              <w:ind w:left="734" w:right="806" w:firstLine="0"/>
              <w:rPr>
                <w:lang w:val="es-419"/>
              </w:rPr>
            </w:pPr>
            <w:r w:rsidRPr="00887ED7">
              <w:rPr>
                <w:lang w:val="es-419"/>
              </w:rPr>
              <w:t xml:space="preserve">El 91,7% de los encuestados consideró que los debates del seminario nacional fueron útiles o muy </w:t>
            </w:r>
            <w:r w:rsidRPr="00887ED7">
              <w:rPr>
                <w:lang w:val="es-419"/>
              </w:rPr>
              <w:lastRenderedPageBreak/>
              <w:t>útiles.</w:t>
            </w:r>
          </w:p>
          <w:p w14:paraId="067EE727" w14:textId="77777777" w:rsidR="009F31D9" w:rsidRPr="00887ED7" w:rsidRDefault="009F31D9" w:rsidP="00066986">
            <w:pPr>
              <w:pStyle w:val="TableParagraph"/>
              <w:numPr>
                <w:ilvl w:val="0"/>
                <w:numId w:val="16"/>
              </w:numPr>
              <w:ind w:right="806"/>
              <w:rPr>
                <w:lang w:val="es-419"/>
              </w:rPr>
            </w:pPr>
            <w:r w:rsidRPr="00887ED7">
              <w:rPr>
                <w:lang w:val="es-419"/>
              </w:rPr>
              <w:t>Resultados de la encuesta en línea dirigida a las partes interesadas:</w:t>
            </w:r>
          </w:p>
          <w:p w14:paraId="4D76670F" w14:textId="77777777" w:rsidR="009F31D9" w:rsidRPr="00887ED7" w:rsidRDefault="009F31D9" w:rsidP="00066986">
            <w:pPr>
              <w:pStyle w:val="TableParagraph"/>
              <w:numPr>
                <w:ilvl w:val="0"/>
                <w:numId w:val="10"/>
              </w:numPr>
              <w:spacing w:before="74" w:after="240"/>
              <w:ind w:left="734" w:right="806" w:firstLine="0"/>
              <w:rPr>
                <w:lang w:val="es-419"/>
              </w:rPr>
            </w:pPr>
            <w:r w:rsidRPr="00887ED7">
              <w:rPr>
                <w:lang w:val="es-419"/>
              </w:rPr>
              <w:t xml:space="preserve">Entre las respuestas que indicaban que el proyecto era útil/muy útil (el 84% de los encuestados), el 52% consideraba que la utilidad se debía al aumento de la sensibilización sobre las ventajas del uso de la PI. </w:t>
            </w:r>
          </w:p>
          <w:p w14:paraId="525C8483" w14:textId="7BC61295" w:rsidR="009F31D9" w:rsidRPr="00887ED7" w:rsidRDefault="009F31D9" w:rsidP="00066986">
            <w:pPr>
              <w:pStyle w:val="TableParagraph"/>
              <w:spacing w:after="240"/>
              <w:ind w:left="302" w:right="806"/>
              <w:rPr>
                <w:lang w:val="es-419"/>
              </w:rPr>
            </w:pPr>
            <w:r w:rsidRPr="00887ED7">
              <w:rPr>
                <w:b/>
                <w:lang w:val="es-419"/>
              </w:rPr>
              <w:t>Indicador 2</w:t>
            </w:r>
            <w:r w:rsidR="00887ED7">
              <w:rPr>
                <w:b/>
                <w:lang w:val="es-419"/>
              </w:rPr>
              <w:t xml:space="preserve">: </w:t>
            </w:r>
            <w:r w:rsidRPr="00887ED7">
              <w:rPr>
                <w:lang w:val="es-419"/>
              </w:rPr>
              <w:t>Grado de acceso y utilización de la compilación de los principales productos y conclusiones fruto del proyecto por parte de otros Estados miembros y partes interesadas concernidos.</w:t>
            </w:r>
          </w:p>
          <w:p w14:paraId="42547C2B" w14:textId="7916DC01" w:rsidR="009F31D9" w:rsidRPr="00887ED7" w:rsidRDefault="009F31D9" w:rsidP="00066986">
            <w:pPr>
              <w:pStyle w:val="TableParagraph"/>
              <w:numPr>
                <w:ilvl w:val="0"/>
                <w:numId w:val="8"/>
              </w:numPr>
              <w:ind w:right="109"/>
              <w:rPr>
                <w:lang w:val="es-419"/>
              </w:rPr>
            </w:pPr>
            <w:r w:rsidRPr="00887ED7">
              <w:rPr>
                <w:lang w:val="es-419"/>
              </w:rPr>
              <w:t>Los resultados de este proyecto –cuatro estudios exploratorios finalizados, así como cuatro informes de análisis de PI– se publicaron en una página web específica de la OMPI</w:t>
            </w:r>
            <w:r w:rsidR="00887ED7">
              <w:rPr>
                <w:lang w:val="es-419"/>
              </w:rPr>
              <w:t xml:space="preserve">: </w:t>
            </w:r>
            <w:r w:rsidRPr="00887ED7">
              <w:rPr>
                <w:lang w:val="es-419"/>
              </w:rPr>
              <w:t>(</w:t>
            </w:r>
            <w:hyperlink r:id="rId27" w:history="1">
              <w:r w:rsidRPr="00887ED7">
                <w:rPr>
                  <w:rStyle w:val="Hyperlink"/>
                  <w:lang w:val="es-419"/>
                </w:rPr>
                <w:t>https://www.wipo.int/ip-development/es/agenda/projects/ip-and-gastronomic-tourism.html</w:t>
              </w:r>
            </w:hyperlink>
            <w:r w:rsidRPr="00887ED7">
              <w:rPr>
                <w:lang w:val="es-419"/>
              </w:rPr>
              <w:t>).</w:t>
            </w:r>
          </w:p>
          <w:p w14:paraId="3E2C4AA6" w14:textId="77777777" w:rsidR="009F31D9" w:rsidRPr="00887ED7" w:rsidRDefault="009F31D9" w:rsidP="00066986">
            <w:pPr>
              <w:pStyle w:val="TableParagraph"/>
              <w:numPr>
                <w:ilvl w:val="0"/>
                <w:numId w:val="8"/>
              </w:numPr>
              <w:spacing w:before="74"/>
              <w:ind w:right="115"/>
              <w:rPr>
                <w:lang w:val="es-419"/>
              </w:rPr>
            </w:pPr>
            <w:r w:rsidRPr="00887ED7">
              <w:rPr>
                <w:lang w:val="es-419"/>
              </w:rPr>
              <w:t>Esta página web, consagrada a este proyecto, presenta los resultados y actividades del proyecto, los productos de los cuatro países participantes y las herramientas comunes del proyecto, y ha atraído a 767 visitantes únicos, 925 páginas vistas y 359 descargas de 79 países/regiones desde su publicación en junio de 2022 al 1 de diciembre de 2022.</w:t>
            </w:r>
          </w:p>
          <w:p w14:paraId="443891A7" w14:textId="77777777" w:rsidR="009F31D9" w:rsidRPr="00887ED7" w:rsidRDefault="009F31D9" w:rsidP="00066986">
            <w:pPr>
              <w:pStyle w:val="TableParagraph"/>
              <w:numPr>
                <w:ilvl w:val="0"/>
                <w:numId w:val="8"/>
              </w:numPr>
              <w:spacing w:before="74"/>
              <w:ind w:right="115"/>
              <w:rPr>
                <w:lang w:val="es-419"/>
              </w:rPr>
            </w:pPr>
            <w:r w:rsidRPr="00887ED7">
              <w:rPr>
                <w:lang w:val="es-419"/>
              </w:rPr>
              <w:t>Los picos de visitas se produjeron antes y después del taller internacional (en septiembre y noviembre de 2022), y fueron impulsadas por las actividades de promoción del proyecto de la OMPI en sus sitios web del CDIP y de la conferencia, así como de las actividades publicitarias posteriores al taller.</w:t>
            </w:r>
          </w:p>
          <w:p w14:paraId="49389B38" w14:textId="77777777" w:rsidR="009F31D9" w:rsidRPr="00887ED7" w:rsidRDefault="009F31D9" w:rsidP="00066986">
            <w:pPr>
              <w:pStyle w:val="TableParagraph"/>
              <w:ind w:left="720" w:right="109"/>
              <w:rPr>
                <w:lang w:val="es-419"/>
              </w:rPr>
            </w:pPr>
          </w:p>
        </w:tc>
      </w:tr>
      <w:tr w:rsidR="009F31D9" w:rsidRPr="00887ED7" w14:paraId="6E25BA95" w14:textId="77777777" w:rsidTr="00066986">
        <w:trPr>
          <w:trHeight w:val="711"/>
        </w:trPr>
        <w:tc>
          <w:tcPr>
            <w:tcW w:w="2377" w:type="dxa"/>
            <w:shd w:val="clear" w:color="auto" w:fill="8DB3E1"/>
            <w:vAlign w:val="center"/>
          </w:tcPr>
          <w:p w14:paraId="060853F0" w14:textId="77777777" w:rsidR="009F31D9" w:rsidRPr="00887ED7" w:rsidRDefault="009F31D9" w:rsidP="00066986">
            <w:pPr>
              <w:pStyle w:val="TableParagraph"/>
              <w:spacing w:before="1"/>
              <w:ind w:left="110" w:right="279"/>
              <w:rPr>
                <w:lang w:val="es-419"/>
              </w:rPr>
            </w:pPr>
            <w:r w:rsidRPr="00887ED7">
              <w:rPr>
                <w:u w:val="single"/>
                <w:lang w:val="es-419"/>
              </w:rPr>
              <w:lastRenderedPageBreak/>
              <w:t>Experiencia adquirida y enseñanzas extraídas</w:t>
            </w:r>
          </w:p>
        </w:tc>
        <w:tc>
          <w:tcPr>
            <w:tcW w:w="6913" w:type="dxa"/>
            <w:vAlign w:val="center"/>
          </w:tcPr>
          <w:p w14:paraId="0888E440" w14:textId="77777777" w:rsidR="009F31D9" w:rsidRPr="00887ED7" w:rsidRDefault="009F31D9" w:rsidP="00066986">
            <w:pPr>
              <w:pStyle w:val="TableParagraph"/>
              <w:spacing w:before="240"/>
              <w:ind w:left="115" w:right="806"/>
              <w:rPr>
                <w:lang w:val="es-419"/>
              </w:rPr>
            </w:pPr>
            <w:r w:rsidRPr="00887ED7">
              <w:rPr>
                <w:lang w:val="es-419"/>
              </w:rPr>
              <w:t>Enseñanzas extraídas:</w:t>
            </w:r>
          </w:p>
          <w:p w14:paraId="06A9185C" w14:textId="31A7FCBA" w:rsidR="009F31D9" w:rsidRPr="00887ED7" w:rsidRDefault="009F31D9" w:rsidP="00066986">
            <w:pPr>
              <w:pStyle w:val="TableParagraph"/>
              <w:numPr>
                <w:ilvl w:val="0"/>
                <w:numId w:val="8"/>
              </w:numPr>
              <w:spacing w:before="74"/>
              <w:ind w:right="115"/>
              <w:rPr>
                <w:lang w:val="es-419"/>
              </w:rPr>
            </w:pPr>
            <w:r w:rsidRPr="00887ED7">
              <w:rPr>
                <w:lang w:val="es-419"/>
              </w:rPr>
              <w:t>Al planificar el calendario del proyecto se debe prever más tiempo para la fase de inicio del proyecto</w:t>
            </w:r>
            <w:r w:rsidR="00887ED7">
              <w:rPr>
                <w:lang w:val="es-419"/>
              </w:rPr>
              <w:t xml:space="preserve">. </w:t>
            </w:r>
            <w:r w:rsidRPr="00887ED7">
              <w:rPr>
                <w:lang w:val="es-419"/>
              </w:rPr>
              <w:t>El país proponente suele haber reflexionado sobre los principales elementos del proyecto cuando este es aprobado por el CDIP y, por lo tanto, puede iniciar el proyecto poco después</w:t>
            </w:r>
            <w:r w:rsidR="00887ED7">
              <w:rPr>
                <w:lang w:val="es-419"/>
              </w:rPr>
              <w:t xml:space="preserve">. </w:t>
            </w:r>
            <w:r w:rsidRPr="00887ED7">
              <w:rPr>
                <w:lang w:val="es-419"/>
              </w:rPr>
              <w:t>Por el contrario, los demás países participantes suelen estar menos avanzados en el análisis del proyecto y, en consecuencia, necesitan más tiempo para constituir el equipo local de ejecución del proyecto e iniciar el proyecto;</w:t>
            </w:r>
          </w:p>
          <w:p w14:paraId="2018423D" w14:textId="77777777" w:rsidR="009F31D9" w:rsidRPr="00887ED7" w:rsidRDefault="009F31D9" w:rsidP="00066986">
            <w:pPr>
              <w:pStyle w:val="TableParagraph"/>
              <w:numPr>
                <w:ilvl w:val="0"/>
                <w:numId w:val="8"/>
              </w:numPr>
              <w:spacing w:before="74"/>
              <w:ind w:right="115"/>
              <w:rPr>
                <w:lang w:val="es-419"/>
              </w:rPr>
            </w:pPr>
            <w:r w:rsidRPr="00887ED7">
              <w:rPr>
                <w:lang w:val="es-419"/>
              </w:rPr>
              <w:t xml:space="preserve">La </w:t>
            </w:r>
            <w:r w:rsidRPr="00887ED7">
              <w:rPr>
                <w:color w:val="000000" w:themeColor="text1"/>
                <w:lang w:val="es-419"/>
              </w:rPr>
              <w:t xml:space="preserve">creación de un mecanismo de </w:t>
            </w:r>
            <w:r w:rsidRPr="00887ED7">
              <w:rPr>
                <w:lang w:val="es-419"/>
              </w:rPr>
              <w:t>gobernanza del proyecto inclusivo y participativo en cada país, aunque es difícil, es muy importante para obtener resultados satisfactorios;</w:t>
            </w:r>
          </w:p>
          <w:p w14:paraId="5DB1D634" w14:textId="07B0DCF4" w:rsidR="009F31D9" w:rsidRPr="00887ED7" w:rsidRDefault="009F31D9" w:rsidP="00066986">
            <w:pPr>
              <w:pStyle w:val="TableParagraph"/>
              <w:numPr>
                <w:ilvl w:val="0"/>
                <w:numId w:val="8"/>
              </w:numPr>
              <w:spacing w:before="74"/>
              <w:ind w:right="115"/>
              <w:rPr>
                <w:lang w:val="es-419"/>
              </w:rPr>
            </w:pPr>
            <w:r w:rsidRPr="00887ED7">
              <w:rPr>
                <w:color w:val="000000" w:themeColor="text1"/>
                <w:lang w:val="es-419"/>
              </w:rPr>
              <w:t>Cada país participante deberá asignar recursos suficientes para crear un equipo de coordinación local especializado</w:t>
            </w:r>
            <w:r w:rsidR="00887ED7">
              <w:rPr>
                <w:color w:val="000000" w:themeColor="text1"/>
                <w:lang w:val="es-419"/>
              </w:rPr>
              <w:t xml:space="preserve">. </w:t>
            </w:r>
            <w:r w:rsidRPr="00887ED7">
              <w:rPr>
                <w:color w:val="000000" w:themeColor="text1"/>
                <w:lang w:val="es-419"/>
              </w:rPr>
              <w:t xml:space="preserve">Esto garantizará la ejecución puntual del proyecto y una coordinación eficaz con el equipo de gestión de la OMPI; </w:t>
            </w:r>
          </w:p>
          <w:p w14:paraId="0A738400" w14:textId="0C719F69" w:rsidR="009F31D9" w:rsidRPr="00887ED7" w:rsidRDefault="009F31D9" w:rsidP="00066986">
            <w:pPr>
              <w:pStyle w:val="TableParagraph"/>
              <w:numPr>
                <w:ilvl w:val="0"/>
                <w:numId w:val="8"/>
              </w:numPr>
              <w:spacing w:before="74"/>
              <w:ind w:right="115"/>
              <w:rPr>
                <w:lang w:val="es-419"/>
              </w:rPr>
            </w:pPr>
            <w:r w:rsidRPr="00887ED7">
              <w:rPr>
                <w:lang w:val="es-419"/>
              </w:rPr>
              <w:t xml:space="preserve">La elección de los consultores es una condición esencial para </w:t>
            </w:r>
            <w:r w:rsidRPr="00887ED7">
              <w:rPr>
                <w:lang w:val="es-419"/>
              </w:rPr>
              <w:lastRenderedPageBreak/>
              <w:t>el éxito de los productos</w:t>
            </w:r>
            <w:r w:rsidR="00887ED7">
              <w:rPr>
                <w:lang w:val="es-419"/>
              </w:rPr>
              <w:t xml:space="preserve">. </w:t>
            </w:r>
            <w:r w:rsidRPr="00887ED7">
              <w:rPr>
                <w:lang w:val="es-419"/>
              </w:rPr>
              <w:t>Hay que dedicar suficiente tiempo a explorar diferentes perfiles y a colaborar con los coordinadores locales de los proyectos, que deben participar activamente en el proceso de selección.</w:t>
            </w:r>
          </w:p>
          <w:p w14:paraId="0C9BB830" w14:textId="77777777" w:rsidR="009F31D9" w:rsidRPr="00887ED7" w:rsidRDefault="009F31D9" w:rsidP="00066986">
            <w:pPr>
              <w:pStyle w:val="TableParagraph"/>
              <w:numPr>
                <w:ilvl w:val="0"/>
                <w:numId w:val="8"/>
              </w:numPr>
              <w:spacing w:before="74"/>
              <w:ind w:right="115"/>
              <w:rPr>
                <w:lang w:val="es-419"/>
              </w:rPr>
            </w:pPr>
            <w:r w:rsidRPr="00887ED7">
              <w:rPr>
                <w:lang w:val="es-419"/>
              </w:rPr>
              <w:t>Implicar a las partes interesadas en el proceso de toma de decisiones es primordial para garantizar su compromiso;</w:t>
            </w:r>
          </w:p>
          <w:p w14:paraId="4CF5C827" w14:textId="77777777" w:rsidR="009F31D9" w:rsidRPr="00887ED7" w:rsidRDefault="009F31D9" w:rsidP="00066986">
            <w:pPr>
              <w:pStyle w:val="TableParagraph"/>
              <w:numPr>
                <w:ilvl w:val="0"/>
                <w:numId w:val="8"/>
              </w:numPr>
              <w:spacing w:before="74"/>
              <w:ind w:right="115"/>
              <w:rPr>
                <w:lang w:val="es-419"/>
              </w:rPr>
            </w:pPr>
            <w:r w:rsidRPr="00887ED7">
              <w:rPr>
                <w:lang w:val="es-419"/>
              </w:rPr>
              <w:t>Las actividades de sensibilización en la fase inicial del proyecto son fundamentales;</w:t>
            </w:r>
          </w:p>
          <w:p w14:paraId="0C0C5B49" w14:textId="77777777" w:rsidR="009F31D9" w:rsidRPr="00887ED7" w:rsidRDefault="009F31D9" w:rsidP="00066986">
            <w:pPr>
              <w:pStyle w:val="TableParagraph"/>
              <w:numPr>
                <w:ilvl w:val="0"/>
                <w:numId w:val="8"/>
              </w:numPr>
              <w:spacing w:before="74"/>
              <w:ind w:right="115"/>
              <w:rPr>
                <w:lang w:val="es-419"/>
              </w:rPr>
            </w:pPr>
            <w:r w:rsidRPr="00887ED7">
              <w:rPr>
                <w:lang w:val="es-419"/>
              </w:rPr>
              <w:t>Deberán organizarse reuniones entre todos los países participantes durante las distintas fases del proyecto con el fin de promover los intercambios.</w:t>
            </w:r>
          </w:p>
          <w:p w14:paraId="5116AE33" w14:textId="77777777" w:rsidR="009F31D9" w:rsidRPr="00887ED7" w:rsidRDefault="009F31D9" w:rsidP="00066986">
            <w:pPr>
              <w:pStyle w:val="TableParagraph"/>
              <w:spacing w:before="74"/>
              <w:ind w:right="805"/>
              <w:rPr>
                <w:lang w:val="es-419"/>
              </w:rPr>
            </w:pPr>
          </w:p>
        </w:tc>
      </w:tr>
      <w:tr w:rsidR="009F31D9" w:rsidRPr="00887ED7" w14:paraId="02526662" w14:textId="77777777" w:rsidTr="00066986">
        <w:trPr>
          <w:trHeight w:val="631"/>
        </w:trPr>
        <w:tc>
          <w:tcPr>
            <w:tcW w:w="2377" w:type="dxa"/>
            <w:shd w:val="clear" w:color="auto" w:fill="8DB3E1"/>
            <w:vAlign w:val="center"/>
          </w:tcPr>
          <w:p w14:paraId="3873E116" w14:textId="77777777" w:rsidR="009F31D9" w:rsidRPr="00887ED7" w:rsidRDefault="009F31D9" w:rsidP="00066986">
            <w:pPr>
              <w:pStyle w:val="TableParagraph"/>
              <w:spacing w:before="1"/>
              <w:ind w:left="110"/>
              <w:rPr>
                <w:lang w:val="es-419"/>
              </w:rPr>
            </w:pPr>
            <w:r w:rsidRPr="00887ED7">
              <w:rPr>
                <w:u w:val="single"/>
                <w:lang w:val="es-419"/>
              </w:rPr>
              <w:lastRenderedPageBreak/>
              <w:t>Riesgos y mitigación</w:t>
            </w:r>
          </w:p>
        </w:tc>
        <w:tc>
          <w:tcPr>
            <w:tcW w:w="6913" w:type="dxa"/>
            <w:vAlign w:val="center"/>
          </w:tcPr>
          <w:p w14:paraId="508EE5AE" w14:textId="75AB6E02" w:rsidR="009F31D9" w:rsidRPr="00887ED7" w:rsidRDefault="009F31D9" w:rsidP="00066986">
            <w:pPr>
              <w:pStyle w:val="TableParagraph"/>
              <w:spacing w:before="240"/>
              <w:ind w:left="115" w:right="691"/>
              <w:rPr>
                <w:lang w:val="es-419"/>
              </w:rPr>
            </w:pPr>
            <w:r w:rsidRPr="00887ED7">
              <w:rPr>
                <w:lang w:val="es-419"/>
              </w:rPr>
              <w:t xml:space="preserve">A </w:t>
            </w:r>
            <w:r w:rsidR="0044229F" w:rsidRPr="00887ED7">
              <w:rPr>
                <w:lang w:val="es-419"/>
              </w:rPr>
              <w:t>continuación,</w:t>
            </w:r>
            <w:r w:rsidRPr="00887ED7">
              <w:rPr>
                <w:lang w:val="es-419"/>
              </w:rPr>
              <w:t xml:space="preserve"> se enumeran los riesgos que se detectaron en la fase de planificación del proyecto y que se materializaron durante la fase de ejecución</w:t>
            </w:r>
            <w:r w:rsidR="00887ED7">
              <w:rPr>
                <w:lang w:val="es-419"/>
              </w:rPr>
              <w:t xml:space="preserve">. </w:t>
            </w:r>
            <w:r w:rsidRPr="00887ED7">
              <w:rPr>
                <w:lang w:val="es-419"/>
              </w:rPr>
              <w:t xml:space="preserve">La determinación y aplicación de las estrategias de mitigación descritas a continuación estuvo a cargo del director del proyecto. </w:t>
            </w:r>
          </w:p>
          <w:p w14:paraId="150E1224" w14:textId="6DFC1604" w:rsidR="009F31D9" w:rsidRPr="00887ED7" w:rsidRDefault="009F31D9" w:rsidP="00066986">
            <w:pPr>
              <w:pStyle w:val="TableParagraph"/>
              <w:spacing w:before="240"/>
              <w:ind w:left="115" w:right="691"/>
              <w:rPr>
                <w:lang w:val="es-419"/>
              </w:rPr>
            </w:pPr>
            <w:r w:rsidRPr="00887ED7">
              <w:rPr>
                <w:lang w:val="es-419"/>
              </w:rPr>
              <w:t>Riesgo 1</w:t>
            </w:r>
            <w:r w:rsidR="00887ED7">
              <w:rPr>
                <w:lang w:val="es-419"/>
              </w:rPr>
              <w:t xml:space="preserve">: </w:t>
            </w:r>
            <w:r w:rsidRPr="00887ED7">
              <w:rPr>
                <w:lang w:val="es-419"/>
              </w:rPr>
              <w:t>La colaboración ininterrumpida con las autoridades nacionales y los coordinadores es fundamental para determinar el nivel de apoyo prestado por los países piloto, el buen desarrollo de las actividades y la ejecución oportuna del proyecto.</w:t>
            </w:r>
          </w:p>
          <w:p w14:paraId="57DA9EF5" w14:textId="511B0644" w:rsidR="009F31D9" w:rsidRPr="00887ED7" w:rsidRDefault="009F31D9" w:rsidP="00066986">
            <w:pPr>
              <w:pStyle w:val="TableParagraph"/>
              <w:spacing w:before="240"/>
              <w:ind w:left="115" w:right="691"/>
              <w:rPr>
                <w:lang w:val="es-419"/>
              </w:rPr>
            </w:pPr>
            <w:r w:rsidRPr="00887ED7">
              <w:rPr>
                <w:lang w:val="es-419"/>
              </w:rPr>
              <w:t>Mitigación 1</w:t>
            </w:r>
            <w:r w:rsidR="00887ED7">
              <w:rPr>
                <w:lang w:val="es-419"/>
              </w:rPr>
              <w:t xml:space="preserve">: </w:t>
            </w:r>
            <w:r w:rsidRPr="00887ED7">
              <w:rPr>
                <w:lang w:val="es-419"/>
              </w:rPr>
              <w:t xml:space="preserve">Con el fin de mitigar los riesgos, el director del proyecto celebrará consultas pormenorizadas y solicitará la plena participación de los asociados locales en la ejecución de las actividades. </w:t>
            </w:r>
          </w:p>
          <w:p w14:paraId="7910F976" w14:textId="7A59F5E3" w:rsidR="009F31D9" w:rsidRPr="00887ED7" w:rsidRDefault="009F31D9" w:rsidP="00066986">
            <w:pPr>
              <w:pStyle w:val="TableParagraph"/>
              <w:spacing w:before="240"/>
              <w:ind w:left="109" w:right="691"/>
              <w:rPr>
                <w:lang w:val="es-419"/>
              </w:rPr>
            </w:pPr>
            <w:r w:rsidRPr="00887ED7">
              <w:rPr>
                <w:lang w:val="es-419"/>
              </w:rPr>
              <w:t>Riesgo 2</w:t>
            </w:r>
            <w:r w:rsidR="00887ED7">
              <w:rPr>
                <w:lang w:val="es-419"/>
              </w:rPr>
              <w:t xml:space="preserve">: </w:t>
            </w:r>
            <w:r w:rsidRPr="00887ED7">
              <w:rPr>
                <w:lang w:val="es-419"/>
              </w:rPr>
              <w:t xml:space="preserve">Las condiciones en un país piloto seleccionado pueden impedir la ejecución del proyecto. </w:t>
            </w:r>
          </w:p>
          <w:p w14:paraId="1B3F299E" w14:textId="3BFBFB5E" w:rsidR="009F31D9" w:rsidRPr="00887ED7" w:rsidRDefault="009F31D9" w:rsidP="00066986">
            <w:pPr>
              <w:pStyle w:val="TableParagraph"/>
              <w:spacing w:before="240"/>
              <w:ind w:left="115" w:right="691"/>
              <w:rPr>
                <w:lang w:val="es-419"/>
              </w:rPr>
            </w:pPr>
            <w:r w:rsidRPr="00887ED7">
              <w:rPr>
                <w:lang w:val="es-419"/>
              </w:rPr>
              <w:t>Mitigación 2</w:t>
            </w:r>
            <w:r w:rsidR="00887ED7">
              <w:rPr>
                <w:lang w:val="es-419"/>
              </w:rPr>
              <w:t xml:space="preserve">: </w:t>
            </w:r>
            <w:r w:rsidRPr="00887ED7">
              <w:rPr>
                <w:lang w:val="es-419"/>
              </w:rPr>
              <w:t>Deberían celebrarse las negociaciones pertinentes y, de no lograrse un resultado satisfactorio, el proyecto en el país podría quedar suspendido o pospuesto.</w:t>
            </w:r>
          </w:p>
          <w:p w14:paraId="612C4EB7" w14:textId="59438597" w:rsidR="009F31D9" w:rsidRPr="00887ED7" w:rsidRDefault="009F31D9" w:rsidP="00066986">
            <w:pPr>
              <w:pStyle w:val="TableParagraph"/>
              <w:spacing w:before="240"/>
              <w:ind w:left="115" w:right="691"/>
              <w:rPr>
                <w:lang w:val="es-419"/>
              </w:rPr>
            </w:pPr>
            <w:r w:rsidRPr="00887ED7">
              <w:rPr>
                <w:lang w:val="es-419"/>
              </w:rPr>
              <w:t>Riesgo 3</w:t>
            </w:r>
            <w:r w:rsidR="00887ED7">
              <w:rPr>
                <w:lang w:val="es-419"/>
              </w:rPr>
              <w:t xml:space="preserve">: </w:t>
            </w:r>
            <w:r w:rsidRPr="00887ED7">
              <w:rPr>
                <w:lang w:val="es-419"/>
              </w:rPr>
              <w:t>Dificultad para encontrar expertos que tengan la experiencia y los conocimientos necesarios sobre la interrelación de la PI con la promoción del turismo gastronómico</w:t>
            </w:r>
            <w:r w:rsidR="00887ED7">
              <w:rPr>
                <w:lang w:val="es-419"/>
              </w:rPr>
              <w:t xml:space="preserve">. </w:t>
            </w:r>
          </w:p>
          <w:p w14:paraId="7BD4A4C8" w14:textId="672FC841" w:rsidR="009F31D9" w:rsidRPr="00887ED7" w:rsidRDefault="009F31D9" w:rsidP="00066986">
            <w:pPr>
              <w:pStyle w:val="TableParagraph"/>
              <w:spacing w:before="240"/>
              <w:ind w:left="115" w:right="691"/>
              <w:rPr>
                <w:lang w:val="es-419"/>
              </w:rPr>
            </w:pPr>
            <w:r w:rsidRPr="00887ED7">
              <w:rPr>
                <w:lang w:val="es-419"/>
              </w:rPr>
              <w:t>Mitigación 3</w:t>
            </w:r>
            <w:r w:rsidR="00887ED7">
              <w:rPr>
                <w:lang w:val="es-419"/>
              </w:rPr>
              <w:t xml:space="preserve">: </w:t>
            </w:r>
            <w:r w:rsidRPr="00887ED7">
              <w:rPr>
                <w:lang w:val="es-419"/>
              </w:rPr>
              <w:t>Convendría buscar lo antes posible la cooperación con otros organismos especializados, fondos y/o programas pertinentes de las Naciones Unidas.</w:t>
            </w:r>
          </w:p>
          <w:p w14:paraId="27C298D9" w14:textId="52A95720" w:rsidR="009F31D9" w:rsidRPr="00887ED7" w:rsidRDefault="009F31D9" w:rsidP="00066986">
            <w:pPr>
              <w:pStyle w:val="TableParagraph"/>
              <w:spacing w:before="240"/>
              <w:ind w:left="115" w:right="691"/>
              <w:rPr>
                <w:lang w:val="es-419"/>
              </w:rPr>
            </w:pPr>
            <w:r w:rsidRPr="00887ED7">
              <w:rPr>
                <w:lang w:val="es-419"/>
              </w:rPr>
              <w:t>Riesgo 4</w:t>
            </w:r>
            <w:r w:rsidR="00887ED7">
              <w:rPr>
                <w:lang w:val="es-419"/>
              </w:rPr>
              <w:t xml:space="preserve">: </w:t>
            </w:r>
            <w:r w:rsidRPr="00887ED7">
              <w:rPr>
                <w:lang w:val="es-419"/>
              </w:rPr>
              <w:t>Las restricciones relacionadas con la pandemia de COVID-19 podrían seguir afectando a la celebración de las actividades, y la metodología de investigación de los estudios exploratorios y el análisis de PI.</w:t>
            </w:r>
          </w:p>
          <w:p w14:paraId="6F6E90F9" w14:textId="680FDA8B" w:rsidR="009F31D9" w:rsidRPr="00887ED7" w:rsidRDefault="009F31D9" w:rsidP="00066986">
            <w:pPr>
              <w:pStyle w:val="TableParagraph"/>
              <w:spacing w:before="240"/>
              <w:ind w:left="115" w:right="691"/>
              <w:rPr>
                <w:lang w:val="es-419"/>
              </w:rPr>
            </w:pPr>
            <w:r w:rsidRPr="00887ED7">
              <w:rPr>
                <w:lang w:val="es-419"/>
              </w:rPr>
              <w:t>Mitigación 4</w:t>
            </w:r>
            <w:r w:rsidR="00887ED7">
              <w:rPr>
                <w:lang w:val="es-419"/>
              </w:rPr>
              <w:t xml:space="preserve">: </w:t>
            </w:r>
            <w:r w:rsidRPr="00887ED7">
              <w:rPr>
                <w:lang w:val="es-419"/>
              </w:rPr>
              <w:t xml:space="preserve">Planificar la celebración de las actividades en formato híbrido, y sustituir las actividades de investigación </w:t>
            </w:r>
            <w:r w:rsidRPr="00887ED7">
              <w:rPr>
                <w:lang w:val="es-419"/>
              </w:rPr>
              <w:lastRenderedPageBreak/>
              <w:t xml:space="preserve">presenciales por herramientas de investigación en línea. </w:t>
            </w:r>
          </w:p>
          <w:p w14:paraId="7FBC9FFB" w14:textId="77777777" w:rsidR="009F31D9" w:rsidRPr="00887ED7" w:rsidRDefault="009F31D9" w:rsidP="00066986">
            <w:pPr>
              <w:pStyle w:val="TableParagraph"/>
              <w:spacing w:before="1"/>
              <w:ind w:left="109" w:right="696"/>
              <w:rPr>
                <w:lang w:val="es-419"/>
              </w:rPr>
            </w:pPr>
          </w:p>
        </w:tc>
      </w:tr>
      <w:tr w:rsidR="009F31D9" w:rsidRPr="00887ED7" w14:paraId="7F045F6C" w14:textId="77777777" w:rsidTr="00066986">
        <w:trPr>
          <w:trHeight w:val="703"/>
        </w:trPr>
        <w:tc>
          <w:tcPr>
            <w:tcW w:w="2377" w:type="dxa"/>
            <w:shd w:val="clear" w:color="auto" w:fill="8DB3E1"/>
            <w:vAlign w:val="center"/>
          </w:tcPr>
          <w:p w14:paraId="2E2E7D5E" w14:textId="77777777" w:rsidR="009F31D9" w:rsidRPr="00887ED7" w:rsidRDefault="009F31D9" w:rsidP="00066986">
            <w:pPr>
              <w:pStyle w:val="TableParagraph"/>
              <w:ind w:left="110" w:right="212"/>
              <w:rPr>
                <w:lang w:val="es-419"/>
              </w:rPr>
            </w:pPr>
            <w:r w:rsidRPr="00887ED7">
              <w:rPr>
                <w:u w:val="single"/>
                <w:lang w:val="es-419"/>
              </w:rPr>
              <w:lastRenderedPageBreak/>
              <w:t>Porcentaje de ejecución del proyecto</w:t>
            </w:r>
          </w:p>
        </w:tc>
        <w:tc>
          <w:tcPr>
            <w:tcW w:w="6913" w:type="dxa"/>
            <w:vAlign w:val="center"/>
          </w:tcPr>
          <w:p w14:paraId="488C48BB" w14:textId="1F4EBF35" w:rsidR="009F31D9" w:rsidRPr="00887ED7" w:rsidRDefault="009F31D9" w:rsidP="00066986">
            <w:pPr>
              <w:pStyle w:val="TableParagraph"/>
              <w:spacing w:before="240"/>
              <w:ind w:left="115" w:right="677"/>
              <w:rPr>
                <w:lang w:val="es-419"/>
              </w:rPr>
            </w:pPr>
            <w:r w:rsidRPr="00887ED7">
              <w:rPr>
                <w:lang w:val="es-419"/>
              </w:rPr>
              <w:t>El porcentaje de utilización del presupuesto a finales de diciembre de 2022, proporcional al presupuesto total asignado al proyecto, es de 47%</w:t>
            </w:r>
            <w:r w:rsidRPr="00887ED7">
              <w:rPr>
                <w:rStyle w:val="FootnoteReference"/>
                <w:lang w:val="es-419"/>
              </w:rPr>
              <w:footnoteReference w:id="2"/>
            </w:r>
            <w:r w:rsidR="009C5191" w:rsidRPr="00887ED7">
              <w:rPr>
                <w:lang w:val="es-419"/>
              </w:rPr>
              <w:t>.</w:t>
            </w:r>
            <w:r w:rsidRPr="00887ED7">
              <w:rPr>
                <w:lang w:val="es-419"/>
              </w:rPr>
              <w:t xml:space="preserve"> </w:t>
            </w:r>
          </w:p>
          <w:p w14:paraId="0DB8A0FA" w14:textId="77777777" w:rsidR="009F31D9" w:rsidRPr="00887ED7" w:rsidRDefault="009F31D9" w:rsidP="00066986">
            <w:pPr>
              <w:pStyle w:val="TableParagraph"/>
              <w:ind w:left="109" w:right="683"/>
              <w:rPr>
                <w:lang w:val="es-419"/>
              </w:rPr>
            </w:pPr>
          </w:p>
        </w:tc>
      </w:tr>
      <w:tr w:rsidR="009F31D9" w:rsidRPr="00887ED7" w14:paraId="273240FB" w14:textId="77777777" w:rsidTr="00066986">
        <w:trPr>
          <w:trHeight w:val="631"/>
        </w:trPr>
        <w:tc>
          <w:tcPr>
            <w:tcW w:w="2377" w:type="dxa"/>
            <w:shd w:val="clear" w:color="auto" w:fill="8DB3E1"/>
            <w:vAlign w:val="center"/>
          </w:tcPr>
          <w:p w14:paraId="65CDB2CF" w14:textId="77777777" w:rsidR="009F31D9" w:rsidRPr="00887ED7" w:rsidRDefault="009F31D9" w:rsidP="00066986">
            <w:pPr>
              <w:pStyle w:val="TableParagraph"/>
              <w:ind w:left="110"/>
              <w:rPr>
                <w:lang w:val="es-419"/>
              </w:rPr>
            </w:pPr>
            <w:r w:rsidRPr="00887ED7">
              <w:rPr>
                <w:u w:val="single"/>
                <w:lang w:val="es-419"/>
              </w:rPr>
              <w:t>Informes previos</w:t>
            </w:r>
          </w:p>
        </w:tc>
        <w:tc>
          <w:tcPr>
            <w:tcW w:w="6913" w:type="dxa"/>
            <w:vAlign w:val="center"/>
          </w:tcPr>
          <w:p w14:paraId="1F51A3B7" w14:textId="77777777" w:rsidR="009F31D9" w:rsidRPr="00887ED7" w:rsidRDefault="009F31D9" w:rsidP="00066986">
            <w:pPr>
              <w:pStyle w:val="TableParagraph"/>
              <w:spacing w:before="240"/>
              <w:ind w:left="115" w:right="893"/>
              <w:rPr>
                <w:lang w:val="es-419"/>
              </w:rPr>
            </w:pPr>
            <w:r w:rsidRPr="00887ED7">
              <w:rPr>
                <w:lang w:val="es-419"/>
              </w:rPr>
              <w:t>1. El primer informe de situación figura en el Anexo IV del documento CDIP/24/2;</w:t>
            </w:r>
          </w:p>
          <w:p w14:paraId="1A026844" w14:textId="77777777" w:rsidR="009F31D9" w:rsidRPr="00887ED7" w:rsidRDefault="009F31D9" w:rsidP="00066986">
            <w:pPr>
              <w:pStyle w:val="TableParagraph"/>
              <w:ind w:left="109" w:right="892"/>
              <w:rPr>
                <w:lang w:val="es-419"/>
              </w:rPr>
            </w:pPr>
            <w:r w:rsidRPr="00887ED7">
              <w:rPr>
                <w:lang w:val="es-419"/>
              </w:rPr>
              <w:t>2. El segundo informe de situación figura en el Anexo V del documento CDIP/26/2;</w:t>
            </w:r>
          </w:p>
          <w:p w14:paraId="6966C8CD" w14:textId="77777777" w:rsidR="009F31D9" w:rsidRPr="00887ED7" w:rsidRDefault="009F31D9" w:rsidP="00066986">
            <w:pPr>
              <w:pStyle w:val="TableParagraph"/>
              <w:ind w:left="109" w:right="892"/>
              <w:rPr>
                <w:lang w:val="es-419"/>
              </w:rPr>
            </w:pPr>
            <w:r w:rsidRPr="00887ED7">
              <w:rPr>
                <w:lang w:val="es-419"/>
              </w:rPr>
              <w:t xml:space="preserve">3. El tercer informe de situación figura en el Anexo IV del documento CDIP/29/2. </w:t>
            </w:r>
          </w:p>
        </w:tc>
      </w:tr>
      <w:tr w:rsidR="009F31D9" w:rsidRPr="00887ED7" w14:paraId="63F0D4BE" w14:textId="77777777" w:rsidTr="00066986">
        <w:trPr>
          <w:trHeight w:val="846"/>
        </w:trPr>
        <w:tc>
          <w:tcPr>
            <w:tcW w:w="2377" w:type="dxa"/>
            <w:shd w:val="clear" w:color="auto" w:fill="8DB3E1"/>
            <w:vAlign w:val="center"/>
          </w:tcPr>
          <w:p w14:paraId="4DF3B539" w14:textId="77777777" w:rsidR="009F31D9" w:rsidRPr="00887ED7" w:rsidRDefault="009F31D9" w:rsidP="00066986">
            <w:pPr>
              <w:pStyle w:val="TableParagraph"/>
              <w:ind w:left="110" w:right="855"/>
              <w:rPr>
                <w:lang w:val="es-419"/>
              </w:rPr>
            </w:pPr>
            <w:r w:rsidRPr="00887ED7">
              <w:rPr>
                <w:u w:val="single"/>
                <w:lang w:val="es-419"/>
              </w:rPr>
              <w:t>Seguimiento y difusión</w:t>
            </w:r>
          </w:p>
        </w:tc>
        <w:tc>
          <w:tcPr>
            <w:tcW w:w="6913" w:type="dxa"/>
            <w:vAlign w:val="center"/>
          </w:tcPr>
          <w:p w14:paraId="197C35F5" w14:textId="055FEB7A" w:rsidR="009F31D9" w:rsidRPr="00887ED7" w:rsidRDefault="009F31D9" w:rsidP="00066986">
            <w:pPr>
              <w:pStyle w:val="TableParagraph"/>
              <w:spacing w:before="240" w:after="240"/>
              <w:ind w:left="115"/>
              <w:rPr>
                <w:lang w:val="es-419"/>
              </w:rPr>
            </w:pPr>
            <w:r w:rsidRPr="00887ED7">
              <w:rPr>
                <w:u w:val="single"/>
                <w:lang w:val="es-419"/>
              </w:rPr>
              <w:t>Seguimiento</w:t>
            </w:r>
            <w:r w:rsidR="00887ED7">
              <w:rPr>
                <w:lang w:val="es-419"/>
              </w:rPr>
              <w:t xml:space="preserve">: </w:t>
            </w:r>
            <w:r w:rsidRPr="00887ED7">
              <w:rPr>
                <w:lang w:val="es-419"/>
              </w:rPr>
              <w:t>Los cuatro países participantes han expresado su interés de que se lleve a cabo una Fase II del proyecto para poner en práctica las recomendaciones formuladas en el análisis de PI con respecto a una especialidad tradicional concreta</w:t>
            </w:r>
            <w:r w:rsidR="00887ED7">
              <w:rPr>
                <w:lang w:val="es-419"/>
              </w:rPr>
              <w:t xml:space="preserve">. </w:t>
            </w:r>
            <w:r w:rsidRPr="00887ED7">
              <w:rPr>
                <w:lang w:val="es-419"/>
              </w:rPr>
              <w:t>Una propuesta de Fase II se ha sometido a consideración de la 30.ª sesión del CDIP.</w:t>
            </w:r>
          </w:p>
          <w:p w14:paraId="4D2EC135" w14:textId="77777777" w:rsidR="009F31D9" w:rsidRPr="00887ED7" w:rsidRDefault="009F31D9" w:rsidP="00066986">
            <w:pPr>
              <w:pStyle w:val="TableParagraph"/>
              <w:spacing w:after="240"/>
              <w:ind w:left="115"/>
              <w:rPr>
                <w:lang w:val="es-419"/>
              </w:rPr>
            </w:pPr>
            <w:r w:rsidRPr="00887ED7">
              <w:rPr>
                <w:u w:val="single"/>
                <w:lang w:val="es-419"/>
              </w:rPr>
              <w:t>Difusión</w:t>
            </w:r>
          </w:p>
          <w:p w14:paraId="15B6F9DB" w14:textId="45A5012B" w:rsidR="009F31D9" w:rsidRPr="00887ED7" w:rsidRDefault="009F31D9" w:rsidP="00066986">
            <w:pPr>
              <w:pStyle w:val="TableParagraph"/>
              <w:numPr>
                <w:ilvl w:val="0"/>
                <w:numId w:val="8"/>
              </w:numPr>
              <w:ind w:right="109"/>
              <w:rPr>
                <w:lang w:val="es-419"/>
              </w:rPr>
            </w:pPr>
            <w:r w:rsidRPr="00887ED7">
              <w:rPr>
                <w:u w:val="single"/>
                <w:lang w:val="es-419"/>
              </w:rPr>
              <w:t>Una página web específica al proyecto en el sitio web de la OMPI</w:t>
            </w:r>
            <w:r w:rsidRPr="00887ED7">
              <w:rPr>
                <w:lang w:val="es-419"/>
              </w:rPr>
              <w:t xml:space="preserve"> (</w:t>
            </w:r>
            <w:hyperlink r:id="rId28" w:history="1">
              <w:r w:rsidRPr="00887ED7">
                <w:rPr>
                  <w:rStyle w:val="Hyperlink"/>
                  <w:lang w:val="es-419"/>
                </w:rPr>
                <w:t>https://www.wipo.int/ip-development/es/agenda/projects/ip-and-gastronomic-tourism.html</w:t>
              </w:r>
            </w:hyperlink>
            <w:r w:rsidRPr="00887ED7">
              <w:rPr>
                <w:lang w:val="es-419"/>
              </w:rPr>
              <w:t>) incluye toda la documentación del proyecto, el material y las herramientas elaboradas en el marco del proyecto</w:t>
            </w:r>
            <w:r w:rsidR="00887ED7">
              <w:rPr>
                <w:lang w:val="es-419"/>
              </w:rPr>
              <w:t xml:space="preserve">. </w:t>
            </w:r>
            <w:r w:rsidRPr="00887ED7">
              <w:rPr>
                <w:lang w:val="es-419"/>
              </w:rPr>
              <w:t>La página web ha atraído 767 visitas y 359 descargas de 79 países/regiones desde su publicación en junio de 2022 (datos recogidos en diciembre de 2022)</w:t>
            </w:r>
            <w:r w:rsidR="00887ED7">
              <w:rPr>
                <w:lang w:val="es-419"/>
              </w:rPr>
              <w:t xml:space="preserve">. </w:t>
            </w:r>
            <w:r w:rsidRPr="00887ED7">
              <w:rPr>
                <w:lang w:val="es-419"/>
              </w:rPr>
              <w:t>La página está disponible en las seis lenguas oficiales de las Naciones Unidas y permanecerá accesible en el sitio web de la OMPI y se actualizará, cuando proceda.</w:t>
            </w:r>
          </w:p>
          <w:p w14:paraId="279BF3BE" w14:textId="6D54AC14" w:rsidR="009F31D9" w:rsidRPr="00887ED7" w:rsidRDefault="009F31D9" w:rsidP="00066986">
            <w:pPr>
              <w:pStyle w:val="TableParagraph"/>
              <w:numPr>
                <w:ilvl w:val="0"/>
                <w:numId w:val="8"/>
              </w:numPr>
              <w:spacing w:before="74"/>
              <w:ind w:right="115"/>
              <w:rPr>
                <w:lang w:val="es-419"/>
              </w:rPr>
            </w:pPr>
            <w:r w:rsidRPr="00887ED7">
              <w:rPr>
                <w:lang w:val="es-419"/>
              </w:rPr>
              <w:t>Herramientas</w:t>
            </w:r>
            <w:r w:rsidR="00887ED7">
              <w:rPr>
                <w:lang w:val="es-419"/>
              </w:rPr>
              <w:t xml:space="preserve">: </w:t>
            </w:r>
            <w:r w:rsidRPr="00887ED7">
              <w:rPr>
                <w:lang w:val="es-419"/>
              </w:rPr>
              <w:t>Los vídeos y folletos preparados por los cuatro países participantes seguirán siendo utilizados por los beneficiarios y estarán disponibles para el uso de todas las partes interesadas.</w:t>
            </w:r>
          </w:p>
          <w:p w14:paraId="24E287CF" w14:textId="77777777" w:rsidR="009F31D9" w:rsidRPr="00887ED7" w:rsidRDefault="009F31D9" w:rsidP="00066986">
            <w:pPr>
              <w:pStyle w:val="TableParagraph"/>
              <w:ind w:left="109"/>
              <w:rPr>
                <w:lang w:val="es-419"/>
              </w:rPr>
            </w:pPr>
          </w:p>
          <w:p w14:paraId="2180C420" w14:textId="77777777" w:rsidR="009F31D9" w:rsidRPr="00887ED7" w:rsidRDefault="009F31D9" w:rsidP="00066986">
            <w:pPr>
              <w:pStyle w:val="TableParagraph"/>
              <w:ind w:left="109"/>
              <w:rPr>
                <w:lang w:val="es-419"/>
              </w:rPr>
            </w:pPr>
          </w:p>
        </w:tc>
      </w:tr>
    </w:tbl>
    <w:p w14:paraId="291E640D" w14:textId="77777777" w:rsidR="009F31D9" w:rsidRPr="00887ED7" w:rsidRDefault="009F31D9" w:rsidP="009F31D9">
      <w:pPr>
        <w:pStyle w:val="BodyText"/>
        <w:rPr>
          <w:szCs w:val="22"/>
          <w:lang w:val="es-419"/>
        </w:rPr>
      </w:pPr>
      <w:r w:rsidRPr="00887ED7">
        <w:rPr>
          <w:lang w:val="es-419"/>
        </w:rPr>
        <w:br w:type="page"/>
      </w:r>
    </w:p>
    <w:p w14:paraId="0DF11733" w14:textId="77777777" w:rsidR="009F31D9" w:rsidRPr="00887ED7" w:rsidRDefault="009F31D9" w:rsidP="009F31D9">
      <w:pPr>
        <w:pStyle w:val="BodyText"/>
        <w:spacing w:before="1"/>
        <w:ind w:left="136"/>
        <w:rPr>
          <w:szCs w:val="22"/>
          <w:lang w:val="es-419"/>
        </w:rPr>
      </w:pPr>
      <w:r w:rsidRPr="00887ED7">
        <w:rPr>
          <w:lang w:val="es-419"/>
        </w:rPr>
        <w:lastRenderedPageBreak/>
        <w:t>EVALUACIÓN INTERNA DEL PROYECTO</w:t>
      </w:r>
    </w:p>
    <w:p w14:paraId="7513B626" w14:textId="77777777" w:rsidR="009F31D9" w:rsidRPr="00887ED7" w:rsidRDefault="009F31D9" w:rsidP="009F31D9">
      <w:pPr>
        <w:pStyle w:val="BodyText"/>
        <w:ind w:left="136"/>
        <w:rPr>
          <w:szCs w:val="22"/>
          <w:lang w:val="es-419"/>
        </w:rPr>
      </w:pPr>
      <w:r w:rsidRPr="00887ED7">
        <w:rPr>
          <w:lang w:val="es-419"/>
        </w:rPr>
        <w:t>Clave de colores:</w:t>
      </w:r>
    </w:p>
    <w:tbl>
      <w:tblPr>
        <w:tblW w:w="0" w:type="auto"/>
        <w:tblInd w:w="1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16"/>
        <w:gridCol w:w="1678"/>
        <w:gridCol w:w="1798"/>
        <w:gridCol w:w="1894"/>
        <w:gridCol w:w="2564"/>
      </w:tblGrid>
      <w:tr w:rsidR="009F31D9" w:rsidRPr="00887ED7" w14:paraId="75A9AD9C" w14:textId="77777777" w:rsidTr="00066986">
        <w:trPr>
          <w:trHeight w:val="470"/>
        </w:trPr>
        <w:tc>
          <w:tcPr>
            <w:tcW w:w="1416" w:type="dxa"/>
            <w:shd w:val="clear" w:color="auto" w:fill="7BBEDA"/>
          </w:tcPr>
          <w:p w14:paraId="103FB99B" w14:textId="77777777" w:rsidR="009F31D9" w:rsidRPr="00887ED7" w:rsidRDefault="009F31D9" w:rsidP="00066986">
            <w:pPr>
              <w:pStyle w:val="TableParagraph"/>
              <w:spacing w:before="105"/>
              <w:ind w:left="110"/>
              <w:rPr>
                <w:lang w:val="es-419"/>
              </w:rPr>
            </w:pPr>
            <w:r w:rsidRPr="00887ED7">
              <w:rPr>
                <w:lang w:val="es-419"/>
              </w:rPr>
              <w:t>****</w:t>
            </w:r>
          </w:p>
        </w:tc>
        <w:tc>
          <w:tcPr>
            <w:tcW w:w="1678" w:type="dxa"/>
            <w:shd w:val="clear" w:color="auto" w:fill="7BBEDA"/>
          </w:tcPr>
          <w:p w14:paraId="77C03510" w14:textId="77777777" w:rsidR="009F31D9" w:rsidRPr="00887ED7" w:rsidRDefault="009F31D9" w:rsidP="00066986">
            <w:pPr>
              <w:pStyle w:val="TableParagraph"/>
              <w:spacing w:before="105"/>
              <w:ind w:left="110"/>
              <w:rPr>
                <w:lang w:val="es-419"/>
              </w:rPr>
            </w:pPr>
            <w:r w:rsidRPr="00887ED7">
              <w:rPr>
                <w:lang w:val="es-419"/>
              </w:rPr>
              <w:t>***</w:t>
            </w:r>
          </w:p>
        </w:tc>
        <w:tc>
          <w:tcPr>
            <w:tcW w:w="1798" w:type="dxa"/>
            <w:shd w:val="clear" w:color="auto" w:fill="7BBEDA"/>
          </w:tcPr>
          <w:p w14:paraId="23C0AB23" w14:textId="77777777" w:rsidR="009F31D9" w:rsidRPr="00887ED7" w:rsidRDefault="009F31D9" w:rsidP="00066986">
            <w:pPr>
              <w:pStyle w:val="TableParagraph"/>
              <w:spacing w:before="105"/>
              <w:ind w:left="108"/>
              <w:rPr>
                <w:lang w:val="es-419"/>
              </w:rPr>
            </w:pPr>
            <w:r w:rsidRPr="00887ED7">
              <w:rPr>
                <w:lang w:val="es-419"/>
              </w:rPr>
              <w:t>**</w:t>
            </w:r>
          </w:p>
        </w:tc>
        <w:tc>
          <w:tcPr>
            <w:tcW w:w="1894" w:type="dxa"/>
            <w:shd w:val="clear" w:color="auto" w:fill="7BBEDA"/>
          </w:tcPr>
          <w:p w14:paraId="31722F2A" w14:textId="77777777" w:rsidR="009F31D9" w:rsidRPr="00887ED7" w:rsidRDefault="009F31D9" w:rsidP="00066986">
            <w:pPr>
              <w:pStyle w:val="TableParagraph"/>
              <w:spacing w:before="105"/>
              <w:ind w:left="108"/>
              <w:rPr>
                <w:lang w:val="es-419"/>
              </w:rPr>
            </w:pPr>
            <w:r w:rsidRPr="00887ED7">
              <w:rPr>
                <w:lang w:val="es-419"/>
              </w:rPr>
              <w:t>SA</w:t>
            </w:r>
          </w:p>
        </w:tc>
        <w:tc>
          <w:tcPr>
            <w:tcW w:w="2564" w:type="dxa"/>
            <w:shd w:val="clear" w:color="auto" w:fill="7BBEDA"/>
          </w:tcPr>
          <w:p w14:paraId="048822BF" w14:textId="77777777" w:rsidR="009F31D9" w:rsidRPr="00887ED7" w:rsidRDefault="009F31D9" w:rsidP="00066986">
            <w:pPr>
              <w:pStyle w:val="TableParagraph"/>
              <w:spacing w:before="105"/>
              <w:ind w:left="110"/>
              <w:rPr>
                <w:lang w:val="es-419"/>
              </w:rPr>
            </w:pPr>
            <w:r w:rsidRPr="00887ED7">
              <w:rPr>
                <w:lang w:val="es-419"/>
              </w:rPr>
              <w:t>ND</w:t>
            </w:r>
          </w:p>
        </w:tc>
      </w:tr>
      <w:tr w:rsidR="009F31D9" w:rsidRPr="00887ED7" w14:paraId="3F78FB5F" w14:textId="77777777" w:rsidTr="00066986">
        <w:trPr>
          <w:trHeight w:val="506"/>
        </w:trPr>
        <w:tc>
          <w:tcPr>
            <w:tcW w:w="1416" w:type="dxa"/>
            <w:shd w:val="clear" w:color="auto" w:fill="7BBEDA"/>
          </w:tcPr>
          <w:p w14:paraId="09762AAB" w14:textId="77777777" w:rsidR="009F31D9" w:rsidRPr="00887ED7" w:rsidRDefault="009F31D9" w:rsidP="00066986">
            <w:pPr>
              <w:pStyle w:val="TableParagraph"/>
              <w:spacing w:line="252" w:lineRule="exact"/>
              <w:ind w:left="110" w:right="408"/>
              <w:rPr>
                <w:lang w:val="es-419"/>
              </w:rPr>
            </w:pPr>
            <w:r w:rsidRPr="00887ED7">
              <w:rPr>
                <w:lang w:val="es-419"/>
              </w:rPr>
              <w:t>Plenamente logrado</w:t>
            </w:r>
          </w:p>
        </w:tc>
        <w:tc>
          <w:tcPr>
            <w:tcW w:w="1678" w:type="dxa"/>
            <w:shd w:val="clear" w:color="auto" w:fill="7BBEDA"/>
          </w:tcPr>
          <w:p w14:paraId="154F924E" w14:textId="77777777" w:rsidR="009F31D9" w:rsidRPr="00887ED7" w:rsidRDefault="009F31D9" w:rsidP="00066986">
            <w:pPr>
              <w:pStyle w:val="TableParagraph"/>
              <w:spacing w:line="252" w:lineRule="exact"/>
              <w:ind w:left="110" w:right="687"/>
              <w:rPr>
                <w:lang w:val="es-419"/>
              </w:rPr>
            </w:pPr>
            <w:r w:rsidRPr="00887ED7">
              <w:rPr>
                <w:lang w:val="es-419"/>
              </w:rPr>
              <w:t>Avance notable</w:t>
            </w:r>
          </w:p>
        </w:tc>
        <w:tc>
          <w:tcPr>
            <w:tcW w:w="1798" w:type="dxa"/>
            <w:shd w:val="clear" w:color="auto" w:fill="7BBEDA"/>
          </w:tcPr>
          <w:p w14:paraId="28AC65F2" w14:textId="77777777" w:rsidR="009F31D9" w:rsidRPr="00887ED7" w:rsidRDefault="009F31D9" w:rsidP="00066986">
            <w:pPr>
              <w:pStyle w:val="TableParagraph"/>
              <w:spacing w:line="251" w:lineRule="exact"/>
              <w:ind w:left="108"/>
              <w:rPr>
                <w:lang w:val="es-419"/>
              </w:rPr>
            </w:pPr>
            <w:r w:rsidRPr="00887ED7">
              <w:rPr>
                <w:lang w:val="es-419"/>
              </w:rPr>
              <w:t>Avance parcial</w:t>
            </w:r>
          </w:p>
        </w:tc>
        <w:tc>
          <w:tcPr>
            <w:tcW w:w="1894" w:type="dxa"/>
            <w:shd w:val="clear" w:color="auto" w:fill="7BBEDA"/>
          </w:tcPr>
          <w:p w14:paraId="78CFC3CF" w14:textId="18C5DB03" w:rsidR="009F31D9" w:rsidRPr="00887ED7" w:rsidRDefault="00646205" w:rsidP="00066986">
            <w:pPr>
              <w:pStyle w:val="TableParagraph"/>
              <w:spacing w:line="251" w:lineRule="exact"/>
              <w:ind w:left="108"/>
              <w:rPr>
                <w:lang w:val="es-419"/>
              </w:rPr>
            </w:pPr>
            <w:r w:rsidRPr="00887ED7">
              <w:rPr>
                <w:lang w:val="es-419"/>
              </w:rPr>
              <w:t>Sin</w:t>
            </w:r>
            <w:r w:rsidR="009F31D9" w:rsidRPr="00887ED7">
              <w:rPr>
                <w:lang w:val="es-419"/>
              </w:rPr>
              <w:t xml:space="preserve"> avance</w:t>
            </w:r>
          </w:p>
        </w:tc>
        <w:tc>
          <w:tcPr>
            <w:tcW w:w="2564" w:type="dxa"/>
            <w:shd w:val="clear" w:color="auto" w:fill="7BBEDA"/>
          </w:tcPr>
          <w:p w14:paraId="5597E6AA" w14:textId="771E32DB" w:rsidR="009F31D9" w:rsidRPr="00887ED7" w:rsidRDefault="00646205" w:rsidP="00066986">
            <w:pPr>
              <w:pStyle w:val="TableParagraph"/>
              <w:spacing w:line="252" w:lineRule="exact"/>
              <w:ind w:left="110" w:right="203"/>
              <w:rPr>
                <w:lang w:val="es-419"/>
              </w:rPr>
            </w:pPr>
            <w:r w:rsidRPr="00887ED7">
              <w:rPr>
                <w:lang w:val="es-419"/>
              </w:rPr>
              <w:t>No disponible (s</w:t>
            </w:r>
            <w:r w:rsidR="009F31D9" w:rsidRPr="00887ED7">
              <w:rPr>
                <w:lang w:val="es-419"/>
              </w:rPr>
              <w:t>in evaluar/actividad interrumpida</w:t>
            </w:r>
            <w:r w:rsidR="0024395A" w:rsidRPr="00887ED7">
              <w:rPr>
                <w:lang w:val="es-419"/>
              </w:rPr>
              <w:t>)</w:t>
            </w:r>
          </w:p>
        </w:tc>
      </w:tr>
    </w:tbl>
    <w:p w14:paraId="1F504FC5" w14:textId="77777777" w:rsidR="009F31D9" w:rsidRPr="00887ED7" w:rsidRDefault="009F31D9" w:rsidP="009F31D9">
      <w:pPr>
        <w:pStyle w:val="BodyText"/>
        <w:spacing w:after="120"/>
        <w:rPr>
          <w:sz w:val="18"/>
          <w:szCs w:val="18"/>
          <w:lang w:val="es-419"/>
        </w:rPr>
      </w:pPr>
    </w:p>
    <w:tbl>
      <w:tblPr>
        <w:tblW w:w="9382"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10"/>
        <w:gridCol w:w="2695"/>
        <w:gridCol w:w="3401"/>
        <w:gridCol w:w="876"/>
      </w:tblGrid>
      <w:tr w:rsidR="009F31D9" w:rsidRPr="00887ED7" w14:paraId="32B57E9B" w14:textId="77777777" w:rsidTr="00066986">
        <w:trPr>
          <w:trHeight w:val="1265"/>
        </w:trPr>
        <w:tc>
          <w:tcPr>
            <w:tcW w:w="2410" w:type="dxa"/>
            <w:shd w:val="clear" w:color="auto" w:fill="8DB3E1"/>
          </w:tcPr>
          <w:p w14:paraId="6710ED64" w14:textId="77777777" w:rsidR="009F31D9" w:rsidRPr="00887ED7" w:rsidRDefault="009F31D9" w:rsidP="00066986">
            <w:pPr>
              <w:pStyle w:val="TableParagraph"/>
              <w:spacing w:before="10"/>
              <w:rPr>
                <w:lang w:val="es-419"/>
              </w:rPr>
            </w:pPr>
          </w:p>
          <w:p w14:paraId="0F6FF158" w14:textId="77777777" w:rsidR="009F31D9" w:rsidRPr="00887ED7" w:rsidRDefault="009F31D9" w:rsidP="00066986">
            <w:pPr>
              <w:pStyle w:val="TableParagraph"/>
              <w:ind w:left="110" w:right="624"/>
              <w:rPr>
                <w:lang w:val="es-419"/>
              </w:rPr>
            </w:pPr>
            <w:r w:rsidRPr="00887ED7">
              <w:rPr>
                <w:u w:val="single"/>
                <w:lang w:val="es-419"/>
              </w:rPr>
              <w:t>Productos del proyecto</w:t>
            </w:r>
            <w:r w:rsidRPr="00887ED7">
              <w:rPr>
                <w:u w:val="single"/>
                <w:vertAlign w:val="superscript"/>
                <w:lang w:val="es-419"/>
              </w:rPr>
              <w:t>4</w:t>
            </w:r>
            <w:r w:rsidRPr="00887ED7">
              <w:rPr>
                <w:lang w:val="es-419"/>
              </w:rPr>
              <w:t xml:space="preserve">  (Resultado previsto)</w:t>
            </w:r>
          </w:p>
        </w:tc>
        <w:tc>
          <w:tcPr>
            <w:tcW w:w="2695" w:type="dxa"/>
            <w:shd w:val="clear" w:color="auto" w:fill="8DB3E1"/>
          </w:tcPr>
          <w:p w14:paraId="548A728B" w14:textId="77777777" w:rsidR="009F31D9" w:rsidRPr="00887ED7" w:rsidRDefault="009F31D9" w:rsidP="00066986">
            <w:pPr>
              <w:pStyle w:val="TableParagraph"/>
              <w:spacing w:before="10"/>
              <w:rPr>
                <w:lang w:val="es-419"/>
              </w:rPr>
            </w:pPr>
          </w:p>
          <w:p w14:paraId="5E591377" w14:textId="77777777" w:rsidR="009F31D9" w:rsidRPr="00887ED7" w:rsidRDefault="009F31D9" w:rsidP="00066986">
            <w:pPr>
              <w:pStyle w:val="TableParagraph"/>
              <w:ind w:left="110" w:right="236"/>
              <w:rPr>
                <w:lang w:val="es-419"/>
              </w:rPr>
            </w:pPr>
            <w:r w:rsidRPr="00887ED7">
              <w:rPr>
                <w:u w:val="single"/>
                <w:lang w:val="es-419"/>
              </w:rPr>
              <w:t>Indicadores de obtención de resultados</w:t>
            </w:r>
          </w:p>
          <w:p w14:paraId="1A4C9553" w14:textId="77777777" w:rsidR="009F31D9" w:rsidRPr="00887ED7" w:rsidRDefault="009F31D9" w:rsidP="00066986">
            <w:pPr>
              <w:pStyle w:val="TableParagraph"/>
              <w:spacing w:line="252" w:lineRule="exact"/>
              <w:ind w:left="110"/>
              <w:rPr>
                <w:lang w:val="es-419"/>
              </w:rPr>
            </w:pPr>
            <w:r w:rsidRPr="00887ED7">
              <w:rPr>
                <w:lang w:val="es-419"/>
              </w:rPr>
              <w:t>(indicadores de productos)</w:t>
            </w:r>
          </w:p>
        </w:tc>
        <w:tc>
          <w:tcPr>
            <w:tcW w:w="3401" w:type="dxa"/>
            <w:shd w:val="clear" w:color="auto" w:fill="8DB3E1"/>
          </w:tcPr>
          <w:p w14:paraId="07094382" w14:textId="77777777" w:rsidR="009F31D9" w:rsidRPr="00887ED7" w:rsidRDefault="009F31D9" w:rsidP="00066986">
            <w:pPr>
              <w:pStyle w:val="TableParagraph"/>
              <w:spacing w:before="10"/>
              <w:rPr>
                <w:lang w:val="es-419"/>
              </w:rPr>
            </w:pPr>
          </w:p>
          <w:p w14:paraId="096F881B" w14:textId="77777777" w:rsidR="009F31D9" w:rsidRPr="00887ED7" w:rsidRDefault="009F31D9" w:rsidP="00066986">
            <w:pPr>
              <w:pStyle w:val="TableParagraph"/>
              <w:ind w:left="108"/>
              <w:rPr>
                <w:lang w:val="es-419"/>
              </w:rPr>
            </w:pPr>
            <w:r w:rsidRPr="00887ED7">
              <w:rPr>
                <w:u w:val="single"/>
                <w:lang w:val="es-419"/>
              </w:rPr>
              <w:t>Datos sobre el rendimiento</w:t>
            </w:r>
          </w:p>
        </w:tc>
        <w:tc>
          <w:tcPr>
            <w:tcW w:w="876" w:type="dxa"/>
            <w:shd w:val="clear" w:color="auto" w:fill="8DB3E1"/>
          </w:tcPr>
          <w:p w14:paraId="16C517ED" w14:textId="77777777" w:rsidR="009F31D9" w:rsidRPr="00887ED7" w:rsidRDefault="009F31D9" w:rsidP="00066986">
            <w:pPr>
              <w:pStyle w:val="TableParagraph"/>
              <w:spacing w:before="10"/>
              <w:rPr>
                <w:lang w:val="es-419"/>
              </w:rPr>
            </w:pPr>
          </w:p>
          <w:p w14:paraId="2233A7B5" w14:textId="77777777" w:rsidR="009F31D9" w:rsidRPr="00887ED7" w:rsidRDefault="009F31D9" w:rsidP="00066986">
            <w:pPr>
              <w:pStyle w:val="TableParagraph"/>
              <w:ind w:left="111"/>
              <w:rPr>
                <w:lang w:val="es-419"/>
              </w:rPr>
            </w:pPr>
            <w:r w:rsidRPr="00887ED7">
              <w:rPr>
                <w:u w:val="single"/>
                <w:lang w:val="es-419"/>
              </w:rPr>
              <w:t>Clave de colores</w:t>
            </w:r>
          </w:p>
        </w:tc>
      </w:tr>
      <w:tr w:rsidR="009F31D9" w:rsidRPr="00887ED7" w14:paraId="7664A061" w14:textId="77777777" w:rsidTr="00066986">
        <w:trPr>
          <w:trHeight w:val="508"/>
        </w:trPr>
        <w:tc>
          <w:tcPr>
            <w:tcW w:w="2410" w:type="dxa"/>
            <w:vMerge w:val="restart"/>
            <w:tcBorders>
              <w:right w:val="single" w:sz="6" w:space="0" w:color="000000"/>
            </w:tcBorders>
          </w:tcPr>
          <w:p w14:paraId="77C6CE75" w14:textId="77777777" w:rsidR="009F31D9" w:rsidRPr="00887ED7" w:rsidRDefault="009F31D9" w:rsidP="00066986">
            <w:pPr>
              <w:pStyle w:val="TableParagraph"/>
              <w:spacing w:before="240" w:after="240"/>
              <w:rPr>
                <w:lang w:val="es-419"/>
              </w:rPr>
            </w:pPr>
            <w:r w:rsidRPr="00887ED7">
              <w:rPr>
                <w:lang w:val="es-419"/>
              </w:rPr>
              <w:t>Selección de tres países piloto (además del Perú).</w:t>
            </w:r>
          </w:p>
        </w:tc>
        <w:tc>
          <w:tcPr>
            <w:tcW w:w="2695" w:type="dxa"/>
            <w:tcBorders>
              <w:left w:val="single" w:sz="6" w:space="0" w:color="000000"/>
              <w:bottom w:val="single" w:sz="6" w:space="0" w:color="000000"/>
            </w:tcBorders>
          </w:tcPr>
          <w:p w14:paraId="20EB49A7" w14:textId="77777777" w:rsidR="009F31D9" w:rsidRPr="00887ED7" w:rsidRDefault="009F31D9" w:rsidP="00066986">
            <w:pPr>
              <w:pStyle w:val="TableParagraph"/>
              <w:spacing w:before="240" w:after="240"/>
              <w:rPr>
                <w:lang w:val="es-419"/>
              </w:rPr>
            </w:pPr>
            <w:r w:rsidRPr="00887ED7">
              <w:rPr>
                <w:lang w:val="es-419"/>
              </w:rPr>
              <w:t>Selección de tres países (con arreglo a criterios de selección acordados);</w:t>
            </w:r>
          </w:p>
        </w:tc>
        <w:tc>
          <w:tcPr>
            <w:tcW w:w="3401" w:type="dxa"/>
          </w:tcPr>
          <w:p w14:paraId="7D755BEA" w14:textId="77777777" w:rsidR="009F31D9" w:rsidRPr="00887ED7" w:rsidRDefault="009F31D9" w:rsidP="00066986">
            <w:pPr>
              <w:pStyle w:val="TableParagraph"/>
              <w:spacing w:before="240" w:after="240"/>
              <w:rPr>
                <w:lang w:val="es-419"/>
              </w:rPr>
            </w:pPr>
            <w:r w:rsidRPr="00887ED7">
              <w:rPr>
                <w:lang w:val="es-419"/>
              </w:rPr>
              <w:t>En julio de 2019 fueron seleccionados el Camerún, Malasia y Marruecos.</w:t>
            </w:r>
          </w:p>
          <w:p w14:paraId="1A540E74" w14:textId="77777777" w:rsidR="009F31D9" w:rsidRPr="00887ED7" w:rsidRDefault="009F31D9" w:rsidP="00066986">
            <w:pPr>
              <w:pStyle w:val="TableParagraph"/>
              <w:spacing w:before="240" w:after="240"/>
              <w:rPr>
                <w:lang w:val="es-419"/>
              </w:rPr>
            </w:pPr>
          </w:p>
        </w:tc>
        <w:tc>
          <w:tcPr>
            <w:tcW w:w="876" w:type="dxa"/>
          </w:tcPr>
          <w:p w14:paraId="25BB4817" w14:textId="77777777" w:rsidR="009F31D9" w:rsidRPr="00887ED7" w:rsidRDefault="009F31D9" w:rsidP="00066986">
            <w:pPr>
              <w:pStyle w:val="TableParagraph"/>
              <w:rPr>
                <w:lang w:val="es-419"/>
              </w:rPr>
            </w:pPr>
          </w:p>
          <w:p w14:paraId="1CC96CEE" w14:textId="77777777" w:rsidR="009F31D9" w:rsidRPr="00887ED7" w:rsidRDefault="009F31D9" w:rsidP="00066986">
            <w:pPr>
              <w:pStyle w:val="TableParagraph"/>
              <w:rPr>
                <w:lang w:val="es-419"/>
              </w:rPr>
            </w:pPr>
            <w:r w:rsidRPr="00887ED7">
              <w:rPr>
                <w:lang w:val="es-419"/>
              </w:rPr>
              <w:t>****</w:t>
            </w:r>
          </w:p>
        </w:tc>
      </w:tr>
      <w:tr w:rsidR="009F31D9" w:rsidRPr="00887ED7" w14:paraId="0B647DD7" w14:textId="77777777" w:rsidTr="00066986">
        <w:trPr>
          <w:trHeight w:val="510"/>
        </w:trPr>
        <w:tc>
          <w:tcPr>
            <w:tcW w:w="2410" w:type="dxa"/>
            <w:vMerge/>
            <w:tcBorders>
              <w:right w:val="single" w:sz="6" w:space="0" w:color="000000"/>
            </w:tcBorders>
          </w:tcPr>
          <w:p w14:paraId="0D6992BE" w14:textId="77777777" w:rsidR="009F31D9" w:rsidRPr="00887ED7" w:rsidRDefault="009F31D9" w:rsidP="00066986">
            <w:pPr>
              <w:pStyle w:val="TableParagraph"/>
              <w:spacing w:before="240" w:after="240"/>
              <w:rPr>
                <w:lang w:val="es-419"/>
              </w:rPr>
            </w:pPr>
          </w:p>
        </w:tc>
        <w:tc>
          <w:tcPr>
            <w:tcW w:w="2695" w:type="dxa"/>
            <w:tcBorders>
              <w:top w:val="single" w:sz="6" w:space="0" w:color="000000"/>
              <w:left w:val="single" w:sz="6" w:space="0" w:color="000000"/>
              <w:bottom w:val="single" w:sz="6" w:space="0" w:color="000000"/>
            </w:tcBorders>
          </w:tcPr>
          <w:p w14:paraId="262F2CE9" w14:textId="77777777" w:rsidR="009F31D9" w:rsidRPr="00887ED7" w:rsidRDefault="009F31D9" w:rsidP="00066986">
            <w:pPr>
              <w:pStyle w:val="TableParagraph"/>
              <w:spacing w:before="240" w:after="240"/>
              <w:rPr>
                <w:lang w:val="es-419"/>
              </w:rPr>
            </w:pPr>
            <w:r w:rsidRPr="00887ED7">
              <w:rPr>
                <w:lang w:val="es-419"/>
              </w:rPr>
              <w:t>Designación de coordinadores para la ejecución del proyecto en cada país.</w:t>
            </w:r>
          </w:p>
        </w:tc>
        <w:tc>
          <w:tcPr>
            <w:tcW w:w="3401" w:type="dxa"/>
          </w:tcPr>
          <w:p w14:paraId="7ADAAEB9" w14:textId="72F9D1F6" w:rsidR="009F31D9" w:rsidRPr="00887ED7" w:rsidRDefault="009F31D9" w:rsidP="00066986">
            <w:pPr>
              <w:pStyle w:val="TableParagraph"/>
              <w:spacing w:before="240" w:after="240"/>
              <w:rPr>
                <w:lang w:val="es-419"/>
              </w:rPr>
            </w:pPr>
            <w:r w:rsidRPr="00887ED7">
              <w:rPr>
                <w:lang w:val="es-419"/>
              </w:rPr>
              <w:t>Se designaron coordinadores (coordinadores locales de proyecto) en el Camerún, Malasia, Marruecos y el Perú</w:t>
            </w:r>
            <w:r w:rsidR="00887ED7">
              <w:rPr>
                <w:lang w:val="es-419"/>
              </w:rPr>
              <w:t xml:space="preserve">. </w:t>
            </w:r>
          </w:p>
        </w:tc>
        <w:tc>
          <w:tcPr>
            <w:tcW w:w="876" w:type="dxa"/>
          </w:tcPr>
          <w:p w14:paraId="326DE55F" w14:textId="77777777" w:rsidR="009F31D9" w:rsidRPr="00887ED7" w:rsidRDefault="009F31D9" w:rsidP="00066986">
            <w:pPr>
              <w:pStyle w:val="TableParagraph"/>
              <w:rPr>
                <w:lang w:val="es-419"/>
              </w:rPr>
            </w:pPr>
          </w:p>
          <w:p w14:paraId="3D053239" w14:textId="77777777" w:rsidR="009F31D9" w:rsidRPr="00887ED7" w:rsidRDefault="009F31D9" w:rsidP="00066986">
            <w:pPr>
              <w:pStyle w:val="TableParagraph"/>
              <w:rPr>
                <w:lang w:val="es-419"/>
              </w:rPr>
            </w:pPr>
            <w:r w:rsidRPr="00887ED7">
              <w:rPr>
                <w:lang w:val="es-419"/>
              </w:rPr>
              <w:t>****</w:t>
            </w:r>
          </w:p>
        </w:tc>
      </w:tr>
      <w:tr w:rsidR="009F31D9" w:rsidRPr="00887ED7" w14:paraId="641F5179" w14:textId="77777777" w:rsidTr="00066986">
        <w:trPr>
          <w:trHeight w:val="510"/>
        </w:trPr>
        <w:tc>
          <w:tcPr>
            <w:tcW w:w="2410" w:type="dxa"/>
            <w:tcBorders>
              <w:right w:val="single" w:sz="6" w:space="0" w:color="000000"/>
            </w:tcBorders>
          </w:tcPr>
          <w:p w14:paraId="293C5F5F" w14:textId="77777777" w:rsidR="009F31D9" w:rsidRPr="00887ED7" w:rsidRDefault="009F31D9" w:rsidP="00066986">
            <w:pPr>
              <w:pStyle w:val="TableParagraph"/>
              <w:spacing w:before="240" w:after="240"/>
              <w:rPr>
                <w:lang w:val="es-419"/>
              </w:rPr>
            </w:pPr>
            <w:r w:rsidRPr="00887ED7">
              <w:rPr>
                <w:lang w:val="es-419"/>
              </w:rPr>
              <w:t>Aprobación de los planes de proyecto a nivel nacional</w:t>
            </w:r>
          </w:p>
        </w:tc>
        <w:tc>
          <w:tcPr>
            <w:tcW w:w="2695" w:type="dxa"/>
            <w:tcBorders>
              <w:top w:val="single" w:sz="6" w:space="0" w:color="000000"/>
              <w:left w:val="single" w:sz="6" w:space="0" w:color="000000"/>
              <w:bottom w:val="single" w:sz="6" w:space="0" w:color="000000"/>
            </w:tcBorders>
          </w:tcPr>
          <w:p w14:paraId="0C23972E" w14:textId="5F6B7FD6" w:rsidR="009F31D9" w:rsidRPr="00887ED7" w:rsidRDefault="009F31D9" w:rsidP="00066986">
            <w:pPr>
              <w:pStyle w:val="TableParagraph"/>
              <w:spacing w:before="240" w:after="240"/>
              <w:rPr>
                <w:lang w:val="es-419"/>
              </w:rPr>
            </w:pPr>
            <w:r w:rsidRPr="00887ED7">
              <w:rPr>
                <w:lang w:val="es-419"/>
              </w:rPr>
              <w:t>Elaboración y aprobación de cuatro planes de proyecto</w:t>
            </w:r>
            <w:r w:rsidR="002F4D94" w:rsidRPr="00887ED7">
              <w:rPr>
                <w:lang w:val="es-419"/>
              </w:rPr>
              <w:t xml:space="preserve"> a nivel nacional</w:t>
            </w:r>
            <w:r w:rsidRPr="00887ED7">
              <w:rPr>
                <w:lang w:val="es-419"/>
              </w:rPr>
              <w:t xml:space="preserve"> (uno por </w:t>
            </w:r>
            <w:r w:rsidR="00250FAE" w:rsidRPr="00887ED7">
              <w:rPr>
                <w:lang w:val="es-419"/>
              </w:rPr>
              <w:t xml:space="preserve">cada </w:t>
            </w:r>
            <w:r w:rsidRPr="00887ED7">
              <w:rPr>
                <w:lang w:val="es-419"/>
              </w:rPr>
              <w:t>país beneficiario).</w:t>
            </w:r>
          </w:p>
        </w:tc>
        <w:tc>
          <w:tcPr>
            <w:tcW w:w="3401" w:type="dxa"/>
          </w:tcPr>
          <w:p w14:paraId="4C6B871E" w14:textId="77777777" w:rsidR="009F31D9" w:rsidRPr="00887ED7" w:rsidRDefault="009F31D9" w:rsidP="00066986">
            <w:pPr>
              <w:pStyle w:val="TableParagraph"/>
              <w:spacing w:before="240" w:after="240"/>
              <w:rPr>
                <w:lang w:val="es-419"/>
              </w:rPr>
            </w:pPr>
            <w:r w:rsidRPr="00887ED7">
              <w:rPr>
                <w:lang w:val="es-419"/>
              </w:rPr>
              <w:t>Se aprobaron los planes de proyecto a nivel nacional para el Camerún, Malasia, Marruecos y el Perú.</w:t>
            </w:r>
          </w:p>
        </w:tc>
        <w:tc>
          <w:tcPr>
            <w:tcW w:w="876" w:type="dxa"/>
          </w:tcPr>
          <w:p w14:paraId="542B67B5" w14:textId="77777777" w:rsidR="009F31D9" w:rsidRPr="00887ED7" w:rsidRDefault="009F31D9" w:rsidP="00066986">
            <w:pPr>
              <w:pStyle w:val="TableParagraph"/>
              <w:rPr>
                <w:lang w:val="es-419"/>
              </w:rPr>
            </w:pPr>
          </w:p>
          <w:p w14:paraId="2036747B" w14:textId="77777777" w:rsidR="009F31D9" w:rsidRPr="00887ED7" w:rsidRDefault="009F31D9" w:rsidP="00066986">
            <w:pPr>
              <w:pStyle w:val="TableParagraph"/>
              <w:rPr>
                <w:lang w:val="es-419"/>
              </w:rPr>
            </w:pPr>
            <w:r w:rsidRPr="00887ED7">
              <w:rPr>
                <w:lang w:val="es-419"/>
              </w:rPr>
              <w:t>****</w:t>
            </w:r>
          </w:p>
        </w:tc>
      </w:tr>
      <w:tr w:rsidR="009F31D9" w:rsidRPr="00887ED7" w14:paraId="1A763939" w14:textId="77777777" w:rsidTr="00066986">
        <w:trPr>
          <w:trHeight w:val="510"/>
        </w:trPr>
        <w:tc>
          <w:tcPr>
            <w:tcW w:w="2410" w:type="dxa"/>
            <w:tcBorders>
              <w:right w:val="single" w:sz="6" w:space="0" w:color="000000"/>
            </w:tcBorders>
          </w:tcPr>
          <w:p w14:paraId="2085710A" w14:textId="6D6E5089" w:rsidR="009F31D9" w:rsidRPr="00887ED7" w:rsidRDefault="009F31D9" w:rsidP="00066986">
            <w:pPr>
              <w:pStyle w:val="TableParagraph"/>
              <w:spacing w:before="240" w:after="240"/>
              <w:rPr>
                <w:lang w:val="es-419"/>
              </w:rPr>
            </w:pPr>
            <w:r w:rsidRPr="00887ED7">
              <w:rPr>
                <w:lang w:val="es-419"/>
              </w:rPr>
              <w:t xml:space="preserve">Elaboración de cuatro estudios exploratorios sobre el sector del turismo gastronómico (uno por </w:t>
            </w:r>
            <w:r w:rsidR="00242CFE" w:rsidRPr="00887ED7">
              <w:rPr>
                <w:lang w:val="es-419"/>
              </w:rPr>
              <w:t xml:space="preserve">cada </w:t>
            </w:r>
            <w:r w:rsidRPr="00887ED7">
              <w:rPr>
                <w:lang w:val="es-419"/>
              </w:rPr>
              <w:t>país piloto).</w:t>
            </w:r>
          </w:p>
        </w:tc>
        <w:tc>
          <w:tcPr>
            <w:tcW w:w="2695" w:type="dxa"/>
            <w:tcBorders>
              <w:top w:val="single" w:sz="6" w:space="0" w:color="000000"/>
              <w:left w:val="single" w:sz="6" w:space="0" w:color="000000"/>
              <w:bottom w:val="single" w:sz="6" w:space="0" w:color="000000"/>
            </w:tcBorders>
          </w:tcPr>
          <w:p w14:paraId="3A4E5D8E" w14:textId="77777777" w:rsidR="009F31D9" w:rsidRPr="00887ED7" w:rsidRDefault="009F31D9" w:rsidP="00066986">
            <w:pPr>
              <w:pStyle w:val="TableParagraph"/>
              <w:spacing w:before="240" w:after="240"/>
              <w:rPr>
                <w:lang w:val="es-419"/>
              </w:rPr>
            </w:pPr>
            <w:r w:rsidRPr="00887ED7">
              <w:rPr>
                <w:lang w:val="es-419"/>
              </w:rPr>
              <w:t>Elaboración de un inventario significativo de las tradiciones culinarias de cada país piloto.</w:t>
            </w:r>
          </w:p>
        </w:tc>
        <w:tc>
          <w:tcPr>
            <w:tcW w:w="3401" w:type="dxa"/>
          </w:tcPr>
          <w:p w14:paraId="6B67F104" w14:textId="77777777" w:rsidR="009F31D9" w:rsidRPr="00887ED7" w:rsidRDefault="009F31D9" w:rsidP="00066986">
            <w:pPr>
              <w:pStyle w:val="TableParagraph"/>
              <w:spacing w:before="240" w:after="240"/>
              <w:rPr>
                <w:lang w:val="es-419"/>
              </w:rPr>
            </w:pPr>
            <w:r w:rsidRPr="00887ED7">
              <w:rPr>
                <w:lang w:val="es-419"/>
              </w:rPr>
              <w:t xml:space="preserve">En marzo de 2020, se finalizó el estudio exploratorio en el Perú. Se elaboró un inventario de 14 tradiciones culinarias, teniendo en cuenta también las aportaciones realizadas durante la mesa redonda por las partes interesadas y los beneficiarios. Durante la mesa redonda se añadieron dos tradiciones culinarias. </w:t>
            </w:r>
          </w:p>
          <w:p w14:paraId="0D961DE4" w14:textId="07BF51F2" w:rsidR="009F31D9" w:rsidRPr="00887ED7" w:rsidRDefault="009F31D9" w:rsidP="00066986">
            <w:pPr>
              <w:pStyle w:val="TableParagraph"/>
              <w:spacing w:before="240" w:after="240"/>
              <w:rPr>
                <w:lang w:val="es-419"/>
              </w:rPr>
            </w:pPr>
            <w:r w:rsidRPr="00887ED7">
              <w:rPr>
                <w:lang w:val="es-419"/>
              </w:rPr>
              <w:t>En diciembre de 2021, se finalizó el estudio exploratorio en el Camerún</w:t>
            </w:r>
            <w:r w:rsidR="00887ED7">
              <w:rPr>
                <w:lang w:val="es-419"/>
              </w:rPr>
              <w:t xml:space="preserve">. </w:t>
            </w:r>
            <w:r w:rsidRPr="00887ED7">
              <w:rPr>
                <w:lang w:val="es-419"/>
              </w:rPr>
              <w:t xml:space="preserve">Se elaboró un inventario de 20 tradiciones culinarias, teniendo en cuenta también las aportaciones realizadas durante la mesa </w:t>
            </w:r>
            <w:r w:rsidRPr="00887ED7">
              <w:rPr>
                <w:lang w:val="es-419"/>
              </w:rPr>
              <w:lastRenderedPageBreak/>
              <w:t>redonda por las partes interesadas y los beneficiarios.</w:t>
            </w:r>
          </w:p>
          <w:p w14:paraId="53057BFC" w14:textId="60659DAF" w:rsidR="009F31D9" w:rsidRPr="00887ED7" w:rsidRDefault="009F31D9" w:rsidP="00066986">
            <w:pPr>
              <w:pStyle w:val="TableParagraph"/>
              <w:spacing w:before="240" w:after="240"/>
              <w:rPr>
                <w:lang w:val="es-419"/>
              </w:rPr>
            </w:pPr>
            <w:r w:rsidRPr="00887ED7">
              <w:rPr>
                <w:lang w:val="es-419"/>
              </w:rPr>
              <w:t>En noviembre de 2021 se finalizó el estudio exploratorio en Malasia</w:t>
            </w:r>
            <w:r w:rsidR="00887ED7">
              <w:rPr>
                <w:lang w:val="es-419"/>
              </w:rPr>
              <w:t xml:space="preserve">. </w:t>
            </w:r>
            <w:r w:rsidRPr="00887ED7">
              <w:rPr>
                <w:lang w:val="es-419"/>
              </w:rPr>
              <w:t>Se analizaron 15 platos y recetas típicas</w:t>
            </w:r>
            <w:r w:rsidR="00887ED7">
              <w:rPr>
                <w:lang w:val="es-419"/>
              </w:rPr>
              <w:t xml:space="preserve">. </w:t>
            </w:r>
            <w:r w:rsidRPr="00887ED7">
              <w:rPr>
                <w:lang w:val="es-419"/>
              </w:rPr>
              <w:t>Durante la mesa redonda se modificó el nombre de una especialidad para reflejar mejor las tradiciones.</w:t>
            </w:r>
          </w:p>
          <w:p w14:paraId="14724951" w14:textId="1E21D50A" w:rsidR="009F31D9" w:rsidRPr="00887ED7" w:rsidRDefault="009F31D9" w:rsidP="00066986">
            <w:pPr>
              <w:pStyle w:val="TableParagraph"/>
              <w:spacing w:before="240" w:after="240"/>
              <w:rPr>
                <w:lang w:val="es-419"/>
              </w:rPr>
            </w:pPr>
            <w:r w:rsidRPr="00887ED7">
              <w:rPr>
                <w:lang w:val="es-419"/>
              </w:rPr>
              <w:t>En noviembre de 2021, se finalizó el estudio exploratorio en Marruecos. Se centró en 13 especialidades culinarias</w:t>
            </w:r>
            <w:r w:rsidR="00887ED7">
              <w:rPr>
                <w:lang w:val="es-419"/>
              </w:rPr>
              <w:t xml:space="preserve">. </w:t>
            </w:r>
            <w:r w:rsidRPr="00887ED7">
              <w:rPr>
                <w:lang w:val="es-419"/>
              </w:rPr>
              <w:t>Durante la mesa redonda se añadieron dos tradiciones culinarias y una variante.</w:t>
            </w:r>
          </w:p>
        </w:tc>
        <w:tc>
          <w:tcPr>
            <w:tcW w:w="876" w:type="dxa"/>
          </w:tcPr>
          <w:p w14:paraId="7F7368EF" w14:textId="77777777" w:rsidR="009F31D9" w:rsidRPr="00887ED7" w:rsidRDefault="009F31D9" w:rsidP="00066986">
            <w:pPr>
              <w:pStyle w:val="TableParagraph"/>
              <w:rPr>
                <w:lang w:val="es-419"/>
              </w:rPr>
            </w:pPr>
          </w:p>
          <w:p w14:paraId="098DA817" w14:textId="77777777" w:rsidR="009F31D9" w:rsidRPr="00887ED7" w:rsidRDefault="009F31D9" w:rsidP="00066986">
            <w:pPr>
              <w:pStyle w:val="TableParagraph"/>
              <w:rPr>
                <w:lang w:val="es-419"/>
              </w:rPr>
            </w:pPr>
            <w:r w:rsidRPr="00887ED7">
              <w:rPr>
                <w:lang w:val="es-419"/>
              </w:rPr>
              <w:t>****</w:t>
            </w:r>
          </w:p>
        </w:tc>
      </w:tr>
      <w:tr w:rsidR="009F31D9" w:rsidRPr="00887ED7" w14:paraId="6695A986" w14:textId="77777777" w:rsidTr="00066986">
        <w:trPr>
          <w:trHeight w:val="510"/>
        </w:trPr>
        <w:tc>
          <w:tcPr>
            <w:tcW w:w="2410" w:type="dxa"/>
            <w:tcBorders>
              <w:right w:val="single" w:sz="6" w:space="0" w:color="000000"/>
            </w:tcBorders>
          </w:tcPr>
          <w:p w14:paraId="447E0265" w14:textId="77777777" w:rsidR="009F31D9" w:rsidRPr="00887ED7" w:rsidRDefault="009F31D9" w:rsidP="00066986">
            <w:pPr>
              <w:pStyle w:val="TableParagraph"/>
              <w:spacing w:before="240" w:after="240"/>
              <w:rPr>
                <w:lang w:val="es-419"/>
              </w:rPr>
            </w:pPr>
            <w:r w:rsidRPr="00887ED7">
              <w:rPr>
                <w:lang w:val="es-419"/>
              </w:rPr>
              <w:t>Identificación de entidades públicas y partes interesadas en materia de gastronomía, turismo y PI.</w:t>
            </w:r>
          </w:p>
        </w:tc>
        <w:tc>
          <w:tcPr>
            <w:tcW w:w="2695" w:type="dxa"/>
            <w:tcBorders>
              <w:top w:val="single" w:sz="6" w:space="0" w:color="000000"/>
              <w:left w:val="single" w:sz="6" w:space="0" w:color="000000"/>
              <w:bottom w:val="single" w:sz="6" w:space="0" w:color="000000"/>
            </w:tcBorders>
          </w:tcPr>
          <w:p w14:paraId="312EA97E" w14:textId="77777777" w:rsidR="009F31D9" w:rsidRPr="00887ED7" w:rsidRDefault="009F31D9" w:rsidP="00066986">
            <w:pPr>
              <w:pStyle w:val="TableParagraph"/>
              <w:spacing w:before="240" w:after="240"/>
              <w:rPr>
                <w:lang w:val="es-419"/>
              </w:rPr>
            </w:pPr>
            <w:r w:rsidRPr="00887ED7">
              <w:rPr>
                <w:lang w:val="es-419"/>
              </w:rPr>
              <w:t>Determinación de partes interesadas pertinentes de cada país piloto.</w:t>
            </w:r>
          </w:p>
        </w:tc>
        <w:tc>
          <w:tcPr>
            <w:tcW w:w="3401" w:type="dxa"/>
          </w:tcPr>
          <w:p w14:paraId="66292794" w14:textId="77777777" w:rsidR="009F31D9" w:rsidRPr="00887ED7" w:rsidRDefault="009F31D9" w:rsidP="00066986">
            <w:pPr>
              <w:pStyle w:val="TableParagraph"/>
              <w:spacing w:before="240" w:after="240"/>
              <w:rPr>
                <w:lang w:val="es-419"/>
              </w:rPr>
            </w:pPr>
            <w:r w:rsidRPr="00887ED7">
              <w:rPr>
                <w:lang w:val="es-419"/>
              </w:rPr>
              <w:t>Las partes interesadas han sido plenamente identificadas en todos los países piloto.</w:t>
            </w:r>
          </w:p>
        </w:tc>
        <w:tc>
          <w:tcPr>
            <w:tcW w:w="876" w:type="dxa"/>
          </w:tcPr>
          <w:p w14:paraId="53E04CAE" w14:textId="77777777" w:rsidR="009F31D9" w:rsidRPr="00887ED7" w:rsidRDefault="009F31D9" w:rsidP="00066986">
            <w:pPr>
              <w:pStyle w:val="TableParagraph"/>
              <w:rPr>
                <w:lang w:val="es-419"/>
              </w:rPr>
            </w:pPr>
          </w:p>
          <w:p w14:paraId="5EEA88F9" w14:textId="77777777" w:rsidR="009F31D9" w:rsidRPr="00887ED7" w:rsidRDefault="009F31D9" w:rsidP="00066986">
            <w:pPr>
              <w:pStyle w:val="TableParagraph"/>
              <w:rPr>
                <w:lang w:val="es-419"/>
              </w:rPr>
            </w:pPr>
            <w:r w:rsidRPr="00887ED7">
              <w:rPr>
                <w:lang w:val="es-419"/>
              </w:rPr>
              <w:t>****</w:t>
            </w:r>
          </w:p>
        </w:tc>
      </w:tr>
      <w:tr w:rsidR="009F31D9" w:rsidRPr="00887ED7" w14:paraId="2149D705" w14:textId="77777777" w:rsidTr="00066986">
        <w:trPr>
          <w:trHeight w:val="510"/>
        </w:trPr>
        <w:tc>
          <w:tcPr>
            <w:tcW w:w="2410" w:type="dxa"/>
            <w:tcBorders>
              <w:right w:val="single" w:sz="6" w:space="0" w:color="000000"/>
            </w:tcBorders>
          </w:tcPr>
          <w:p w14:paraId="16955731" w14:textId="77777777" w:rsidR="009F31D9" w:rsidRPr="00887ED7" w:rsidRDefault="009F31D9" w:rsidP="00066986">
            <w:pPr>
              <w:pStyle w:val="TableParagraph"/>
              <w:spacing w:before="240" w:after="240"/>
              <w:rPr>
                <w:lang w:val="es-419"/>
              </w:rPr>
            </w:pPr>
            <w:r w:rsidRPr="00887ED7">
              <w:rPr>
                <w:lang w:val="es-419"/>
              </w:rPr>
              <w:t>Organización, en cada país piloto, de una mesa redonda formada por partes interesadas competentes de los sectores del turismo gastronómico y la PI.</w:t>
            </w:r>
          </w:p>
        </w:tc>
        <w:tc>
          <w:tcPr>
            <w:tcW w:w="2695" w:type="dxa"/>
            <w:tcBorders>
              <w:top w:val="single" w:sz="6" w:space="0" w:color="000000"/>
              <w:left w:val="single" w:sz="6" w:space="0" w:color="000000"/>
              <w:bottom w:val="single" w:sz="6" w:space="0" w:color="000000"/>
            </w:tcBorders>
          </w:tcPr>
          <w:p w14:paraId="7A3EC0A6" w14:textId="77777777" w:rsidR="009F31D9" w:rsidRPr="00887ED7" w:rsidRDefault="009F31D9" w:rsidP="00066986">
            <w:pPr>
              <w:pStyle w:val="TableParagraph"/>
              <w:spacing w:before="240" w:after="240"/>
              <w:rPr>
                <w:lang w:val="es-419"/>
              </w:rPr>
            </w:pPr>
            <w:r w:rsidRPr="00887ED7">
              <w:rPr>
                <w:lang w:val="es-419"/>
              </w:rPr>
              <w:t>Según un porcentaje significativo de participantes en las mesas redondas, el proyecto resultó de utilidad para responder a los problemas del sector de la PI y del turismo gastronómico.</w:t>
            </w:r>
          </w:p>
        </w:tc>
        <w:tc>
          <w:tcPr>
            <w:tcW w:w="3401" w:type="dxa"/>
          </w:tcPr>
          <w:p w14:paraId="547195F1" w14:textId="77777777" w:rsidR="009F31D9" w:rsidRPr="00887ED7" w:rsidRDefault="009F31D9" w:rsidP="00066986">
            <w:pPr>
              <w:pStyle w:val="TableParagraph"/>
              <w:spacing w:before="240" w:after="240"/>
              <w:rPr>
                <w:lang w:val="es-419"/>
              </w:rPr>
            </w:pPr>
            <w:r w:rsidRPr="00887ED7">
              <w:rPr>
                <w:lang w:val="es-419"/>
              </w:rPr>
              <w:t>En marzo de 2020 se celebró una mesa redonda en el Perú. Estadísticas:</w:t>
            </w:r>
          </w:p>
          <w:p w14:paraId="24921F49" w14:textId="77777777" w:rsidR="009F31D9" w:rsidRPr="00887ED7" w:rsidRDefault="009F31D9" w:rsidP="00066986">
            <w:pPr>
              <w:pStyle w:val="TableParagraph"/>
              <w:spacing w:before="240"/>
              <w:rPr>
                <w:lang w:val="es-419"/>
              </w:rPr>
            </w:pPr>
            <w:r w:rsidRPr="00887ED7">
              <w:rPr>
                <w:lang w:val="es-419"/>
              </w:rPr>
              <w:t>-</w:t>
            </w:r>
            <w:r w:rsidRPr="00887ED7">
              <w:rPr>
                <w:lang w:val="es-419"/>
              </w:rPr>
              <w:tab/>
              <w:t xml:space="preserve">17 participantes presenciales; </w:t>
            </w:r>
          </w:p>
          <w:p w14:paraId="14C6FA1B" w14:textId="77777777" w:rsidR="009F31D9" w:rsidRPr="00887ED7" w:rsidRDefault="009F31D9" w:rsidP="00066986">
            <w:pPr>
              <w:pStyle w:val="TableParagraph"/>
              <w:rPr>
                <w:lang w:val="es-419"/>
              </w:rPr>
            </w:pPr>
            <w:r w:rsidRPr="00887ED7">
              <w:rPr>
                <w:lang w:val="es-419"/>
              </w:rPr>
              <w:t>-</w:t>
            </w:r>
            <w:r w:rsidRPr="00887ED7">
              <w:rPr>
                <w:lang w:val="es-419"/>
              </w:rPr>
              <w:tab/>
              <w:t>15 participantes respondieron a la encuesta;</w:t>
            </w:r>
          </w:p>
          <w:p w14:paraId="30759555" w14:textId="77777777" w:rsidR="009F31D9" w:rsidRPr="00887ED7" w:rsidRDefault="009F31D9" w:rsidP="00066986">
            <w:pPr>
              <w:pStyle w:val="TableParagraph"/>
              <w:rPr>
                <w:lang w:val="es-419"/>
              </w:rPr>
            </w:pPr>
            <w:r w:rsidRPr="00887ED7">
              <w:rPr>
                <w:lang w:val="es-419"/>
              </w:rPr>
              <w:t>-</w:t>
            </w:r>
            <w:r w:rsidRPr="00887ED7">
              <w:rPr>
                <w:lang w:val="es-419"/>
              </w:rPr>
              <w:tab/>
              <w:t>el 87% de los participantes que respondieron indicaron que la mesa redonda había sido útil o muy útil;</w:t>
            </w:r>
          </w:p>
          <w:p w14:paraId="29EEA836" w14:textId="185ADFB0" w:rsidR="009F31D9" w:rsidRPr="00887ED7" w:rsidRDefault="009F31D9" w:rsidP="00066986">
            <w:pPr>
              <w:pStyle w:val="TableParagraph"/>
              <w:rPr>
                <w:lang w:val="es-419"/>
              </w:rPr>
            </w:pPr>
            <w:r w:rsidRPr="00887ED7">
              <w:rPr>
                <w:lang w:val="es-419"/>
              </w:rPr>
              <w:t>-</w:t>
            </w:r>
            <w:r w:rsidRPr="00887ED7">
              <w:rPr>
                <w:lang w:val="es-419"/>
              </w:rPr>
              <w:tab/>
              <w:t>el 87% de los participantes que respondieron dijeron tener una mejor comprensión de la PI después de la mesa redonda</w:t>
            </w:r>
            <w:r w:rsidR="00C308AE" w:rsidRPr="00887ED7">
              <w:rPr>
                <w:lang w:val="es-419"/>
              </w:rPr>
              <w:t>;</w:t>
            </w:r>
          </w:p>
          <w:p w14:paraId="43B7DA49" w14:textId="77777777" w:rsidR="009F31D9" w:rsidRPr="00887ED7" w:rsidRDefault="009F31D9" w:rsidP="00066986">
            <w:pPr>
              <w:pStyle w:val="TableParagraph"/>
              <w:rPr>
                <w:lang w:val="es-419"/>
              </w:rPr>
            </w:pPr>
            <w:r w:rsidRPr="00887ED7">
              <w:rPr>
                <w:lang w:val="es-419"/>
              </w:rPr>
              <w:t>-</w:t>
            </w:r>
            <w:r w:rsidRPr="00887ED7">
              <w:rPr>
                <w:lang w:val="es-419"/>
              </w:rPr>
              <w:tab/>
              <w:t>el 100% de los participantes que respondieron consideran que las tradiciones culinarias seleccionadas se beneficiarán del uso de las herramientas de PI.</w:t>
            </w:r>
          </w:p>
          <w:p w14:paraId="7F3E04F9" w14:textId="77777777" w:rsidR="009F31D9" w:rsidRPr="00887ED7" w:rsidRDefault="009F31D9" w:rsidP="00066986">
            <w:pPr>
              <w:pStyle w:val="TableParagraph"/>
              <w:rPr>
                <w:lang w:val="es-419"/>
              </w:rPr>
            </w:pPr>
          </w:p>
          <w:p w14:paraId="0951B83A" w14:textId="1AB64FAA" w:rsidR="009F31D9" w:rsidRPr="00887ED7" w:rsidRDefault="009F31D9" w:rsidP="00066986">
            <w:pPr>
              <w:pStyle w:val="TableParagraph"/>
              <w:rPr>
                <w:lang w:val="es-419"/>
              </w:rPr>
            </w:pPr>
            <w:r w:rsidRPr="00887ED7">
              <w:rPr>
                <w:lang w:val="es-419"/>
              </w:rPr>
              <w:t>Se celebró una mesa redonda en Malasia en diciembre de 2021</w:t>
            </w:r>
            <w:r w:rsidR="00887ED7">
              <w:rPr>
                <w:lang w:val="es-419"/>
              </w:rPr>
              <w:t xml:space="preserve">. </w:t>
            </w:r>
            <w:r w:rsidRPr="00887ED7">
              <w:rPr>
                <w:lang w:val="es-419"/>
              </w:rPr>
              <w:t>Estadísticas:</w:t>
            </w:r>
          </w:p>
          <w:p w14:paraId="1F152E9D" w14:textId="77777777" w:rsidR="009F31D9" w:rsidRPr="00887ED7" w:rsidRDefault="009F31D9" w:rsidP="00066986">
            <w:pPr>
              <w:pStyle w:val="TableParagraph"/>
              <w:rPr>
                <w:lang w:val="es-419"/>
              </w:rPr>
            </w:pPr>
          </w:p>
          <w:p w14:paraId="0AA9F097" w14:textId="77777777" w:rsidR="009F31D9" w:rsidRPr="00887ED7" w:rsidRDefault="009F31D9" w:rsidP="00066986">
            <w:pPr>
              <w:pStyle w:val="TableParagraph"/>
              <w:rPr>
                <w:lang w:val="es-419"/>
              </w:rPr>
            </w:pPr>
            <w:r w:rsidRPr="00887ED7">
              <w:rPr>
                <w:lang w:val="es-419"/>
              </w:rPr>
              <w:t>-</w:t>
            </w:r>
            <w:r w:rsidRPr="00887ED7">
              <w:rPr>
                <w:lang w:val="es-419"/>
              </w:rPr>
              <w:tab/>
              <w:t>21 participantes;</w:t>
            </w:r>
          </w:p>
          <w:p w14:paraId="347F8322" w14:textId="5EC8D366" w:rsidR="009F31D9" w:rsidRPr="00887ED7" w:rsidRDefault="009F31D9" w:rsidP="00066986">
            <w:pPr>
              <w:pStyle w:val="TableParagraph"/>
              <w:rPr>
                <w:lang w:val="es-419"/>
              </w:rPr>
            </w:pPr>
            <w:r w:rsidRPr="00887ED7">
              <w:rPr>
                <w:lang w:val="es-419"/>
              </w:rPr>
              <w:t>-</w:t>
            </w:r>
            <w:r w:rsidRPr="00887ED7">
              <w:rPr>
                <w:lang w:val="es-419"/>
              </w:rPr>
              <w:tab/>
              <w:t xml:space="preserve">1 participante respondió a la </w:t>
            </w:r>
            <w:r w:rsidRPr="00887ED7">
              <w:rPr>
                <w:lang w:val="es-419"/>
              </w:rPr>
              <w:lastRenderedPageBreak/>
              <w:t>encuesta en línea</w:t>
            </w:r>
            <w:r w:rsidR="00C308AE" w:rsidRPr="00887ED7">
              <w:rPr>
                <w:lang w:val="es-419"/>
              </w:rPr>
              <w:t>;</w:t>
            </w:r>
          </w:p>
          <w:p w14:paraId="1AD6849F" w14:textId="769FB75C" w:rsidR="009F31D9" w:rsidRPr="00887ED7" w:rsidRDefault="009F31D9" w:rsidP="00066986">
            <w:pPr>
              <w:pStyle w:val="TableParagraph"/>
              <w:rPr>
                <w:lang w:val="es-419"/>
              </w:rPr>
            </w:pPr>
            <w:r w:rsidRPr="00887ED7">
              <w:rPr>
                <w:lang w:val="es-419"/>
              </w:rPr>
              <w:t>-</w:t>
            </w:r>
            <w:r w:rsidRPr="00887ED7">
              <w:rPr>
                <w:lang w:val="es-419"/>
              </w:rPr>
              <w:tab/>
              <w:t>según un informe facilitado por</w:t>
            </w:r>
            <w:r w:rsidR="007805C8" w:rsidRPr="00887ED7">
              <w:rPr>
                <w:lang w:val="es-419"/>
              </w:rPr>
              <w:t xml:space="preserve"> la</w:t>
            </w:r>
            <w:r w:rsidRPr="00887ED7">
              <w:rPr>
                <w:lang w:val="es-419"/>
              </w:rPr>
              <w:t xml:space="preserve"> MyIPO, los participantes apoyaron el proyecto y algunos de ellos expresaron su interés en participar en la siguiente fase </w:t>
            </w:r>
            <w:r w:rsidR="00026CE5" w:rsidRPr="00887ED7">
              <w:rPr>
                <w:lang w:val="es-419"/>
              </w:rPr>
              <w:t>de este</w:t>
            </w:r>
            <w:r w:rsidRPr="00887ED7">
              <w:rPr>
                <w:lang w:val="es-419"/>
              </w:rPr>
              <w:t>, incluido el seminario nacional.</w:t>
            </w:r>
          </w:p>
          <w:p w14:paraId="32AA965D" w14:textId="24869611" w:rsidR="009F31D9" w:rsidRPr="00887ED7" w:rsidRDefault="009F31D9" w:rsidP="00066986">
            <w:pPr>
              <w:pStyle w:val="TableParagraph"/>
              <w:spacing w:before="240" w:after="240"/>
              <w:rPr>
                <w:lang w:val="es-419"/>
              </w:rPr>
            </w:pPr>
            <w:r w:rsidRPr="00887ED7">
              <w:rPr>
                <w:lang w:val="es-419"/>
              </w:rPr>
              <w:t>Se celebró una mesa redonda en el Camerún en diciembre de 2021</w:t>
            </w:r>
            <w:r w:rsidR="00887ED7">
              <w:rPr>
                <w:lang w:val="es-419"/>
              </w:rPr>
              <w:t xml:space="preserve">. </w:t>
            </w:r>
            <w:r w:rsidRPr="00887ED7">
              <w:rPr>
                <w:lang w:val="es-419"/>
              </w:rPr>
              <w:t>Estadísticas:</w:t>
            </w:r>
          </w:p>
          <w:p w14:paraId="55573604" w14:textId="77777777" w:rsidR="009F31D9" w:rsidRPr="00887ED7" w:rsidRDefault="009F31D9" w:rsidP="00066986">
            <w:pPr>
              <w:pStyle w:val="TableParagraph"/>
              <w:rPr>
                <w:lang w:val="es-419"/>
              </w:rPr>
            </w:pPr>
            <w:r w:rsidRPr="00887ED7">
              <w:rPr>
                <w:lang w:val="es-419"/>
              </w:rPr>
              <w:t>-</w:t>
            </w:r>
            <w:r w:rsidRPr="00887ED7">
              <w:rPr>
                <w:lang w:val="es-419"/>
              </w:rPr>
              <w:tab/>
              <w:t>100 participantes;</w:t>
            </w:r>
          </w:p>
          <w:p w14:paraId="0DC01531" w14:textId="77777777" w:rsidR="009F31D9" w:rsidRPr="00887ED7" w:rsidRDefault="009F31D9" w:rsidP="00066986">
            <w:pPr>
              <w:pStyle w:val="TableParagraph"/>
              <w:rPr>
                <w:lang w:val="es-419"/>
              </w:rPr>
            </w:pPr>
            <w:r w:rsidRPr="00887ED7">
              <w:rPr>
                <w:lang w:val="es-419"/>
              </w:rPr>
              <w:t>-</w:t>
            </w:r>
            <w:r w:rsidRPr="00887ED7">
              <w:rPr>
                <w:lang w:val="es-419"/>
              </w:rPr>
              <w:tab/>
              <w:t>40 participantes respondieron a la encuesta;</w:t>
            </w:r>
          </w:p>
          <w:p w14:paraId="1CF9B532" w14:textId="77777777" w:rsidR="009F31D9" w:rsidRPr="00887ED7" w:rsidRDefault="009F31D9" w:rsidP="00066986">
            <w:pPr>
              <w:pStyle w:val="TableParagraph"/>
              <w:rPr>
                <w:lang w:val="es-419"/>
              </w:rPr>
            </w:pPr>
            <w:r w:rsidRPr="00887ED7">
              <w:rPr>
                <w:lang w:val="es-419"/>
              </w:rPr>
              <w:t>-</w:t>
            </w:r>
            <w:r w:rsidRPr="00887ED7">
              <w:rPr>
                <w:lang w:val="es-419"/>
              </w:rPr>
              <w:tab/>
              <w:t>el 80% de los participantes que respondieron consideraron que los debates de la mesa redonda fueron útiles o muy útiles para el avance del proyecto;</w:t>
            </w:r>
          </w:p>
          <w:p w14:paraId="32A90213" w14:textId="57798DEB" w:rsidR="009F31D9" w:rsidRPr="00887ED7" w:rsidRDefault="009F31D9" w:rsidP="00066986">
            <w:pPr>
              <w:pStyle w:val="TableParagraph"/>
              <w:rPr>
                <w:lang w:val="es-419"/>
              </w:rPr>
            </w:pPr>
            <w:r w:rsidRPr="00887ED7">
              <w:rPr>
                <w:lang w:val="es-419"/>
              </w:rPr>
              <w:t>-</w:t>
            </w:r>
            <w:r w:rsidRPr="00887ED7">
              <w:rPr>
                <w:lang w:val="es-419"/>
              </w:rPr>
              <w:tab/>
              <w:t>el 90% de los participantes que respondieron dijeron tener una mejor comprensión de la PI después de la mesa redonda</w:t>
            </w:r>
            <w:r w:rsidR="0074522C" w:rsidRPr="00887ED7">
              <w:rPr>
                <w:lang w:val="es-419"/>
              </w:rPr>
              <w:t>;</w:t>
            </w:r>
          </w:p>
          <w:p w14:paraId="18C1749D" w14:textId="77777777" w:rsidR="009F31D9" w:rsidRPr="00887ED7" w:rsidRDefault="009F31D9" w:rsidP="00066986">
            <w:pPr>
              <w:pStyle w:val="TableParagraph"/>
              <w:rPr>
                <w:lang w:val="es-419"/>
              </w:rPr>
            </w:pPr>
            <w:r w:rsidRPr="00887ED7">
              <w:rPr>
                <w:lang w:val="es-419"/>
              </w:rPr>
              <w:t>-</w:t>
            </w:r>
            <w:r w:rsidRPr="00887ED7">
              <w:rPr>
                <w:lang w:val="es-419"/>
              </w:rPr>
              <w:tab/>
              <w:t>el 100% de los participantes que respondieron consideran que las tradiciones culinarias seleccionadas se beneficiarán del uso de las herramientas de PI.</w:t>
            </w:r>
          </w:p>
          <w:p w14:paraId="50A3591E" w14:textId="2A22826F" w:rsidR="009F31D9" w:rsidRPr="00887ED7" w:rsidRDefault="009F31D9" w:rsidP="00066986">
            <w:pPr>
              <w:pStyle w:val="TableParagraph"/>
              <w:spacing w:before="240" w:after="240"/>
              <w:rPr>
                <w:lang w:val="es-419"/>
              </w:rPr>
            </w:pPr>
            <w:r w:rsidRPr="00887ED7">
              <w:rPr>
                <w:lang w:val="es-419"/>
              </w:rPr>
              <w:t>Se celebró una mesa redonda en Marruecos en diciembre de 2021</w:t>
            </w:r>
            <w:r w:rsidR="00887ED7">
              <w:rPr>
                <w:lang w:val="es-419"/>
              </w:rPr>
              <w:t xml:space="preserve">. </w:t>
            </w:r>
            <w:r w:rsidRPr="00887ED7">
              <w:rPr>
                <w:lang w:val="es-419"/>
              </w:rPr>
              <w:t>Estadísticas:</w:t>
            </w:r>
          </w:p>
          <w:p w14:paraId="259EA293" w14:textId="77777777" w:rsidR="009F31D9" w:rsidRPr="00887ED7" w:rsidRDefault="009F31D9" w:rsidP="00066986">
            <w:pPr>
              <w:pStyle w:val="TableParagraph"/>
              <w:spacing w:before="240"/>
              <w:rPr>
                <w:lang w:val="es-419"/>
              </w:rPr>
            </w:pPr>
            <w:r w:rsidRPr="00887ED7">
              <w:rPr>
                <w:lang w:val="es-419"/>
              </w:rPr>
              <w:t>-</w:t>
            </w:r>
            <w:r w:rsidRPr="00887ED7">
              <w:rPr>
                <w:lang w:val="es-419"/>
              </w:rPr>
              <w:tab/>
              <w:t>14 participantes;</w:t>
            </w:r>
          </w:p>
          <w:p w14:paraId="51CFB09A" w14:textId="77777777" w:rsidR="009F31D9" w:rsidRPr="00887ED7" w:rsidRDefault="009F31D9" w:rsidP="00066986">
            <w:pPr>
              <w:pStyle w:val="TableParagraph"/>
              <w:rPr>
                <w:lang w:val="es-419"/>
              </w:rPr>
            </w:pPr>
            <w:r w:rsidRPr="00887ED7">
              <w:rPr>
                <w:lang w:val="es-419"/>
              </w:rPr>
              <w:t>-</w:t>
            </w:r>
            <w:r w:rsidRPr="00887ED7">
              <w:rPr>
                <w:lang w:val="es-419"/>
              </w:rPr>
              <w:tab/>
              <w:t>1 respuesta a la encuesta, que informó de una mejor comprensión de la PI, consideró que los debates durante la mesa redonda fueron útiles y que las tradiciones culinarias seleccionadas se beneficiarán de las herramientas de PI.</w:t>
            </w:r>
          </w:p>
        </w:tc>
        <w:tc>
          <w:tcPr>
            <w:tcW w:w="876" w:type="dxa"/>
          </w:tcPr>
          <w:p w14:paraId="27B6DD90" w14:textId="77777777" w:rsidR="009F31D9" w:rsidRPr="00887ED7" w:rsidRDefault="009F31D9" w:rsidP="00066986">
            <w:pPr>
              <w:pStyle w:val="TableParagraph"/>
              <w:rPr>
                <w:lang w:val="es-419"/>
              </w:rPr>
            </w:pPr>
          </w:p>
          <w:p w14:paraId="2D5E9A15" w14:textId="77777777" w:rsidR="009F31D9" w:rsidRPr="00887ED7" w:rsidRDefault="009F31D9" w:rsidP="00066986">
            <w:pPr>
              <w:pStyle w:val="TableParagraph"/>
              <w:rPr>
                <w:lang w:val="es-419"/>
              </w:rPr>
            </w:pPr>
            <w:r w:rsidRPr="00887ED7">
              <w:rPr>
                <w:lang w:val="es-419"/>
              </w:rPr>
              <w:t>****</w:t>
            </w:r>
          </w:p>
        </w:tc>
      </w:tr>
      <w:tr w:rsidR="009F31D9" w:rsidRPr="00887ED7" w14:paraId="0CCC3FE9" w14:textId="77777777" w:rsidTr="00066986">
        <w:trPr>
          <w:trHeight w:val="510"/>
        </w:trPr>
        <w:tc>
          <w:tcPr>
            <w:tcW w:w="2410" w:type="dxa"/>
            <w:tcBorders>
              <w:right w:val="single" w:sz="6" w:space="0" w:color="000000"/>
            </w:tcBorders>
          </w:tcPr>
          <w:p w14:paraId="28CAA7EB" w14:textId="77777777" w:rsidR="009F31D9" w:rsidRPr="00887ED7" w:rsidRDefault="009F31D9" w:rsidP="00066986">
            <w:pPr>
              <w:pStyle w:val="TableParagraph"/>
              <w:spacing w:before="240" w:after="240"/>
              <w:rPr>
                <w:lang w:val="es-419"/>
              </w:rPr>
            </w:pPr>
            <w:r w:rsidRPr="00887ED7">
              <w:rPr>
                <w:lang w:val="es-419"/>
              </w:rPr>
              <w:t xml:space="preserve">Preparación, en cada país piloto, de un análisis de los ámbitos de la cadena de valor de una tradición culinaria concreta vinculados con la PI que permita determinar las posibles herramientas de PI que podrían </w:t>
            </w:r>
            <w:r w:rsidRPr="00887ED7">
              <w:rPr>
                <w:lang w:val="es-419"/>
              </w:rPr>
              <w:lastRenderedPageBreak/>
              <w:t>utilizarse para la promoción de la tradición seleccionada a lo largo de su cadena de valor.</w:t>
            </w:r>
          </w:p>
        </w:tc>
        <w:tc>
          <w:tcPr>
            <w:tcW w:w="2695" w:type="dxa"/>
            <w:tcBorders>
              <w:top w:val="single" w:sz="6" w:space="0" w:color="000000"/>
              <w:left w:val="single" w:sz="6" w:space="0" w:color="000000"/>
              <w:bottom w:val="single" w:sz="6" w:space="0" w:color="000000"/>
            </w:tcBorders>
          </w:tcPr>
          <w:p w14:paraId="0198B8B1" w14:textId="77777777" w:rsidR="009F31D9" w:rsidRPr="00887ED7" w:rsidRDefault="009F31D9" w:rsidP="00066986">
            <w:pPr>
              <w:pStyle w:val="TableParagraph"/>
              <w:spacing w:before="240" w:after="240"/>
              <w:rPr>
                <w:lang w:val="es-419"/>
              </w:rPr>
            </w:pPr>
            <w:r w:rsidRPr="00887ED7">
              <w:rPr>
                <w:lang w:val="es-419"/>
              </w:rPr>
              <w:lastRenderedPageBreak/>
              <w:t>Determinación de herramientas de PI significativas que puedan utilizarse para la promoción de tradiciones culinarias concretas a lo largo de sus respectivas cadenas de valor.</w:t>
            </w:r>
          </w:p>
        </w:tc>
        <w:tc>
          <w:tcPr>
            <w:tcW w:w="3401" w:type="dxa"/>
          </w:tcPr>
          <w:p w14:paraId="5AF21B5E" w14:textId="5E524852" w:rsidR="009F31D9" w:rsidRPr="00887ED7" w:rsidRDefault="009F31D9" w:rsidP="00066986">
            <w:pPr>
              <w:pStyle w:val="TableParagraph"/>
              <w:spacing w:before="240" w:after="240"/>
              <w:rPr>
                <w:lang w:val="es-419"/>
              </w:rPr>
            </w:pPr>
            <w:r w:rsidRPr="00887ED7">
              <w:rPr>
                <w:lang w:val="es-419"/>
              </w:rPr>
              <w:t>En marzo de 2022, se finalizó el análisis de PI en el Perú. Se propusieron entre 4 y 5 herramientas de PI para cada tradición culinaria</w:t>
            </w:r>
            <w:r w:rsidR="00887ED7">
              <w:rPr>
                <w:lang w:val="es-419"/>
              </w:rPr>
              <w:t xml:space="preserve">. </w:t>
            </w:r>
            <w:r w:rsidRPr="00887ED7">
              <w:rPr>
                <w:lang w:val="es-419"/>
              </w:rPr>
              <w:t>Las herramientas de PI propuestas están contempladas en la legislación nacional y regional aplicable.</w:t>
            </w:r>
          </w:p>
          <w:p w14:paraId="1510C06A" w14:textId="1A2BB5BB" w:rsidR="009F31D9" w:rsidRPr="00887ED7" w:rsidRDefault="009F31D9" w:rsidP="00066986">
            <w:pPr>
              <w:pStyle w:val="TableParagraph"/>
              <w:spacing w:before="240" w:after="240"/>
              <w:rPr>
                <w:lang w:val="es-419"/>
              </w:rPr>
            </w:pPr>
            <w:r w:rsidRPr="00887ED7">
              <w:rPr>
                <w:lang w:val="es-419"/>
              </w:rPr>
              <w:lastRenderedPageBreak/>
              <w:t>El análisis de PI en el Camerún se concluyó en junio de 2022</w:t>
            </w:r>
            <w:r w:rsidR="00887ED7">
              <w:rPr>
                <w:lang w:val="es-419"/>
              </w:rPr>
              <w:t xml:space="preserve">. </w:t>
            </w:r>
            <w:r w:rsidRPr="00887ED7">
              <w:rPr>
                <w:lang w:val="es-419"/>
              </w:rPr>
              <w:t>Se propusieron entre 3 y 5 herramientas de PI para cada tradición culinaria</w:t>
            </w:r>
            <w:r w:rsidR="00887ED7">
              <w:rPr>
                <w:lang w:val="es-419"/>
              </w:rPr>
              <w:t xml:space="preserve">. </w:t>
            </w:r>
            <w:r w:rsidRPr="00887ED7">
              <w:rPr>
                <w:lang w:val="es-419"/>
              </w:rPr>
              <w:t>Las herramientas de PI propuestas están contempladas en la legislación nacional y regional aplicable.</w:t>
            </w:r>
          </w:p>
          <w:p w14:paraId="3EB26A97" w14:textId="4BBADC50" w:rsidR="009F31D9" w:rsidRPr="00887ED7" w:rsidRDefault="009F31D9" w:rsidP="00066986">
            <w:pPr>
              <w:pStyle w:val="TableParagraph"/>
              <w:spacing w:before="240" w:after="240"/>
              <w:rPr>
                <w:lang w:val="es-419"/>
              </w:rPr>
            </w:pPr>
            <w:r w:rsidRPr="00887ED7">
              <w:rPr>
                <w:lang w:val="es-419"/>
              </w:rPr>
              <w:t>El análisis de PI en Malasia se concluyó en junio de 2022</w:t>
            </w:r>
            <w:r w:rsidR="00887ED7">
              <w:rPr>
                <w:lang w:val="es-419"/>
              </w:rPr>
              <w:t xml:space="preserve">. </w:t>
            </w:r>
            <w:r w:rsidRPr="00887ED7">
              <w:rPr>
                <w:lang w:val="es-419"/>
              </w:rPr>
              <w:t>Se propusieron entre 4 y 6 herramientas de PI para cada tradición culinaria</w:t>
            </w:r>
            <w:r w:rsidR="00887ED7">
              <w:rPr>
                <w:lang w:val="es-419"/>
              </w:rPr>
              <w:t xml:space="preserve">. </w:t>
            </w:r>
            <w:r w:rsidRPr="00887ED7">
              <w:rPr>
                <w:lang w:val="es-419"/>
              </w:rPr>
              <w:t>Las herramientas de PI propuestas están contempladas en la legislación nacional y regional aplicable.</w:t>
            </w:r>
          </w:p>
          <w:p w14:paraId="5DAFF2A7" w14:textId="2C9C2841" w:rsidR="009F31D9" w:rsidRPr="00887ED7" w:rsidRDefault="009F31D9" w:rsidP="00066986">
            <w:pPr>
              <w:pStyle w:val="TableParagraph"/>
              <w:spacing w:before="240" w:after="240"/>
              <w:rPr>
                <w:lang w:val="es-419"/>
              </w:rPr>
            </w:pPr>
            <w:r w:rsidRPr="00887ED7">
              <w:rPr>
                <w:lang w:val="es-419"/>
              </w:rPr>
              <w:t>El análisis de PI en Marruecos se concluyó en junio de 2022</w:t>
            </w:r>
            <w:r w:rsidR="00887ED7">
              <w:rPr>
                <w:lang w:val="es-419"/>
              </w:rPr>
              <w:t xml:space="preserve">. </w:t>
            </w:r>
            <w:r w:rsidRPr="00887ED7">
              <w:rPr>
                <w:lang w:val="es-419"/>
              </w:rPr>
              <w:t>Se propusieron entre 3 y 7 herramientas de PI para cada tradición culinaria</w:t>
            </w:r>
            <w:r w:rsidR="00887ED7">
              <w:rPr>
                <w:lang w:val="es-419"/>
              </w:rPr>
              <w:t xml:space="preserve">. </w:t>
            </w:r>
            <w:r w:rsidRPr="00887ED7">
              <w:rPr>
                <w:lang w:val="es-419"/>
              </w:rPr>
              <w:t>Las herramientas de PI propuestas están contempladas en la legislación nacional aplicable.</w:t>
            </w:r>
          </w:p>
        </w:tc>
        <w:tc>
          <w:tcPr>
            <w:tcW w:w="876" w:type="dxa"/>
          </w:tcPr>
          <w:p w14:paraId="41FCDBAA" w14:textId="77777777" w:rsidR="009F31D9" w:rsidRPr="00887ED7" w:rsidRDefault="009F31D9" w:rsidP="00066986">
            <w:pPr>
              <w:pStyle w:val="TableParagraph"/>
              <w:rPr>
                <w:lang w:val="es-419"/>
              </w:rPr>
            </w:pPr>
          </w:p>
          <w:p w14:paraId="1C83F149" w14:textId="77777777" w:rsidR="009F31D9" w:rsidRPr="00887ED7" w:rsidRDefault="009F31D9" w:rsidP="00066986">
            <w:pPr>
              <w:pStyle w:val="TableParagraph"/>
              <w:rPr>
                <w:lang w:val="es-419"/>
              </w:rPr>
            </w:pPr>
            <w:r w:rsidRPr="00887ED7">
              <w:rPr>
                <w:lang w:val="es-419"/>
              </w:rPr>
              <w:t>****</w:t>
            </w:r>
          </w:p>
        </w:tc>
      </w:tr>
      <w:tr w:rsidR="009F31D9" w:rsidRPr="00887ED7" w14:paraId="3B6ECDC4" w14:textId="77777777" w:rsidTr="00066986">
        <w:trPr>
          <w:trHeight w:val="510"/>
        </w:trPr>
        <w:tc>
          <w:tcPr>
            <w:tcW w:w="2410" w:type="dxa"/>
            <w:tcBorders>
              <w:right w:val="single" w:sz="6" w:space="0" w:color="000000"/>
            </w:tcBorders>
          </w:tcPr>
          <w:p w14:paraId="12BC7E93" w14:textId="77777777" w:rsidR="009F31D9" w:rsidRPr="00887ED7" w:rsidRDefault="009F31D9" w:rsidP="00066986">
            <w:pPr>
              <w:pStyle w:val="TableParagraph"/>
              <w:spacing w:before="240"/>
              <w:rPr>
                <w:lang w:val="es-419"/>
              </w:rPr>
            </w:pPr>
            <w:r w:rsidRPr="00887ED7">
              <w:rPr>
                <w:lang w:val="es-419"/>
              </w:rPr>
              <w:t>Organización de cuatro seminarios (uno en cada país piloto) para presentar el análisis de los ámbitos de la cadena de valor de una tradición culinaria concreta vinculados con la PI.</w:t>
            </w:r>
          </w:p>
        </w:tc>
        <w:tc>
          <w:tcPr>
            <w:tcW w:w="2695" w:type="dxa"/>
            <w:tcBorders>
              <w:top w:val="single" w:sz="6" w:space="0" w:color="000000"/>
              <w:left w:val="single" w:sz="6" w:space="0" w:color="000000"/>
              <w:bottom w:val="single" w:sz="6" w:space="0" w:color="000000"/>
            </w:tcBorders>
          </w:tcPr>
          <w:p w14:paraId="64509854" w14:textId="77777777" w:rsidR="009F31D9" w:rsidRPr="00887ED7" w:rsidRDefault="009F31D9" w:rsidP="00066986">
            <w:pPr>
              <w:pStyle w:val="TableParagraph"/>
              <w:spacing w:before="240"/>
              <w:rPr>
                <w:lang w:val="es-419"/>
              </w:rPr>
            </w:pPr>
            <w:r w:rsidRPr="00887ED7">
              <w:rPr>
                <w:lang w:val="es-419"/>
              </w:rPr>
              <w:t>Un porcentaje significativo de los participantes en el seminario afirman comprender mejor las posibles herramientas de PI que podrían utilizarse para la promoción de la tradición culinaria seleccionada a lo largo de su cadena de valor.</w:t>
            </w:r>
          </w:p>
        </w:tc>
        <w:tc>
          <w:tcPr>
            <w:tcW w:w="3401" w:type="dxa"/>
          </w:tcPr>
          <w:p w14:paraId="02F0C0EF" w14:textId="77777777" w:rsidR="009F31D9" w:rsidRPr="00887ED7" w:rsidRDefault="009F31D9" w:rsidP="00066986">
            <w:pPr>
              <w:spacing w:before="240" w:after="240"/>
              <w:rPr>
                <w:lang w:val="es-419"/>
              </w:rPr>
            </w:pPr>
            <w:r w:rsidRPr="00887ED7">
              <w:rPr>
                <w:lang w:val="es-419"/>
              </w:rPr>
              <w:t>En junio de 2022 se celebraron seminarios nacionales en el Perú, Malasia y el Camerún.</w:t>
            </w:r>
          </w:p>
          <w:p w14:paraId="6926524F" w14:textId="77777777" w:rsidR="009F31D9" w:rsidRPr="00887ED7" w:rsidRDefault="009F31D9" w:rsidP="00066986">
            <w:pPr>
              <w:rPr>
                <w:lang w:val="es-419"/>
              </w:rPr>
            </w:pPr>
            <w:r w:rsidRPr="00887ED7">
              <w:rPr>
                <w:lang w:val="es-419"/>
              </w:rPr>
              <w:t xml:space="preserve">En el </w:t>
            </w:r>
            <w:r w:rsidRPr="00887ED7">
              <w:rPr>
                <w:b/>
                <w:lang w:val="es-419"/>
              </w:rPr>
              <w:t>Perú</w:t>
            </w:r>
            <w:r w:rsidRPr="00887ED7">
              <w:rPr>
                <w:lang w:val="es-419"/>
              </w:rPr>
              <w:t>:</w:t>
            </w:r>
          </w:p>
          <w:p w14:paraId="7E309776" w14:textId="77777777" w:rsidR="009F31D9" w:rsidRPr="00887ED7" w:rsidRDefault="009F31D9" w:rsidP="00066986">
            <w:pPr>
              <w:numPr>
                <w:ilvl w:val="0"/>
                <w:numId w:val="9"/>
              </w:numPr>
              <w:rPr>
                <w:lang w:val="es-419"/>
              </w:rPr>
            </w:pPr>
            <w:r w:rsidRPr="00887ED7">
              <w:rPr>
                <w:lang w:val="es-419"/>
              </w:rPr>
              <w:t>70 personas asistieron al seminario en modo presencial y 171 a distancia;</w:t>
            </w:r>
          </w:p>
          <w:p w14:paraId="292F76E4" w14:textId="77777777" w:rsidR="009F31D9" w:rsidRPr="00887ED7" w:rsidRDefault="009F31D9" w:rsidP="00066986">
            <w:pPr>
              <w:numPr>
                <w:ilvl w:val="0"/>
                <w:numId w:val="9"/>
              </w:numPr>
              <w:rPr>
                <w:lang w:val="es-419"/>
              </w:rPr>
            </w:pPr>
            <w:r w:rsidRPr="00887ED7">
              <w:rPr>
                <w:lang w:val="es-419"/>
              </w:rPr>
              <w:t>6 participantes respondieron a la encuesta;</w:t>
            </w:r>
          </w:p>
          <w:p w14:paraId="1CF0C765" w14:textId="77777777" w:rsidR="009F31D9" w:rsidRPr="00887ED7" w:rsidRDefault="009F31D9" w:rsidP="00066986">
            <w:pPr>
              <w:numPr>
                <w:ilvl w:val="0"/>
                <w:numId w:val="9"/>
              </w:numPr>
              <w:rPr>
                <w:lang w:val="es-419"/>
              </w:rPr>
            </w:pPr>
            <w:r w:rsidRPr="00887ED7">
              <w:rPr>
                <w:lang w:val="es-419"/>
              </w:rPr>
              <w:t>el 100% de los encuestados declaró haber adquirido mejores conocimientos sobre las posibles herramientas de PI que podrían utilizarse para la promoción de las tradiciones culinarias seleccionadas, y el 67% consideró útiles los debates mantenidos durante el seminario;</w:t>
            </w:r>
          </w:p>
          <w:p w14:paraId="5C1E3ADE" w14:textId="77777777" w:rsidR="009F31D9" w:rsidRPr="00887ED7" w:rsidRDefault="009F31D9" w:rsidP="00066986">
            <w:pPr>
              <w:numPr>
                <w:ilvl w:val="0"/>
                <w:numId w:val="9"/>
              </w:numPr>
              <w:spacing w:after="240"/>
              <w:rPr>
                <w:lang w:val="es-419"/>
              </w:rPr>
            </w:pPr>
            <w:r w:rsidRPr="00887ED7">
              <w:rPr>
                <w:lang w:val="es-419"/>
              </w:rPr>
              <w:lastRenderedPageBreak/>
              <w:t xml:space="preserve">35 participantes asistieron a la mesa redonda en formato híbrido, de los cuales 15 respondieron a una encuesta de satisfacción. </w:t>
            </w:r>
          </w:p>
          <w:p w14:paraId="0EC533F0" w14:textId="77777777" w:rsidR="009F31D9" w:rsidRPr="00887ED7" w:rsidRDefault="009F31D9" w:rsidP="00066986">
            <w:pPr>
              <w:rPr>
                <w:lang w:val="es-419"/>
              </w:rPr>
            </w:pPr>
            <w:r w:rsidRPr="00887ED7">
              <w:rPr>
                <w:lang w:val="es-419"/>
              </w:rPr>
              <w:t xml:space="preserve">En </w:t>
            </w:r>
            <w:r w:rsidRPr="00887ED7">
              <w:rPr>
                <w:b/>
                <w:lang w:val="es-419"/>
              </w:rPr>
              <w:t>Malasia</w:t>
            </w:r>
            <w:r w:rsidRPr="00887ED7">
              <w:rPr>
                <w:lang w:val="es-419"/>
              </w:rPr>
              <w:t>:</w:t>
            </w:r>
          </w:p>
          <w:p w14:paraId="3E663722" w14:textId="3F31CD6A" w:rsidR="009F31D9" w:rsidRPr="00887ED7" w:rsidRDefault="009F31D9" w:rsidP="00066986">
            <w:pPr>
              <w:numPr>
                <w:ilvl w:val="0"/>
                <w:numId w:val="9"/>
              </w:numPr>
              <w:rPr>
                <w:lang w:val="es-419"/>
              </w:rPr>
            </w:pPr>
            <w:r w:rsidRPr="00887ED7">
              <w:rPr>
                <w:lang w:val="es-419"/>
              </w:rPr>
              <w:t>30 partes interesadas participaron en el seminario</w:t>
            </w:r>
            <w:r w:rsidR="0074522C" w:rsidRPr="00887ED7">
              <w:rPr>
                <w:lang w:val="es-419"/>
              </w:rPr>
              <w:t>;</w:t>
            </w:r>
          </w:p>
          <w:p w14:paraId="725DEEFC" w14:textId="0EE81D5E" w:rsidR="009F31D9" w:rsidRPr="00887ED7" w:rsidRDefault="009F31D9" w:rsidP="00066986">
            <w:pPr>
              <w:numPr>
                <w:ilvl w:val="0"/>
                <w:numId w:val="9"/>
              </w:numPr>
              <w:rPr>
                <w:lang w:val="es-419"/>
              </w:rPr>
            </w:pPr>
            <w:r w:rsidRPr="00887ED7">
              <w:rPr>
                <w:lang w:val="es-419"/>
              </w:rPr>
              <w:t>11 participantes respondieron a la encuesta</w:t>
            </w:r>
            <w:r w:rsidR="0074522C" w:rsidRPr="00887ED7">
              <w:rPr>
                <w:lang w:val="es-419"/>
              </w:rPr>
              <w:t>;</w:t>
            </w:r>
          </w:p>
          <w:p w14:paraId="18A63F5F" w14:textId="0B73049E" w:rsidR="009F31D9" w:rsidRPr="00887ED7" w:rsidRDefault="0074522C" w:rsidP="00066986">
            <w:pPr>
              <w:numPr>
                <w:ilvl w:val="0"/>
                <w:numId w:val="9"/>
              </w:numPr>
              <w:rPr>
                <w:lang w:val="es-419"/>
              </w:rPr>
            </w:pPr>
            <w:r w:rsidRPr="00887ED7">
              <w:rPr>
                <w:lang w:val="es-419"/>
              </w:rPr>
              <w:t>e</w:t>
            </w:r>
            <w:r w:rsidR="009F31D9" w:rsidRPr="00887ED7">
              <w:rPr>
                <w:lang w:val="es-419"/>
              </w:rPr>
              <w:t>l 91% de los encuestados declaró que su nivel de conocimiento y comprensión de los objetivos del proyecto había aumentado</w:t>
            </w:r>
            <w:r w:rsidRPr="00887ED7">
              <w:rPr>
                <w:lang w:val="es-419"/>
              </w:rPr>
              <w:t>;</w:t>
            </w:r>
          </w:p>
          <w:p w14:paraId="3CD9E2DF" w14:textId="023EFF8E" w:rsidR="009F31D9" w:rsidRPr="00887ED7" w:rsidRDefault="0074522C" w:rsidP="00066986">
            <w:pPr>
              <w:numPr>
                <w:ilvl w:val="0"/>
                <w:numId w:val="9"/>
              </w:numPr>
              <w:rPr>
                <w:lang w:val="es-419"/>
              </w:rPr>
            </w:pPr>
            <w:r w:rsidRPr="00887ED7">
              <w:rPr>
                <w:lang w:val="es-419"/>
              </w:rPr>
              <w:t>e</w:t>
            </w:r>
            <w:r w:rsidR="009F31D9" w:rsidRPr="00887ED7">
              <w:rPr>
                <w:lang w:val="es-419"/>
              </w:rPr>
              <w:t>l 100% de los encuestados afirmó que consideraría la posibilidad de utilizar herramientas de PI en su actividad en el futuro</w:t>
            </w:r>
            <w:r w:rsidRPr="00887ED7">
              <w:rPr>
                <w:lang w:val="es-419"/>
              </w:rPr>
              <w:t>;</w:t>
            </w:r>
          </w:p>
          <w:p w14:paraId="0DE16A2B" w14:textId="77777777" w:rsidR="009F31D9" w:rsidRPr="00887ED7" w:rsidRDefault="009F31D9" w:rsidP="00066986">
            <w:pPr>
              <w:numPr>
                <w:ilvl w:val="0"/>
                <w:numId w:val="9"/>
              </w:numPr>
              <w:spacing w:after="240"/>
              <w:rPr>
                <w:lang w:val="es-419"/>
              </w:rPr>
            </w:pPr>
            <w:r w:rsidRPr="00887ED7">
              <w:rPr>
                <w:lang w:val="es-419"/>
              </w:rPr>
              <w:t>el 77% de los encuestados consideró que los debates del seminario nacional fueron útiles o muy útiles.</w:t>
            </w:r>
          </w:p>
          <w:p w14:paraId="1BB2AF57" w14:textId="77777777" w:rsidR="009F31D9" w:rsidRPr="00887ED7" w:rsidRDefault="009F31D9" w:rsidP="00066986">
            <w:pPr>
              <w:rPr>
                <w:lang w:val="es-419"/>
              </w:rPr>
            </w:pPr>
            <w:r w:rsidRPr="00887ED7">
              <w:rPr>
                <w:lang w:val="es-419"/>
              </w:rPr>
              <w:t xml:space="preserve">En el </w:t>
            </w:r>
            <w:r w:rsidRPr="00887ED7">
              <w:rPr>
                <w:b/>
                <w:lang w:val="es-419"/>
              </w:rPr>
              <w:t>Camerún</w:t>
            </w:r>
            <w:r w:rsidRPr="00887ED7">
              <w:rPr>
                <w:lang w:val="es-419"/>
              </w:rPr>
              <w:t>:</w:t>
            </w:r>
          </w:p>
          <w:p w14:paraId="30FD6D87" w14:textId="77777777" w:rsidR="009F31D9" w:rsidRPr="00887ED7" w:rsidRDefault="009F31D9" w:rsidP="00066986">
            <w:pPr>
              <w:numPr>
                <w:ilvl w:val="0"/>
                <w:numId w:val="9"/>
              </w:numPr>
              <w:rPr>
                <w:lang w:val="es-419"/>
              </w:rPr>
            </w:pPr>
            <w:r w:rsidRPr="00887ED7">
              <w:rPr>
                <w:lang w:val="es-419"/>
              </w:rPr>
              <w:t>150 participantes;</w:t>
            </w:r>
          </w:p>
          <w:p w14:paraId="055FB47B" w14:textId="093D13A9" w:rsidR="009F31D9" w:rsidRPr="00887ED7" w:rsidRDefault="009F31D9" w:rsidP="00066986">
            <w:pPr>
              <w:numPr>
                <w:ilvl w:val="0"/>
                <w:numId w:val="9"/>
              </w:numPr>
              <w:rPr>
                <w:lang w:val="es-419"/>
              </w:rPr>
            </w:pPr>
            <w:r w:rsidRPr="00887ED7">
              <w:rPr>
                <w:lang w:val="es-419"/>
              </w:rPr>
              <w:t>77 participantes respondieron a la encuesta de satisfacción</w:t>
            </w:r>
            <w:r w:rsidR="0074522C" w:rsidRPr="00887ED7">
              <w:rPr>
                <w:lang w:val="es-419"/>
              </w:rPr>
              <w:t>;</w:t>
            </w:r>
          </w:p>
          <w:p w14:paraId="439B7D65" w14:textId="7EB5AF4F" w:rsidR="009F31D9" w:rsidRPr="00887ED7" w:rsidRDefault="0074522C" w:rsidP="00066986">
            <w:pPr>
              <w:numPr>
                <w:ilvl w:val="0"/>
                <w:numId w:val="9"/>
              </w:numPr>
              <w:rPr>
                <w:lang w:val="es-419"/>
              </w:rPr>
            </w:pPr>
            <w:r w:rsidRPr="00887ED7">
              <w:rPr>
                <w:lang w:val="es-419"/>
              </w:rPr>
              <w:t>e</w:t>
            </w:r>
            <w:r w:rsidR="009F31D9" w:rsidRPr="00887ED7">
              <w:rPr>
                <w:lang w:val="es-419"/>
              </w:rPr>
              <w:t xml:space="preserve">l 66% de los encuestados declaró que el seminario nacional los </w:t>
            </w:r>
            <w:r w:rsidR="00F95879" w:rsidRPr="00887ED7">
              <w:rPr>
                <w:lang w:val="es-419"/>
              </w:rPr>
              <w:t>animó</w:t>
            </w:r>
            <w:r w:rsidR="009F31D9" w:rsidRPr="00887ED7">
              <w:rPr>
                <w:lang w:val="es-419"/>
              </w:rPr>
              <w:t xml:space="preserve"> a utilizar las herramientas de PI en su negocio;</w:t>
            </w:r>
          </w:p>
          <w:p w14:paraId="3F2653B3" w14:textId="77777777" w:rsidR="009F31D9" w:rsidRPr="00887ED7" w:rsidRDefault="009F31D9" w:rsidP="00066986">
            <w:pPr>
              <w:numPr>
                <w:ilvl w:val="0"/>
                <w:numId w:val="9"/>
              </w:numPr>
              <w:spacing w:after="240"/>
              <w:rPr>
                <w:lang w:val="es-419"/>
              </w:rPr>
            </w:pPr>
            <w:r w:rsidRPr="00887ED7">
              <w:rPr>
                <w:lang w:val="es-419"/>
              </w:rPr>
              <w:t>el 76% de los encuestados consideró que los debates del seminario nacional fueron útiles o muy útiles.</w:t>
            </w:r>
          </w:p>
          <w:p w14:paraId="3C65C2DC" w14:textId="77777777" w:rsidR="009F31D9" w:rsidRPr="00887ED7" w:rsidRDefault="009F31D9" w:rsidP="00066986">
            <w:pPr>
              <w:rPr>
                <w:rFonts w:eastAsia="Times New Roman"/>
                <w:b/>
                <w:bCs/>
                <w:lang w:val="es-419"/>
              </w:rPr>
            </w:pPr>
            <w:r w:rsidRPr="00887ED7">
              <w:rPr>
                <w:lang w:val="es-419"/>
              </w:rPr>
              <w:t xml:space="preserve">En </w:t>
            </w:r>
            <w:r w:rsidRPr="00887ED7">
              <w:rPr>
                <w:b/>
                <w:lang w:val="es-419"/>
              </w:rPr>
              <w:t>Marruecos</w:t>
            </w:r>
            <w:r w:rsidRPr="00887ED7">
              <w:rPr>
                <w:lang w:val="es-419"/>
              </w:rPr>
              <w:t>:</w:t>
            </w:r>
          </w:p>
          <w:p w14:paraId="26F13AAE" w14:textId="6D70548A" w:rsidR="009F31D9" w:rsidRPr="00887ED7" w:rsidRDefault="0074522C" w:rsidP="00066986">
            <w:pPr>
              <w:numPr>
                <w:ilvl w:val="0"/>
                <w:numId w:val="9"/>
              </w:numPr>
              <w:rPr>
                <w:lang w:val="es-419"/>
              </w:rPr>
            </w:pPr>
            <w:r w:rsidRPr="00887ED7">
              <w:rPr>
                <w:lang w:val="es-419"/>
              </w:rPr>
              <w:t>e</w:t>
            </w:r>
            <w:r w:rsidR="009F31D9" w:rsidRPr="00887ED7">
              <w:rPr>
                <w:lang w:val="es-419"/>
              </w:rPr>
              <w:t>l 26 de septiembre de 2022, se celebró en Casablanca el seminario nacional organizado por la OMPI y la Oficina Marroquí de Propiedad Industrial y Comercial (OMPIC)</w:t>
            </w:r>
            <w:r w:rsidRPr="00887ED7">
              <w:rPr>
                <w:lang w:val="es-419"/>
              </w:rPr>
              <w:t>;</w:t>
            </w:r>
          </w:p>
          <w:p w14:paraId="0F64E700" w14:textId="79270F9D" w:rsidR="009F31D9" w:rsidRPr="00887ED7" w:rsidRDefault="0074522C" w:rsidP="00066986">
            <w:pPr>
              <w:numPr>
                <w:ilvl w:val="0"/>
                <w:numId w:val="9"/>
              </w:numPr>
              <w:spacing w:after="240"/>
              <w:rPr>
                <w:lang w:val="es-419"/>
              </w:rPr>
            </w:pPr>
            <w:r w:rsidRPr="00887ED7">
              <w:rPr>
                <w:lang w:val="es-419"/>
              </w:rPr>
              <w:lastRenderedPageBreak/>
              <w:t>r</w:t>
            </w:r>
            <w:r w:rsidR="009F31D9" w:rsidRPr="00887ED7">
              <w:rPr>
                <w:lang w:val="es-419"/>
              </w:rPr>
              <w:t>epresentantes de varios ministerios (Agricultura, Turismo, Cultura), agentes del sector turístico y representantes del sector culinario asistieron a la reunión, en la que se debatieron varias ideas para una futura ejecución del proyecto en Marruecos.</w:t>
            </w:r>
          </w:p>
        </w:tc>
        <w:tc>
          <w:tcPr>
            <w:tcW w:w="876" w:type="dxa"/>
          </w:tcPr>
          <w:p w14:paraId="2CFEB0E9" w14:textId="77777777" w:rsidR="009F31D9" w:rsidRPr="00887ED7" w:rsidRDefault="009F31D9" w:rsidP="00066986">
            <w:pPr>
              <w:pStyle w:val="TableParagraph"/>
              <w:rPr>
                <w:lang w:val="es-419"/>
              </w:rPr>
            </w:pPr>
          </w:p>
          <w:p w14:paraId="41D5A02E" w14:textId="77777777" w:rsidR="009F31D9" w:rsidRPr="00887ED7" w:rsidRDefault="009F31D9" w:rsidP="00066986">
            <w:pPr>
              <w:pStyle w:val="TableParagraph"/>
              <w:rPr>
                <w:lang w:val="es-419"/>
              </w:rPr>
            </w:pPr>
            <w:r w:rsidRPr="00887ED7">
              <w:rPr>
                <w:lang w:val="es-419"/>
              </w:rPr>
              <w:t>****</w:t>
            </w:r>
          </w:p>
        </w:tc>
      </w:tr>
      <w:tr w:rsidR="009F31D9" w:rsidRPr="00887ED7" w14:paraId="1E7EA333" w14:textId="77777777" w:rsidTr="00066986">
        <w:trPr>
          <w:trHeight w:val="510"/>
        </w:trPr>
        <w:tc>
          <w:tcPr>
            <w:tcW w:w="2410" w:type="dxa"/>
            <w:tcBorders>
              <w:right w:val="single" w:sz="6" w:space="0" w:color="000000"/>
            </w:tcBorders>
          </w:tcPr>
          <w:p w14:paraId="24D8B5DE" w14:textId="77777777" w:rsidR="009F31D9" w:rsidRPr="00887ED7" w:rsidRDefault="009F31D9" w:rsidP="00066986">
            <w:pPr>
              <w:pStyle w:val="TableParagraph"/>
              <w:spacing w:before="240"/>
              <w:rPr>
                <w:lang w:val="es-419"/>
              </w:rPr>
            </w:pPr>
            <w:r w:rsidRPr="00887ED7">
              <w:rPr>
                <w:lang w:val="es-419"/>
              </w:rPr>
              <w:lastRenderedPageBreak/>
              <w:t>Organización de un seminario internacional para presentar las experiencias y las conclusiones del proyecto en cada país piloto.</w:t>
            </w:r>
          </w:p>
        </w:tc>
        <w:tc>
          <w:tcPr>
            <w:tcW w:w="2695" w:type="dxa"/>
            <w:tcBorders>
              <w:top w:val="single" w:sz="6" w:space="0" w:color="000000"/>
              <w:left w:val="single" w:sz="6" w:space="0" w:color="000000"/>
              <w:bottom w:val="single" w:sz="6" w:space="0" w:color="000000"/>
            </w:tcBorders>
          </w:tcPr>
          <w:p w14:paraId="28C5BB13" w14:textId="77777777" w:rsidR="009F31D9" w:rsidRPr="00887ED7" w:rsidRDefault="009F31D9" w:rsidP="00066986">
            <w:pPr>
              <w:pStyle w:val="TableParagraph"/>
              <w:spacing w:before="240"/>
              <w:rPr>
                <w:lang w:val="es-419"/>
              </w:rPr>
            </w:pPr>
            <w:r w:rsidRPr="00887ED7">
              <w:rPr>
                <w:lang w:val="es-419"/>
              </w:rPr>
              <w:t>Presencia de partes interesadas pertinentes del sector de la PI y el turismo gastronómico procedentes de diferentes países.</w:t>
            </w:r>
          </w:p>
        </w:tc>
        <w:tc>
          <w:tcPr>
            <w:tcW w:w="3401" w:type="dxa"/>
          </w:tcPr>
          <w:p w14:paraId="44A68EEF" w14:textId="6FD5D0E1" w:rsidR="009F31D9" w:rsidRPr="00887ED7" w:rsidRDefault="009F31D9" w:rsidP="00066986">
            <w:pPr>
              <w:pStyle w:val="TableParagraph"/>
              <w:spacing w:before="240" w:after="240"/>
              <w:rPr>
                <w:lang w:val="es-419"/>
              </w:rPr>
            </w:pPr>
            <w:r w:rsidRPr="00887ED7">
              <w:rPr>
                <w:lang w:val="es-419"/>
              </w:rPr>
              <w:t>El 18 de octubre de 2022</w:t>
            </w:r>
            <w:r w:rsidR="0074522C" w:rsidRPr="00887ED7">
              <w:rPr>
                <w:lang w:val="es-419"/>
              </w:rPr>
              <w:t>,</w:t>
            </w:r>
            <w:r w:rsidRPr="00887ED7">
              <w:rPr>
                <w:lang w:val="es-419"/>
              </w:rPr>
              <w:t xml:space="preserve"> se llevó a cabo un taller internacional en la sede de la OMPI en el que se dieron cita los cuatro países participantes y especialistas para compartir sus vivencias en la ejecución del proyecto y examinar sus conclusiones e ideas sobre posibles medidas para el futuro</w:t>
            </w:r>
            <w:r w:rsidR="00887ED7">
              <w:rPr>
                <w:lang w:val="es-419"/>
              </w:rPr>
              <w:t xml:space="preserve">. </w:t>
            </w:r>
            <w:r w:rsidR="00AD20A0" w:rsidRPr="00887ED7">
              <w:rPr>
                <w:lang w:val="es-419"/>
              </w:rPr>
              <w:t>En el marco</w:t>
            </w:r>
            <w:r w:rsidRPr="00887ED7">
              <w:rPr>
                <w:lang w:val="es-419"/>
              </w:rPr>
              <w:t xml:space="preserve"> de las actividades de finalización del proyecto, se celebró un acto paralelo a la 29.</w:t>
            </w:r>
            <w:r w:rsidRPr="00887ED7">
              <w:rPr>
                <w:vertAlign w:val="superscript"/>
                <w:lang w:val="es-419"/>
              </w:rPr>
              <w:t>a</w:t>
            </w:r>
            <w:r w:rsidRPr="00887ED7">
              <w:rPr>
                <w:lang w:val="es-419"/>
              </w:rPr>
              <w:t xml:space="preserve"> sesión del CDIP en el que se presentaron las conclusiones del proyecto</w:t>
            </w:r>
            <w:r w:rsidR="00AD20A0" w:rsidRPr="00887ED7">
              <w:rPr>
                <w:lang w:val="es-419"/>
              </w:rPr>
              <w:t xml:space="preserve"> a los Estados miembros</w:t>
            </w:r>
            <w:r w:rsidRPr="00887ED7">
              <w:rPr>
                <w:lang w:val="es-419"/>
              </w:rPr>
              <w:t>.</w:t>
            </w:r>
          </w:p>
          <w:p w14:paraId="44C64828" w14:textId="77777777" w:rsidR="009F31D9" w:rsidRPr="00887ED7" w:rsidRDefault="009F31D9" w:rsidP="00066986">
            <w:pPr>
              <w:pStyle w:val="TableParagraph"/>
              <w:spacing w:after="240"/>
              <w:rPr>
                <w:lang w:val="es-419"/>
              </w:rPr>
            </w:pPr>
            <w:r w:rsidRPr="00887ED7">
              <w:rPr>
                <w:lang w:val="es-419"/>
              </w:rPr>
              <w:t>Los cuatro países estuvieron de acuerdo acerca de la importancia de proseguir la labor, a partir de los resultados del proyecto, para que tenga incidencia en la vida real de las personas de los sectores de la gastronomía y el turismo. La Organización Mundial del Turismo (OMT) también asistió al taller, para estudiar con los países las maneras de llevar adelante el apartado del proyecto que se refiere al turismo.</w:t>
            </w:r>
          </w:p>
        </w:tc>
        <w:tc>
          <w:tcPr>
            <w:tcW w:w="876" w:type="dxa"/>
          </w:tcPr>
          <w:p w14:paraId="05CAFE80" w14:textId="77777777" w:rsidR="009F31D9" w:rsidRPr="00887ED7" w:rsidRDefault="009F31D9" w:rsidP="00066986">
            <w:pPr>
              <w:pStyle w:val="TableParagraph"/>
              <w:rPr>
                <w:lang w:val="es-419"/>
              </w:rPr>
            </w:pPr>
          </w:p>
          <w:p w14:paraId="5792316A" w14:textId="77777777" w:rsidR="009F31D9" w:rsidRPr="00887ED7" w:rsidRDefault="009F31D9" w:rsidP="00066986">
            <w:pPr>
              <w:pStyle w:val="TableParagraph"/>
              <w:rPr>
                <w:lang w:val="es-419"/>
              </w:rPr>
            </w:pPr>
            <w:r w:rsidRPr="00887ED7">
              <w:rPr>
                <w:lang w:val="es-419"/>
              </w:rPr>
              <w:t>****</w:t>
            </w:r>
          </w:p>
        </w:tc>
      </w:tr>
    </w:tbl>
    <w:p w14:paraId="7B47A062" w14:textId="53627F6E" w:rsidR="00152CEA" w:rsidRPr="00887ED7" w:rsidRDefault="009F31D9" w:rsidP="009F31D9">
      <w:pPr>
        <w:pStyle w:val="Endofdocument-Annex"/>
        <w:spacing w:before="720"/>
        <w:ind w:left="5530"/>
        <w:rPr>
          <w:lang w:val="es-419"/>
        </w:rPr>
      </w:pPr>
      <w:r w:rsidRPr="00887ED7">
        <w:rPr>
          <w:lang w:val="es-419"/>
        </w:rPr>
        <w:t>[Fin del Anexo y del documento]</w:t>
      </w:r>
    </w:p>
    <w:sectPr w:rsidR="00152CEA" w:rsidRPr="00887ED7" w:rsidSect="009F31D9">
      <w:headerReference w:type="default" r:id="rId29"/>
      <w:headerReference w:type="first" r:id="rId3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39AC5" w14:textId="77777777" w:rsidR="00B85FB5" w:rsidRDefault="00B85FB5">
      <w:r>
        <w:separator/>
      </w:r>
    </w:p>
  </w:endnote>
  <w:endnote w:type="continuationSeparator" w:id="0">
    <w:p w14:paraId="5BA967C3" w14:textId="77777777" w:rsidR="00B85FB5" w:rsidRPr="009D30E6" w:rsidRDefault="00B85FB5" w:rsidP="007E663E">
      <w:pPr>
        <w:rPr>
          <w:sz w:val="17"/>
          <w:szCs w:val="17"/>
        </w:rPr>
      </w:pPr>
      <w:r w:rsidRPr="009D30E6">
        <w:rPr>
          <w:sz w:val="17"/>
          <w:szCs w:val="17"/>
        </w:rPr>
        <w:separator/>
      </w:r>
    </w:p>
    <w:p w14:paraId="0CFE88B2" w14:textId="77777777" w:rsidR="00B85FB5" w:rsidRPr="007E663E" w:rsidRDefault="00B85FB5" w:rsidP="007E663E">
      <w:pPr>
        <w:spacing w:after="60"/>
        <w:rPr>
          <w:sz w:val="17"/>
          <w:szCs w:val="17"/>
        </w:rPr>
      </w:pPr>
      <w:r>
        <w:rPr>
          <w:sz w:val="17"/>
        </w:rPr>
        <w:t>[Continuación de la nota de la página anterior]</w:t>
      </w:r>
    </w:p>
  </w:endnote>
  <w:endnote w:type="continuationNotice" w:id="1">
    <w:p w14:paraId="69AF7E6B" w14:textId="77777777" w:rsidR="00B85FB5" w:rsidRPr="007E663E" w:rsidRDefault="00B85FB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4051F" w14:textId="77777777" w:rsidR="003802C1" w:rsidRDefault="00380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4777" w14:textId="77777777" w:rsidR="003802C1" w:rsidRDefault="00380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7FC6" w14:textId="77777777" w:rsidR="003802C1" w:rsidRDefault="00380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0CE74" w14:textId="77777777" w:rsidR="00B85FB5" w:rsidRDefault="00B85FB5">
      <w:r>
        <w:separator/>
      </w:r>
    </w:p>
  </w:footnote>
  <w:footnote w:type="continuationSeparator" w:id="0">
    <w:p w14:paraId="27BC20B3" w14:textId="77777777" w:rsidR="00B85FB5" w:rsidRPr="009D30E6" w:rsidRDefault="00B85FB5" w:rsidP="007E663E">
      <w:pPr>
        <w:rPr>
          <w:sz w:val="17"/>
          <w:szCs w:val="17"/>
        </w:rPr>
      </w:pPr>
      <w:r w:rsidRPr="009D30E6">
        <w:rPr>
          <w:sz w:val="17"/>
          <w:szCs w:val="17"/>
        </w:rPr>
        <w:separator/>
      </w:r>
    </w:p>
    <w:p w14:paraId="773F4BD0" w14:textId="77777777" w:rsidR="00B85FB5" w:rsidRPr="007E663E" w:rsidRDefault="00B85FB5" w:rsidP="007E663E">
      <w:pPr>
        <w:spacing w:after="60"/>
        <w:rPr>
          <w:sz w:val="17"/>
          <w:szCs w:val="17"/>
        </w:rPr>
      </w:pPr>
      <w:r>
        <w:rPr>
          <w:sz w:val="17"/>
        </w:rPr>
        <w:t>[Continuación de la nota de la página anterior]</w:t>
      </w:r>
    </w:p>
  </w:footnote>
  <w:footnote w:type="continuationNotice" w:id="1">
    <w:p w14:paraId="5A1002B5" w14:textId="77777777" w:rsidR="00B85FB5" w:rsidRPr="007E663E" w:rsidRDefault="00B85FB5" w:rsidP="007E663E">
      <w:pPr>
        <w:spacing w:before="60"/>
        <w:jc w:val="right"/>
        <w:rPr>
          <w:sz w:val="17"/>
          <w:szCs w:val="17"/>
        </w:rPr>
      </w:pPr>
      <w:r w:rsidRPr="007E663E">
        <w:rPr>
          <w:sz w:val="17"/>
          <w:szCs w:val="17"/>
        </w:rPr>
        <w:t>[Sigue la nota en la página siguiente]</w:t>
      </w:r>
    </w:p>
  </w:footnote>
  <w:footnote w:id="2">
    <w:p w14:paraId="6A95E95D" w14:textId="6751845E" w:rsidR="009F31D9" w:rsidRDefault="009F31D9" w:rsidP="009F31D9">
      <w:pPr>
        <w:pStyle w:val="FootnoteText"/>
      </w:pPr>
      <w:r>
        <w:rPr>
          <w:rStyle w:val="FootnoteReference"/>
        </w:rPr>
        <w:footnoteRef/>
      </w:r>
      <w:r>
        <w:t xml:space="preserve"> El índice de ejecución presupuestaria es bastante bajo, habida cuenta de que muchas actividades del proyecto han tenido que readaptarse debido a las dificultades impuestas por la pandemia de COVID-19</w:t>
      </w:r>
      <w:r w:rsidR="00887ED7">
        <w:t xml:space="preserve">. </w:t>
      </w:r>
      <w:r>
        <w:t>Se han obtenido todos los resultados previstos en el documento del proyecto, como se describe en el presente informe</w:t>
      </w:r>
      <w:r w:rsidR="00887ED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F258" w14:textId="77777777" w:rsidR="003802C1" w:rsidRDefault="00380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5C5F" w14:textId="77777777" w:rsidR="009F31D9" w:rsidRPr="002326AB" w:rsidRDefault="009F31D9" w:rsidP="00477D6B">
    <w:pPr>
      <w:jc w:val="right"/>
      <w:rPr>
        <w:caps/>
      </w:rPr>
    </w:pPr>
    <w:r>
      <w:rPr>
        <w:caps/>
      </w:rPr>
      <w:t>CDIP/30/5</w:t>
    </w:r>
  </w:p>
  <w:p w14:paraId="30B99DED" w14:textId="77777777" w:rsidR="009F31D9" w:rsidRDefault="009F31D9" w:rsidP="00C434E0">
    <w:pPr>
      <w:jc w:val="right"/>
    </w:pPr>
    <w:r>
      <w:t>ANEXO</w:t>
    </w:r>
  </w:p>
  <w:p w14:paraId="5BEC58C6" w14:textId="77777777" w:rsidR="009F31D9" w:rsidRDefault="009F31D9" w:rsidP="00477D6B">
    <w:pPr>
      <w:jc w:val="right"/>
    </w:pPr>
  </w:p>
  <w:p w14:paraId="15168F4E" w14:textId="77777777" w:rsidR="009F31D9" w:rsidRDefault="009F31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B50D" w14:textId="77777777" w:rsidR="003802C1" w:rsidRDefault="003802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8872" w14:textId="77777777" w:rsidR="00AE7F20" w:rsidRPr="00EB0D93" w:rsidRDefault="009F31D9" w:rsidP="00477D6B">
    <w:pPr>
      <w:jc w:val="right"/>
      <w:rPr>
        <w:caps/>
      </w:rPr>
    </w:pPr>
    <w:bookmarkStart w:id="6" w:name="Code2"/>
    <w:bookmarkEnd w:id="6"/>
    <w:r>
      <w:rPr>
        <w:caps/>
      </w:rPr>
      <w:t>CDIP/30/5</w:t>
    </w:r>
  </w:p>
  <w:p w14:paraId="0D4D3D68" w14:textId="7EB63A8F" w:rsidR="00AE7F20" w:rsidRDefault="009F31D9" w:rsidP="00477D6B">
    <w:pPr>
      <w:jc w:val="right"/>
    </w:pPr>
    <w:r>
      <w:t xml:space="preserve">Anexo, página </w:t>
    </w:r>
    <w:r w:rsidR="00AE7F20">
      <w:fldChar w:fldCharType="begin"/>
    </w:r>
    <w:r w:rsidR="00AE7F20">
      <w:instrText xml:space="preserve"> PAGE  \* MERGEFORMAT </w:instrText>
    </w:r>
    <w:r w:rsidR="00AE7F20">
      <w:fldChar w:fldCharType="separate"/>
    </w:r>
    <w:r w:rsidR="003802C1">
      <w:rPr>
        <w:noProof/>
      </w:rPr>
      <w:t>19</w:t>
    </w:r>
    <w:r w:rsidR="00AE7F20">
      <w:fldChar w:fldCharType="end"/>
    </w:r>
  </w:p>
  <w:p w14:paraId="673976E7" w14:textId="77777777" w:rsidR="00AE7F20" w:rsidRDefault="00AE7F20" w:rsidP="00477D6B">
    <w:pPr>
      <w:jc w:val="right"/>
    </w:pPr>
  </w:p>
  <w:p w14:paraId="229357A2" w14:textId="77777777"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7376" w14:textId="77777777" w:rsidR="009F31D9" w:rsidRDefault="009F31D9" w:rsidP="009F31D9">
    <w:pPr>
      <w:pStyle w:val="Header"/>
      <w:jc w:val="right"/>
    </w:pPr>
    <w:r>
      <w:t>CDIP/30/5</w:t>
    </w:r>
  </w:p>
  <w:p w14:paraId="37674D76" w14:textId="77777777" w:rsidR="009F31D9" w:rsidRDefault="009F31D9" w:rsidP="009F31D9">
    <w:pPr>
      <w:pStyle w:val="Header"/>
      <w:jc w:val="right"/>
    </w:pPr>
    <w:r>
      <w:t>ANEXO</w:t>
    </w:r>
  </w:p>
  <w:p w14:paraId="1113684F" w14:textId="77777777" w:rsidR="009F31D9" w:rsidRDefault="009F31D9" w:rsidP="009F31D9">
    <w:pPr>
      <w:pStyle w:val="Header"/>
      <w:jc w:val="right"/>
    </w:pPr>
  </w:p>
  <w:p w14:paraId="30955A45" w14:textId="77777777" w:rsidR="009F31D9" w:rsidRDefault="009F31D9" w:rsidP="009F31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DC100E"/>
    <w:multiLevelType w:val="hybridMultilevel"/>
    <w:tmpl w:val="1CF2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E130D"/>
    <w:multiLevelType w:val="hybridMultilevel"/>
    <w:tmpl w:val="5F662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582B67"/>
    <w:multiLevelType w:val="hybridMultilevel"/>
    <w:tmpl w:val="4A1C9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425" w:hanging="360"/>
      </w:pPr>
      <w:rPr>
        <w:rFonts w:ascii="Courier New" w:hAnsi="Courier New" w:cs="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cs="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cs="Courier New" w:hint="default"/>
      </w:rPr>
    </w:lvl>
    <w:lvl w:ilvl="8" w:tplc="04090005" w:tentative="1">
      <w:start w:val="1"/>
      <w:numFmt w:val="bullet"/>
      <w:lvlText w:val=""/>
      <w:lvlJc w:val="left"/>
      <w:pPr>
        <w:ind w:left="7465" w:hanging="360"/>
      </w:pPr>
      <w:rPr>
        <w:rFonts w:ascii="Wingdings" w:hAnsi="Wingdings" w:hint="default"/>
      </w:rPr>
    </w:lvl>
  </w:abstractNum>
  <w:abstractNum w:abstractNumId="7" w15:restartNumberingAfterBreak="0">
    <w:nsid w:val="30D3496F"/>
    <w:multiLevelType w:val="hybridMultilevel"/>
    <w:tmpl w:val="1174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E36A2"/>
    <w:multiLevelType w:val="hybridMultilevel"/>
    <w:tmpl w:val="49860D26"/>
    <w:lvl w:ilvl="0" w:tplc="33BC3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5326D"/>
    <w:multiLevelType w:val="hybridMultilevel"/>
    <w:tmpl w:val="1E2CF8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D61357"/>
    <w:multiLevelType w:val="hybridMultilevel"/>
    <w:tmpl w:val="470E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2E0675"/>
    <w:multiLevelType w:val="hybridMultilevel"/>
    <w:tmpl w:val="E8386390"/>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A0083"/>
    <w:multiLevelType w:val="hybridMultilevel"/>
    <w:tmpl w:val="0534F292"/>
    <w:lvl w:ilvl="0" w:tplc="311A2E70">
      <w:start w:val="1"/>
      <w:numFmt w:val="lowerRoman"/>
      <w:lvlText w:val="%1)"/>
      <w:lvlJc w:val="left"/>
      <w:pPr>
        <w:ind w:left="2110" w:hanging="72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5"/>
  </w:num>
  <w:num w:numId="8">
    <w:abstractNumId w:val="1"/>
  </w:num>
  <w:num w:numId="9">
    <w:abstractNumId w:val="8"/>
  </w:num>
  <w:num w:numId="10">
    <w:abstractNumId w:val="6"/>
  </w:num>
  <w:num w:numId="11">
    <w:abstractNumId w:val="12"/>
  </w:num>
  <w:num w:numId="12">
    <w:abstractNumId w:val="14"/>
  </w:num>
  <w:num w:numId="13">
    <w:abstractNumId w:val="9"/>
  </w:num>
  <w:num w:numId="14">
    <w:abstractNumId w:val="7"/>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D9"/>
    <w:rsid w:val="00010686"/>
    <w:rsid w:val="00015A7F"/>
    <w:rsid w:val="00026CE5"/>
    <w:rsid w:val="00052915"/>
    <w:rsid w:val="000E3BB3"/>
    <w:rsid w:val="000F5E56"/>
    <w:rsid w:val="000F7CE6"/>
    <w:rsid w:val="001362EE"/>
    <w:rsid w:val="00152CEA"/>
    <w:rsid w:val="001629DB"/>
    <w:rsid w:val="001832A6"/>
    <w:rsid w:val="00195ED2"/>
    <w:rsid w:val="002028FE"/>
    <w:rsid w:val="00242CFE"/>
    <w:rsid w:val="0024395A"/>
    <w:rsid w:val="00250FAE"/>
    <w:rsid w:val="002634C4"/>
    <w:rsid w:val="002A1070"/>
    <w:rsid w:val="002C2E2F"/>
    <w:rsid w:val="002D23B5"/>
    <w:rsid w:val="002E0F47"/>
    <w:rsid w:val="002F4D94"/>
    <w:rsid w:val="002F4E68"/>
    <w:rsid w:val="00310826"/>
    <w:rsid w:val="00354647"/>
    <w:rsid w:val="00377273"/>
    <w:rsid w:val="003802C1"/>
    <w:rsid w:val="003845C1"/>
    <w:rsid w:val="00387287"/>
    <w:rsid w:val="003E48F1"/>
    <w:rsid w:val="003F347A"/>
    <w:rsid w:val="0041714C"/>
    <w:rsid w:val="00423E3E"/>
    <w:rsid w:val="00427AF4"/>
    <w:rsid w:val="00436B1E"/>
    <w:rsid w:val="0044229F"/>
    <w:rsid w:val="0045231F"/>
    <w:rsid w:val="004647DA"/>
    <w:rsid w:val="0046793F"/>
    <w:rsid w:val="00472A6E"/>
    <w:rsid w:val="00477808"/>
    <w:rsid w:val="00477D6B"/>
    <w:rsid w:val="004A6C37"/>
    <w:rsid w:val="004E297D"/>
    <w:rsid w:val="00531B02"/>
    <w:rsid w:val="005332F0"/>
    <w:rsid w:val="0055013B"/>
    <w:rsid w:val="00571B99"/>
    <w:rsid w:val="005A19B9"/>
    <w:rsid w:val="005B2EAE"/>
    <w:rsid w:val="00605827"/>
    <w:rsid w:val="00646205"/>
    <w:rsid w:val="00675021"/>
    <w:rsid w:val="006A06C6"/>
    <w:rsid w:val="006A63CA"/>
    <w:rsid w:val="007224C8"/>
    <w:rsid w:val="0074522C"/>
    <w:rsid w:val="00762AC6"/>
    <w:rsid w:val="007805C8"/>
    <w:rsid w:val="00794BE2"/>
    <w:rsid w:val="007A5581"/>
    <w:rsid w:val="007B71FE"/>
    <w:rsid w:val="007D781E"/>
    <w:rsid w:val="007E663E"/>
    <w:rsid w:val="00815082"/>
    <w:rsid w:val="0088395E"/>
    <w:rsid w:val="00887ED7"/>
    <w:rsid w:val="008B2CC1"/>
    <w:rsid w:val="008E6BD6"/>
    <w:rsid w:val="0090731E"/>
    <w:rsid w:val="00966A22"/>
    <w:rsid w:val="00972F03"/>
    <w:rsid w:val="0098367F"/>
    <w:rsid w:val="009A0C8B"/>
    <w:rsid w:val="009A20CD"/>
    <w:rsid w:val="009B6241"/>
    <w:rsid w:val="009C0927"/>
    <w:rsid w:val="009C5191"/>
    <w:rsid w:val="009F31D9"/>
    <w:rsid w:val="00A16FC0"/>
    <w:rsid w:val="00A32C9E"/>
    <w:rsid w:val="00AB613D"/>
    <w:rsid w:val="00AD20A0"/>
    <w:rsid w:val="00AE7F20"/>
    <w:rsid w:val="00B04B5F"/>
    <w:rsid w:val="00B24C4B"/>
    <w:rsid w:val="00B446FD"/>
    <w:rsid w:val="00B534D5"/>
    <w:rsid w:val="00B65A0A"/>
    <w:rsid w:val="00B67CDC"/>
    <w:rsid w:val="00B72D36"/>
    <w:rsid w:val="00B76EA7"/>
    <w:rsid w:val="00B85FB5"/>
    <w:rsid w:val="00BC4164"/>
    <w:rsid w:val="00BD2DCC"/>
    <w:rsid w:val="00BF5A8E"/>
    <w:rsid w:val="00C308AE"/>
    <w:rsid w:val="00C43CBA"/>
    <w:rsid w:val="00C85A01"/>
    <w:rsid w:val="00C90559"/>
    <w:rsid w:val="00CA0500"/>
    <w:rsid w:val="00CA2251"/>
    <w:rsid w:val="00D33A35"/>
    <w:rsid w:val="00D56C7C"/>
    <w:rsid w:val="00D71B4D"/>
    <w:rsid w:val="00D90289"/>
    <w:rsid w:val="00D93D55"/>
    <w:rsid w:val="00DC4C60"/>
    <w:rsid w:val="00DD6CF4"/>
    <w:rsid w:val="00DF7316"/>
    <w:rsid w:val="00E0079A"/>
    <w:rsid w:val="00E302B1"/>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95879"/>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150343"/>
  <w15:docId w15:val="{7F382E8E-04BB-4E2C-BCD4-618DFFEC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9F31D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9F31D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F31D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F31D9"/>
    <w:rPr>
      <w:rFonts w:ascii="Arial" w:eastAsia="SimSun" w:hAnsi="Arial" w:cs="Arial"/>
      <w:bCs/>
      <w:i/>
      <w:sz w:val="22"/>
      <w:szCs w:val="28"/>
      <w:lang w:val="es-ES" w:eastAsia="zh-CN"/>
    </w:rPr>
  </w:style>
  <w:style w:type="character" w:customStyle="1" w:styleId="BodyTextChar">
    <w:name w:val="Body Text Char"/>
    <w:basedOn w:val="DefaultParagraphFont"/>
    <w:link w:val="BodyText"/>
    <w:uiPriority w:val="1"/>
    <w:rsid w:val="009F31D9"/>
    <w:rPr>
      <w:rFonts w:ascii="Arial" w:eastAsia="SimSun" w:hAnsi="Arial" w:cs="Arial"/>
      <w:sz w:val="22"/>
      <w:lang w:val="es-ES" w:eastAsia="zh-CN"/>
    </w:rPr>
  </w:style>
  <w:style w:type="character" w:customStyle="1" w:styleId="CommentTextChar">
    <w:name w:val="Comment Text Char"/>
    <w:basedOn w:val="DefaultParagraphFont"/>
    <w:semiHidden/>
    <w:rsid w:val="009F31D9"/>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9F31D9"/>
    <w:rPr>
      <w:rFonts w:ascii="Arial" w:eastAsia="SimSun" w:hAnsi="Arial" w:cs="Arial"/>
      <w:sz w:val="18"/>
      <w:lang w:val="es-ES" w:eastAsia="zh-CN"/>
    </w:rPr>
  </w:style>
  <w:style w:type="character" w:customStyle="1" w:styleId="FooterChar">
    <w:name w:val="Footer Char"/>
    <w:basedOn w:val="DefaultParagraphFont"/>
    <w:link w:val="Footer"/>
    <w:semiHidden/>
    <w:rsid w:val="009F31D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F31D9"/>
    <w:rPr>
      <w:rFonts w:ascii="Arial" w:eastAsia="SimSun" w:hAnsi="Arial" w:cs="Arial"/>
      <w:sz w:val="18"/>
      <w:lang w:val="es-ES" w:eastAsia="zh-CN"/>
    </w:rPr>
  </w:style>
  <w:style w:type="character" w:customStyle="1" w:styleId="HeaderChar">
    <w:name w:val="Header Char"/>
    <w:basedOn w:val="DefaultParagraphFont"/>
    <w:link w:val="Header"/>
    <w:semiHidden/>
    <w:rsid w:val="009F31D9"/>
    <w:rPr>
      <w:rFonts w:ascii="Arial" w:eastAsia="SimSun" w:hAnsi="Arial" w:cs="Arial"/>
      <w:sz w:val="22"/>
      <w:lang w:val="es-ES" w:eastAsia="zh-CN"/>
    </w:rPr>
  </w:style>
  <w:style w:type="character" w:customStyle="1" w:styleId="SalutationChar">
    <w:name w:val="Salutation Char"/>
    <w:basedOn w:val="DefaultParagraphFont"/>
    <w:link w:val="Salutation"/>
    <w:semiHidden/>
    <w:rsid w:val="009F31D9"/>
    <w:rPr>
      <w:rFonts w:ascii="Arial" w:eastAsia="SimSun" w:hAnsi="Arial" w:cs="Arial"/>
      <w:sz w:val="22"/>
      <w:lang w:val="es-ES" w:eastAsia="zh-CN"/>
    </w:rPr>
  </w:style>
  <w:style w:type="character" w:customStyle="1" w:styleId="SignatureChar">
    <w:name w:val="Signature Char"/>
    <w:basedOn w:val="DefaultParagraphFont"/>
    <w:link w:val="Signature"/>
    <w:semiHidden/>
    <w:rsid w:val="009F31D9"/>
    <w:rPr>
      <w:rFonts w:ascii="Arial" w:eastAsia="SimSun" w:hAnsi="Arial" w:cs="Arial"/>
      <w:sz w:val="22"/>
      <w:lang w:val="es-ES" w:eastAsia="zh-CN"/>
    </w:rPr>
  </w:style>
  <w:style w:type="paragraph" w:customStyle="1" w:styleId="TableParagraph">
    <w:name w:val="Table Paragraph"/>
    <w:basedOn w:val="Normal"/>
    <w:uiPriority w:val="1"/>
    <w:qFormat/>
    <w:rsid w:val="009F31D9"/>
    <w:pPr>
      <w:widowControl w:val="0"/>
      <w:autoSpaceDE w:val="0"/>
      <w:autoSpaceDN w:val="0"/>
    </w:pPr>
    <w:rPr>
      <w:rFonts w:eastAsia="Arial"/>
      <w:szCs w:val="22"/>
      <w:lang w:eastAsia="en-US"/>
    </w:rPr>
  </w:style>
  <w:style w:type="paragraph" w:styleId="ListParagraph">
    <w:name w:val="List Paragraph"/>
    <w:basedOn w:val="Normal"/>
    <w:uiPriority w:val="34"/>
    <w:qFormat/>
    <w:rsid w:val="009F31D9"/>
    <w:pPr>
      <w:widowControl w:val="0"/>
      <w:autoSpaceDE w:val="0"/>
      <w:autoSpaceDN w:val="0"/>
      <w:ind w:left="720"/>
      <w:contextualSpacing/>
    </w:pPr>
    <w:rPr>
      <w:rFonts w:eastAsia="Arial"/>
      <w:szCs w:val="22"/>
      <w:lang w:eastAsia="en-US"/>
    </w:rPr>
  </w:style>
  <w:style w:type="character" w:styleId="Hyperlink">
    <w:name w:val="Hyperlink"/>
    <w:basedOn w:val="DefaultParagraphFont"/>
    <w:unhideWhenUsed/>
    <w:rsid w:val="009F31D9"/>
    <w:rPr>
      <w:color w:val="0000FF" w:themeColor="hyperlink"/>
      <w:u w:val="single"/>
    </w:rPr>
  </w:style>
  <w:style w:type="paragraph" w:styleId="BalloonText">
    <w:name w:val="Balloon Text"/>
    <w:basedOn w:val="Normal"/>
    <w:link w:val="BalloonTextChar"/>
    <w:semiHidden/>
    <w:unhideWhenUsed/>
    <w:rsid w:val="009F31D9"/>
    <w:rPr>
      <w:rFonts w:ascii="Segoe UI" w:hAnsi="Segoe UI" w:cs="Segoe UI"/>
      <w:sz w:val="18"/>
      <w:szCs w:val="18"/>
    </w:rPr>
  </w:style>
  <w:style w:type="character" w:customStyle="1" w:styleId="BalloonTextChar">
    <w:name w:val="Balloon Text Char"/>
    <w:basedOn w:val="DefaultParagraphFont"/>
    <w:link w:val="BalloonText"/>
    <w:semiHidden/>
    <w:rsid w:val="009F31D9"/>
    <w:rPr>
      <w:rFonts w:ascii="Segoe UI" w:eastAsia="SimSun" w:hAnsi="Segoe UI" w:cs="Segoe UI"/>
      <w:sz w:val="18"/>
      <w:szCs w:val="18"/>
      <w:lang w:val="es-ES" w:eastAsia="zh-CN"/>
    </w:rPr>
  </w:style>
  <w:style w:type="character" w:styleId="CommentReference">
    <w:name w:val="annotation reference"/>
    <w:basedOn w:val="DefaultParagraphFont"/>
    <w:semiHidden/>
    <w:unhideWhenUsed/>
    <w:rsid w:val="009F31D9"/>
    <w:rPr>
      <w:sz w:val="16"/>
      <w:szCs w:val="16"/>
    </w:rPr>
  </w:style>
  <w:style w:type="paragraph" w:styleId="CommentSubject">
    <w:name w:val="annotation subject"/>
    <w:basedOn w:val="CommentText"/>
    <w:next w:val="CommentText"/>
    <w:link w:val="CommentSubjectChar"/>
    <w:semiHidden/>
    <w:unhideWhenUsed/>
    <w:rsid w:val="009F31D9"/>
    <w:rPr>
      <w:b/>
      <w:bCs/>
      <w:sz w:val="20"/>
    </w:rPr>
  </w:style>
  <w:style w:type="character" w:customStyle="1" w:styleId="CommentTextChar1">
    <w:name w:val="Comment Text Char1"/>
    <w:basedOn w:val="DefaultParagraphFont"/>
    <w:link w:val="CommentText"/>
    <w:semiHidden/>
    <w:rsid w:val="009F31D9"/>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9F31D9"/>
    <w:rPr>
      <w:rFonts w:ascii="Arial" w:eastAsia="SimSun" w:hAnsi="Arial" w:cs="Arial"/>
      <w:b/>
      <w:bCs/>
      <w:sz w:val="18"/>
      <w:lang w:val="es-ES" w:eastAsia="zh-CN"/>
    </w:rPr>
  </w:style>
  <w:style w:type="character" w:styleId="FollowedHyperlink">
    <w:name w:val="FollowedHyperlink"/>
    <w:basedOn w:val="DefaultParagraphFont"/>
    <w:semiHidden/>
    <w:unhideWhenUsed/>
    <w:rsid w:val="009F31D9"/>
    <w:rPr>
      <w:color w:val="800080" w:themeColor="followedHyperlink"/>
      <w:u w:val="single"/>
    </w:rPr>
  </w:style>
  <w:style w:type="character" w:styleId="FootnoteReference">
    <w:name w:val="footnote reference"/>
    <w:basedOn w:val="DefaultParagraphFont"/>
    <w:semiHidden/>
    <w:unhideWhenUsed/>
    <w:rsid w:val="009F3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ip-development/es/agenda/projects/peru.html" TargetMode="External"/><Relationship Id="rId26" Type="http://schemas.openxmlformats.org/officeDocument/2006/relationships/hyperlink" Target="https://www.wipo.int/ip-development/en/agenda/projects/morocco.html" TargetMode="External"/><Relationship Id="rId3" Type="http://schemas.openxmlformats.org/officeDocument/2006/relationships/styles" Target="styles.xml"/><Relationship Id="rId21" Type="http://schemas.openxmlformats.org/officeDocument/2006/relationships/hyperlink" Target="file:///C:\https:\www.wipo.int\export\sites\www\ip-development\en\docs\scoping-study-malaysia.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https:\www.wipo.int\export\sites\www\ip-development\es\docs\ip-analysis-peru.pdf" TargetMode="External"/><Relationship Id="rId25" Type="http://schemas.openxmlformats.org/officeDocument/2006/relationships/hyperlink" Target="http://www.wipo.int/export/sites/www/ip-development/fr/agenda/docs/rapport_maroc_octobre2022_fr.pdf" TargetMode="External"/><Relationship Id="rId2" Type="http://schemas.openxmlformats.org/officeDocument/2006/relationships/numbering" Target="numbering.xml"/><Relationship Id="rId16" Type="http://schemas.openxmlformats.org/officeDocument/2006/relationships/hyperlink" Target="https://www.wipo.int/export/sites/www/ip-development/es/docs/Scoping_Study_Peru_es.pdf" TargetMode="External"/><Relationship Id="rId20" Type="http://schemas.openxmlformats.org/officeDocument/2006/relationships/hyperlink" Target="file:///C:\www.wipo.int\export\sites\www\ip-development\fr\agenda\docs\analyse_ip_cameroon_fr.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https:\www.wipo.int\export\sites\www\ip-development\en\docs\Scoping_Study_en_Morocco.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ip-development/es/agenda/recommendations.html" TargetMode="External"/><Relationship Id="rId23" Type="http://schemas.openxmlformats.org/officeDocument/2006/relationships/hyperlink" Target="https://www.wipo.int/ip-development/en/agenda/projects/malaysia.html" TargetMode="External"/><Relationship Id="rId28" Type="http://schemas.openxmlformats.org/officeDocument/2006/relationships/hyperlink" Target="https://www.wipo.int/ip-development/es/agenda/projects/ip-and-gastronomic-tourism.html" TargetMode="External"/><Relationship Id="rId10" Type="http://schemas.openxmlformats.org/officeDocument/2006/relationships/header" Target="header2.xml"/><Relationship Id="rId19" Type="http://schemas.openxmlformats.org/officeDocument/2006/relationships/hyperlink" Target="file:///C:\https:\www.wipo.int\export\sites\www\ip-development\en\docs\scoping-study-cameroo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https:\www.wipo.int\export\sites\www\ip-development\en\docs\scoping-study-malaysia.pdf" TargetMode="External"/><Relationship Id="rId27" Type="http://schemas.openxmlformats.org/officeDocument/2006/relationships/hyperlink" Target="https://www.wipo.int/ip-development/es/agenda/projects/ip-and-gastronomic-tourism.html" TargetMode="Externa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C3F42-2EFF-43D8-8127-A132BC2F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1</TotalTime>
  <Pages>20</Pages>
  <Words>5997</Words>
  <Characters>33252</Characters>
  <Application>Microsoft Office Word</Application>
  <DocSecurity>0</DocSecurity>
  <Lines>1079</Lines>
  <Paragraphs>272</Paragraphs>
  <ScaleCrop>false</ScaleCrop>
  <HeadingPairs>
    <vt:vector size="2" baseType="variant">
      <vt:variant>
        <vt:lpstr>Title</vt:lpstr>
      </vt:variant>
      <vt:variant>
        <vt:i4>1</vt:i4>
      </vt:variant>
    </vt:vector>
  </HeadingPairs>
  <TitlesOfParts>
    <vt:vector size="1" baseType="lpstr">
      <vt:lpstr>CDIP/30/5</vt:lpstr>
    </vt:vector>
  </TitlesOfParts>
  <Company>WIPO</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CDIP/30/5</dc:title>
  <dc:creator>CEVALLOS DUQUE Nilo</dc:creator>
  <cp:keywords>FOR OFFICIAL USE ONLY</cp:keywords>
  <cp:lastModifiedBy>PANAKAL Joseph Lazar</cp:lastModifiedBy>
  <cp:revision>2</cp:revision>
  <dcterms:created xsi:type="dcterms:W3CDTF">2023-03-01T11:05:00Z</dcterms:created>
  <dcterms:modified xsi:type="dcterms:W3CDTF">2023-03-01T11:05:00Z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