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7748D3" w:rsidTr="0088395E">
        <w:tc>
          <w:tcPr>
            <w:tcW w:w="4513" w:type="dxa"/>
            <w:tcBorders>
              <w:bottom w:val="single" w:sz="4" w:space="0" w:color="auto"/>
            </w:tcBorders>
            <w:tcMar>
              <w:bottom w:w="170" w:type="dxa"/>
            </w:tcMar>
          </w:tcPr>
          <w:p w:rsidR="00E504E5" w:rsidRPr="007748D3" w:rsidRDefault="00E504E5" w:rsidP="00AB613D"/>
        </w:tc>
        <w:tc>
          <w:tcPr>
            <w:tcW w:w="4337" w:type="dxa"/>
            <w:tcBorders>
              <w:bottom w:val="single" w:sz="4" w:space="0" w:color="auto"/>
            </w:tcBorders>
            <w:tcMar>
              <w:left w:w="0" w:type="dxa"/>
              <w:right w:w="0" w:type="dxa"/>
            </w:tcMar>
          </w:tcPr>
          <w:p w:rsidR="00E504E5" w:rsidRPr="007748D3" w:rsidRDefault="00EE230B" w:rsidP="00AB613D">
            <w:r w:rsidRPr="007748D3">
              <w:rPr>
                <w:noProof/>
                <w:lang w:val="en-US" w:eastAsia="en-US"/>
              </w:rPr>
              <w:drawing>
                <wp:inline distT="0" distB="0" distL="0" distR="0" wp14:anchorId="32B6E609" wp14:editId="2DA3C0F6">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748D3" w:rsidRDefault="00E504E5" w:rsidP="00AB613D">
            <w:pPr>
              <w:jc w:val="right"/>
            </w:pPr>
            <w:r w:rsidRPr="007748D3">
              <w:rPr>
                <w:b/>
                <w:sz w:val="40"/>
                <w:szCs w:val="40"/>
              </w:rPr>
              <w:t>S</w:t>
            </w:r>
          </w:p>
        </w:tc>
      </w:tr>
      <w:tr w:rsidR="008B2CC1" w:rsidRPr="007748D3"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7748D3" w:rsidRDefault="007B3774" w:rsidP="00CC3A13">
            <w:pPr>
              <w:jc w:val="right"/>
              <w:rPr>
                <w:rFonts w:ascii="Arial Black" w:hAnsi="Arial Black"/>
                <w:caps/>
                <w:sz w:val="15"/>
              </w:rPr>
            </w:pPr>
            <w:r w:rsidRPr="007748D3">
              <w:rPr>
                <w:rFonts w:ascii="Arial Black" w:hAnsi="Arial Black"/>
                <w:caps/>
                <w:sz w:val="15"/>
              </w:rPr>
              <w:t>CDIP/2</w:t>
            </w:r>
            <w:r w:rsidR="0066508F" w:rsidRPr="007748D3">
              <w:rPr>
                <w:rFonts w:ascii="Arial Black" w:hAnsi="Arial Black"/>
                <w:caps/>
                <w:sz w:val="15"/>
              </w:rPr>
              <w:t>2</w:t>
            </w:r>
            <w:r w:rsidR="0096247A" w:rsidRPr="007748D3">
              <w:rPr>
                <w:rFonts w:ascii="Arial Black" w:hAnsi="Arial Black"/>
                <w:caps/>
                <w:sz w:val="15"/>
              </w:rPr>
              <w:t>/</w:t>
            </w:r>
            <w:bookmarkStart w:id="0" w:name="Code"/>
            <w:bookmarkEnd w:id="0"/>
            <w:r w:rsidR="00EF7E14" w:rsidRPr="007748D3">
              <w:rPr>
                <w:rFonts w:ascii="Arial Black" w:hAnsi="Arial Black"/>
                <w:caps/>
                <w:sz w:val="15"/>
              </w:rPr>
              <w:t>7</w:t>
            </w:r>
          </w:p>
        </w:tc>
      </w:tr>
      <w:tr w:rsidR="008B2CC1" w:rsidRPr="007748D3" w:rsidTr="00AB613D">
        <w:trPr>
          <w:trHeight w:hRule="exact" w:val="170"/>
        </w:trPr>
        <w:tc>
          <w:tcPr>
            <w:tcW w:w="9356" w:type="dxa"/>
            <w:gridSpan w:val="3"/>
            <w:noWrap/>
            <w:tcMar>
              <w:left w:w="0" w:type="dxa"/>
              <w:right w:w="0" w:type="dxa"/>
            </w:tcMar>
            <w:vAlign w:val="bottom"/>
          </w:tcPr>
          <w:p w:rsidR="008B2CC1" w:rsidRPr="007748D3" w:rsidRDefault="008B2CC1" w:rsidP="0046793F">
            <w:pPr>
              <w:jc w:val="right"/>
              <w:rPr>
                <w:rFonts w:ascii="Arial Black" w:hAnsi="Arial Black"/>
                <w:caps/>
                <w:sz w:val="15"/>
              </w:rPr>
            </w:pPr>
            <w:r w:rsidRPr="007748D3">
              <w:rPr>
                <w:rFonts w:ascii="Arial Black" w:hAnsi="Arial Black"/>
                <w:caps/>
                <w:sz w:val="15"/>
              </w:rPr>
              <w:t xml:space="preserve">ORIGINAL: </w:t>
            </w:r>
            <w:bookmarkStart w:id="1" w:name="Original"/>
            <w:bookmarkEnd w:id="1"/>
            <w:r w:rsidR="00EF7E14" w:rsidRPr="007748D3">
              <w:rPr>
                <w:rFonts w:ascii="Arial Black" w:hAnsi="Arial Black"/>
                <w:caps/>
                <w:sz w:val="15"/>
              </w:rPr>
              <w:t>INGLÉS</w:t>
            </w:r>
          </w:p>
        </w:tc>
      </w:tr>
      <w:tr w:rsidR="008B2CC1" w:rsidRPr="007748D3" w:rsidTr="00AB613D">
        <w:trPr>
          <w:trHeight w:hRule="exact" w:val="198"/>
        </w:trPr>
        <w:tc>
          <w:tcPr>
            <w:tcW w:w="9356" w:type="dxa"/>
            <w:gridSpan w:val="3"/>
            <w:tcMar>
              <w:left w:w="0" w:type="dxa"/>
              <w:right w:w="0" w:type="dxa"/>
            </w:tcMar>
            <w:vAlign w:val="bottom"/>
          </w:tcPr>
          <w:p w:rsidR="008B2CC1" w:rsidRPr="007748D3" w:rsidRDefault="00675021" w:rsidP="0046793F">
            <w:pPr>
              <w:jc w:val="right"/>
              <w:rPr>
                <w:rFonts w:ascii="Arial Black" w:hAnsi="Arial Black"/>
                <w:caps/>
                <w:sz w:val="15"/>
              </w:rPr>
            </w:pPr>
            <w:r w:rsidRPr="007748D3">
              <w:rPr>
                <w:rFonts w:ascii="Arial Black" w:hAnsi="Arial Black"/>
                <w:caps/>
                <w:sz w:val="15"/>
              </w:rPr>
              <w:t>fecha</w:t>
            </w:r>
            <w:r w:rsidR="008B2CC1" w:rsidRPr="007748D3">
              <w:rPr>
                <w:rFonts w:ascii="Arial Black" w:hAnsi="Arial Black"/>
                <w:caps/>
                <w:sz w:val="15"/>
              </w:rPr>
              <w:t xml:space="preserve">: </w:t>
            </w:r>
            <w:bookmarkStart w:id="2" w:name="Date"/>
            <w:bookmarkEnd w:id="2"/>
            <w:r w:rsidR="00EF7E14" w:rsidRPr="007748D3">
              <w:rPr>
                <w:rFonts w:ascii="Arial Black" w:hAnsi="Arial Black"/>
                <w:caps/>
                <w:sz w:val="15"/>
              </w:rPr>
              <w:t>26 DE SEPTIEMBRE DE 2018</w:t>
            </w:r>
          </w:p>
        </w:tc>
      </w:tr>
    </w:tbl>
    <w:p w:rsidR="008B2CC1" w:rsidRPr="007748D3" w:rsidRDefault="008B2CC1" w:rsidP="008B2CC1"/>
    <w:p w:rsidR="008B2CC1" w:rsidRPr="007748D3" w:rsidRDefault="008B2CC1" w:rsidP="008B2CC1"/>
    <w:p w:rsidR="008B2CC1" w:rsidRPr="007748D3" w:rsidRDefault="008B2CC1" w:rsidP="008B2CC1"/>
    <w:p w:rsidR="008B2CC1" w:rsidRPr="007748D3" w:rsidRDefault="008B2CC1" w:rsidP="008B2CC1"/>
    <w:p w:rsidR="008B2CC1" w:rsidRPr="007748D3" w:rsidRDefault="008B2CC1" w:rsidP="008B2CC1"/>
    <w:p w:rsidR="00B67CDC" w:rsidRPr="007748D3" w:rsidRDefault="0096247A" w:rsidP="00B67CDC">
      <w:pPr>
        <w:rPr>
          <w:b/>
          <w:sz w:val="28"/>
          <w:szCs w:val="28"/>
        </w:rPr>
      </w:pPr>
      <w:r w:rsidRPr="007748D3">
        <w:rPr>
          <w:b/>
          <w:sz w:val="28"/>
          <w:szCs w:val="28"/>
        </w:rPr>
        <w:t xml:space="preserve">Comité </w:t>
      </w:r>
      <w:r w:rsidR="00EE230B" w:rsidRPr="007748D3">
        <w:rPr>
          <w:b/>
          <w:sz w:val="28"/>
          <w:szCs w:val="28"/>
        </w:rPr>
        <w:t>de Desarrollo y Propiedad Intelectual (CDIP)</w:t>
      </w:r>
    </w:p>
    <w:p w:rsidR="003845C1" w:rsidRPr="007748D3" w:rsidRDefault="003845C1" w:rsidP="003845C1"/>
    <w:p w:rsidR="003845C1" w:rsidRPr="007748D3" w:rsidRDefault="003845C1" w:rsidP="003845C1"/>
    <w:p w:rsidR="00CC3A13" w:rsidRPr="007748D3" w:rsidRDefault="006F2626" w:rsidP="00CC3A13">
      <w:pPr>
        <w:rPr>
          <w:b/>
          <w:sz w:val="24"/>
          <w:szCs w:val="24"/>
        </w:rPr>
      </w:pPr>
      <w:r w:rsidRPr="007748D3">
        <w:rPr>
          <w:b/>
          <w:sz w:val="24"/>
          <w:szCs w:val="24"/>
        </w:rPr>
        <w:t>Vigesimosegunda</w:t>
      </w:r>
      <w:r w:rsidR="00CC3A13" w:rsidRPr="007748D3">
        <w:rPr>
          <w:b/>
          <w:sz w:val="24"/>
          <w:szCs w:val="24"/>
        </w:rPr>
        <w:t xml:space="preserve"> sesión</w:t>
      </w:r>
    </w:p>
    <w:p w:rsidR="00B67CDC" w:rsidRPr="007748D3" w:rsidRDefault="0066508F" w:rsidP="00CC3A13">
      <w:pPr>
        <w:rPr>
          <w:b/>
          <w:sz w:val="24"/>
          <w:szCs w:val="24"/>
        </w:rPr>
      </w:pPr>
      <w:r w:rsidRPr="007748D3">
        <w:rPr>
          <w:b/>
          <w:sz w:val="24"/>
          <w:szCs w:val="24"/>
        </w:rPr>
        <w:t>Ginebra, 19</w:t>
      </w:r>
      <w:r w:rsidR="00CC3A13" w:rsidRPr="007748D3">
        <w:rPr>
          <w:b/>
          <w:sz w:val="24"/>
          <w:szCs w:val="24"/>
        </w:rPr>
        <w:t xml:space="preserve"> a </w:t>
      </w:r>
      <w:r w:rsidRPr="007748D3">
        <w:rPr>
          <w:b/>
          <w:sz w:val="24"/>
          <w:szCs w:val="24"/>
        </w:rPr>
        <w:t>23</w:t>
      </w:r>
      <w:r w:rsidR="00CC3A13" w:rsidRPr="007748D3">
        <w:rPr>
          <w:b/>
          <w:sz w:val="24"/>
          <w:szCs w:val="24"/>
        </w:rPr>
        <w:t xml:space="preserve"> de </w:t>
      </w:r>
      <w:r w:rsidRPr="007748D3">
        <w:rPr>
          <w:b/>
          <w:sz w:val="24"/>
          <w:szCs w:val="24"/>
        </w:rPr>
        <w:t>noviembre</w:t>
      </w:r>
      <w:r w:rsidR="00CC3A13" w:rsidRPr="007748D3">
        <w:rPr>
          <w:b/>
          <w:sz w:val="24"/>
          <w:szCs w:val="24"/>
        </w:rPr>
        <w:t xml:space="preserve"> de 2018</w:t>
      </w:r>
    </w:p>
    <w:p w:rsidR="008B2CC1" w:rsidRPr="007748D3" w:rsidRDefault="008B2CC1" w:rsidP="008B2CC1"/>
    <w:p w:rsidR="008B2CC1" w:rsidRPr="007748D3" w:rsidRDefault="008B2CC1" w:rsidP="008B2CC1"/>
    <w:p w:rsidR="008B2CC1" w:rsidRPr="007748D3" w:rsidRDefault="008B2CC1" w:rsidP="008B2CC1"/>
    <w:p w:rsidR="00B97C87" w:rsidRPr="007748D3" w:rsidRDefault="00BB205A" w:rsidP="00EF7E14">
      <w:pPr>
        <w:rPr>
          <w:sz w:val="24"/>
        </w:rPr>
      </w:pPr>
      <w:bookmarkStart w:id="3" w:name="TitleOfDoc"/>
      <w:bookmarkStart w:id="4" w:name="_GoBack"/>
      <w:bookmarkEnd w:id="3"/>
      <w:r>
        <w:rPr>
          <w:sz w:val="24"/>
        </w:rPr>
        <w:t>L</w:t>
      </w:r>
      <w:r w:rsidRPr="007748D3">
        <w:rPr>
          <w:sz w:val="24"/>
        </w:rPr>
        <w:t>ISTA DE INDICADORES PARA EVALUAR LOS SERVICIOS Y ACTIVIDADES DE LA OMPI RELACIONADOS CON LA TRANSFERENCIA DE TECNOLOGÍA</w:t>
      </w:r>
    </w:p>
    <w:bookmarkEnd w:id="4"/>
    <w:p w:rsidR="00EF7E14" w:rsidRPr="007748D3" w:rsidRDefault="00EF7E14" w:rsidP="00EF7E14">
      <w:pPr>
        <w:rPr>
          <w:caps/>
          <w:sz w:val="24"/>
        </w:rPr>
      </w:pPr>
    </w:p>
    <w:p w:rsidR="00EF7E14" w:rsidRPr="007748D3" w:rsidRDefault="00EF7E14" w:rsidP="00EF7E14"/>
    <w:p w:rsidR="00EF7E14" w:rsidRPr="007748D3" w:rsidRDefault="00507D8B" w:rsidP="00EF7E14">
      <w:pPr>
        <w:rPr>
          <w:i/>
        </w:rPr>
      </w:pPr>
      <w:bookmarkStart w:id="5" w:name="Prepared"/>
      <w:bookmarkEnd w:id="5"/>
      <w:r w:rsidRPr="007748D3">
        <w:rPr>
          <w:i/>
        </w:rPr>
        <w:t>preparada por la Secretaría</w:t>
      </w:r>
    </w:p>
    <w:p w:rsidR="00EF7E14" w:rsidRPr="007748D3" w:rsidRDefault="00EF7E14" w:rsidP="00EF7E14"/>
    <w:p w:rsidR="00EF7E14" w:rsidRPr="007748D3" w:rsidRDefault="00EF7E14" w:rsidP="00EF7E14"/>
    <w:p w:rsidR="00EF7E14" w:rsidRPr="007748D3" w:rsidRDefault="00EF7E14" w:rsidP="00EF7E14"/>
    <w:p w:rsidR="00EF7E14" w:rsidRPr="007748D3" w:rsidRDefault="00EF7E14" w:rsidP="00EF7E14"/>
    <w:p w:rsidR="00903B64" w:rsidRPr="007748D3" w:rsidRDefault="00EF7E14" w:rsidP="00EF7E14">
      <w:pPr>
        <w:rPr>
          <w:color w:val="000000"/>
        </w:rPr>
      </w:pPr>
      <w:r w:rsidRPr="007748D3">
        <w:fldChar w:fldCharType="begin"/>
      </w:r>
      <w:r w:rsidRPr="007748D3">
        <w:instrText xml:space="preserve"> AUTONUM  </w:instrText>
      </w:r>
      <w:r w:rsidRPr="007748D3">
        <w:fldChar w:fldCharType="end"/>
      </w:r>
      <w:r w:rsidRPr="007748D3">
        <w:tab/>
      </w:r>
      <w:r w:rsidR="00903B64" w:rsidRPr="007748D3">
        <w:t xml:space="preserve">El </w:t>
      </w:r>
      <w:r w:rsidR="00903B64" w:rsidRPr="007748D3">
        <w:rPr>
          <w:color w:val="000000"/>
        </w:rPr>
        <w:t>Comité de Desarrollo y Propiedad Intelectual (CDIP) en su vigesimoprimera sesión, durante el debate sobre el análisis de las carencias en los actuales servicios</w:t>
      </w:r>
      <w:r w:rsidR="0092793A" w:rsidRPr="007748D3">
        <w:rPr>
          <w:color w:val="000000"/>
        </w:rPr>
        <w:t xml:space="preserve"> y actividades de la OMPI relacionados con la transferencia de tecnología, a la luz de las recomendaciones de la “categoría C” de la Agenda de la OMPI para el Desarrollo, que </w:t>
      </w:r>
      <w:r w:rsidR="0092793A" w:rsidRPr="007748D3">
        <w:t>figura en el documento CDIP/21/5, decidió que “las delegaciones interesadas deberán presentar a la Secretaría una lista de indicadores destinados a evaluar las actividades que figuran en el documento, que serán consolidados y presentados en la próxima sesión del Comité. Las aportaciones de los Estados miembros deberán llegar a la Secretaría, a más tardar, el 10 de septiembre de 2018.”</w:t>
      </w:r>
    </w:p>
    <w:p w:rsidR="00EF7E14" w:rsidRPr="007748D3" w:rsidRDefault="00EF7E14" w:rsidP="00EF7E14">
      <w:pPr>
        <w:rPr>
          <w:bCs/>
          <w:szCs w:val="22"/>
        </w:rPr>
      </w:pPr>
    </w:p>
    <w:p w:rsidR="0092793A" w:rsidRPr="007748D3" w:rsidRDefault="00EF7E14" w:rsidP="00EF7E14">
      <w:r w:rsidRPr="007748D3">
        <w:fldChar w:fldCharType="begin"/>
      </w:r>
      <w:r w:rsidRPr="007748D3">
        <w:instrText xml:space="preserve"> AUTONUM  </w:instrText>
      </w:r>
      <w:r w:rsidRPr="007748D3">
        <w:fldChar w:fldCharType="end"/>
      </w:r>
      <w:r w:rsidRPr="007748D3">
        <w:tab/>
      </w:r>
      <w:r w:rsidR="0092793A" w:rsidRPr="007748D3">
        <w:t xml:space="preserve">Los </w:t>
      </w:r>
      <w:r w:rsidR="0033322A" w:rsidRPr="007748D3">
        <w:t>A</w:t>
      </w:r>
      <w:r w:rsidR="0092793A" w:rsidRPr="007748D3">
        <w:t>nexos del presente document</w:t>
      </w:r>
      <w:r w:rsidR="006B6E72" w:rsidRPr="007748D3">
        <w:t>o</w:t>
      </w:r>
      <w:r w:rsidR="0092793A" w:rsidRPr="007748D3">
        <w:t xml:space="preserve"> contienen </w:t>
      </w:r>
      <w:r w:rsidR="006B6E72" w:rsidRPr="007748D3">
        <w:t>las contribuciones sobre la cuestión antedicha presentadas por la delegación de Suiza en nombre del Grupo B, la delegación de Ecuador y la delegación de Sudáfrica.</w:t>
      </w:r>
    </w:p>
    <w:p w:rsidR="00EF7E14" w:rsidRPr="007748D3" w:rsidRDefault="00EF7E14" w:rsidP="00EF7E14"/>
    <w:p w:rsidR="00EF7E14" w:rsidRPr="007748D3" w:rsidRDefault="00EF7E14" w:rsidP="000A0261">
      <w:pPr>
        <w:tabs>
          <w:tab w:val="left" w:pos="567"/>
          <w:tab w:val="left" w:pos="6096"/>
        </w:tabs>
        <w:ind w:left="5534"/>
        <w:rPr>
          <w:rStyle w:val="ONUMFSChar"/>
          <w:i/>
        </w:rPr>
      </w:pPr>
      <w:r w:rsidRPr="007748D3">
        <w:rPr>
          <w:i/>
        </w:rPr>
        <w:fldChar w:fldCharType="begin"/>
      </w:r>
      <w:r w:rsidRPr="007748D3">
        <w:rPr>
          <w:i/>
        </w:rPr>
        <w:instrText xml:space="preserve"> AUTONUM  </w:instrText>
      </w:r>
      <w:r w:rsidRPr="007748D3">
        <w:rPr>
          <w:i/>
        </w:rPr>
        <w:fldChar w:fldCharType="end"/>
      </w:r>
      <w:r w:rsidRPr="007748D3">
        <w:rPr>
          <w:i/>
        </w:rPr>
        <w:tab/>
      </w:r>
      <w:r w:rsidR="006B6E72" w:rsidRPr="007748D3">
        <w:rPr>
          <w:i/>
        </w:rPr>
        <w:t>Se invita al Comité a examinar l</w:t>
      </w:r>
      <w:r w:rsidR="0033322A" w:rsidRPr="007748D3">
        <w:rPr>
          <w:i/>
        </w:rPr>
        <w:t>a información que figura en los Anexos</w:t>
      </w:r>
      <w:r w:rsidR="006B6E72" w:rsidRPr="007748D3">
        <w:rPr>
          <w:i/>
        </w:rPr>
        <w:t xml:space="preserve"> del presente documento</w:t>
      </w:r>
      <w:r w:rsidRPr="007748D3">
        <w:rPr>
          <w:rStyle w:val="ONUMFSChar"/>
          <w:i/>
        </w:rPr>
        <w:t>.</w:t>
      </w:r>
    </w:p>
    <w:p w:rsidR="00EF7E14" w:rsidRPr="007748D3" w:rsidRDefault="00EF7E14" w:rsidP="00EF7E14"/>
    <w:p w:rsidR="00EF7E14" w:rsidRPr="007748D3" w:rsidRDefault="00EF7E14" w:rsidP="00EF7E14"/>
    <w:p w:rsidR="00EF7E14" w:rsidRPr="007748D3" w:rsidRDefault="00EF7E14" w:rsidP="00EF7E14"/>
    <w:p w:rsidR="00EF7E14" w:rsidRPr="007748D3" w:rsidRDefault="00EF7E14" w:rsidP="00EF7E14">
      <w:pPr>
        <w:pStyle w:val="Endofdocument-Annex"/>
        <w:rPr>
          <w:lang w:val="es-ES"/>
        </w:rPr>
        <w:sectPr w:rsidR="00EF7E14" w:rsidRPr="007748D3" w:rsidSect="00040449">
          <w:headerReference w:type="default" r:id="rId9"/>
          <w:endnotePr>
            <w:numFmt w:val="decimal"/>
          </w:endnotePr>
          <w:pgSz w:w="11907" w:h="16840" w:code="9"/>
          <w:pgMar w:top="567" w:right="1134" w:bottom="1418" w:left="1418" w:header="510" w:footer="1021" w:gutter="0"/>
          <w:cols w:space="720"/>
          <w:titlePg/>
          <w:docGrid w:linePitch="299"/>
        </w:sectPr>
      </w:pPr>
      <w:r w:rsidRPr="007748D3">
        <w:rPr>
          <w:lang w:val="es-ES"/>
        </w:rPr>
        <w:t>[</w:t>
      </w:r>
      <w:r w:rsidR="006B6E72" w:rsidRPr="007748D3">
        <w:rPr>
          <w:lang w:val="es-ES"/>
        </w:rPr>
        <w:t>Siguen los Anexo</w:t>
      </w:r>
      <w:r w:rsidRPr="007748D3">
        <w:rPr>
          <w:lang w:val="es-ES"/>
        </w:rPr>
        <w:t>s]</w:t>
      </w:r>
    </w:p>
    <w:p w:rsidR="00EF7E14" w:rsidRPr="007748D3" w:rsidRDefault="006B6E72" w:rsidP="00EF7E14">
      <w:pPr>
        <w:pStyle w:val="Heading1"/>
        <w:rPr>
          <w:b w:val="0"/>
          <w:szCs w:val="22"/>
        </w:rPr>
      </w:pPr>
      <w:r w:rsidRPr="007748D3">
        <w:rPr>
          <w:b w:val="0"/>
          <w:szCs w:val="22"/>
        </w:rPr>
        <w:lastRenderedPageBreak/>
        <w:t>CONTRIBUCIÓN PRESENTADA A LA SECRETARÍA POR LA DELEGACIÓN DE SUIZA EN NOMBRE DEL GRUPO</w:t>
      </w:r>
      <w:r w:rsidR="00EF7E14" w:rsidRPr="007748D3">
        <w:rPr>
          <w:b w:val="0"/>
          <w:szCs w:val="22"/>
        </w:rPr>
        <w:t xml:space="preserve"> b</w:t>
      </w:r>
    </w:p>
    <w:p w:rsidR="00EF7E14" w:rsidRPr="007748D3" w:rsidRDefault="00EF7E14" w:rsidP="00EF7E14"/>
    <w:p w:rsidR="006B6E72" w:rsidRPr="007748D3" w:rsidRDefault="00EF7E14" w:rsidP="00EF7E14">
      <w:pPr>
        <w:spacing w:after="200" w:line="276" w:lineRule="auto"/>
        <w:jc w:val="center"/>
        <w:rPr>
          <w:rFonts w:eastAsiaTheme="minorHAnsi"/>
          <w:b/>
          <w:sz w:val="28"/>
          <w:szCs w:val="28"/>
          <w:lang w:eastAsia="en-US"/>
        </w:rPr>
      </w:pPr>
      <w:r w:rsidRPr="007748D3">
        <w:rPr>
          <w:rFonts w:eastAsiaTheme="minorHAnsi"/>
          <w:b/>
          <w:sz w:val="28"/>
          <w:szCs w:val="28"/>
          <w:lang w:eastAsia="en-US"/>
        </w:rPr>
        <w:t>List</w:t>
      </w:r>
      <w:r w:rsidR="006B6E72" w:rsidRPr="007748D3">
        <w:rPr>
          <w:rFonts w:eastAsiaTheme="minorHAnsi"/>
          <w:b/>
          <w:sz w:val="28"/>
          <w:szCs w:val="28"/>
          <w:lang w:eastAsia="en-US"/>
        </w:rPr>
        <w:t xml:space="preserve">a de indicadores para evaluar los servicios y actividades de la OMPI </w:t>
      </w:r>
      <w:r w:rsidR="00647365" w:rsidRPr="007748D3">
        <w:rPr>
          <w:rFonts w:eastAsiaTheme="minorHAnsi"/>
          <w:b/>
          <w:sz w:val="28"/>
          <w:szCs w:val="28"/>
          <w:lang w:eastAsia="en-US"/>
        </w:rPr>
        <w:t>relacionados con</w:t>
      </w:r>
      <w:r w:rsidR="006B6E72" w:rsidRPr="007748D3">
        <w:rPr>
          <w:rFonts w:eastAsiaTheme="minorHAnsi"/>
          <w:b/>
          <w:sz w:val="28"/>
          <w:szCs w:val="28"/>
          <w:lang w:eastAsia="en-US"/>
        </w:rPr>
        <w:t xml:space="preserve"> la transferencia de tecnología</w:t>
      </w:r>
    </w:p>
    <w:p w:rsidR="00EF7E14" w:rsidRPr="007748D3" w:rsidRDefault="00AF4B60" w:rsidP="00EF7E14">
      <w:pPr>
        <w:spacing w:after="200" w:line="276" w:lineRule="auto"/>
        <w:jc w:val="center"/>
        <w:rPr>
          <w:rFonts w:eastAsiaTheme="minorHAnsi"/>
          <w:b/>
          <w:sz w:val="28"/>
          <w:szCs w:val="28"/>
          <w:lang w:eastAsia="en-US"/>
        </w:rPr>
      </w:pPr>
      <w:r w:rsidRPr="007748D3">
        <w:rPr>
          <w:rFonts w:eastAsiaTheme="minorHAnsi"/>
          <w:b/>
          <w:sz w:val="28"/>
          <w:szCs w:val="28"/>
          <w:lang w:eastAsia="en-US"/>
        </w:rPr>
        <w:t>Contribución del Grupo B</w:t>
      </w:r>
    </w:p>
    <w:p w:rsidR="00EF7E14" w:rsidRPr="007748D3" w:rsidRDefault="00EF7E14" w:rsidP="00EF7E14">
      <w:pPr>
        <w:spacing w:after="200" w:line="276" w:lineRule="auto"/>
        <w:rPr>
          <w:rFonts w:eastAsiaTheme="minorHAnsi"/>
          <w:szCs w:val="22"/>
          <w:lang w:eastAsia="en-US"/>
        </w:rPr>
      </w:pPr>
    </w:p>
    <w:p w:rsidR="006E7750" w:rsidRPr="007748D3" w:rsidRDefault="006E7750" w:rsidP="00EF7E14">
      <w:pPr>
        <w:spacing w:after="200" w:line="276" w:lineRule="auto"/>
        <w:rPr>
          <w:color w:val="000000"/>
        </w:rPr>
      </w:pPr>
      <w:r w:rsidRPr="007748D3">
        <w:rPr>
          <w:rFonts w:eastAsiaTheme="minorHAnsi"/>
          <w:szCs w:val="22"/>
          <w:lang w:eastAsia="en-US"/>
        </w:rPr>
        <w:t xml:space="preserve">Durante su </w:t>
      </w:r>
      <w:r w:rsidRPr="007748D3">
        <w:rPr>
          <w:color w:val="000000"/>
        </w:rPr>
        <w:t xml:space="preserve">vigesimoprimera sesión, el Comité debatió sobre el documento </w:t>
      </w:r>
      <w:r w:rsidRPr="007748D3">
        <w:rPr>
          <w:rFonts w:eastAsiaTheme="minorHAnsi"/>
          <w:szCs w:val="22"/>
          <w:lang w:eastAsia="en-US"/>
        </w:rPr>
        <w:t>CDIP/21/5, “A</w:t>
      </w:r>
      <w:r w:rsidRPr="007748D3">
        <w:t xml:space="preserve">nálisis de las carencias en los actuales servicios y actividades de la OMPI relacionados con la transferencia de tecnología, a la luz de las recomendaciones de la “categoría C” de la Agenda de la OMPI para el Desarrollo”. La Secretaría señaló que </w:t>
      </w:r>
      <w:r w:rsidR="001F3A67" w:rsidRPr="007748D3">
        <w:t xml:space="preserve">en </w:t>
      </w:r>
      <w:r w:rsidRPr="007748D3">
        <w:t xml:space="preserve">el documento </w:t>
      </w:r>
      <w:r w:rsidR="00F600FE" w:rsidRPr="007748D3">
        <w:t>se expone un análisis general en lugar de u</w:t>
      </w:r>
      <w:r w:rsidRPr="007748D3">
        <w:t xml:space="preserve">n análisis específico de las carencias </w:t>
      </w:r>
      <w:r w:rsidR="00F600FE" w:rsidRPr="007748D3">
        <w:t xml:space="preserve">de las actividades indicadas para </w:t>
      </w:r>
      <w:r w:rsidRPr="007748D3">
        <w:t xml:space="preserve">cada una de las recomendaciones de la categoría C, puesto que </w:t>
      </w:r>
      <w:r w:rsidR="00F600FE" w:rsidRPr="007748D3">
        <w:t xml:space="preserve">“en ningún momento se han definido indicadores o parámetros que permitan determinar de forma objetiva cómo, y en qué medida, las actividades de la OMPI en el marco de ciertas recomendaciones específicas han contribuido a alcanzar” esas </w:t>
      </w:r>
      <w:r w:rsidR="001F3A67" w:rsidRPr="007748D3">
        <w:t>recomendaciones. Por lo tanto, e</w:t>
      </w:r>
      <w:r w:rsidR="00F600FE" w:rsidRPr="007748D3">
        <w:t>l Comité decidió que “l</w:t>
      </w:r>
      <w:r w:rsidR="00F600FE" w:rsidRPr="007748D3">
        <w:rPr>
          <w:color w:val="000000"/>
        </w:rPr>
        <w:t>as delegaciones interesadas deberán presentar a la Secretaría una lista de indicadores destinados a evaluar las actividades que figuran en el documento, que serán consolidados y presentados en la próxima sesión del Comité.”</w:t>
      </w:r>
    </w:p>
    <w:p w:rsidR="00F600FE" w:rsidRPr="007748D3" w:rsidRDefault="00F600FE" w:rsidP="00EF7E14">
      <w:pPr>
        <w:spacing w:after="200" w:line="276" w:lineRule="auto"/>
        <w:rPr>
          <w:color w:val="000000"/>
        </w:rPr>
      </w:pPr>
      <w:r w:rsidRPr="007748D3">
        <w:rPr>
          <w:color w:val="000000"/>
        </w:rPr>
        <w:t>Unas buenas prácticas de gestión por resultados (GpR) exigen vincular los objetivos a todos los niveles con indicadores</w:t>
      </w:r>
      <w:r w:rsidR="001F3A67" w:rsidRPr="007748D3">
        <w:rPr>
          <w:color w:val="000000"/>
        </w:rPr>
        <w:t xml:space="preserve"> que puedan verificarse objetivamente y que sean</w:t>
      </w:r>
      <w:r w:rsidRPr="007748D3">
        <w:rPr>
          <w:color w:val="000000"/>
        </w:rPr>
        <w:t xml:space="preserve"> </w:t>
      </w:r>
      <w:r w:rsidRPr="007748D3">
        <w:rPr>
          <w:b/>
          <w:color w:val="000000"/>
        </w:rPr>
        <w:t>específicos</w:t>
      </w:r>
      <w:r w:rsidRPr="007748D3">
        <w:rPr>
          <w:color w:val="000000"/>
        </w:rPr>
        <w:t xml:space="preserve">, </w:t>
      </w:r>
      <w:r w:rsidRPr="007748D3">
        <w:rPr>
          <w:b/>
          <w:color w:val="000000"/>
        </w:rPr>
        <w:t>mensurables</w:t>
      </w:r>
      <w:r w:rsidRPr="007748D3">
        <w:rPr>
          <w:color w:val="000000"/>
        </w:rPr>
        <w:t xml:space="preserve">, </w:t>
      </w:r>
      <w:r w:rsidRPr="007748D3">
        <w:rPr>
          <w:b/>
          <w:color w:val="000000"/>
        </w:rPr>
        <w:t>realizables</w:t>
      </w:r>
      <w:r w:rsidRPr="007748D3">
        <w:rPr>
          <w:color w:val="000000"/>
        </w:rPr>
        <w:t xml:space="preserve">, </w:t>
      </w:r>
      <w:r w:rsidRPr="007748D3">
        <w:rPr>
          <w:b/>
          <w:color w:val="000000"/>
        </w:rPr>
        <w:t>pertinentes</w:t>
      </w:r>
      <w:r w:rsidRPr="007748D3">
        <w:rPr>
          <w:color w:val="000000"/>
        </w:rPr>
        <w:t xml:space="preserve"> y </w:t>
      </w:r>
      <w:r w:rsidRPr="007748D3">
        <w:rPr>
          <w:b/>
          <w:color w:val="000000"/>
        </w:rPr>
        <w:t>sujetos a plazo (SMART)</w:t>
      </w:r>
      <w:r w:rsidRPr="007748D3">
        <w:rPr>
          <w:color w:val="000000"/>
        </w:rPr>
        <w:t>.</w:t>
      </w:r>
    </w:p>
    <w:p w:rsidR="00EF7E14" w:rsidRPr="007748D3" w:rsidRDefault="00647365" w:rsidP="00647365">
      <w:pPr>
        <w:spacing w:after="200" w:line="276" w:lineRule="auto"/>
        <w:rPr>
          <w:rFonts w:eastAsiaTheme="minorHAnsi"/>
          <w:bCs/>
          <w:szCs w:val="22"/>
          <w:lang w:eastAsia="en-US"/>
        </w:rPr>
      </w:pPr>
      <w:r w:rsidRPr="007748D3">
        <w:rPr>
          <w:color w:val="000000"/>
        </w:rPr>
        <w:t>En el Apéndice I figura una lista no exhaustiva de indicadores que el Grupo B propone para evaluar la medida en la que los servicios y actividades de la OMPI relacionados con la transferencia de tecnología contribuyen a la aplicación de las citadas recomendaciones de la “categoría C” relativas a la transferencia de tecnología.</w:t>
      </w:r>
    </w:p>
    <w:p w:rsidR="00EF7E14" w:rsidRPr="007748D3" w:rsidRDefault="00EF7E14" w:rsidP="00EF7E14">
      <w:pPr>
        <w:rPr>
          <w:rFonts w:eastAsiaTheme="minorHAnsi"/>
          <w:bCs/>
          <w:sz w:val="24"/>
          <w:szCs w:val="24"/>
          <w:lang w:eastAsia="en-US"/>
        </w:rPr>
      </w:pPr>
      <w:r w:rsidRPr="007748D3">
        <w:rPr>
          <w:rFonts w:eastAsiaTheme="minorHAnsi"/>
          <w:bCs/>
          <w:sz w:val="24"/>
          <w:szCs w:val="24"/>
          <w:lang w:eastAsia="en-US"/>
        </w:rPr>
        <w:br w:type="page"/>
      </w:r>
    </w:p>
    <w:p w:rsidR="00EF7E14" w:rsidRPr="007748D3" w:rsidRDefault="00EF7E14" w:rsidP="00EF7E14">
      <w:pPr>
        <w:rPr>
          <w:rFonts w:eastAsiaTheme="minorHAnsi"/>
          <w:bCs/>
          <w:sz w:val="24"/>
          <w:szCs w:val="24"/>
          <w:lang w:eastAsia="en-US"/>
        </w:rPr>
        <w:sectPr w:rsidR="00EF7E14" w:rsidRPr="007748D3" w:rsidSect="00040449">
          <w:headerReference w:type="default" r:id="rId10"/>
          <w:headerReference w:type="first" r:id="rId11"/>
          <w:footerReference w:type="first" r:id="rId12"/>
          <w:endnotePr>
            <w:numFmt w:val="decimal"/>
          </w:endnotePr>
          <w:pgSz w:w="11907" w:h="16840" w:code="9"/>
          <w:pgMar w:top="562" w:right="1138" w:bottom="1411" w:left="1411" w:header="504" w:footer="1022" w:gutter="0"/>
          <w:pgNumType w:start="1"/>
          <w:cols w:space="720"/>
          <w:titlePg/>
          <w:docGrid w:linePitch="299"/>
        </w:sectPr>
      </w:pPr>
    </w:p>
    <w:p w:rsidR="00EF7E14" w:rsidRPr="007748D3" w:rsidRDefault="00EF7E14" w:rsidP="00EF7E14">
      <w:pPr>
        <w:rPr>
          <w:rFonts w:eastAsiaTheme="minorHAnsi"/>
          <w:bCs/>
          <w:sz w:val="24"/>
          <w:szCs w:val="24"/>
          <w:lang w:eastAsia="en-US"/>
        </w:rPr>
      </w:pPr>
    </w:p>
    <w:p w:rsidR="00EF7E14" w:rsidRPr="007748D3" w:rsidRDefault="00647365" w:rsidP="00EF7E14">
      <w:pPr>
        <w:jc w:val="center"/>
        <w:rPr>
          <w:rFonts w:eastAsiaTheme="minorHAnsi" w:cstheme="minorBidi"/>
          <w:b/>
          <w:szCs w:val="22"/>
          <w:lang w:eastAsia="en-US"/>
        </w:rPr>
      </w:pPr>
      <w:r w:rsidRPr="007748D3">
        <w:rPr>
          <w:rFonts w:eastAsiaTheme="minorHAnsi" w:cstheme="minorBidi"/>
          <w:b/>
          <w:szCs w:val="22"/>
          <w:lang w:eastAsia="en-US"/>
        </w:rPr>
        <w:t>APÉNDICE</w:t>
      </w:r>
      <w:r w:rsidR="00EF7E14" w:rsidRPr="007748D3">
        <w:rPr>
          <w:rFonts w:eastAsiaTheme="minorHAnsi" w:cstheme="minorBidi"/>
          <w:b/>
          <w:szCs w:val="22"/>
          <w:lang w:eastAsia="en-US"/>
        </w:rPr>
        <w:t xml:space="preserve"> I: </w:t>
      </w:r>
      <w:r w:rsidRPr="007748D3">
        <w:rPr>
          <w:rFonts w:eastAsiaTheme="minorHAnsi" w:cstheme="minorBidi"/>
          <w:b/>
          <w:szCs w:val="22"/>
          <w:lang w:eastAsia="en-US"/>
        </w:rPr>
        <w:t xml:space="preserve">Recomendaciones de la </w:t>
      </w:r>
      <w:r w:rsidR="00EF7E14" w:rsidRPr="007748D3">
        <w:rPr>
          <w:rFonts w:eastAsiaTheme="minorHAnsi" w:cstheme="minorBidi"/>
          <w:b/>
          <w:szCs w:val="22"/>
          <w:lang w:eastAsia="en-US"/>
        </w:rPr>
        <w:t>“</w:t>
      </w:r>
      <w:r w:rsidRPr="007748D3">
        <w:rPr>
          <w:rFonts w:eastAsiaTheme="minorHAnsi" w:cstheme="minorBidi"/>
          <w:b/>
          <w:szCs w:val="22"/>
          <w:lang w:eastAsia="en-US"/>
        </w:rPr>
        <w:t>categoría</w:t>
      </w:r>
      <w:r w:rsidR="00EF7E14" w:rsidRPr="007748D3">
        <w:rPr>
          <w:rFonts w:eastAsiaTheme="minorHAnsi" w:cstheme="minorBidi"/>
          <w:b/>
          <w:szCs w:val="22"/>
          <w:lang w:eastAsia="en-US"/>
        </w:rPr>
        <w:t xml:space="preserve"> C” </w:t>
      </w:r>
      <w:r w:rsidRPr="007748D3">
        <w:rPr>
          <w:rFonts w:eastAsiaTheme="minorHAnsi" w:cstheme="minorBidi"/>
          <w:b/>
          <w:szCs w:val="22"/>
          <w:lang w:eastAsia="en-US"/>
        </w:rPr>
        <w:t>de la Agenda para el Desarrollo</w:t>
      </w:r>
      <w:r w:rsidR="00EF7E14" w:rsidRPr="007748D3">
        <w:rPr>
          <w:rFonts w:eastAsiaTheme="minorHAnsi" w:cstheme="minorBidi"/>
          <w:b/>
          <w:szCs w:val="22"/>
          <w:lang w:eastAsia="en-US"/>
        </w:rPr>
        <w:t xml:space="preserve"> – </w:t>
      </w:r>
      <w:r w:rsidRPr="007748D3">
        <w:rPr>
          <w:rFonts w:eastAsiaTheme="minorHAnsi" w:cstheme="minorBidi"/>
          <w:b/>
          <w:szCs w:val="22"/>
          <w:lang w:eastAsia="en-US"/>
        </w:rPr>
        <w:t>GpR</w:t>
      </w:r>
      <w:r w:rsidR="00EF7E14" w:rsidRPr="007748D3">
        <w:rPr>
          <w:rFonts w:eastAsiaTheme="minorHAnsi" w:cstheme="minorBidi"/>
          <w:b/>
          <w:szCs w:val="22"/>
          <w:lang w:eastAsia="en-US"/>
        </w:rPr>
        <w:t xml:space="preserve"> – </w:t>
      </w:r>
      <w:r w:rsidRPr="007748D3">
        <w:rPr>
          <w:rFonts w:eastAsiaTheme="minorHAnsi" w:cstheme="minorBidi"/>
          <w:b/>
          <w:szCs w:val="22"/>
          <w:lang w:eastAsia="en-US"/>
        </w:rPr>
        <w:t>Metodología propuesta</w:t>
      </w:r>
    </w:p>
    <w:p w:rsidR="00EF7E14" w:rsidRPr="007748D3" w:rsidRDefault="00EF7E14" w:rsidP="00EF7E14">
      <w:pPr>
        <w:rPr>
          <w:rFonts w:eastAsiaTheme="minorHAnsi" w:cstheme="minorBidi"/>
          <w:szCs w:val="22"/>
          <w:lang w:eastAsia="en-US"/>
        </w:rPr>
      </w:pPr>
    </w:p>
    <w:tbl>
      <w:tblPr>
        <w:tblStyle w:val="TableGrid2"/>
        <w:tblW w:w="13163" w:type="dxa"/>
        <w:tblInd w:w="985" w:type="dxa"/>
        <w:tblLook w:val="04A0" w:firstRow="1" w:lastRow="0" w:firstColumn="1" w:lastColumn="0" w:noHBand="0" w:noVBand="1"/>
      </w:tblPr>
      <w:tblGrid>
        <w:gridCol w:w="7544"/>
        <w:gridCol w:w="5619"/>
      </w:tblGrid>
      <w:tr w:rsidR="00EF7E14" w:rsidRPr="007748D3" w:rsidTr="00040449">
        <w:trPr>
          <w:cantSplit/>
          <w:trHeight w:val="447"/>
          <w:tblHeader/>
        </w:trPr>
        <w:tc>
          <w:tcPr>
            <w:tcW w:w="7544" w:type="dxa"/>
            <w:shd w:val="clear" w:color="auto" w:fill="F2F2F2" w:themeFill="background1" w:themeFillShade="F2"/>
            <w:vAlign w:val="center"/>
          </w:tcPr>
          <w:p w:rsidR="00EF7E14" w:rsidRPr="007748D3" w:rsidRDefault="00647365" w:rsidP="00647365">
            <w:pPr>
              <w:jc w:val="center"/>
              <w:rPr>
                <w:rFonts w:eastAsiaTheme="minorHAnsi" w:cstheme="minorBidi"/>
                <w:b/>
                <w:lang w:eastAsia="en-US"/>
              </w:rPr>
            </w:pPr>
            <w:r w:rsidRPr="007748D3">
              <w:rPr>
                <w:rFonts w:eastAsiaTheme="minorHAnsi" w:cstheme="minorBidi"/>
                <w:b/>
                <w:lang w:eastAsia="en-US"/>
              </w:rPr>
              <w:t>Recomendación de la categoría C</w:t>
            </w:r>
          </w:p>
        </w:tc>
        <w:tc>
          <w:tcPr>
            <w:tcW w:w="5619" w:type="dxa"/>
            <w:shd w:val="clear" w:color="auto" w:fill="F2F2F2" w:themeFill="background1" w:themeFillShade="F2"/>
            <w:vAlign w:val="center"/>
          </w:tcPr>
          <w:p w:rsidR="00EF7E14" w:rsidRPr="007748D3" w:rsidRDefault="00647365" w:rsidP="00040449">
            <w:pPr>
              <w:jc w:val="center"/>
              <w:rPr>
                <w:rFonts w:eastAsiaTheme="minorHAnsi" w:cstheme="minorBidi"/>
                <w:b/>
                <w:lang w:eastAsia="en-US"/>
              </w:rPr>
            </w:pPr>
            <w:r w:rsidRPr="007748D3">
              <w:rPr>
                <w:rFonts w:eastAsiaTheme="minorHAnsi" w:cstheme="minorBidi"/>
                <w:b/>
                <w:lang w:eastAsia="en-US"/>
              </w:rPr>
              <w:t>Indicadores de rendimiento</w:t>
            </w:r>
          </w:p>
        </w:tc>
      </w:tr>
      <w:tr w:rsidR="00EF7E14" w:rsidRPr="007748D3" w:rsidTr="00040449">
        <w:trPr>
          <w:cantSplit/>
          <w:trHeight w:val="1410"/>
        </w:trPr>
        <w:tc>
          <w:tcPr>
            <w:tcW w:w="7544" w:type="dxa"/>
            <w:vMerge w:val="restart"/>
          </w:tcPr>
          <w:p w:rsidR="00EF7E14" w:rsidRPr="007748D3" w:rsidRDefault="00EF7E14" w:rsidP="00566022">
            <w:pPr>
              <w:rPr>
                <w:rFonts w:eastAsiaTheme="minorHAnsi" w:cstheme="minorBidi"/>
                <w:lang w:eastAsia="en-US"/>
              </w:rPr>
            </w:pPr>
            <w:r w:rsidRPr="007748D3">
              <w:rPr>
                <w:rFonts w:eastAsiaTheme="minorHAnsi" w:cstheme="minorBidi"/>
                <w:b/>
                <w:lang w:eastAsia="en-US"/>
              </w:rPr>
              <w:t>25.</w:t>
            </w:r>
            <w:r w:rsidRPr="007748D3">
              <w:rPr>
                <w:rFonts w:eastAsiaTheme="minorHAnsi" w:cstheme="minorBidi"/>
                <w:lang w:eastAsia="en-US"/>
              </w:rPr>
              <w:t xml:space="preserve"> </w:t>
            </w:r>
            <w:r w:rsidR="00566022" w:rsidRPr="007748D3">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r w:rsidR="00C9216A" w:rsidRPr="007748D3">
              <w:t>.</w:t>
            </w:r>
          </w:p>
        </w:tc>
        <w:tc>
          <w:tcPr>
            <w:tcW w:w="5619" w:type="dxa"/>
            <w:tcBorders>
              <w:bottom w:val="dotted" w:sz="4" w:space="0" w:color="auto"/>
            </w:tcBorders>
          </w:tcPr>
          <w:p w:rsidR="00C9216A" w:rsidRPr="007748D3" w:rsidRDefault="001F3A67" w:rsidP="00EF7E14">
            <w:pPr>
              <w:numPr>
                <w:ilvl w:val="0"/>
                <w:numId w:val="7"/>
              </w:numPr>
              <w:ind w:left="175" w:hanging="218"/>
              <w:rPr>
                <w:rFonts w:eastAsiaTheme="minorHAnsi" w:cstheme="minorBidi"/>
                <w:lang w:eastAsia="en-US"/>
              </w:rPr>
            </w:pPr>
            <w:r w:rsidRPr="007748D3">
              <w:rPr>
                <w:rFonts w:eastAsiaTheme="minorHAnsi" w:cstheme="minorBidi"/>
                <w:lang w:eastAsia="en-US"/>
              </w:rPr>
              <w:t>El número</w:t>
            </w:r>
            <w:r w:rsidR="00F638E4" w:rsidRPr="007748D3">
              <w:rPr>
                <w:rFonts w:eastAsiaTheme="minorHAnsi" w:cstheme="minorBidi"/>
                <w:lang w:eastAsia="en-US"/>
              </w:rPr>
              <w:t xml:space="preserve"> </w:t>
            </w:r>
            <w:r w:rsidR="0033322A" w:rsidRPr="007748D3">
              <w:rPr>
                <w:rFonts w:eastAsiaTheme="minorHAnsi" w:cstheme="minorBidi"/>
                <w:lang w:eastAsia="en-US"/>
              </w:rPr>
              <w:t xml:space="preserve">total </w:t>
            </w:r>
            <w:r w:rsidR="00F638E4" w:rsidRPr="007748D3">
              <w:rPr>
                <w:rFonts w:eastAsiaTheme="minorHAnsi" w:cstheme="minorBidi"/>
                <w:lang w:eastAsia="en-US"/>
              </w:rPr>
              <w:t xml:space="preserve">y el </w:t>
            </w:r>
            <w:r w:rsidR="00C9216A" w:rsidRPr="007748D3">
              <w:rPr>
                <w:rFonts w:eastAsiaTheme="minorHAnsi" w:cstheme="minorBidi"/>
                <w:lang w:eastAsia="en-US"/>
              </w:rPr>
              <w:t xml:space="preserve">índice de satisfacción de los programas de formación y </w:t>
            </w:r>
            <w:r w:rsidRPr="007748D3">
              <w:rPr>
                <w:rFonts w:eastAsiaTheme="minorHAnsi" w:cstheme="minorBidi"/>
                <w:lang w:eastAsia="en-US"/>
              </w:rPr>
              <w:t>actos</w:t>
            </w:r>
            <w:r w:rsidR="00C9216A" w:rsidRPr="007748D3">
              <w:rPr>
                <w:rFonts w:eastAsiaTheme="minorHAnsi" w:cstheme="minorBidi"/>
                <w:lang w:eastAsia="en-US"/>
              </w:rPr>
              <w:t xml:space="preserve"> sobre</w:t>
            </w:r>
            <w:r w:rsidR="0033322A" w:rsidRPr="007748D3">
              <w:rPr>
                <w:rFonts w:eastAsiaTheme="minorHAnsi" w:cstheme="minorBidi"/>
                <w:lang w:eastAsia="en-US"/>
              </w:rPr>
              <w:t xml:space="preserve"> las</w:t>
            </w:r>
            <w:r w:rsidR="00C9216A" w:rsidRPr="007748D3">
              <w:rPr>
                <w:rFonts w:eastAsiaTheme="minorHAnsi" w:cstheme="minorBidi"/>
                <w:lang w:eastAsia="en-US"/>
              </w:rPr>
              <w:t xml:space="preserve"> políticas e iniciativas relacionadas con la PI para fomentar la transferencia de tecnología, así como las flexibilidades relativas a la PI</w:t>
            </w:r>
            <w:r w:rsidR="0033322A" w:rsidRPr="007748D3">
              <w:rPr>
                <w:rFonts w:eastAsiaTheme="minorHAnsi" w:cstheme="minorBidi"/>
                <w:lang w:eastAsia="en-US"/>
              </w:rPr>
              <w:t>,</w:t>
            </w:r>
            <w:r w:rsidR="00C9216A" w:rsidRPr="007748D3">
              <w:rPr>
                <w:rFonts w:eastAsiaTheme="minorHAnsi" w:cstheme="minorBidi"/>
                <w:lang w:eastAsia="en-US"/>
              </w:rPr>
              <w:t xml:space="preserve"> </w:t>
            </w:r>
            <w:r w:rsidR="0033322A" w:rsidRPr="007748D3">
              <w:rPr>
                <w:rFonts w:eastAsiaTheme="minorHAnsi" w:cstheme="minorBidi"/>
                <w:lang w:eastAsia="en-US"/>
              </w:rPr>
              <w:t>previstas</w:t>
            </w:r>
            <w:r w:rsidR="00C9216A" w:rsidRPr="007748D3">
              <w:rPr>
                <w:rFonts w:eastAsiaTheme="minorHAnsi" w:cstheme="minorBidi"/>
                <w:lang w:eastAsia="en-US"/>
              </w:rPr>
              <w:t xml:space="preserve"> en los Estados miembros de países en desarrollo o destinadas a ellos.</w:t>
            </w:r>
          </w:p>
          <w:p w:rsidR="00F638E4" w:rsidRPr="007748D3" w:rsidRDefault="00C9216A" w:rsidP="00EF7E14">
            <w:pPr>
              <w:numPr>
                <w:ilvl w:val="0"/>
                <w:numId w:val="7"/>
              </w:numPr>
              <w:ind w:left="175" w:hanging="218"/>
              <w:rPr>
                <w:rFonts w:eastAsiaTheme="minorHAnsi" w:cstheme="minorBidi"/>
                <w:lang w:eastAsia="en-US"/>
              </w:rPr>
            </w:pPr>
            <w:r w:rsidRPr="007748D3">
              <w:rPr>
                <w:rFonts w:eastAsiaTheme="minorHAnsi" w:cstheme="minorBidi"/>
                <w:lang w:eastAsia="en-US"/>
              </w:rPr>
              <w:t>La utilización e implantación de bases de datos compiladas por la OMPI</w:t>
            </w:r>
            <w:r w:rsidR="00A7453C" w:rsidRPr="007748D3">
              <w:rPr>
                <w:rFonts w:eastAsiaTheme="minorHAnsi" w:cstheme="minorBidi"/>
                <w:lang w:eastAsia="en-US"/>
              </w:rPr>
              <w:t xml:space="preserve"> sobre políticas y flexibilidades </w:t>
            </w:r>
            <w:r w:rsidR="00F638E4" w:rsidRPr="007748D3">
              <w:rPr>
                <w:rFonts w:eastAsiaTheme="minorHAnsi" w:cstheme="minorBidi"/>
                <w:lang w:eastAsia="en-US"/>
              </w:rPr>
              <w:t>en materia de</w:t>
            </w:r>
            <w:r w:rsidR="00A7453C" w:rsidRPr="007748D3">
              <w:rPr>
                <w:rFonts w:eastAsiaTheme="minorHAnsi" w:cstheme="minorBidi"/>
                <w:lang w:eastAsia="en-US"/>
              </w:rPr>
              <w:t xml:space="preserve"> transferencia de tecnología y que</w:t>
            </w:r>
            <w:r w:rsidR="00F638E4" w:rsidRPr="007748D3">
              <w:rPr>
                <w:rFonts w:eastAsiaTheme="minorHAnsi" w:cstheme="minorBidi"/>
                <w:lang w:eastAsia="en-US"/>
              </w:rPr>
              <w:t xml:space="preserve"> estén a disposición de los Estados miembros.</w:t>
            </w:r>
          </w:p>
          <w:p w:rsidR="00A7453C" w:rsidRPr="007748D3" w:rsidRDefault="00F638E4" w:rsidP="00EF7E14">
            <w:pPr>
              <w:numPr>
                <w:ilvl w:val="0"/>
                <w:numId w:val="7"/>
              </w:numPr>
              <w:ind w:left="175" w:hanging="218"/>
              <w:rPr>
                <w:rFonts w:eastAsiaTheme="minorHAnsi" w:cstheme="minorBidi"/>
                <w:lang w:eastAsia="en-US"/>
              </w:rPr>
            </w:pPr>
            <w:r w:rsidRPr="007748D3">
              <w:rPr>
                <w:rFonts w:eastAsiaTheme="minorHAnsi" w:cstheme="minorBidi"/>
                <w:lang w:eastAsia="en-US"/>
              </w:rPr>
              <w:t>El n</w:t>
            </w:r>
            <w:r w:rsidR="00A7453C" w:rsidRPr="007748D3">
              <w:rPr>
                <w:rFonts w:eastAsiaTheme="minorHAnsi" w:cstheme="minorBidi"/>
                <w:lang w:eastAsia="en-US"/>
              </w:rPr>
              <w:t xml:space="preserve">úmero de publicaciones, estudios y otros recursos de calidad encargados, realizados o compilados por la OMPI sobre políticas y flexibilidades </w:t>
            </w:r>
            <w:r w:rsidRPr="007748D3">
              <w:rPr>
                <w:rFonts w:eastAsiaTheme="minorHAnsi" w:cstheme="minorBidi"/>
                <w:lang w:eastAsia="en-US"/>
              </w:rPr>
              <w:t>en materia de transferencia de tecnología, que hayan sido revisados por expertos y que estén a disposición de los Estados miembros.</w:t>
            </w:r>
          </w:p>
          <w:p w:rsidR="00EF7E14" w:rsidRPr="007748D3" w:rsidRDefault="00F638E4" w:rsidP="004602EC">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becas, programas de máster, cursos de verano y cursos de enseñanza a distancia sobre políticas e iniciativas en materia de PI destinados a fomentar la transferencia de tecnología </w:t>
            </w:r>
            <w:r w:rsidR="004602EC" w:rsidRPr="007748D3">
              <w:rPr>
                <w:rFonts w:eastAsiaTheme="minorHAnsi" w:cstheme="minorBidi"/>
                <w:lang w:eastAsia="en-US"/>
              </w:rPr>
              <w:t xml:space="preserve">en los Estados miembros de países en desarrollo </w:t>
            </w:r>
            <w:r w:rsidRPr="007748D3">
              <w:rPr>
                <w:rFonts w:eastAsiaTheme="minorHAnsi" w:cstheme="minorBidi"/>
                <w:lang w:eastAsia="en-US"/>
              </w:rPr>
              <w:t>que la OMPI haya ofrecido, organizado o imp</w:t>
            </w:r>
            <w:r w:rsidR="004602EC" w:rsidRPr="007748D3">
              <w:rPr>
                <w:rFonts w:eastAsiaTheme="minorHAnsi" w:cstheme="minorBidi"/>
                <w:lang w:eastAsia="en-US"/>
              </w:rPr>
              <w:t>artido.</w:t>
            </w:r>
          </w:p>
        </w:tc>
      </w:tr>
      <w:tr w:rsidR="00EF7E14" w:rsidRPr="007748D3" w:rsidTr="00040449">
        <w:trPr>
          <w:cantSplit/>
          <w:trHeight w:val="1630"/>
        </w:trPr>
        <w:tc>
          <w:tcPr>
            <w:tcW w:w="7544" w:type="dxa"/>
            <w:vMerge/>
          </w:tcPr>
          <w:p w:rsidR="00EF7E14" w:rsidRPr="007748D3" w:rsidRDefault="00EF7E14" w:rsidP="00040449">
            <w:pPr>
              <w:rPr>
                <w:rFonts w:eastAsiaTheme="minorHAnsi" w:cstheme="minorBidi"/>
                <w:b/>
                <w:lang w:eastAsia="en-US"/>
              </w:rPr>
            </w:pPr>
          </w:p>
        </w:tc>
        <w:tc>
          <w:tcPr>
            <w:tcW w:w="5619" w:type="dxa"/>
            <w:tcBorders>
              <w:top w:val="dotted" w:sz="4" w:space="0" w:color="auto"/>
            </w:tcBorders>
          </w:tcPr>
          <w:p w:rsidR="00F638E4" w:rsidRPr="007748D3" w:rsidRDefault="00F638E4" w:rsidP="00EF7E14">
            <w:pPr>
              <w:numPr>
                <w:ilvl w:val="0"/>
                <w:numId w:val="7"/>
              </w:numPr>
              <w:ind w:left="175" w:hanging="218"/>
              <w:rPr>
                <w:rFonts w:eastAsiaTheme="minorHAnsi" w:cstheme="minorBidi"/>
                <w:lang w:eastAsia="en-US"/>
              </w:rPr>
            </w:pPr>
            <w:r w:rsidRPr="007748D3">
              <w:rPr>
                <w:rFonts w:eastAsiaTheme="minorHAnsi" w:cstheme="minorBidi"/>
                <w:lang w:eastAsia="en-US"/>
              </w:rPr>
              <w:t>El número</w:t>
            </w:r>
            <w:r w:rsidR="005C5335" w:rsidRPr="007748D3">
              <w:rPr>
                <w:rFonts w:eastAsiaTheme="minorHAnsi" w:cstheme="minorBidi"/>
                <w:lang w:eastAsia="en-US"/>
              </w:rPr>
              <w:t xml:space="preserve"> total de reuniones del CDIP o de otros comités de la OMPI en las que se </w:t>
            </w:r>
            <w:r w:rsidR="00E72D95" w:rsidRPr="007748D3">
              <w:rPr>
                <w:rFonts w:eastAsiaTheme="minorHAnsi" w:cstheme="minorBidi"/>
                <w:lang w:eastAsia="en-US"/>
              </w:rPr>
              <w:t>haya debatido oficialmente*</w:t>
            </w:r>
            <w:r w:rsidR="005C5335" w:rsidRPr="007748D3">
              <w:rPr>
                <w:rFonts w:eastAsiaTheme="minorHAnsi" w:cstheme="minorBidi"/>
                <w:lang w:eastAsia="en-US"/>
              </w:rPr>
              <w:t xml:space="preserve"> sobre cuestiones relativas a la transferencia de tecnología.</w:t>
            </w:r>
          </w:p>
          <w:p w:rsidR="00E72D95" w:rsidRPr="007748D3" w:rsidRDefault="00E72D95" w:rsidP="00E72D95">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actos de las Naciones Unidas en materia de transferencia de tecnología en las </w:t>
            </w:r>
            <w:r w:rsidR="00DA2190" w:rsidRPr="007748D3">
              <w:rPr>
                <w:rFonts w:eastAsiaTheme="minorHAnsi" w:cstheme="minorBidi"/>
                <w:lang w:eastAsia="en-US"/>
              </w:rPr>
              <w:t xml:space="preserve">que la OMPI </w:t>
            </w:r>
            <w:r w:rsidRPr="007748D3">
              <w:rPr>
                <w:rFonts w:eastAsiaTheme="minorHAnsi" w:cstheme="minorBidi"/>
                <w:lang w:eastAsia="en-US"/>
              </w:rPr>
              <w:t>haya participado.</w:t>
            </w:r>
          </w:p>
          <w:p w:rsidR="00E72D95" w:rsidRPr="007748D3" w:rsidRDefault="00E72D95" w:rsidP="00E72D95">
            <w:pPr>
              <w:numPr>
                <w:ilvl w:val="0"/>
                <w:numId w:val="7"/>
              </w:numPr>
              <w:ind w:left="175" w:hanging="218"/>
              <w:rPr>
                <w:rFonts w:eastAsiaTheme="minorHAnsi" w:cstheme="minorBidi"/>
                <w:lang w:eastAsia="en-US"/>
              </w:rPr>
            </w:pPr>
            <w:r w:rsidRPr="007748D3">
              <w:rPr>
                <w:rFonts w:eastAsiaTheme="minorHAnsi" w:cstheme="minorBidi"/>
                <w:lang w:eastAsia="en-US"/>
              </w:rPr>
              <w:t>El número de proyectos en materia de transferencia de tecnología que la OMPI ha</w:t>
            </w:r>
            <w:r w:rsidR="004602EC" w:rsidRPr="007748D3">
              <w:rPr>
                <w:rFonts w:eastAsiaTheme="minorHAnsi" w:cstheme="minorBidi"/>
                <w:lang w:eastAsia="en-US"/>
              </w:rPr>
              <w:t>ya</w:t>
            </w:r>
            <w:r w:rsidRPr="007748D3">
              <w:rPr>
                <w:rFonts w:eastAsiaTheme="minorHAnsi" w:cstheme="minorBidi"/>
                <w:lang w:eastAsia="en-US"/>
              </w:rPr>
              <w:t xml:space="preserve"> ofrecido a los países en desarrollo y el índice de satisfacción en relación con </w:t>
            </w:r>
            <w:r w:rsidR="004602EC" w:rsidRPr="007748D3">
              <w:rPr>
                <w:rFonts w:eastAsiaTheme="minorHAnsi" w:cstheme="minorBidi"/>
                <w:lang w:eastAsia="en-US"/>
              </w:rPr>
              <w:t>ellos</w:t>
            </w:r>
            <w:r w:rsidRPr="007748D3">
              <w:rPr>
                <w:rFonts w:eastAsiaTheme="minorHAnsi" w:cstheme="minorBidi"/>
                <w:lang w:eastAsia="en-US"/>
              </w:rPr>
              <w:t>.</w:t>
            </w:r>
          </w:p>
          <w:p w:rsidR="00F638E4" w:rsidRPr="007748D3" w:rsidRDefault="00F638E4" w:rsidP="00F638E4">
            <w:pPr>
              <w:ind w:left="175"/>
              <w:rPr>
                <w:rFonts w:eastAsiaTheme="minorHAnsi" w:cstheme="minorBidi"/>
                <w:lang w:eastAsia="en-US"/>
              </w:rPr>
            </w:pPr>
          </w:p>
          <w:p w:rsidR="00EF7E14" w:rsidRPr="007748D3" w:rsidRDefault="00EF7E14" w:rsidP="00040449">
            <w:pPr>
              <w:ind w:left="-43"/>
              <w:rPr>
                <w:rFonts w:eastAsiaTheme="minorHAnsi" w:cstheme="minorBidi"/>
                <w:lang w:eastAsia="en-US"/>
              </w:rPr>
            </w:pPr>
          </w:p>
          <w:p w:rsidR="007748D3" w:rsidRDefault="00EF7E14" w:rsidP="00040449">
            <w:pPr>
              <w:ind w:left="-43"/>
              <w:rPr>
                <w:rFonts w:eastAsiaTheme="minorHAnsi" w:cstheme="minorBidi"/>
                <w:lang w:eastAsia="en-US"/>
              </w:rPr>
            </w:pPr>
            <w:r w:rsidRPr="007748D3">
              <w:rPr>
                <w:rFonts w:eastAsiaTheme="minorHAnsi" w:cstheme="minorBidi"/>
                <w:lang w:eastAsia="en-US"/>
              </w:rPr>
              <w:t>*</w:t>
            </w:r>
            <w:r w:rsidR="00E72D95" w:rsidRPr="007748D3">
              <w:rPr>
                <w:rFonts w:eastAsiaTheme="minorHAnsi" w:cstheme="minorBidi"/>
                <w:lang w:eastAsia="en-US"/>
              </w:rPr>
              <w:t>Oficialmente</w:t>
            </w:r>
            <w:r w:rsidRPr="007748D3">
              <w:rPr>
                <w:rFonts w:eastAsiaTheme="minorHAnsi" w:cstheme="minorBidi"/>
                <w:lang w:eastAsia="en-US"/>
              </w:rPr>
              <w:t>:</w:t>
            </w:r>
            <w:r w:rsidR="00E72D95" w:rsidRPr="007748D3">
              <w:rPr>
                <w:rFonts w:eastAsiaTheme="minorHAnsi" w:cstheme="minorBidi"/>
                <w:lang w:eastAsia="en-US"/>
              </w:rPr>
              <w:t xml:space="preserve"> que figura en el orden del día de la reunión o en el resumen de la presidencia.</w:t>
            </w:r>
          </w:p>
          <w:p w:rsidR="00EF7E14" w:rsidRPr="007748D3" w:rsidRDefault="00EF7E14" w:rsidP="00040449">
            <w:pPr>
              <w:ind w:left="-43"/>
              <w:rPr>
                <w:rFonts w:eastAsiaTheme="minorHAnsi" w:cstheme="minorBidi"/>
                <w:lang w:eastAsia="en-US"/>
              </w:rPr>
            </w:pPr>
          </w:p>
        </w:tc>
      </w:tr>
      <w:tr w:rsidR="00EF7E14" w:rsidRPr="007748D3" w:rsidTr="00040449">
        <w:trPr>
          <w:cantSplit/>
          <w:trHeight w:val="1080"/>
        </w:trPr>
        <w:tc>
          <w:tcPr>
            <w:tcW w:w="7544" w:type="dxa"/>
            <w:vMerge w:val="restart"/>
          </w:tcPr>
          <w:p w:rsidR="00EF7E14" w:rsidRPr="007748D3" w:rsidRDefault="00EF7E14" w:rsidP="00040449">
            <w:pPr>
              <w:rPr>
                <w:rFonts w:eastAsiaTheme="minorHAnsi" w:cstheme="minorBidi"/>
                <w:lang w:eastAsia="en-US"/>
              </w:rPr>
            </w:pPr>
            <w:r w:rsidRPr="007748D3">
              <w:rPr>
                <w:rFonts w:eastAsiaTheme="minorHAnsi" w:cstheme="minorBidi"/>
                <w:b/>
                <w:lang w:eastAsia="en-US"/>
              </w:rPr>
              <w:t>26.</w:t>
            </w:r>
            <w:r w:rsidR="00566022" w:rsidRPr="007748D3">
              <w:t xml:space="preserve"> 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EF7E14" w:rsidRPr="007748D3" w:rsidRDefault="00EF7E14" w:rsidP="00040449">
            <w:pPr>
              <w:rPr>
                <w:rFonts w:eastAsiaTheme="minorHAnsi" w:cstheme="minorBidi"/>
                <w:lang w:eastAsia="en-US"/>
              </w:rPr>
            </w:pPr>
          </w:p>
        </w:tc>
        <w:tc>
          <w:tcPr>
            <w:tcW w:w="5619" w:type="dxa"/>
            <w:tcBorders>
              <w:bottom w:val="dotted" w:sz="4" w:space="0" w:color="auto"/>
            </w:tcBorders>
          </w:tcPr>
          <w:p w:rsidR="00E72D95" w:rsidRPr="007748D3" w:rsidRDefault="00E72D95"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programas o actos de sensibilización y formación en materia de transferencia de tecnología, comercialización o concesión de licencias </w:t>
            </w:r>
            <w:r w:rsidR="0033322A" w:rsidRPr="007748D3">
              <w:rPr>
                <w:rFonts w:eastAsiaTheme="minorHAnsi" w:cstheme="minorBidi"/>
                <w:lang w:eastAsia="en-US"/>
              </w:rPr>
              <w:t>que se hayan realizado</w:t>
            </w:r>
            <w:r w:rsidRPr="007748D3">
              <w:rPr>
                <w:rFonts w:eastAsiaTheme="minorHAnsi" w:cstheme="minorBidi"/>
                <w:lang w:eastAsia="en-US"/>
              </w:rPr>
              <w:t xml:space="preserve"> en Estados miembros de países en </w:t>
            </w:r>
            <w:r w:rsidR="004602EC" w:rsidRPr="007748D3">
              <w:rPr>
                <w:rFonts w:eastAsiaTheme="minorHAnsi" w:cstheme="minorBidi"/>
                <w:lang w:eastAsia="en-US"/>
              </w:rPr>
              <w:t>desarrollo o</w:t>
            </w:r>
            <w:r w:rsidR="0033322A" w:rsidRPr="007748D3">
              <w:rPr>
                <w:rFonts w:eastAsiaTheme="minorHAnsi" w:cstheme="minorBidi"/>
                <w:lang w:eastAsia="en-US"/>
              </w:rPr>
              <w:t xml:space="preserve"> que estén</w:t>
            </w:r>
            <w:r w:rsidR="004602EC" w:rsidRPr="007748D3">
              <w:rPr>
                <w:rFonts w:eastAsiaTheme="minorHAnsi" w:cstheme="minorBidi"/>
                <w:lang w:eastAsia="en-US"/>
              </w:rPr>
              <w:t xml:space="preserve"> destinados a ellos, así como el índice de satisfacción en relación con </w:t>
            </w:r>
            <w:r w:rsidR="0033322A" w:rsidRPr="007748D3">
              <w:rPr>
                <w:rFonts w:eastAsiaTheme="minorHAnsi" w:cstheme="minorBidi"/>
                <w:lang w:eastAsia="en-US"/>
              </w:rPr>
              <w:t>dichos programas o actos</w:t>
            </w:r>
            <w:r w:rsidR="004602EC" w:rsidRPr="007748D3">
              <w:rPr>
                <w:rFonts w:eastAsiaTheme="minorHAnsi" w:cstheme="minorBidi"/>
                <w:lang w:eastAsia="en-US"/>
              </w:rPr>
              <w:t>.</w:t>
            </w:r>
          </w:p>
          <w:p w:rsidR="00E72D95" w:rsidRPr="007748D3" w:rsidRDefault="00E72D95"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publicaciones, estudios y otros </w:t>
            </w:r>
            <w:r w:rsidR="0033322A" w:rsidRPr="007748D3">
              <w:rPr>
                <w:rFonts w:eastAsiaTheme="minorHAnsi" w:cstheme="minorBidi"/>
                <w:lang w:eastAsia="en-US"/>
              </w:rPr>
              <w:t>recursos</w:t>
            </w:r>
            <w:r w:rsidRPr="007748D3">
              <w:rPr>
                <w:rFonts w:eastAsiaTheme="minorHAnsi" w:cstheme="minorBidi"/>
                <w:lang w:eastAsia="en-US"/>
              </w:rPr>
              <w:t xml:space="preserve"> de calidad encargados, </w:t>
            </w:r>
            <w:r w:rsidR="004602EC" w:rsidRPr="007748D3">
              <w:rPr>
                <w:rFonts w:eastAsiaTheme="minorHAnsi" w:cstheme="minorBidi"/>
                <w:lang w:eastAsia="en-US"/>
              </w:rPr>
              <w:t>realizados o compil</w:t>
            </w:r>
            <w:r w:rsidR="00B515FE" w:rsidRPr="007748D3">
              <w:rPr>
                <w:rFonts w:eastAsiaTheme="minorHAnsi" w:cstheme="minorBidi"/>
                <w:lang w:eastAsia="en-US"/>
              </w:rPr>
              <w:t>ados por la OMPI en materia de transferencia de tecnología, comercialización o concesión de licencias, que hayan sido revisados por expertos y que estén a disposición de los Estados miembros.</w:t>
            </w:r>
          </w:p>
          <w:p w:rsidR="00EF7E14" w:rsidRPr="007748D3" w:rsidRDefault="00B515FE" w:rsidP="0033322A">
            <w:pPr>
              <w:numPr>
                <w:ilvl w:val="0"/>
                <w:numId w:val="7"/>
              </w:numPr>
              <w:ind w:left="175" w:hanging="218"/>
              <w:rPr>
                <w:rFonts w:eastAsiaTheme="minorHAnsi" w:cstheme="minorBidi"/>
                <w:lang w:eastAsia="en-US"/>
              </w:rPr>
            </w:pPr>
            <w:r w:rsidRPr="007748D3">
              <w:rPr>
                <w:rFonts w:eastAsiaTheme="minorHAnsi" w:cstheme="minorBidi"/>
                <w:lang w:eastAsia="en-US"/>
              </w:rPr>
              <w:t>El número de expertos de países desarrollados que hayan participado en los programas de la OMPI relativos a la transferencia de tecnología.</w:t>
            </w:r>
          </w:p>
        </w:tc>
      </w:tr>
      <w:tr w:rsidR="00EF7E14" w:rsidRPr="007748D3" w:rsidTr="00040449">
        <w:trPr>
          <w:cantSplit/>
          <w:trHeight w:val="1200"/>
        </w:trPr>
        <w:tc>
          <w:tcPr>
            <w:tcW w:w="7544" w:type="dxa"/>
            <w:vMerge/>
          </w:tcPr>
          <w:p w:rsidR="00EF7E14" w:rsidRPr="007748D3" w:rsidRDefault="00EF7E14" w:rsidP="00040449">
            <w:pPr>
              <w:rPr>
                <w:rFonts w:eastAsiaTheme="minorHAnsi" w:cstheme="minorBidi"/>
                <w:b/>
                <w:lang w:eastAsia="en-US"/>
              </w:rPr>
            </w:pPr>
          </w:p>
        </w:tc>
        <w:tc>
          <w:tcPr>
            <w:tcW w:w="5619" w:type="dxa"/>
            <w:tcBorders>
              <w:top w:val="dotted" w:sz="4" w:space="0" w:color="auto"/>
            </w:tcBorders>
          </w:tcPr>
          <w:p w:rsidR="00B515FE" w:rsidRPr="007748D3" w:rsidRDefault="00B515FE"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alianzas establecidas con instituciones de investigación y científicas en materia de transferencia de tecnología, comercialización o concesión de licencias que la OMPI haya </w:t>
            </w:r>
            <w:r w:rsidR="0033322A" w:rsidRPr="007748D3">
              <w:rPr>
                <w:rFonts w:eastAsiaTheme="minorHAnsi" w:cstheme="minorBidi"/>
                <w:lang w:eastAsia="en-US"/>
              </w:rPr>
              <w:t xml:space="preserve">facilitado </w:t>
            </w:r>
            <w:r w:rsidRPr="007748D3">
              <w:rPr>
                <w:rFonts w:eastAsiaTheme="minorHAnsi" w:cstheme="minorBidi"/>
                <w:lang w:eastAsia="en-US"/>
              </w:rPr>
              <w:t>(mediante WIPO GREEN, WIPO Re:Search, WIPO Match o</w:t>
            </w:r>
            <w:r w:rsidR="00040449" w:rsidRPr="007748D3">
              <w:rPr>
                <w:rFonts w:eastAsiaTheme="minorHAnsi" w:cstheme="minorBidi"/>
                <w:lang w:eastAsia="en-US"/>
              </w:rPr>
              <w:t xml:space="preserve"> cualquier otra plataforma).</w:t>
            </w:r>
          </w:p>
          <w:p w:rsidR="00040449" w:rsidRPr="007748D3" w:rsidRDefault="00040449"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La utilización e implantación de bases de datos compiladas por la OMPI sobre </w:t>
            </w:r>
            <w:r w:rsidR="006B71BB" w:rsidRPr="007748D3">
              <w:rPr>
                <w:rFonts w:eastAsiaTheme="minorHAnsi" w:cstheme="minorBidi"/>
                <w:lang w:eastAsia="en-US"/>
              </w:rPr>
              <w:t xml:space="preserve">la </w:t>
            </w:r>
            <w:r w:rsidRPr="007748D3">
              <w:rPr>
                <w:rFonts w:eastAsiaTheme="minorHAnsi" w:cstheme="minorBidi"/>
                <w:lang w:eastAsia="en-US"/>
              </w:rPr>
              <w:t>transferencia de tecnología,</w:t>
            </w:r>
            <w:r w:rsidR="006B71BB" w:rsidRPr="007748D3">
              <w:rPr>
                <w:rFonts w:eastAsiaTheme="minorHAnsi" w:cstheme="minorBidi"/>
                <w:lang w:eastAsia="en-US"/>
              </w:rPr>
              <w:t xml:space="preserve"> la </w:t>
            </w:r>
            <w:r w:rsidRPr="007748D3">
              <w:rPr>
                <w:rFonts w:eastAsiaTheme="minorHAnsi" w:cstheme="minorBidi"/>
                <w:lang w:eastAsia="en-US"/>
              </w:rPr>
              <w:t xml:space="preserve">comercialización o </w:t>
            </w:r>
            <w:r w:rsidR="006B71BB" w:rsidRPr="007748D3">
              <w:rPr>
                <w:rFonts w:eastAsiaTheme="minorHAnsi" w:cstheme="minorBidi"/>
                <w:lang w:eastAsia="en-US"/>
              </w:rPr>
              <w:t xml:space="preserve">la </w:t>
            </w:r>
            <w:r w:rsidRPr="007748D3">
              <w:rPr>
                <w:rFonts w:eastAsiaTheme="minorHAnsi" w:cstheme="minorBidi"/>
                <w:lang w:eastAsia="en-US"/>
              </w:rPr>
              <w:t>concesión de licencias, y que estén a disposición de los Estados miembros.</w:t>
            </w:r>
          </w:p>
          <w:p w:rsidR="00040449" w:rsidRPr="007748D3" w:rsidRDefault="00040449"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la utilización y la implantación de bases de datos compiladas por la OMPI sobre </w:t>
            </w:r>
            <w:r w:rsidR="006B71BB" w:rsidRPr="007748D3">
              <w:rPr>
                <w:rFonts w:eastAsiaTheme="minorHAnsi" w:cstheme="minorBidi"/>
                <w:lang w:eastAsia="en-US"/>
              </w:rPr>
              <w:t xml:space="preserve">la </w:t>
            </w:r>
            <w:r w:rsidRPr="007748D3">
              <w:rPr>
                <w:rFonts w:eastAsiaTheme="minorHAnsi" w:cstheme="minorBidi"/>
                <w:lang w:eastAsia="en-US"/>
              </w:rPr>
              <w:t>transferencia de tecnología,</w:t>
            </w:r>
            <w:r w:rsidR="006B71BB" w:rsidRPr="007748D3">
              <w:rPr>
                <w:rFonts w:eastAsiaTheme="minorHAnsi" w:cstheme="minorBidi"/>
                <w:lang w:eastAsia="en-US"/>
              </w:rPr>
              <w:t xml:space="preserve"> la</w:t>
            </w:r>
            <w:r w:rsidRPr="007748D3">
              <w:rPr>
                <w:rFonts w:eastAsiaTheme="minorHAnsi" w:cstheme="minorBidi"/>
                <w:lang w:eastAsia="en-US"/>
              </w:rPr>
              <w:t xml:space="preserve"> comercialización o </w:t>
            </w:r>
            <w:r w:rsidR="006B71BB" w:rsidRPr="007748D3">
              <w:rPr>
                <w:rFonts w:eastAsiaTheme="minorHAnsi" w:cstheme="minorBidi"/>
                <w:lang w:eastAsia="en-US"/>
              </w:rPr>
              <w:t xml:space="preserve">la </w:t>
            </w:r>
            <w:r w:rsidRPr="007748D3">
              <w:rPr>
                <w:rFonts w:eastAsiaTheme="minorHAnsi" w:cstheme="minorBidi"/>
                <w:lang w:eastAsia="en-US"/>
              </w:rPr>
              <w:t xml:space="preserve">concesión de licencias, y que se hayan notificado a la OMPI y </w:t>
            </w:r>
            <w:r w:rsidR="0033322A" w:rsidRPr="007748D3">
              <w:rPr>
                <w:rFonts w:eastAsiaTheme="minorHAnsi" w:cstheme="minorBidi"/>
                <w:lang w:eastAsia="en-US"/>
              </w:rPr>
              <w:t>dado a conocer</w:t>
            </w:r>
            <w:r w:rsidRPr="007748D3">
              <w:rPr>
                <w:rFonts w:eastAsiaTheme="minorHAnsi" w:cstheme="minorBidi"/>
                <w:lang w:eastAsia="en-US"/>
              </w:rPr>
              <w:t xml:space="preserve"> por medio de ella.</w:t>
            </w:r>
          </w:p>
          <w:p w:rsidR="00EF7E14" w:rsidRPr="007748D3" w:rsidRDefault="00040449" w:rsidP="00040449">
            <w:pPr>
              <w:numPr>
                <w:ilvl w:val="0"/>
                <w:numId w:val="7"/>
              </w:numPr>
              <w:ind w:left="175" w:hanging="218"/>
              <w:rPr>
                <w:rFonts w:eastAsiaTheme="minorHAnsi" w:cstheme="minorBidi"/>
                <w:lang w:eastAsia="en-US"/>
              </w:rPr>
            </w:pPr>
            <w:r w:rsidRPr="007748D3">
              <w:rPr>
                <w:rFonts w:eastAsiaTheme="minorHAnsi" w:cstheme="minorBidi"/>
                <w:lang w:eastAsia="en-US"/>
              </w:rPr>
              <w:t>El número de actividades promocionales que la OMPI organiza para aumentar el uso y la implantación de bases de datos en materia de transferencia de tecnología, comercialización o concesión de licencias.</w:t>
            </w:r>
          </w:p>
        </w:tc>
      </w:tr>
      <w:tr w:rsidR="00EF7E14" w:rsidRPr="007748D3" w:rsidTr="00040449">
        <w:trPr>
          <w:cantSplit/>
          <w:trHeight w:val="1040"/>
        </w:trPr>
        <w:tc>
          <w:tcPr>
            <w:tcW w:w="7544" w:type="dxa"/>
            <w:vMerge w:val="restart"/>
          </w:tcPr>
          <w:p w:rsidR="00EF7E14" w:rsidRPr="007748D3" w:rsidRDefault="00EF7E14" w:rsidP="00040449">
            <w:pPr>
              <w:rPr>
                <w:rFonts w:eastAsiaTheme="minorHAnsi" w:cstheme="minorBidi"/>
                <w:lang w:eastAsia="en-US"/>
              </w:rPr>
            </w:pPr>
            <w:r w:rsidRPr="007748D3">
              <w:rPr>
                <w:rFonts w:eastAsiaTheme="minorHAnsi" w:cstheme="minorBidi"/>
                <w:b/>
                <w:lang w:eastAsia="en-US"/>
              </w:rPr>
              <w:t>28.</w:t>
            </w:r>
            <w:r w:rsidR="00566022" w:rsidRPr="007748D3">
              <w:t xml:space="preserve"> Estudiar las políticas y medidas de apoyo a la PI que podrían adoptar los Estados miembros, en especial los países desarrollados, para fomentar la transferencia y difusión de tecnología a los países en desarrollo.</w:t>
            </w:r>
          </w:p>
          <w:p w:rsidR="00EF7E14" w:rsidRPr="007748D3" w:rsidRDefault="00EF7E14" w:rsidP="00040449">
            <w:pPr>
              <w:rPr>
                <w:rFonts w:eastAsiaTheme="minorHAnsi" w:cstheme="minorBidi"/>
                <w:lang w:eastAsia="en-US"/>
              </w:rPr>
            </w:pPr>
          </w:p>
        </w:tc>
        <w:tc>
          <w:tcPr>
            <w:tcW w:w="5619" w:type="dxa"/>
            <w:tcBorders>
              <w:bottom w:val="dotted" w:sz="4" w:space="0" w:color="auto"/>
            </w:tcBorders>
          </w:tcPr>
          <w:p w:rsidR="00040449" w:rsidRPr="007748D3" w:rsidRDefault="00040449"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de programas de formación y actos relacionados con las políticas </w:t>
            </w:r>
            <w:r w:rsidR="006B71BB" w:rsidRPr="007748D3">
              <w:rPr>
                <w:rFonts w:eastAsiaTheme="minorHAnsi" w:cstheme="minorBidi"/>
                <w:lang w:eastAsia="en-US"/>
              </w:rPr>
              <w:t xml:space="preserve">y las iniciativas </w:t>
            </w:r>
            <w:r w:rsidRPr="007748D3">
              <w:rPr>
                <w:rFonts w:eastAsiaTheme="minorHAnsi" w:cstheme="minorBidi"/>
                <w:lang w:eastAsia="en-US"/>
              </w:rPr>
              <w:t xml:space="preserve">en materia de PI para fomentar la transferencia de tecnología que se hayan realizado en Estados miembros de países desarrollados o </w:t>
            </w:r>
            <w:r w:rsidR="00322077" w:rsidRPr="007748D3">
              <w:rPr>
                <w:rFonts w:eastAsiaTheme="minorHAnsi" w:cstheme="minorBidi"/>
                <w:lang w:eastAsia="en-US"/>
              </w:rPr>
              <w:t xml:space="preserve">estén </w:t>
            </w:r>
            <w:r w:rsidRPr="007748D3">
              <w:rPr>
                <w:rFonts w:eastAsiaTheme="minorHAnsi" w:cstheme="minorBidi"/>
                <w:lang w:eastAsia="en-US"/>
              </w:rPr>
              <w:t>destinados a ellos, así como el índice de satisfacción sobre ellos.</w:t>
            </w:r>
          </w:p>
          <w:p w:rsidR="00040449" w:rsidRPr="007748D3" w:rsidRDefault="00040449" w:rsidP="00EF7E14">
            <w:pPr>
              <w:numPr>
                <w:ilvl w:val="0"/>
                <w:numId w:val="7"/>
              </w:numPr>
              <w:ind w:left="175" w:hanging="218"/>
              <w:rPr>
                <w:rFonts w:eastAsiaTheme="minorHAnsi" w:cstheme="minorBidi"/>
                <w:lang w:eastAsia="en-US"/>
              </w:rPr>
            </w:pPr>
            <w:r w:rsidRPr="007748D3">
              <w:rPr>
                <w:rFonts w:eastAsiaTheme="minorHAnsi" w:cstheme="minorBidi"/>
                <w:lang w:eastAsia="en-US"/>
              </w:rPr>
              <w:t>La utilización e implantación de bases de datos compiladas por la OMPI sobre políticas e iniciativas en materia de transferencia de tecnología que estén a disposición de los Estados miembros.</w:t>
            </w:r>
          </w:p>
          <w:p w:rsidR="00040449" w:rsidRPr="007748D3" w:rsidRDefault="00040449" w:rsidP="00EF7E14">
            <w:pPr>
              <w:numPr>
                <w:ilvl w:val="0"/>
                <w:numId w:val="7"/>
              </w:numPr>
              <w:ind w:left="175" w:hanging="218"/>
              <w:rPr>
                <w:rFonts w:eastAsiaTheme="minorHAnsi" w:cstheme="minorBidi"/>
                <w:lang w:eastAsia="en-US"/>
              </w:rPr>
            </w:pPr>
            <w:r w:rsidRPr="007748D3">
              <w:rPr>
                <w:rFonts w:eastAsiaTheme="minorHAnsi" w:cstheme="minorBidi"/>
                <w:lang w:eastAsia="en-US"/>
              </w:rPr>
              <w:t>El número de publicaciones, estudios y otros recursos encar</w:t>
            </w:r>
            <w:r w:rsidR="004026C4" w:rsidRPr="007748D3">
              <w:rPr>
                <w:rFonts w:eastAsiaTheme="minorHAnsi" w:cstheme="minorBidi"/>
                <w:lang w:eastAsia="en-US"/>
              </w:rPr>
              <w:t>gados, realizados o compilados por la OMPI sobre políticas e iniciativas en materia de transferencia de tecnología, que hayan sido revisados por expertos y que estén a disposición de los Estados miembros.</w:t>
            </w:r>
          </w:p>
          <w:p w:rsidR="00EF7E14" w:rsidRPr="007748D3" w:rsidRDefault="004026C4" w:rsidP="006B71BB">
            <w:pPr>
              <w:numPr>
                <w:ilvl w:val="0"/>
                <w:numId w:val="7"/>
              </w:numPr>
              <w:ind w:left="175" w:hanging="218"/>
              <w:rPr>
                <w:rFonts w:eastAsiaTheme="minorHAnsi" w:cstheme="minorBidi"/>
                <w:lang w:eastAsia="en-US"/>
              </w:rPr>
            </w:pPr>
            <w:r w:rsidRPr="007748D3">
              <w:rPr>
                <w:rFonts w:eastAsiaTheme="minorHAnsi" w:cstheme="minorBidi"/>
                <w:lang w:eastAsia="en-US"/>
              </w:rPr>
              <w:t>El número de número de becas, programas de máster, cursos de verano y cursos de enseñanza a distancia sobre políticas e iniciativas en materia de PI destinados a fomentar la transferencia de tecnología</w:t>
            </w:r>
            <w:r w:rsidR="006B71BB" w:rsidRPr="007748D3">
              <w:rPr>
                <w:rFonts w:eastAsiaTheme="minorHAnsi" w:cstheme="minorBidi"/>
                <w:lang w:eastAsia="en-US"/>
              </w:rPr>
              <w:t xml:space="preserve"> en</w:t>
            </w:r>
            <w:r w:rsidRPr="007748D3">
              <w:rPr>
                <w:rFonts w:eastAsiaTheme="minorHAnsi" w:cstheme="minorBidi"/>
                <w:lang w:eastAsia="en-US"/>
              </w:rPr>
              <w:t xml:space="preserve"> </w:t>
            </w:r>
            <w:r w:rsidR="006B71BB" w:rsidRPr="007748D3">
              <w:rPr>
                <w:rFonts w:eastAsiaTheme="minorHAnsi" w:cstheme="minorBidi"/>
                <w:lang w:eastAsia="en-US"/>
              </w:rPr>
              <w:t xml:space="preserve">los Estados miembros de países desarrollados </w:t>
            </w:r>
            <w:r w:rsidRPr="007748D3">
              <w:rPr>
                <w:rFonts w:eastAsiaTheme="minorHAnsi" w:cstheme="minorBidi"/>
                <w:lang w:eastAsia="en-US"/>
              </w:rPr>
              <w:t>que la OMPI haya o</w:t>
            </w:r>
            <w:r w:rsidR="006B71BB" w:rsidRPr="007748D3">
              <w:rPr>
                <w:rFonts w:eastAsiaTheme="minorHAnsi" w:cstheme="minorBidi"/>
                <w:lang w:eastAsia="en-US"/>
              </w:rPr>
              <w:t>frecido, organizado o impartido</w:t>
            </w:r>
            <w:r w:rsidRPr="007748D3">
              <w:rPr>
                <w:rFonts w:eastAsiaTheme="minorHAnsi" w:cstheme="minorBidi"/>
                <w:lang w:eastAsia="en-US"/>
              </w:rPr>
              <w:t>.</w:t>
            </w:r>
          </w:p>
        </w:tc>
      </w:tr>
      <w:tr w:rsidR="00EF7E14" w:rsidRPr="007748D3" w:rsidTr="00040449">
        <w:trPr>
          <w:cantSplit/>
          <w:trHeight w:val="980"/>
        </w:trPr>
        <w:tc>
          <w:tcPr>
            <w:tcW w:w="7544" w:type="dxa"/>
            <w:vMerge/>
          </w:tcPr>
          <w:p w:rsidR="00EF7E14" w:rsidRPr="007748D3" w:rsidRDefault="00EF7E14" w:rsidP="00040449">
            <w:pPr>
              <w:rPr>
                <w:rFonts w:eastAsiaTheme="minorHAnsi" w:cstheme="minorBidi"/>
                <w:b/>
                <w:lang w:eastAsia="en-US"/>
              </w:rPr>
            </w:pPr>
          </w:p>
        </w:tc>
        <w:tc>
          <w:tcPr>
            <w:tcW w:w="5619" w:type="dxa"/>
            <w:tcBorders>
              <w:top w:val="dotted" w:sz="4" w:space="0" w:color="auto"/>
            </w:tcBorders>
          </w:tcPr>
          <w:p w:rsidR="004026C4" w:rsidRPr="007748D3" w:rsidRDefault="004026C4" w:rsidP="004026C4">
            <w:pPr>
              <w:numPr>
                <w:ilvl w:val="0"/>
                <w:numId w:val="7"/>
              </w:numPr>
              <w:ind w:left="175" w:hanging="218"/>
              <w:rPr>
                <w:rFonts w:eastAsiaTheme="minorHAnsi" w:cstheme="minorBidi"/>
                <w:lang w:eastAsia="en-US"/>
              </w:rPr>
            </w:pPr>
            <w:r w:rsidRPr="007748D3">
              <w:rPr>
                <w:rFonts w:eastAsiaTheme="minorHAnsi" w:cstheme="minorBidi"/>
                <w:lang w:eastAsia="en-US"/>
              </w:rPr>
              <w:t>El número total de reuniones del CDIP o de otros comités de la OMPI en las que se haya debatido oficialmente* sobre cuestiones o estudios relativos a la transferencia de tecnología.</w:t>
            </w:r>
          </w:p>
          <w:p w:rsidR="004026C4" w:rsidRPr="007748D3" w:rsidRDefault="004026C4" w:rsidP="004026C4">
            <w:pPr>
              <w:numPr>
                <w:ilvl w:val="0"/>
                <w:numId w:val="7"/>
              </w:numPr>
              <w:ind w:left="175" w:hanging="218"/>
              <w:rPr>
                <w:rFonts w:eastAsiaTheme="minorHAnsi" w:cstheme="minorBidi"/>
                <w:lang w:eastAsia="en-US"/>
              </w:rPr>
            </w:pPr>
            <w:r w:rsidRPr="007748D3">
              <w:rPr>
                <w:rFonts w:eastAsiaTheme="minorHAnsi" w:cstheme="minorBidi"/>
                <w:lang w:eastAsia="en-US"/>
              </w:rPr>
              <w:t>El número de actos de las Naciones Unidas en materia de transferencia de tecnología en las que la OMPI haya participado.</w:t>
            </w:r>
          </w:p>
          <w:p w:rsidR="00EF7E14" w:rsidRPr="007748D3" w:rsidRDefault="00EF7E14" w:rsidP="00040449">
            <w:pPr>
              <w:ind w:left="175"/>
              <w:rPr>
                <w:rFonts w:eastAsiaTheme="minorHAnsi" w:cstheme="minorBidi"/>
                <w:lang w:eastAsia="en-US"/>
              </w:rPr>
            </w:pPr>
          </w:p>
          <w:p w:rsidR="007748D3" w:rsidRDefault="00040449" w:rsidP="00040449">
            <w:pPr>
              <w:ind w:left="-43"/>
              <w:rPr>
                <w:rFonts w:eastAsiaTheme="minorHAnsi" w:cstheme="minorBidi"/>
                <w:lang w:eastAsia="en-US"/>
              </w:rPr>
            </w:pPr>
            <w:r w:rsidRPr="007748D3">
              <w:rPr>
                <w:rFonts w:eastAsiaTheme="minorHAnsi" w:cstheme="minorBidi"/>
                <w:lang w:eastAsia="en-US"/>
              </w:rPr>
              <w:t>*Oficialmente: que figura en el orden del día de la reunión o en el resumen de la presidencia.</w:t>
            </w:r>
          </w:p>
          <w:p w:rsidR="00EF7E14" w:rsidRPr="007748D3" w:rsidRDefault="00EF7E14" w:rsidP="00040449">
            <w:pPr>
              <w:ind w:left="-43"/>
              <w:rPr>
                <w:rFonts w:eastAsiaTheme="minorHAnsi" w:cstheme="minorBidi"/>
                <w:lang w:eastAsia="en-US"/>
              </w:rPr>
            </w:pPr>
          </w:p>
          <w:p w:rsidR="00EF7E14" w:rsidRPr="007748D3" w:rsidRDefault="00EF7E14" w:rsidP="00040449">
            <w:pPr>
              <w:rPr>
                <w:rFonts w:eastAsiaTheme="minorHAnsi" w:cstheme="minorBidi"/>
                <w:lang w:eastAsia="en-US"/>
              </w:rPr>
            </w:pPr>
          </w:p>
        </w:tc>
      </w:tr>
      <w:tr w:rsidR="00EF7E14" w:rsidRPr="007748D3" w:rsidTr="00040449">
        <w:trPr>
          <w:cantSplit/>
        </w:trPr>
        <w:tc>
          <w:tcPr>
            <w:tcW w:w="7544" w:type="dxa"/>
          </w:tcPr>
          <w:p w:rsidR="00EF7E14" w:rsidRPr="007748D3" w:rsidRDefault="00EF7E14" w:rsidP="00040449">
            <w:pPr>
              <w:rPr>
                <w:rFonts w:eastAsiaTheme="minorHAnsi" w:cstheme="minorBidi"/>
                <w:lang w:eastAsia="en-US"/>
              </w:rPr>
            </w:pPr>
            <w:r w:rsidRPr="007748D3">
              <w:rPr>
                <w:rFonts w:eastAsiaTheme="minorHAnsi" w:cstheme="minorBidi"/>
                <w:b/>
                <w:lang w:eastAsia="en-US"/>
              </w:rPr>
              <w:t>29.</w:t>
            </w:r>
            <w:r w:rsidR="00566022" w:rsidRPr="007748D3">
              <w:t xml:space="preserve"> Incorporar al mandato de un órgano adecuado de la OMPI debates sobre transferencia de tecnología en materia de PI.</w:t>
            </w:r>
          </w:p>
          <w:p w:rsidR="00EF7E14" w:rsidRPr="007748D3" w:rsidRDefault="00EF7E14" w:rsidP="00040449">
            <w:pPr>
              <w:rPr>
                <w:rFonts w:eastAsiaTheme="minorHAnsi" w:cstheme="minorBidi"/>
                <w:lang w:eastAsia="en-US"/>
              </w:rPr>
            </w:pPr>
          </w:p>
        </w:tc>
        <w:tc>
          <w:tcPr>
            <w:tcW w:w="5619" w:type="dxa"/>
          </w:tcPr>
          <w:p w:rsidR="004026C4" w:rsidRPr="007748D3" w:rsidRDefault="004026C4" w:rsidP="00EF7E14">
            <w:pPr>
              <w:numPr>
                <w:ilvl w:val="0"/>
                <w:numId w:val="7"/>
              </w:numPr>
              <w:ind w:left="175" w:hanging="218"/>
              <w:rPr>
                <w:rFonts w:eastAsiaTheme="minorHAnsi" w:cstheme="minorBidi"/>
                <w:lang w:eastAsia="en-US"/>
              </w:rPr>
            </w:pPr>
            <w:r w:rsidRPr="007748D3">
              <w:rPr>
                <w:rFonts w:eastAsiaTheme="minorHAnsi" w:cstheme="minorBidi"/>
                <w:lang w:eastAsia="en-US"/>
              </w:rPr>
              <w:t>El número total de reuniones del CDIP o de otros comités de la OMPI en las que se haya debatido oficialmente* sobre proyectos, cuestiones o estudios relativos a la transferencia de tecnología.</w:t>
            </w:r>
          </w:p>
          <w:p w:rsidR="004026C4" w:rsidRPr="007748D3" w:rsidRDefault="004026C4" w:rsidP="004026C4">
            <w:pPr>
              <w:numPr>
                <w:ilvl w:val="0"/>
                <w:numId w:val="7"/>
              </w:numPr>
              <w:ind w:left="175" w:hanging="218"/>
              <w:rPr>
                <w:rFonts w:eastAsiaTheme="minorHAnsi" w:cstheme="minorBidi"/>
                <w:lang w:eastAsia="en-US"/>
              </w:rPr>
            </w:pPr>
            <w:r w:rsidRPr="007748D3">
              <w:rPr>
                <w:rFonts w:eastAsiaTheme="minorHAnsi" w:cstheme="minorBidi"/>
                <w:lang w:eastAsia="en-US"/>
              </w:rPr>
              <w:t>El número de actos de las Naciones Unidas en materia de transferencia de tecnología en las que la OMPI haya participado.</w:t>
            </w:r>
          </w:p>
          <w:p w:rsidR="00EF7E14" w:rsidRPr="007748D3" w:rsidRDefault="00EF7E14" w:rsidP="00040449">
            <w:pPr>
              <w:rPr>
                <w:rFonts w:eastAsiaTheme="minorHAnsi" w:cstheme="minorBidi"/>
                <w:lang w:eastAsia="en-US"/>
              </w:rPr>
            </w:pPr>
          </w:p>
          <w:p w:rsidR="007748D3" w:rsidRDefault="00EF7E14" w:rsidP="00040449">
            <w:pPr>
              <w:ind w:left="-43"/>
              <w:rPr>
                <w:rFonts w:eastAsiaTheme="minorHAnsi" w:cstheme="minorBidi"/>
                <w:lang w:eastAsia="en-US"/>
              </w:rPr>
            </w:pPr>
            <w:r w:rsidRPr="007748D3">
              <w:rPr>
                <w:rFonts w:eastAsiaTheme="minorHAnsi" w:cstheme="minorBidi"/>
                <w:lang w:eastAsia="en-US"/>
              </w:rPr>
              <w:t>*</w:t>
            </w:r>
            <w:r w:rsidR="00DA2190" w:rsidRPr="007748D3">
              <w:rPr>
                <w:rFonts w:eastAsiaTheme="minorHAnsi" w:cstheme="minorBidi"/>
                <w:lang w:eastAsia="en-US"/>
              </w:rPr>
              <w:t>Oficialmente: que figura en el orden del día de la reunión o en el resumen de la presidencia</w:t>
            </w:r>
            <w:r w:rsidRPr="007748D3">
              <w:rPr>
                <w:rFonts w:eastAsiaTheme="minorHAnsi" w:cstheme="minorBidi"/>
                <w:lang w:eastAsia="en-US"/>
              </w:rPr>
              <w:t>.</w:t>
            </w:r>
          </w:p>
          <w:p w:rsidR="00EF7E14" w:rsidRPr="007748D3" w:rsidRDefault="00EF7E14" w:rsidP="00040449">
            <w:pPr>
              <w:rPr>
                <w:rFonts w:eastAsiaTheme="minorHAnsi" w:cstheme="minorBidi"/>
                <w:lang w:eastAsia="en-US"/>
              </w:rPr>
            </w:pPr>
          </w:p>
        </w:tc>
      </w:tr>
      <w:tr w:rsidR="00EF7E14" w:rsidRPr="007748D3" w:rsidTr="00040449">
        <w:trPr>
          <w:cantSplit/>
          <w:trHeight w:val="950"/>
        </w:trPr>
        <w:tc>
          <w:tcPr>
            <w:tcW w:w="7544" w:type="dxa"/>
            <w:vMerge w:val="restart"/>
          </w:tcPr>
          <w:p w:rsidR="00EF7E14" w:rsidRPr="007748D3" w:rsidRDefault="00EF7E14" w:rsidP="00040449">
            <w:pPr>
              <w:rPr>
                <w:rFonts w:eastAsiaTheme="minorHAnsi" w:cstheme="minorBidi"/>
                <w:lang w:eastAsia="en-US"/>
              </w:rPr>
            </w:pPr>
            <w:r w:rsidRPr="007748D3">
              <w:rPr>
                <w:rFonts w:eastAsiaTheme="minorHAnsi" w:cstheme="minorBidi"/>
                <w:b/>
                <w:lang w:eastAsia="en-US"/>
              </w:rPr>
              <w:t>31.</w:t>
            </w:r>
            <w:r w:rsidR="00566022" w:rsidRPr="007748D3">
              <w:rPr>
                <w:rFonts w:eastAsiaTheme="minorHAnsi" w:cstheme="minorBidi"/>
                <w:lang w:eastAsia="en-US"/>
              </w:rPr>
              <w:t xml:space="preserve"> Emprender las iniciativas adoptadas por los Estados miembros que contribuyen a la transferencia de tecnología a los países en desarrollo, tales como solicitar a la OMPI que proporcione mejor acceso a la información publicada sobre patentes.</w:t>
            </w:r>
          </w:p>
          <w:p w:rsidR="00EF7E14" w:rsidRPr="007748D3" w:rsidRDefault="00EF7E14" w:rsidP="00040449">
            <w:pPr>
              <w:rPr>
                <w:rFonts w:eastAsiaTheme="minorHAnsi" w:cstheme="minorBidi"/>
                <w:lang w:eastAsia="en-US"/>
              </w:rPr>
            </w:pPr>
          </w:p>
        </w:tc>
        <w:tc>
          <w:tcPr>
            <w:tcW w:w="5619" w:type="dxa"/>
            <w:tcBorders>
              <w:bottom w:val="dotted" w:sz="4" w:space="0" w:color="auto"/>
            </w:tcBorders>
          </w:tcPr>
          <w:p w:rsidR="007748D3" w:rsidRDefault="00672821"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total de proyectos de la Agenda para el Desarrollo en materia de transferencia de tecnología </w:t>
            </w:r>
            <w:r w:rsidR="00335F1F" w:rsidRPr="007748D3">
              <w:rPr>
                <w:rFonts w:eastAsiaTheme="minorHAnsi" w:cstheme="minorBidi"/>
                <w:lang w:eastAsia="en-US"/>
              </w:rPr>
              <w:t>que se</w:t>
            </w:r>
            <w:r w:rsidRPr="007748D3">
              <w:rPr>
                <w:rFonts w:eastAsiaTheme="minorHAnsi" w:cstheme="minorBidi"/>
                <w:lang w:eastAsia="en-US"/>
              </w:rPr>
              <w:t xml:space="preserve"> ha</w:t>
            </w:r>
            <w:r w:rsidR="006B71BB" w:rsidRPr="007748D3">
              <w:rPr>
                <w:rFonts w:eastAsiaTheme="minorHAnsi" w:cstheme="minorBidi"/>
                <w:lang w:eastAsia="en-US"/>
              </w:rPr>
              <w:t>ya</w:t>
            </w:r>
            <w:r w:rsidR="00335F1F" w:rsidRPr="007748D3">
              <w:rPr>
                <w:rFonts w:eastAsiaTheme="minorHAnsi" w:cstheme="minorBidi"/>
                <w:lang w:eastAsia="en-US"/>
              </w:rPr>
              <w:t>n</w:t>
            </w:r>
            <w:r w:rsidRPr="007748D3">
              <w:rPr>
                <w:rFonts w:eastAsiaTheme="minorHAnsi" w:cstheme="minorBidi"/>
                <w:lang w:eastAsia="en-US"/>
              </w:rPr>
              <w:t xml:space="preserve"> debatido oficialmente* </w:t>
            </w:r>
            <w:r w:rsidR="00335F1F" w:rsidRPr="007748D3">
              <w:rPr>
                <w:rFonts w:eastAsiaTheme="minorHAnsi" w:cstheme="minorBidi"/>
                <w:lang w:eastAsia="en-US"/>
              </w:rPr>
              <w:t xml:space="preserve">y aprobado </w:t>
            </w:r>
            <w:r w:rsidR="006B71BB" w:rsidRPr="007748D3">
              <w:rPr>
                <w:rFonts w:eastAsiaTheme="minorHAnsi" w:cstheme="minorBidi"/>
                <w:lang w:eastAsia="en-US"/>
              </w:rPr>
              <w:t xml:space="preserve">en </w:t>
            </w:r>
            <w:r w:rsidR="00335F1F" w:rsidRPr="007748D3">
              <w:rPr>
                <w:rFonts w:eastAsiaTheme="minorHAnsi" w:cstheme="minorBidi"/>
                <w:lang w:eastAsia="en-US"/>
              </w:rPr>
              <w:t>el CDIP</w:t>
            </w:r>
            <w:r w:rsidRPr="007748D3">
              <w:rPr>
                <w:rFonts w:eastAsiaTheme="minorHAnsi" w:cstheme="minorBidi"/>
                <w:lang w:eastAsia="en-US"/>
              </w:rPr>
              <w:t>.</w:t>
            </w:r>
          </w:p>
          <w:p w:rsidR="00D57E6C" w:rsidRPr="007748D3" w:rsidRDefault="00672821" w:rsidP="00EF7E14">
            <w:pPr>
              <w:numPr>
                <w:ilvl w:val="0"/>
                <w:numId w:val="7"/>
              </w:numPr>
              <w:ind w:left="175" w:hanging="218"/>
              <w:rPr>
                <w:rFonts w:eastAsiaTheme="minorHAnsi" w:cstheme="minorBidi"/>
                <w:lang w:eastAsia="en-US"/>
              </w:rPr>
            </w:pPr>
            <w:r w:rsidRPr="007748D3">
              <w:rPr>
                <w:rFonts w:eastAsiaTheme="minorHAnsi" w:cstheme="minorBidi"/>
                <w:lang w:eastAsia="en-US"/>
              </w:rPr>
              <w:t xml:space="preserve">El número total de reuniones del </w:t>
            </w:r>
            <w:r w:rsidR="00EF7E14" w:rsidRPr="007748D3">
              <w:rPr>
                <w:rFonts w:eastAsiaTheme="minorHAnsi" w:cstheme="minorBidi"/>
                <w:lang w:eastAsia="en-US"/>
              </w:rPr>
              <w:t xml:space="preserve">CDIP </w:t>
            </w:r>
            <w:r w:rsidR="00D57E6C" w:rsidRPr="007748D3">
              <w:rPr>
                <w:rFonts w:eastAsiaTheme="minorHAnsi" w:cstheme="minorBidi"/>
                <w:lang w:eastAsia="en-US"/>
              </w:rPr>
              <w:t>durante las que se haya debatido oficialmente* sobre proyectos relativos a la transferencia de tecnología.</w:t>
            </w:r>
          </w:p>
          <w:p w:rsidR="00EF7E14" w:rsidRPr="007748D3" w:rsidRDefault="00EF7E14" w:rsidP="00040449">
            <w:pPr>
              <w:rPr>
                <w:rFonts w:eastAsiaTheme="minorHAnsi" w:cstheme="minorBidi"/>
                <w:lang w:eastAsia="en-US"/>
              </w:rPr>
            </w:pPr>
          </w:p>
          <w:p w:rsidR="007748D3" w:rsidRDefault="00EF7E14" w:rsidP="00040449">
            <w:pPr>
              <w:ind w:left="-43"/>
              <w:rPr>
                <w:rFonts w:eastAsiaTheme="minorHAnsi" w:cstheme="minorBidi"/>
                <w:lang w:eastAsia="en-US"/>
              </w:rPr>
            </w:pPr>
            <w:r w:rsidRPr="007748D3">
              <w:rPr>
                <w:rFonts w:eastAsiaTheme="minorHAnsi" w:cstheme="minorBidi"/>
                <w:lang w:eastAsia="en-US"/>
              </w:rPr>
              <w:t>*</w:t>
            </w:r>
            <w:r w:rsidR="00672821" w:rsidRPr="007748D3">
              <w:rPr>
                <w:rFonts w:eastAsiaTheme="minorHAnsi" w:cstheme="minorBidi"/>
                <w:lang w:eastAsia="en-US"/>
              </w:rPr>
              <w:t>Oficialmente</w:t>
            </w:r>
            <w:r w:rsidRPr="007748D3">
              <w:rPr>
                <w:rFonts w:eastAsiaTheme="minorHAnsi" w:cstheme="minorBidi"/>
                <w:lang w:eastAsia="en-US"/>
              </w:rPr>
              <w:t xml:space="preserve">: </w:t>
            </w:r>
            <w:r w:rsidR="00672821" w:rsidRPr="007748D3">
              <w:rPr>
                <w:rFonts w:eastAsiaTheme="minorHAnsi" w:cstheme="minorBidi"/>
                <w:lang w:eastAsia="en-US"/>
              </w:rPr>
              <w:t>que figura en el orden del día de la reunión o en el resumen de la presidencia</w:t>
            </w:r>
            <w:r w:rsidRPr="007748D3">
              <w:rPr>
                <w:rFonts w:eastAsiaTheme="minorHAnsi" w:cstheme="minorBidi"/>
                <w:lang w:eastAsia="en-US"/>
              </w:rPr>
              <w:t>.</w:t>
            </w:r>
          </w:p>
          <w:p w:rsidR="00EF7E14" w:rsidRPr="007748D3" w:rsidRDefault="00EF7E14" w:rsidP="00040449">
            <w:pPr>
              <w:rPr>
                <w:rFonts w:eastAsiaTheme="minorHAnsi" w:cstheme="minorBidi"/>
                <w:lang w:eastAsia="en-US"/>
              </w:rPr>
            </w:pPr>
          </w:p>
        </w:tc>
      </w:tr>
      <w:tr w:rsidR="00EF7E14" w:rsidRPr="007748D3" w:rsidTr="00040449">
        <w:trPr>
          <w:cantSplit/>
          <w:trHeight w:val="820"/>
        </w:trPr>
        <w:tc>
          <w:tcPr>
            <w:tcW w:w="7544" w:type="dxa"/>
            <w:vMerge/>
          </w:tcPr>
          <w:p w:rsidR="00EF7E14" w:rsidRPr="007748D3" w:rsidRDefault="00EF7E14" w:rsidP="00040449">
            <w:pPr>
              <w:rPr>
                <w:rFonts w:eastAsiaTheme="minorHAnsi" w:cstheme="minorBidi"/>
                <w:b/>
                <w:lang w:eastAsia="en-US"/>
              </w:rPr>
            </w:pPr>
          </w:p>
        </w:tc>
        <w:tc>
          <w:tcPr>
            <w:tcW w:w="5619" w:type="dxa"/>
            <w:tcBorders>
              <w:top w:val="dotted" w:sz="4" w:space="0" w:color="auto"/>
            </w:tcBorders>
          </w:tcPr>
          <w:p w:rsidR="00D57E6C" w:rsidRPr="007748D3" w:rsidRDefault="00D57E6C" w:rsidP="00D57E6C">
            <w:pPr>
              <w:numPr>
                <w:ilvl w:val="0"/>
                <w:numId w:val="7"/>
              </w:numPr>
              <w:ind w:left="175" w:hanging="218"/>
              <w:rPr>
                <w:rFonts w:eastAsiaTheme="minorHAnsi" w:cstheme="minorBidi"/>
                <w:lang w:eastAsia="en-US"/>
              </w:rPr>
            </w:pPr>
            <w:r w:rsidRPr="007748D3">
              <w:rPr>
                <w:rFonts w:eastAsiaTheme="minorHAnsi" w:cstheme="minorBidi"/>
                <w:lang w:eastAsia="en-US"/>
              </w:rPr>
              <w:t>El número de centros de apoyo a la tecnología y la innovación (CATI) en los Estados miembros de países en desarrollo.</w:t>
            </w:r>
          </w:p>
          <w:p w:rsidR="00D57E6C" w:rsidRPr="007748D3" w:rsidRDefault="00D57E6C" w:rsidP="00D57E6C">
            <w:pPr>
              <w:numPr>
                <w:ilvl w:val="0"/>
                <w:numId w:val="7"/>
              </w:numPr>
              <w:ind w:left="175" w:hanging="218"/>
              <w:rPr>
                <w:rFonts w:eastAsiaTheme="minorHAnsi" w:cstheme="minorBidi"/>
                <w:lang w:eastAsia="en-US"/>
              </w:rPr>
            </w:pPr>
            <w:r w:rsidRPr="007748D3">
              <w:rPr>
                <w:rFonts w:eastAsiaTheme="minorHAnsi" w:cstheme="minorBidi"/>
                <w:lang w:eastAsia="en-US"/>
              </w:rPr>
              <w:t>El número de programas de formación, actos o servicios administrados y ofrecidos por los CATI y el índice de satisfacción en relación con ellos.</w:t>
            </w:r>
          </w:p>
          <w:p w:rsidR="00EF7E14" w:rsidRPr="007748D3" w:rsidRDefault="00D57E6C" w:rsidP="00D57E6C">
            <w:pPr>
              <w:numPr>
                <w:ilvl w:val="0"/>
                <w:numId w:val="7"/>
              </w:numPr>
              <w:ind w:left="175" w:hanging="218"/>
              <w:rPr>
                <w:rFonts w:eastAsiaTheme="minorHAnsi" w:cstheme="minorBidi"/>
                <w:lang w:eastAsia="en-US"/>
              </w:rPr>
            </w:pPr>
            <w:r w:rsidRPr="007748D3">
              <w:rPr>
                <w:rFonts w:eastAsiaTheme="minorHAnsi" w:cstheme="minorBidi"/>
                <w:lang w:eastAsia="en-US"/>
              </w:rPr>
              <w:t>El número de programas de formación y actos de fortalecimiento de capacidades que la OMPI haya proporcionado a los CATI para mejorar sus servicios y aumentar las capacidades del personal, así como el índice de satisfacción con ellos.</w:t>
            </w:r>
          </w:p>
        </w:tc>
      </w:tr>
    </w:tbl>
    <w:p w:rsidR="00EF7E14" w:rsidRPr="007748D3" w:rsidRDefault="00EF7E14" w:rsidP="00EF7E14">
      <w:pPr>
        <w:rPr>
          <w:rFonts w:eastAsiaTheme="minorHAnsi" w:cstheme="minorBidi"/>
          <w:szCs w:val="22"/>
          <w:lang w:eastAsia="en-US"/>
        </w:rPr>
      </w:pPr>
    </w:p>
    <w:p w:rsidR="00EF7E14" w:rsidRPr="007748D3" w:rsidRDefault="00EF7E14" w:rsidP="00EF7E14">
      <w:pPr>
        <w:rPr>
          <w:rFonts w:eastAsiaTheme="minorHAnsi" w:cstheme="minorBidi"/>
          <w:szCs w:val="22"/>
          <w:lang w:eastAsia="en-US"/>
        </w:rPr>
      </w:pPr>
    </w:p>
    <w:p w:rsidR="00EF7E14" w:rsidRPr="007748D3" w:rsidRDefault="00EF7E14" w:rsidP="00EF7E14">
      <w:pPr>
        <w:jc w:val="both"/>
      </w:pPr>
    </w:p>
    <w:p w:rsidR="00EF7E14" w:rsidRPr="007748D3" w:rsidRDefault="00EF7E14" w:rsidP="00EF7E14">
      <w:pPr>
        <w:pStyle w:val="Endofdocument-Annex"/>
        <w:jc w:val="center"/>
        <w:rPr>
          <w:szCs w:val="22"/>
          <w:lang w:val="es-ES"/>
        </w:rPr>
        <w:sectPr w:rsidR="00EF7E14" w:rsidRPr="007748D3" w:rsidSect="00040449">
          <w:headerReference w:type="default" r:id="rId13"/>
          <w:footerReference w:type="default" r:id="rId14"/>
          <w:headerReference w:type="first" r:id="rId15"/>
          <w:footerReference w:type="first" r:id="rId16"/>
          <w:endnotePr>
            <w:numFmt w:val="decimal"/>
          </w:endnotePr>
          <w:pgSz w:w="16840" w:h="11907" w:orient="landscape" w:code="9"/>
          <w:pgMar w:top="1411" w:right="562" w:bottom="1138" w:left="1411" w:header="504" w:footer="1022" w:gutter="0"/>
          <w:pgNumType w:start="1"/>
          <w:cols w:space="720"/>
          <w:titlePg/>
          <w:docGrid w:linePitch="299"/>
        </w:sectPr>
      </w:pPr>
      <w:r w:rsidRPr="007748D3">
        <w:rPr>
          <w:szCs w:val="22"/>
          <w:lang w:val="es-ES"/>
        </w:rPr>
        <w:t>[</w:t>
      </w:r>
      <w:r w:rsidR="00DA2190" w:rsidRPr="007748D3">
        <w:rPr>
          <w:szCs w:val="22"/>
          <w:lang w:val="es-ES"/>
        </w:rPr>
        <w:t>Sigue el Anexo II</w:t>
      </w:r>
      <w:r w:rsidRPr="007748D3">
        <w:rPr>
          <w:szCs w:val="22"/>
          <w:lang w:val="es-ES"/>
        </w:rPr>
        <w:t>]</w:t>
      </w:r>
    </w:p>
    <w:p w:rsidR="007748D3" w:rsidRDefault="004026C4" w:rsidP="009A4585">
      <w:pPr>
        <w:pStyle w:val="Heading1"/>
        <w:spacing w:before="0" w:after="0"/>
        <w:rPr>
          <w:b w:val="0"/>
          <w:szCs w:val="22"/>
        </w:rPr>
      </w:pPr>
      <w:r w:rsidRPr="007748D3">
        <w:rPr>
          <w:b w:val="0"/>
          <w:szCs w:val="22"/>
        </w:rPr>
        <w:t>CONTRIBUCIÓN PRESENTADA A LA SECRETARÍA POR LA DELEGACIÓN del</w:t>
      </w:r>
      <w:r w:rsidR="00EF7E14" w:rsidRPr="007748D3">
        <w:rPr>
          <w:b w:val="0"/>
          <w:szCs w:val="22"/>
        </w:rPr>
        <w:t xml:space="preserve"> Ecuador</w:t>
      </w:r>
    </w:p>
    <w:p w:rsidR="00EF7E14" w:rsidRPr="007748D3" w:rsidRDefault="00EF7E14" w:rsidP="009A4585">
      <w:pPr>
        <w:pStyle w:val="Heading1"/>
        <w:spacing w:before="0" w:after="0"/>
        <w:rPr>
          <w:b w:val="0"/>
          <w:szCs w:val="22"/>
        </w:rPr>
      </w:pPr>
      <w:r w:rsidRPr="007748D3">
        <w:rPr>
          <w:b w:val="0"/>
          <w:szCs w:val="22"/>
        </w:rPr>
        <w:t>(</w:t>
      </w:r>
      <w:r w:rsidR="004026C4" w:rsidRPr="007748D3">
        <w:rPr>
          <w:b w:val="0"/>
          <w:caps w:val="0"/>
          <w:szCs w:val="22"/>
        </w:rPr>
        <w:t>Texto original en español</w:t>
      </w:r>
      <w:r w:rsidRPr="007748D3">
        <w:rPr>
          <w:b w:val="0"/>
          <w:szCs w:val="22"/>
        </w:rPr>
        <w:t>)</w:t>
      </w:r>
    </w:p>
    <w:p w:rsidR="00EF7E14" w:rsidRPr="007748D3" w:rsidRDefault="009A4585" w:rsidP="00EF7E14">
      <w:r w:rsidRPr="007748D3">
        <w:rPr>
          <w:rFonts w:ascii="Times New Roman" w:eastAsia="Times New Roman" w:hAnsi="Times New Roman" w:cs="Times New Roman"/>
          <w:noProof/>
          <w:color w:val="313131"/>
          <w:lang w:val="en-US" w:eastAsia="en-US"/>
        </w:rPr>
        <mc:AlternateContent>
          <mc:Choice Requires="wps">
            <w:drawing>
              <wp:anchor distT="0" distB="0" distL="114300" distR="114300" simplePos="0" relativeHeight="251661312" behindDoc="0" locked="0" layoutInCell="1" allowOverlap="1" wp14:anchorId="527617D4" wp14:editId="177CF1EA">
                <wp:simplePos x="0" y="0"/>
                <wp:positionH relativeFrom="column">
                  <wp:posOffset>82550</wp:posOffset>
                </wp:positionH>
                <wp:positionV relativeFrom="paragraph">
                  <wp:posOffset>534035</wp:posOffset>
                </wp:positionV>
                <wp:extent cx="1433830" cy="39624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50DB" w:rsidRPr="009E7C9E" w:rsidRDefault="00E050DB" w:rsidP="00EF7E14">
                            <w:pPr>
                              <w:spacing w:before="9" w:line="170" w:lineRule="exact"/>
                              <w:ind w:left="-142"/>
                              <w:jc w:val="center"/>
                              <w:rPr>
                                <w:rFonts w:ascii="Times New Roman" w:hAnsi="Times New Roman" w:cs="Times New Roman"/>
                                <w:b/>
                                <w:color w:val="595959" w:themeColor="text1" w:themeTint="A6"/>
                                <w:sz w:val="18"/>
                                <w:szCs w:val="18"/>
                              </w:rPr>
                            </w:pPr>
                            <w:r>
                              <w:rPr>
                                <w:rFonts w:ascii="Times New Roman" w:eastAsia="Times New Roman" w:hAnsi="Times New Roman" w:cs="Times New Roman"/>
                                <w:b/>
                                <w:color w:val="595959" w:themeColor="text1" w:themeTint="A6"/>
                                <w:w w:val="106"/>
                                <w:sz w:val="18"/>
                                <w:szCs w:val="18"/>
                              </w:rPr>
                              <w:t xml:space="preserve">Misión </w:t>
                            </w:r>
                            <w:r w:rsidRPr="009E7C9E">
                              <w:rPr>
                                <w:rFonts w:ascii="Times New Roman" w:eastAsia="Times New Roman" w:hAnsi="Times New Roman" w:cs="Times New Roman"/>
                                <w:b/>
                                <w:color w:val="595959" w:themeColor="text1" w:themeTint="A6"/>
                                <w:w w:val="106"/>
                                <w:sz w:val="18"/>
                                <w:szCs w:val="18"/>
                              </w:rPr>
                              <w:t>Permanent</w:t>
                            </w:r>
                            <w:r>
                              <w:rPr>
                                <w:rFonts w:ascii="Times New Roman" w:eastAsia="Times New Roman" w:hAnsi="Times New Roman" w:cs="Times New Roman"/>
                                <w:b/>
                                <w:color w:val="595959" w:themeColor="text1" w:themeTint="A6"/>
                                <w:w w:val="106"/>
                                <w:sz w:val="18"/>
                                <w:szCs w:val="18"/>
                              </w:rPr>
                              <w:t>e ante la OMC - Ginebra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7617D4" id="_x0000_t202" coordsize="21600,21600" o:spt="202" path="m,l,21600r21600,l21600,xe">
                <v:stroke joinstyle="miter"/>
                <v:path gradientshapeok="t" o:connecttype="rect"/>
              </v:shapetype>
              <v:shape id="Text Box 6" o:spid="_x0000_s1026" type="#_x0000_t202" style="position:absolute;margin-left:6.5pt;margin-top:42.05pt;width:112.9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" filled="f" stroked="f">
                <v:textbox>
                  <w:txbxContent>
                    <w:p w:rsidR="00E050DB" w:rsidRPr="009E7C9E" w:rsidRDefault="00E050DB" w:rsidP="00EF7E14">
                      <w:pPr>
                        <w:spacing w:before="9" w:line="170" w:lineRule="exact"/>
                        <w:ind w:left="-142"/>
                        <w:jc w:val="center"/>
                        <w:rPr>
                          <w:rFonts w:ascii="Times New Roman" w:hAnsi="Times New Roman" w:cs="Times New Roman"/>
                          <w:b/>
                          <w:color w:val="595959" w:themeColor="text1" w:themeTint="A6"/>
                          <w:sz w:val="18"/>
                          <w:szCs w:val="18"/>
                        </w:rPr>
                      </w:pPr>
                      <w:r>
                        <w:rPr>
                          <w:rFonts w:ascii="Times New Roman" w:eastAsia="Times New Roman" w:hAnsi="Times New Roman" w:cs="Times New Roman"/>
                          <w:b/>
                          <w:color w:val="595959" w:themeColor="text1" w:themeTint="A6"/>
                          <w:w w:val="106"/>
                          <w:sz w:val="18"/>
                          <w:szCs w:val="18"/>
                        </w:rPr>
                        <w:t xml:space="preserve">Misión </w:t>
                      </w:r>
                      <w:r w:rsidRPr="009E7C9E">
                        <w:rPr>
                          <w:rFonts w:ascii="Times New Roman" w:eastAsia="Times New Roman" w:hAnsi="Times New Roman" w:cs="Times New Roman"/>
                          <w:b/>
                          <w:color w:val="595959" w:themeColor="text1" w:themeTint="A6"/>
                          <w:w w:val="106"/>
                          <w:sz w:val="18"/>
                          <w:szCs w:val="18"/>
                        </w:rPr>
                        <w:t>Permanent</w:t>
                      </w:r>
                      <w:r>
                        <w:rPr>
                          <w:rFonts w:ascii="Times New Roman" w:eastAsia="Times New Roman" w:hAnsi="Times New Roman" w:cs="Times New Roman"/>
                          <w:b/>
                          <w:color w:val="595959" w:themeColor="text1" w:themeTint="A6"/>
                          <w:w w:val="106"/>
                          <w:sz w:val="18"/>
                          <w:szCs w:val="18"/>
                        </w:rPr>
                        <w:t>e ante la OMC - Ginebra</w:t>
                      </w:r>
                    </w:p>
                  </w:txbxContent>
                </v:textbox>
              </v:shape>
            </w:pict>
          </mc:Fallback>
        </mc:AlternateContent>
      </w:r>
      <w:r w:rsidR="00BE0D78" w:rsidRPr="007748D3">
        <w:rPr>
          <w:noProof/>
          <w:lang w:val="en-US" w:eastAsia="en-US"/>
        </w:rPr>
        <mc:AlternateContent>
          <mc:Choice Requires="wps">
            <w:drawing>
              <wp:anchor distT="0" distB="0" distL="114300" distR="114300" simplePos="0" relativeHeight="251660288" behindDoc="0" locked="0" layoutInCell="1" allowOverlap="1" wp14:anchorId="2F5965F1" wp14:editId="13A8906A">
                <wp:simplePos x="0" y="0"/>
                <wp:positionH relativeFrom="column">
                  <wp:posOffset>4480899</wp:posOffset>
                </wp:positionH>
                <wp:positionV relativeFrom="paragraph">
                  <wp:posOffset>107950</wp:posOffset>
                </wp:positionV>
                <wp:extent cx="1785620" cy="548640"/>
                <wp:effectExtent l="0" t="0" r="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8D3" w:rsidRDefault="00E050DB" w:rsidP="00EF7E14">
                            <w:pPr>
                              <w:rPr>
                                <w:b/>
                                <w:color w:val="595959" w:themeColor="text1" w:themeTint="A6"/>
                                <w:sz w:val="16"/>
                                <w:szCs w:val="16"/>
                              </w:rPr>
                            </w:pPr>
                            <w:r w:rsidRPr="009711FB">
                              <w:rPr>
                                <w:color w:val="595959" w:themeColor="text1" w:themeTint="A6"/>
                                <w:sz w:val="16"/>
                                <w:szCs w:val="16"/>
                              </w:rPr>
                              <w:t xml:space="preserve">MINISTERIO DE </w:t>
                            </w:r>
                            <w:r w:rsidRPr="009711FB">
                              <w:rPr>
                                <w:b/>
                                <w:color w:val="595959" w:themeColor="text1" w:themeTint="A6"/>
                                <w:sz w:val="16"/>
                                <w:szCs w:val="16"/>
                              </w:rPr>
                              <w:t>RELACION</w:t>
                            </w:r>
                            <w:r w:rsidR="00322077">
                              <w:rPr>
                                <w:b/>
                                <w:color w:val="595959" w:themeColor="text1" w:themeTint="A6"/>
                                <w:sz w:val="16"/>
                                <w:szCs w:val="16"/>
                              </w:rPr>
                              <w:t>ES</w:t>
                            </w:r>
                            <w:r w:rsidRPr="009711FB">
                              <w:rPr>
                                <w:b/>
                                <w:color w:val="595959" w:themeColor="text1" w:themeTint="A6"/>
                                <w:sz w:val="16"/>
                                <w:szCs w:val="16"/>
                              </w:rPr>
                              <w:t xml:space="preserve"> EXTERIORES Y MOVILIDAD HUMANA</w:t>
                            </w:r>
                          </w:p>
                          <w:p w:rsidR="00E050DB" w:rsidRPr="009711FB" w:rsidRDefault="00E050DB" w:rsidP="00EF7E14">
                            <w:pPr>
                              <w:rPr>
                                <w:b/>
                                <w:color w:val="595959" w:themeColor="text1" w:themeTint="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5965F1" id="Text Box 2" o:spid="_x0000_s1027" type="#_x0000_t202" style="position:absolute;margin-left:352.85pt;margin-top:8.5pt;width:140.6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fruAIAAMA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" filled="f" stroked="f">
                <v:textbox>
                  <w:txbxContent>
                    <w:p w:rsidR="007748D3" w:rsidRDefault="00E050DB" w:rsidP="00EF7E14">
                      <w:pPr>
                        <w:rPr>
                          <w:b/>
                          <w:color w:val="595959" w:themeColor="text1" w:themeTint="A6"/>
                          <w:sz w:val="16"/>
                          <w:szCs w:val="16"/>
                        </w:rPr>
                      </w:pPr>
                      <w:r w:rsidRPr="009711FB">
                        <w:rPr>
                          <w:color w:val="595959" w:themeColor="text1" w:themeTint="A6"/>
                          <w:sz w:val="16"/>
                          <w:szCs w:val="16"/>
                        </w:rPr>
                        <w:t xml:space="preserve">MINISTERIO DE </w:t>
                      </w:r>
                      <w:r w:rsidRPr="009711FB">
                        <w:rPr>
                          <w:b/>
                          <w:color w:val="595959" w:themeColor="text1" w:themeTint="A6"/>
                          <w:sz w:val="16"/>
                          <w:szCs w:val="16"/>
                        </w:rPr>
                        <w:t>RELACION</w:t>
                      </w:r>
                      <w:r w:rsidR="00322077">
                        <w:rPr>
                          <w:b/>
                          <w:color w:val="595959" w:themeColor="text1" w:themeTint="A6"/>
                          <w:sz w:val="16"/>
                          <w:szCs w:val="16"/>
                        </w:rPr>
                        <w:t>ES</w:t>
                      </w:r>
                      <w:r w:rsidRPr="009711FB">
                        <w:rPr>
                          <w:b/>
                          <w:color w:val="595959" w:themeColor="text1" w:themeTint="A6"/>
                          <w:sz w:val="16"/>
                          <w:szCs w:val="16"/>
                        </w:rPr>
                        <w:t xml:space="preserve"> EXTERIORES Y MOVILIDAD HUMANA</w:t>
                      </w:r>
                    </w:p>
                    <w:p w:rsidR="00E050DB" w:rsidRPr="009711FB" w:rsidRDefault="00E050DB" w:rsidP="00EF7E14">
                      <w:pPr>
                        <w:rPr>
                          <w:b/>
                          <w:color w:val="595959" w:themeColor="text1" w:themeTint="A6"/>
                          <w:sz w:val="16"/>
                          <w:szCs w:val="16"/>
                        </w:rPr>
                      </w:pPr>
                    </w:p>
                  </w:txbxContent>
                </v:textbox>
              </v:shape>
            </w:pict>
          </mc:Fallback>
        </mc:AlternateContent>
      </w:r>
      <w:r w:rsidR="00BE0D78" w:rsidRPr="007748D3">
        <w:rPr>
          <w:noProof/>
          <w:lang w:val="en-US" w:eastAsia="en-US"/>
        </w:rPr>
        <w:drawing>
          <wp:anchor distT="0" distB="0" distL="114300" distR="114300" simplePos="0" relativeHeight="251663360" behindDoc="0" locked="0" layoutInCell="1" allowOverlap="1" wp14:anchorId="44B8FF62" wp14:editId="082A3A62">
            <wp:simplePos x="0" y="0"/>
            <wp:positionH relativeFrom="column">
              <wp:posOffset>3785235</wp:posOffset>
            </wp:positionH>
            <wp:positionV relativeFrom="paragraph">
              <wp:posOffset>6350</wp:posOffset>
            </wp:positionV>
            <wp:extent cx="695960" cy="588010"/>
            <wp:effectExtent l="0" t="0" r="8890" b="2540"/>
            <wp:wrapNone/>
            <wp:docPr id="3" name="Picture 3" descr="Image result for ministerio de relaciones exteriores Y MOVILIDAD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isterio de relaciones exteriores Y MOVILIDAD HUMAN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960" cy="58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D78" w:rsidRPr="007748D3">
        <w:rPr>
          <w:noProof/>
          <w:sz w:val="17"/>
          <w:szCs w:val="17"/>
          <w:lang w:val="en-US" w:eastAsia="en-US"/>
        </w:rPr>
        <w:drawing>
          <wp:inline distT="0" distB="0" distL="0" distR="0" wp14:anchorId="570E64AB" wp14:editId="5E38CE42">
            <wp:extent cx="1403498" cy="577703"/>
            <wp:effectExtent l="0" t="0" r="635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 REP ECUADOR.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05755" cy="578632"/>
                    </a:xfrm>
                    <a:prstGeom prst="rect">
                      <a:avLst/>
                    </a:prstGeom>
                  </pic:spPr>
                </pic:pic>
              </a:graphicData>
            </a:graphic>
          </wp:inline>
        </w:drawing>
      </w:r>
    </w:p>
    <w:p w:rsidR="00EF7E14" w:rsidRPr="007748D3" w:rsidRDefault="00EF7E14" w:rsidP="009A4585">
      <w:pPr>
        <w:spacing w:line="200" w:lineRule="exact"/>
        <w:rPr>
          <w:rFonts w:eastAsia="Times New Roman"/>
          <w:color w:val="313131"/>
        </w:rPr>
      </w:pPr>
    </w:p>
    <w:p w:rsidR="009A4585" w:rsidRPr="007748D3" w:rsidRDefault="009A4585" w:rsidP="00EF7E14">
      <w:pPr>
        <w:spacing w:before="31"/>
        <w:ind w:right="357"/>
        <w:jc w:val="right"/>
        <w:rPr>
          <w:rFonts w:eastAsia="Times New Roman"/>
          <w:color w:val="313131"/>
        </w:rPr>
      </w:pPr>
    </w:p>
    <w:p w:rsidR="00EF7E14" w:rsidRPr="007748D3" w:rsidRDefault="00566022" w:rsidP="00EF7E14">
      <w:pPr>
        <w:spacing w:before="31"/>
        <w:ind w:right="357"/>
        <w:jc w:val="right"/>
        <w:rPr>
          <w:rFonts w:ascii="Times New Roman" w:eastAsia="Times New Roman" w:hAnsi="Times New Roman" w:cs="Times New Roman"/>
        </w:rPr>
      </w:pPr>
      <w:r w:rsidRPr="007748D3">
        <w:rPr>
          <w:rFonts w:ascii="Times New Roman" w:eastAsia="Times New Roman" w:hAnsi="Times New Roman" w:cs="Times New Roman"/>
          <w:color w:val="313131"/>
        </w:rPr>
        <w:t>Nota</w:t>
      </w:r>
      <w:r w:rsidR="00EF7E14" w:rsidRPr="007748D3">
        <w:rPr>
          <w:rFonts w:ascii="Times New Roman" w:eastAsia="Times New Roman" w:hAnsi="Times New Roman" w:cs="Times New Roman"/>
          <w:color w:val="313131"/>
        </w:rPr>
        <w:t>-</w:t>
      </w:r>
      <w:r w:rsidR="00EF7E14" w:rsidRPr="007748D3">
        <w:rPr>
          <w:rFonts w:ascii="Times New Roman" w:eastAsia="Times New Roman" w:hAnsi="Times New Roman" w:cs="Times New Roman"/>
          <w:color w:val="313131"/>
          <w:spacing w:val="30"/>
        </w:rPr>
        <w:t xml:space="preserve"> </w:t>
      </w:r>
      <w:r w:rsidR="00EF7E14" w:rsidRPr="007748D3">
        <w:rPr>
          <w:rFonts w:ascii="Times New Roman" w:eastAsia="Times New Roman" w:hAnsi="Times New Roman" w:cs="Times New Roman"/>
          <w:color w:val="313131"/>
        </w:rPr>
        <w:t>4-7-</w:t>
      </w:r>
      <w:r w:rsidR="00EF7E14" w:rsidRPr="007748D3">
        <w:rPr>
          <w:rFonts w:ascii="Times New Roman" w:eastAsia="Times New Roman" w:hAnsi="Times New Roman" w:cs="Times New Roman"/>
          <w:color w:val="313131"/>
          <w:spacing w:val="33"/>
        </w:rPr>
        <w:t xml:space="preserve"> </w:t>
      </w:r>
      <w:r w:rsidR="00EF7E14" w:rsidRPr="007748D3">
        <w:rPr>
          <w:rFonts w:ascii="Times New Roman" w:eastAsia="Times New Roman" w:hAnsi="Times New Roman" w:cs="Times New Roman"/>
          <w:color w:val="313131"/>
          <w:w w:val="105"/>
        </w:rPr>
        <w:t>100/2018</w:t>
      </w:r>
    </w:p>
    <w:p w:rsidR="00EF7E14" w:rsidRPr="007748D3" w:rsidRDefault="00EF7E14" w:rsidP="00EF7E14">
      <w:pPr>
        <w:jc w:val="both"/>
        <w:rPr>
          <w:rFonts w:ascii="Times New Roman" w:hAnsi="Times New Roman" w:cs="Times New Roman"/>
        </w:rPr>
      </w:pPr>
    </w:p>
    <w:p w:rsidR="00DA2190" w:rsidRPr="007748D3" w:rsidRDefault="00DA2190" w:rsidP="00EF7E14">
      <w:pPr>
        <w:jc w:val="both"/>
        <w:rPr>
          <w:rFonts w:ascii="Times New Roman" w:eastAsia="Times New Roman" w:hAnsi="Times New Roman" w:cs="Times New Roman"/>
          <w:color w:val="000000"/>
          <w:sz w:val="23"/>
          <w:szCs w:val="23"/>
        </w:rPr>
      </w:pPr>
      <w:r w:rsidRPr="007748D3">
        <w:rPr>
          <w:rFonts w:ascii="Times New Roman" w:eastAsia="Times New Roman" w:hAnsi="Times New Roman" w:cs="Times New Roman"/>
          <w:color w:val="000000"/>
          <w:sz w:val="23"/>
          <w:szCs w:val="23"/>
        </w:rPr>
        <w:t xml:space="preserve">La Misión Permanente de </w:t>
      </w:r>
      <w:r w:rsidR="00D36137" w:rsidRPr="007748D3">
        <w:rPr>
          <w:rFonts w:ascii="Times New Roman" w:eastAsia="Times New Roman" w:hAnsi="Times New Roman" w:cs="Times New Roman"/>
          <w:color w:val="000000"/>
          <w:sz w:val="23"/>
          <w:szCs w:val="23"/>
        </w:rPr>
        <w:t xml:space="preserve">Ecuador ante la Organización Mundial del Comercio y otras organizaciones económicas en Ginebra </w:t>
      </w:r>
      <w:r w:rsidR="008D0B33" w:rsidRPr="007748D3">
        <w:rPr>
          <w:rFonts w:ascii="Times New Roman" w:eastAsia="Times New Roman" w:hAnsi="Times New Roman" w:cs="Times New Roman"/>
          <w:color w:val="000000"/>
          <w:sz w:val="23"/>
          <w:szCs w:val="23"/>
        </w:rPr>
        <w:t>saluda atentamente</w:t>
      </w:r>
      <w:r w:rsidR="00D36137" w:rsidRPr="007748D3">
        <w:rPr>
          <w:rFonts w:ascii="Times New Roman" w:eastAsia="Times New Roman" w:hAnsi="Times New Roman" w:cs="Times New Roman"/>
          <w:color w:val="000000"/>
          <w:sz w:val="23"/>
          <w:szCs w:val="23"/>
        </w:rPr>
        <w:t xml:space="preserve"> a la Organización Mundial de la Propiedad Intelectual (OMPI, Sector de Desarrollo) y tiene el honor de referirse a la decisión adoptada </w:t>
      </w:r>
      <w:r w:rsidR="008D0B33" w:rsidRPr="007748D3">
        <w:rPr>
          <w:rFonts w:ascii="Times New Roman" w:eastAsia="Times New Roman" w:hAnsi="Times New Roman" w:cs="Times New Roman"/>
          <w:color w:val="000000"/>
          <w:sz w:val="23"/>
          <w:szCs w:val="23"/>
        </w:rPr>
        <w:t>en la vigesimoprimera sesión d</w:t>
      </w:r>
      <w:r w:rsidR="00D36137" w:rsidRPr="007748D3">
        <w:rPr>
          <w:rFonts w:ascii="Times New Roman" w:eastAsia="Times New Roman" w:hAnsi="Times New Roman" w:cs="Times New Roman"/>
          <w:color w:val="000000"/>
          <w:sz w:val="23"/>
          <w:szCs w:val="23"/>
        </w:rPr>
        <w:t>el Comité de Desar</w:t>
      </w:r>
      <w:r w:rsidR="001F786C" w:rsidRPr="007748D3">
        <w:rPr>
          <w:rFonts w:ascii="Times New Roman" w:eastAsia="Times New Roman" w:hAnsi="Times New Roman" w:cs="Times New Roman"/>
          <w:color w:val="000000"/>
          <w:sz w:val="23"/>
          <w:szCs w:val="23"/>
        </w:rPr>
        <w:t>rollo y Propiedad Intelectual</w:t>
      </w:r>
      <w:r w:rsidR="00D36137" w:rsidRPr="007748D3">
        <w:rPr>
          <w:rFonts w:ascii="Times New Roman" w:eastAsia="Times New Roman" w:hAnsi="Times New Roman" w:cs="Times New Roman"/>
          <w:color w:val="000000"/>
          <w:sz w:val="23"/>
          <w:szCs w:val="23"/>
        </w:rPr>
        <w:t xml:space="preserve"> celebrada del 14 al 18 de mayo de 2018, </w:t>
      </w:r>
      <w:r w:rsidR="008D0B33" w:rsidRPr="007748D3">
        <w:rPr>
          <w:rFonts w:ascii="Times New Roman" w:eastAsia="Times New Roman" w:hAnsi="Times New Roman" w:cs="Times New Roman"/>
          <w:color w:val="000000"/>
          <w:sz w:val="23"/>
          <w:szCs w:val="23"/>
        </w:rPr>
        <w:t>relativa a</w:t>
      </w:r>
      <w:r w:rsidR="00D36137" w:rsidRPr="007748D3">
        <w:rPr>
          <w:rFonts w:ascii="Times New Roman" w:eastAsia="Times New Roman" w:hAnsi="Times New Roman" w:cs="Times New Roman"/>
          <w:color w:val="000000"/>
          <w:sz w:val="23"/>
          <w:szCs w:val="23"/>
        </w:rPr>
        <w:t>l análisis de las carencias en los actuales servicios y actividades de la OMPI re</w:t>
      </w:r>
      <w:r w:rsidR="008D0B33" w:rsidRPr="007748D3">
        <w:rPr>
          <w:rFonts w:ascii="Times New Roman" w:eastAsia="Times New Roman" w:hAnsi="Times New Roman" w:cs="Times New Roman"/>
          <w:color w:val="000000"/>
          <w:sz w:val="23"/>
          <w:szCs w:val="23"/>
        </w:rPr>
        <w:t>specto de</w:t>
      </w:r>
      <w:r w:rsidR="00D36137" w:rsidRPr="007748D3">
        <w:rPr>
          <w:rFonts w:ascii="Times New Roman" w:eastAsia="Times New Roman" w:hAnsi="Times New Roman" w:cs="Times New Roman"/>
          <w:color w:val="000000"/>
          <w:sz w:val="23"/>
          <w:szCs w:val="23"/>
        </w:rPr>
        <w:t xml:space="preserve"> la transferencia de tecnología, a la luz de las recomendaciones de la </w:t>
      </w:r>
      <w:r w:rsidR="008D0B33" w:rsidRPr="007748D3">
        <w:rPr>
          <w:rFonts w:ascii="Times New Roman" w:eastAsia="Times New Roman" w:hAnsi="Times New Roman" w:cs="Times New Roman"/>
          <w:color w:val="000000"/>
          <w:sz w:val="23"/>
          <w:szCs w:val="23"/>
        </w:rPr>
        <w:t>“</w:t>
      </w:r>
      <w:r w:rsidR="00D36137" w:rsidRPr="007748D3">
        <w:rPr>
          <w:rFonts w:ascii="Times New Roman" w:hAnsi="Times New Roman" w:cs="Times New Roman"/>
          <w:color w:val="000000"/>
          <w:sz w:val="23"/>
          <w:szCs w:val="23"/>
        </w:rPr>
        <w:t>categoría C</w:t>
      </w:r>
      <w:r w:rsidR="008D0B33" w:rsidRPr="007748D3">
        <w:rPr>
          <w:rFonts w:ascii="Times New Roman" w:hAnsi="Times New Roman" w:cs="Times New Roman"/>
          <w:color w:val="000000"/>
          <w:sz w:val="23"/>
          <w:szCs w:val="23"/>
        </w:rPr>
        <w:t>”</w:t>
      </w:r>
      <w:r w:rsidR="00D36137" w:rsidRPr="007748D3">
        <w:rPr>
          <w:rFonts w:ascii="Times New Roman" w:hAnsi="Times New Roman" w:cs="Times New Roman"/>
          <w:color w:val="000000"/>
          <w:sz w:val="23"/>
          <w:szCs w:val="23"/>
        </w:rPr>
        <w:t xml:space="preserve"> de la Agenda de la OMPI para el Desarrollo, que figura en </w:t>
      </w:r>
      <w:r w:rsidR="00D36137" w:rsidRPr="007748D3">
        <w:rPr>
          <w:rFonts w:ascii="Times New Roman" w:hAnsi="Times New Roman" w:cs="Times New Roman"/>
          <w:sz w:val="23"/>
          <w:szCs w:val="23"/>
        </w:rPr>
        <w:t>el documento CDIP/21/5.</w:t>
      </w:r>
    </w:p>
    <w:p w:rsidR="00DA2190" w:rsidRPr="007748D3" w:rsidRDefault="00DA2190" w:rsidP="00EF7E14">
      <w:pPr>
        <w:jc w:val="both"/>
        <w:rPr>
          <w:rFonts w:ascii="Times New Roman" w:eastAsia="Times New Roman" w:hAnsi="Times New Roman" w:cs="Times New Roman"/>
          <w:color w:val="000000"/>
          <w:sz w:val="23"/>
          <w:szCs w:val="23"/>
        </w:rPr>
      </w:pPr>
    </w:p>
    <w:p w:rsidR="00EF7E14" w:rsidRPr="007748D3" w:rsidRDefault="00D36137" w:rsidP="00EF7E14">
      <w:pPr>
        <w:jc w:val="both"/>
        <w:rPr>
          <w:rFonts w:ascii="Times New Roman" w:eastAsia="Times New Roman" w:hAnsi="Times New Roman" w:cs="Times New Roman"/>
          <w:color w:val="000000"/>
          <w:sz w:val="23"/>
          <w:szCs w:val="23"/>
        </w:rPr>
      </w:pPr>
      <w:r w:rsidRPr="007748D3">
        <w:rPr>
          <w:rFonts w:ascii="Times New Roman" w:eastAsia="Times New Roman" w:hAnsi="Times New Roman" w:cs="Times New Roman"/>
          <w:color w:val="000000"/>
          <w:sz w:val="23"/>
          <w:szCs w:val="23"/>
        </w:rPr>
        <w:t>La Misión Permanente de</w:t>
      </w:r>
      <w:r w:rsidR="00D76308" w:rsidRPr="007748D3">
        <w:rPr>
          <w:rFonts w:ascii="Times New Roman" w:eastAsia="Times New Roman" w:hAnsi="Times New Roman" w:cs="Times New Roman"/>
          <w:color w:val="000000"/>
          <w:sz w:val="23"/>
          <w:szCs w:val="23"/>
        </w:rPr>
        <w:t>l</w:t>
      </w:r>
      <w:r w:rsidRPr="007748D3">
        <w:rPr>
          <w:rFonts w:ascii="Times New Roman" w:eastAsia="Times New Roman" w:hAnsi="Times New Roman" w:cs="Times New Roman"/>
          <w:color w:val="000000"/>
          <w:sz w:val="23"/>
          <w:szCs w:val="23"/>
        </w:rPr>
        <w:t xml:space="preserve"> Ecuador ante la Organización Mundial del Comercio y otras organizaciones económicas en Ginebra </w:t>
      </w:r>
      <w:r w:rsidR="008D0B33" w:rsidRPr="007748D3">
        <w:rPr>
          <w:rFonts w:ascii="Times New Roman" w:eastAsia="Times New Roman" w:hAnsi="Times New Roman" w:cs="Times New Roman"/>
          <w:color w:val="000000"/>
          <w:sz w:val="23"/>
          <w:szCs w:val="23"/>
        </w:rPr>
        <w:t>transmite para su conocimiento los siguientes aportes</w:t>
      </w:r>
      <w:r w:rsidRPr="007748D3">
        <w:rPr>
          <w:rFonts w:ascii="Times New Roman" w:eastAsia="Times New Roman" w:hAnsi="Times New Roman" w:cs="Times New Roman"/>
          <w:color w:val="000000"/>
          <w:sz w:val="23"/>
          <w:szCs w:val="23"/>
        </w:rPr>
        <w:t xml:space="preserve"> remitid</w:t>
      </w:r>
      <w:r w:rsidR="008D0B33" w:rsidRPr="007748D3">
        <w:rPr>
          <w:rFonts w:ascii="Times New Roman" w:eastAsia="Times New Roman" w:hAnsi="Times New Roman" w:cs="Times New Roman"/>
          <w:color w:val="000000"/>
          <w:sz w:val="23"/>
          <w:szCs w:val="23"/>
        </w:rPr>
        <w:t>o</w:t>
      </w:r>
      <w:r w:rsidRPr="007748D3">
        <w:rPr>
          <w:rFonts w:ascii="Times New Roman" w:eastAsia="Times New Roman" w:hAnsi="Times New Roman" w:cs="Times New Roman"/>
          <w:color w:val="000000"/>
          <w:sz w:val="23"/>
          <w:szCs w:val="23"/>
        </w:rPr>
        <w:t>s por el Servicio Nac</w:t>
      </w:r>
      <w:r w:rsidR="008D0B33" w:rsidRPr="007748D3">
        <w:rPr>
          <w:rFonts w:ascii="Times New Roman" w:eastAsia="Times New Roman" w:hAnsi="Times New Roman" w:cs="Times New Roman"/>
          <w:color w:val="000000"/>
          <w:sz w:val="23"/>
          <w:szCs w:val="23"/>
        </w:rPr>
        <w:t>ional de Derechos Intelectuales:</w:t>
      </w:r>
    </w:p>
    <w:p w:rsidR="00320B22" w:rsidRPr="007748D3" w:rsidRDefault="00320B22" w:rsidP="00EF7E14">
      <w:pPr>
        <w:jc w:val="both"/>
        <w:rPr>
          <w:rFonts w:ascii="Times New Roman" w:eastAsia="Times New Roman" w:hAnsi="Times New Roman" w:cs="Times New Roman"/>
          <w:color w:val="000000"/>
          <w:sz w:val="23"/>
          <w:szCs w:val="23"/>
        </w:rPr>
      </w:pPr>
    </w:p>
    <w:p w:rsidR="00320B22" w:rsidRPr="007748D3" w:rsidRDefault="008D0B33" w:rsidP="00EF7E14">
      <w:pPr>
        <w:jc w:val="both"/>
        <w:rPr>
          <w:rFonts w:ascii="Times New Roman" w:eastAsia="Times New Roman" w:hAnsi="Times New Roman" w:cs="Times New Roman"/>
          <w:color w:val="000000"/>
          <w:sz w:val="23"/>
          <w:szCs w:val="23"/>
          <w:bdr w:val="none" w:sz="0" w:space="0" w:color="auto" w:frame="1"/>
          <w:shd w:val="clear" w:color="auto" w:fill="FFFFFF"/>
        </w:rPr>
      </w:pPr>
      <w:r w:rsidRPr="007748D3">
        <w:rPr>
          <w:rFonts w:ascii="Times New Roman" w:eastAsia="Times New Roman" w:hAnsi="Times New Roman" w:cs="Times New Roman"/>
          <w:color w:val="000000"/>
          <w:sz w:val="23"/>
          <w:szCs w:val="23"/>
        </w:rPr>
        <w:t>C</w:t>
      </w:r>
      <w:r w:rsidR="00320B22" w:rsidRPr="007748D3">
        <w:rPr>
          <w:rFonts w:ascii="Times New Roman" w:eastAsia="Times New Roman" w:hAnsi="Times New Roman" w:cs="Times New Roman"/>
          <w:color w:val="000000"/>
          <w:sz w:val="23"/>
          <w:szCs w:val="23"/>
        </w:rPr>
        <w:t>onform</w:t>
      </w:r>
      <w:r w:rsidRPr="007748D3">
        <w:rPr>
          <w:rFonts w:ascii="Times New Roman" w:eastAsia="Times New Roman" w:hAnsi="Times New Roman" w:cs="Times New Roman"/>
          <w:color w:val="000000"/>
          <w:sz w:val="23"/>
          <w:szCs w:val="23"/>
        </w:rPr>
        <w:t>e a</w:t>
      </w:r>
      <w:r w:rsidR="00320B22" w:rsidRPr="007748D3">
        <w:rPr>
          <w:rFonts w:ascii="Times New Roman" w:eastAsia="Times New Roman" w:hAnsi="Times New Roman" w:cs="Times New Roman"/>
          <w:color w:val="000000"/>
          <w:sz w:val="23"/>
          <w:szCs w:val="23"/>
        </w:rPr>
        <w:t xml:space="preserve">l análisis de </w:t>
      </w:r>
      <w:r w:rsidRPr="007748D3">
        <w:rPr>
          <w:rFonts w:ascii="Times New Roman" w:eastAsia="Times New Roman" w:hAnsi="Times New Roman" w:cs="Times New Roman"/>
          <w:color w:val="000000"/>
          <w:sz w:val="23"/>
          <w:szCs w:val="23"/>
        </w:rPr>
        <w:t>brech</w:t>
      </w:r>
      <w:r w:rsidR="00320B22" w:rsidRPr="007748D3">
        <w:rPr>
          <w:rFonts w:ascii="Times New Roman" w:eastAsia="Times New Roman" w:hAnsi="Times New Roman" w:cs="Times New Roman"/>
          <w:color w:val="000000"/>
          <w:sz w:val="23"/>
          <w:szCs w:val="23"/>
        </w:rPr>
        <w:t>as en l</w:t>
      </w:r>
      <w:r w:rsidRPr="007748D3">
        <w:rPr>
          <w:rFonts w:ascii="Times New Roman" w:eastAsia="Times New Roman" w:hAnsi="Times New Roman" w:cs="Times New Roman"/>
          <w:color w:val="000000"/>
          <w:sz w:val="23"/>
          <w:szCs w:val="23"/>
        </w:rPr>
        <w:t xml:space="preserve">as actividades y los </w:t>
      </w:r>
      <w:r w:rsidR="00320B22" w:rsidRPr="007748D3">
        <w:rPr>
          <w:rFonts w:ascii="Times New Roman" w:eastAsia="Times New Roman" w:hAnsi="Times New Roman" w:cs="Times New Roman"/>
          <w:color w:val="000000"/>
          <w:sz w:val="23"/>
          <w:szCs w:val="23"/>
        </w:rPr>
        <w:t xml:space="preserve">servicios </w:t>
      </w:r>
      <w:r w:rsidRPr="007748D3">
        <w:rPr>
          <w:rFonts w:ascii="Times New Roman" w:eastAsia="Times New Roman" w:hAnsi="Times New Roman" w:cs="Times New Roman"/>
          <w:color w:val="000000"/>
          <w:sz w:val="23"/>
          <w:szCs w:val="23"/>
        </w:rPr>
        <w:t>de</w:t>
      </w:r>
      <w:r w:rsidR="00320B22" w:rsidRPr="007748D3">
        <w:rPr>
          <w:rFonts w:ascii="Times New Roman" w:eastAsia="Times New Roman" w:hAnsi="Times New Roman" w:cs="Times New Roman"/>
          <w:color w:val="000000"/>
          <w:sz w:val="23"/>
          <w:szCs w:val="23"/>
        </w:rPr>
        <w:t xml:space="preserve"> transferencia de tecnología </w:t>
      </w:r>
      <w:r w:rsidRPr="007748D3">
        <w:rPr>
          <w:rFonts w:ascii="Times New Roman" w:eastAsia="Times New Roman" w:hAnsi="Times New Roman" w:cs="Times New Roman"/>
          <w:color w:val="000000"/>
          <w:sz w:val="23"/>
          <w:szCs w:val="23"/>
        </w:rPr>
        <w:t xml:space="preserve">existentes </w:t>
      </w:r>
      <w:r w:rsidR="009A4585" w:rsidRPr="007748D3">
        <w:rPr>
          <w:rFonts w:ascii="Times New Roman" w:eastAsia="Times New Roman" w:hAnsi="Times New Roman" w:cs="Times New Roman"/>
          <w:color w:val="000000"/>
          <w:sz w:val="23"/>
          <w:szCs w:val="23"/>
        </w:rPr>
        <w:t>d</w:t>
      </w:r>
      <w:r w:rsidRPr="007748D3">
        <w:rPr>
          <w:rFonts w:ascii="Times New Roman" w:eastAsia="Times New Roman" w:hAnsi="Times New Roman" w:cs="Times New Roman"/>
          <w:color w:val="000000"/>
          <w:sz w:val="23"/>
          <w:szCs w:val="23"/>
        </w:rPr>
        <w:t>e la OMPI respecto de su</w:t>
      </w:r>
      <w:r w:rsidR="00320B22" w:rsidRPr="007748D3">
        <w:rPr>
          <w:rFonts w:ascii="Times New Roman" w:eastAsia="Times New Roman" w:hAnsi="Times New Roman" w:cs="Times New Roman"/>
          <w:color w:val="000000"/>
          <w:sz w:val="23"/>
          <w:szCs w:val="23"/>
        </w:rPr>
        <w:t xml:space="preserve"> programa </w:t>
      </w:r>
      <w:r w:rsidRPr="007748D3">
        <w:rPr>
          <w:rFonts w:ascii="Times New Roman" w:eastAsia="Times New Roman" w:hAnsi="Times New Roman" w:cs="Times New Roman"/>
          <w:color w:val="000000"/>
          <w:sz w:val="23"/>
          <w:szCs w:val="23"/>
        </w:rPr>
        <w:t xml:space="preserve">para el </w:t>
      </w:r>
      <w:r w:rsidR="00320B22" w:rsidRPr="007748D3">
        <w:rPr>
          <w:rFonts w:ascii="Times New Roman" w:eastAsia="Times New Roman" w:hAnsi="Times New Roman" w:cs="Times New Roman"/>
          <w:color w:val="000000"/>
          <w:sz w:val="23"/>
          <w:szCs w:val="23"/>
        </w:rPr>
        <w:t xml:space="preserve">desarrollo, recomienda </w:t>
      </w:r>
      <w:r w:rsidRPr="007748D3">
        <w:rPr>
          <w:rFonts w:ascii="Times New Roman" w:eastAsia="Times New Roman" w:hAnsi="Times New Roman" w:cs="Times New Roman"/>
          <w:color w:val="000000"/>
          <w:sz w:val="23"/>
          <w:szCs w:val="23"/>
        </w:rPr>
        <w:t>incluir</w:t>
      </w:r>
      <w:r w:rsidR="00320B22" w:rsidRPr="007748D3">
        <w:rPr>
          <w:rFonts w:ascii="Times New Roman" w:eastAsia="Times New Roman" w:hAnsi="Times New Roman" w:cs="Times New Roman"/>
          <w:color w:val="000000"/>
          <w:sz w:val="23"/>
          <w:szCs w:val="23"/>
        </w:rPr>
        <w:t xml:space="preserve"> los </w:t>
      </w:r>
      <w:r w:rsidR="00F473C2" w:rsidRPr="007748D3">
        <w:rPr>
          <w:rFonts w:ascii="Times New Roman" w:eastAsia="Times New Roman" w:hAnsi="Times New Roman" w:cs="Times New Roman"/>
          <w:color w:val="000000"/>
          <w:sz w:val="23"/>
          <w:szCs w:val="23"/>
        </w:rPr>
        <w:t xml:space="preserve">siguientes indicadores </w:t>
      </w:r>
      <w:r w:rsidRPr="007748D3">
        <w:rPr>
          <w:rFonts w:ascii="Times New Roman" w:eastAsia="Times New Roman" w:hAnsi="Times New Roman" w:cs="Times New Roman"/>
          <w:color w:val="000000"/>
          <w:sz w:val="23"/>
          <w:szCs w:val="23"/>
        </w:rPr>
        <w:t>para</w:t>
      </w:r>
      <w:r w:rsidR="00F473C2" w:rsidRPr="007748D3">
        <w:rPr>
          <w:rFonts w:ascii="Times New Roman" w:eastAsia="Times New Roman" w:hAnsi="Times New Roman" w:cs="Times New Roman"/>
          <w:color w:val="000000"/>
          <w:sz w:val="23"/>
          <w:szCs w:val="23"/>
        </w:rPr>
        <w:t xml:space="preserve"> evaluar las actividades </w:t>
      </w:r>
      <w:r w:rsidRPr="007748D3">
        <w:rPr>
          <w:rFonts w:ascii="Times New Roman" w:eastAsia="Times New Roman" w:hAnsi="Times New Roman" w:cs="Times New Roman"/>
          <w:color w:val="000000"/>
          <w:sz w:val="23"/>
          <w:szCs w:val="23"/>
        </w:rPr>
        <w:t>que se realizan para la consecución de este fin</w:t>
      </w:r>
      <w:r w:rsidR="00F473C2" w:rsidRPr="007748D3">
        <w:rPr>
          <w:rFonts w:ascii="Times New Roman" w:eastAsia="Times New Roman" w:hAnsi="Times New Roman" w:cs="Times New Roman"/>
          <w:color w:val="000000"/>
          <w:sz w:val="23"/>
          <w:szCs w:val="23"/>
        </w:rPr>
        <w:t>:</w:t>
      </w:r>
    </w:p>
    <w:p w:rsidR="00EF7E14" w:rsidRPr="007748D3" w:rsidRDefault="00EF7E14" w:rsidP="00EF7E14">
      <w:pPr>
        <w:jc w:val="both"/>
        <w:rPr>
          <w:rFonts w:ascii="Times New Roman" w:hAnsi="Times New Roman" w:cs="Times New Roman"/>
          <w:sz w:val="23"/>
          <w:szCs w:val="23"/>
        </w:rPr>
      </w:pPr>
    </w:p>
    <w:p w:rsidR="00F473C2" w:rsidRPr="007748D3" w:rsidRDefault="008D0B33" w:rsidP="00EF7E14">
      <w:pPr>
        <w:pStyle w:val="ListParagraph"/>
        <w:widowControl w:val="0"/>
        <w:numPr>
          <w:ilvl w:val="0"/>
          <w:numId w:val="8"/>
        </w:numPr>
        <w:spacing w:line="255" w:lineRule="auto"/>
        <w:ind w:right="306"/>
        <w:jc w:val="both"/>
        <w:rPr>
          <w:rFonts w:ascii="Times New Roman" w:eastAsia="Times New Roman" w:hAnsi="Times New Roman" w:cs="Times New Roman"/>
          <w:sz w:val="23"/>
          <w:szCs w:val="23"/>
          <w:lang w:val="es-ES"/>
        </w:rPr>
      </w:pPr>
      <w:r w:rsidRPr="007748D3">
        <w:rPr>
          <w:rFonts w:ascii="Times New Roman" w:eastAsia="Times New Roman" w:hAnsi="Times New Roman" w:cs="Times New Roman"/>
          <w:sz w:val="23"/>
          <w:szCs w:val="23"/>
          <w:lang w:val="es-ES"/>
        </w:rPr>
        <w:t>Análisis del estado tecnológico del país o región objeto de la actividad</w:t>
      </w:r>
      <w:r w:rsidR="00F473C2" w:rsidRPr="007748D3">
        <w:rPr>
          <w:rFonts w:ascii="Times New Roman" w:eastAsia="Times New Roman" w:hAnsi="Times New Roman" w:cs="Times New Roman"/>
          <w:sz w:val="23"/>
          <w:szCs w:val="23"/>
          <w:lang w:val="es-ES"/>
        </w:rPr>
        <w:t xml:space="preserve"> previ</w:t>
      </w:r>
      <w:r w:rsidRPr="007748D3">
        <w:rPr>
          <w:rFonts w:ascii="Times New Roman" w:eastAsia="Times New Roman" w:hAnsi="Times New Roman" w:cs="Times New Roman"/>
          <w:sz w:val="23"/>
          <w:szCs w:val="23"/>
          <w:lang w:val="es-ES"/>
        </w:rPr>
        <w:t>a</w:t>
      </w:r>
      <w:r w:rsidR="00F473C2" w:rsidRPr="007748D3">
        <w:rPr>
          <w:rFonts w:ascii="Times New Roman" w:eastAsia="Times New Roman" w:hAnsi="Times New Roman" w:cs="Times New Roman"/>
          <w:sz w:val="23"/>
          <w:szCs w:val="23"/>
          <w:lang w:val="es-ES"/>
        </w:rPr>
        <w:t xml:space="preserve"> a la </w:t>
      </w:r>
      <w:r w:rsidRPr="007748D3">
        <w:rPr>
          <w:rFonts w:ascii="Times New Roman" w:eastAsia="Times New Roman" w:hAnsi="Times New Roman" w:cs="Times New Roman"/>
          <w:sz w:val="23"/>
          <w:szCs w:val="23"/>
          <w:lang w:val="es-ES"/>
        </w:rPr>
        <w:t>implementación del evento para incrementar sus</w:t>
      </w:r>
      <w:r w:rsidR="00F473C2" w:rsidRPr="007748D3">
        <w:rPr>
          <w:rFonts w:ascii="Times New Roman" w:eastAsia="Times New Roman" w:hAnsi="Times New Roman" w:cs="Times New Roman"/>
          <w:sz w:val="23"/>
          <w:szCs w:val="23"/>
          <w:lang w:val="es-ES"/>
        </w:rPr>
        <w:t xml:space="preserve"> probabilidades de éxito</w:t>
      </w:r>
      <w:r w:rsidRPr="007748D3">
        <w:rPr>
          <w:rFonts w:ascii="Times New Roman" w:eastAsia="Times New Roman" w:hAnsi="Times New Roman" w:cs="Times New Roman"/>
          <w:sz w:val="23"/>
          <w:szCs w:val="23"/>
          <w:lang w:val="es-ES"/>
        </w:rPr>
        <w:t>.</w:t>
      </w:r>
    </w:p>
    <w:p w:rsidR="00F473C2" w:rsidRPr="007748D3" w:rsidRDefault="008D0B33" w:rsidP="00EF7E14">
      <w:pPr>
        <w:pStyle w:val="ListParagraph"/>
        <w:widowControl w:val="0"/>
        <w:numPr>
          <w:ilvl w:val="0"/>
          <w:numId w:val="8"/>
        </w:numPr>
        <w:spacing w:line="255" w:lineRule="auto"/>
        <w:ind w:right="306"/>
        <w:jc w:val="both"/>
        <w:rPr>
          <w:rFonts w:ascii="Times New Roman" w:eastAsia="Times New Roman" w:hAnsi="Times New Roman" w:cs="Times New Roman"/>
          <w:sz w:val="23"/>
          <w:szCs w:val="23"/>
          <w:lang w:val="es-ES"/>
        </w:rPr>
      </w:pPr>
      <w:r w:rsidRPr="007748D3">
        <w:rPr>
          <w:rFonts w:ascii="Times New Roman" w:eastAsia="Times New Roman" w:hAnsi="Times New Roman" w:cs="Times New Roman"/>
          <w:sz w:val="23"/>
          <w:szCs w:val="23"/>
          <w:lang w:val="es-ES"/>
        </w:rPr>
        <w:t xml:space="preserve">Impacto </w:t>
      </w:r>
      <w:r w:rsidR="00F473C2" w:rsidRPr="007748D3">
        <w:rPr>
          <w:rFonts w:ascii="Times New Roman" w:eastAsia="Times New Roman" w:hAnsi="Times New Roman" w:cs="Times New Roman"/>
          <w:sz w:val="23"/>
          <w:szCs w:val="23"/>
          <w:lang w:val="es-ES"/>
        </w:rPr>
        <w:t xml:space="preserve">nacional del </w:t>
      </w:r>
      <w:r w:rsidRPr="007748D3">
        <w:rPr>
          <w:rFonts w:ascii="Times New Roman" w:eastAsia="Times New Roman" w:hAnsi="Times New Roman" w:cs="Times New Roman"/>
          <w:sz w:val="23"/>
          <w:szCs w:val="23"/>
          <w:lang w:val="es-ES"/>
        </w:rPr>
        <w:t>even</w:t>
      </w:r>
      <w:r w:rsidR="00F473C2" w:rsidRPr="007748D3">
        <w:rPr>
          <w:rFonts w:ascii="Times New Roman" w:eastAsia="Times New Roman" w:hAnsi="Times New Roman" w:cs="Times New Roman"/>
          <w:sz w:val="23"/>
          <w:szCs w:val="23"/>
          <w:lang w:val="es-ES"/>
        </w:rPr>
        <w:t>to</w:t>
      </w:r>
      <w:r w:rsidRPr="007748D3">
        <w:rPr>
          <w:rFonts w:ascii="Times New Roman" w:eastAsia="Times New Roman" w:hAnsi="Times New Roman" w:cs="Times New Roman"/>
          <w:sz w:val="23"/>
          <w:szCs w:val="23"/>
          <w:lang w:val="es-ES"/>
        </w:rPr>
        <w:t xml:space="preserve"> a corto, mediano y largo plazo.</w:t>
      </w:r>
    </w:p>
    <w:p w:rsidR="008D0B33" w:rsidRPr="007748D3" w:rsidRDefault="008D0B33" w:rsidP="00EF7E14">
      <w:pPr>
        <w:pStyle w:val="ListParagraph"/>
        <w:widowControl w:val="0"/>
        <w:numPr>
          <w:ilvl w:val="0"/>
          <w:numId w:val="8"/>
        </w:numPr>
        <w:spacing w:line="255" w:lineRule="auto"/>
        <w:ind w:right="306"/>
        <w:jc w:val="both"/>
        <w:rPr>
          <w:rFonts w:ascii="Times New Roman" w:eastAsia="Times New Roman" w:hAnsi="Times New Roman" w:cs="Times New Roman"/>
          <w:sz w:val="23"/>
          <w:szCs w:val="23"/>
          <w:lang w:val="es-ES"/>
        </w:rPr>
      </w:pPr>
      <w:r w:rsidRPr="007748D3">
        <w:rPr>
          <w:rFonts w:ascii="Times New Roman" w:eastAsia="Times New Roman" w:hAnsi="Times New Roman" w:cs="Times New Roman"/>
          <w:sz w:val="23"/>
          <w:szCs w:val="23"/>
          <w:lang w:val="es-ES"/>
        </w:rPr>
        <w:t>Impacto regional del evento a mediano y largo plazo.</w:t>
      </w:r>
    </w:p>
    <w:p w:rsidR="00F473C2" w:rsidRPr="007748D3" w:rsidRDefault="008D0B33" w:rsidP="00EF7E14">
      <w:pPr>
        <w:pStyle w:val="ListParagraph"/>
        <w:widowControl w:val="0"/>
        <w:numPr>
          <w:ilvl w:val="0"/>
          <w:numId w:val="8"/>
        </w:numPr>
        <w:spacing w:line="255" w:lineRule="auto"/>
        <w:ind w:right="306"/>
        <w:jc w:val="both"/>
        <w:rPr>
          <w:rFonts w:ascii="Times New Roman" w:eastAsia="Times New Roman" w:hAnsi="Times New Roman" w:cs="Times New Roman"/>
          <w:sz w:val="23"/>
          <w:szCs w:val="23"/>
          <w:lang w:val="es-ES"/>
        </w:rPr>
      </w:pPr>
      <w:r w:rsidRPr="007748D3">
        <w:rPr>
          <w:rFonts w:ascii="Times New Roman" w:eastAsia="Times New Roman" w:hAnsi="Times New Roman" w:cs="Times New Roman"/>
          <w:sz w:val="23"/>
          <w:szCs w:val="23"/>
          <w:lang w:val="es-ES"/>
        </w:rPr>
        <w:t>U</w:t>
      </w:r>
      <w:r w:rsidR="00F473C2" w:rsidRPr="007748D3">
        <w:rPr>
          <w:rFonts w:ascii="Times New Roman" w:eastAsia="Times New Roman" w:hAnsi="Times New Roman" w:cs="Times New Roman"/>
          <w:sz w:val="23"/>
          <w:szCs w:val="23"/>
          <w:lang w:val="es-ES"/>
        </w:rPr>
        <w:t>tilidad de</w:t>
      </w:r>
      <w:r w:rsidRPr="007748D3">
        <w:rPr>
          <w:rFonts w:ascii="Times New Roman" w:eastAsia="Times New Roman" w:hAnsi="Times New Roman" w:cs="Times New Roman"/>
          <w:sz w:val="23"/>
          <w:szCs w:val="23"/>
          <w:lang w:val="es-ES"/>
        </w:rPr>
        <w:t xml:space="preserve"> dicho</w:t>
      </w:r>
      <w:r w:rsidR="00F473C2" w:rsidRPr="007748D3">
        <w:rPr>
          <w:rFonts w:ascii="Times New Roman" w:eastAsia="Times New Roman" w:hAnsi="Times New Roman" w:cs="Times New Roman"/>
          <w:sz w:val="23"/>
          <w:szCs w:val="23"/>
          <w:lang w:val="es-ES"/>
        </w:rPr>
        <w:t xml:space="preserve"> servicio </w:t>
      </w:r>
      <w:r w:rsidRPr="007748D3">
        <w:rPr>
          <w:rFonts w:ascii="Times New Roman" w:eastAsia="Times New Roman" w:hAnsi="Times New Roman" w:cs="Times New Roman"/>
          <w:sz w:val="23"/>
          <w:szCs w:val="23"/>
          <w:lang w:val="es-ES"/>
        </w:rPr>
        <w:t xml:space="preserve">en el tiempo conforme a su </w:t>
      </w:r>
      <w:r w:rsidR="00F473C2" w:rsidRPr="007748D3">
        <w:rPr>
          <w:rFonts w:ascii="Times New Roman" w:eastAsia="Times New Roman" w:hAnsi="Times New Roman" w:cs="Times New Roman"/>
          <w:sz w:val="23"/>
          <w:szCs w:val="23"/>
          <w:lang w:val="es-ES"/>
        </w:rPr>
        <w:t xml:space="preserve">objetivo territorial (en </w:t>
      </w:r>
      <w:r w:rsidR="009A4585" w:rsidRPr="007748D3">
        <w:rPr>
          <w:rFonts w:ascii="Times New Roman" w:eastAsia="Times New Roman" w:hAnsi="Times New Roman" w:cs="Times New Roman"/>
          <w:sz w:val="23"/>
          <w:szCs w:val="23"/>
          <w:lang w:val="es-ES"/>
        </w:rPr>
        <w:t xml:space="preserve">vías de </w:t>
      </w:r>
      <w:r w:rsidR="00F473C2" w:rsidRPr="007748D3">
        <w:rPr>
          <w:rFonts w:ascii="Times New Roman" w:eastAsia="Times New Roman" w:hAnsi="Times New Roman" w:cs="Times New Roman"/>
          <w:sz w:val="23"/>
          <w:szCs w:val="23"/>
          <w:lang w:val="es-ES"/>
        </w:rPr>
        <w:t>desarrollo o desarrollado)</w:t>
      </w:r>
      <w:r w:rsidRPr="007748D3">
        <w:rPr>
          <w:rFonts w:ascii="Times New Roman" w:eastAsia="Times New Roman" w:hAnsi="Times New Roman" w:cs="Times New Roman"/>
          <w:sz w:val="23"/>
          <w:szCs w:val="23"/>
          <w:lang w:val="es-ES"/>
        </w:rPr>
        <w:t>.</w:t>
      </w:r>
    </w:p>
    <w:p w:rsidR="00F473C2" w:rsidRPr="007748D3" w:rsidRDefault="008D0B33" w:rsidP="00EF7E14">
      <w:pPr>
        <w:pStyle w:val="ListParagraph"/>
        <w:widowControl w:val="0"/>
        <w:numPr>
          <w:ilvl w:val="0"/>
          <w:numId w:val="8"/>
        </w:numPr>
        <w:spacing w:line="255" w:lineRule="auto"/>
        <w:ind w:right="306"/>
        <w:jc w:val="both"/>
        <w:rPr>
          <w:rFonts w:ascii="Times New Roman" w:eastAsia="Times New Roman" w:hAnsi="Times New Roman" w:cs="Times New Roman"/>
          <w:sz w:val="23"/>
          <w:szCs w:val="23"/>
          <w:lang w:val="es-ES"/>
        </w:rPr>
      </w:pPr>
      <w:r w:rsidRPr="007748D3">
        <w:rPr>
          <w:rFonts w:ascii="Times New Roman" w:eastAsia="Times New Roman" w:hAnsi="Times New Roman" w:cs="Times New Roman"/>
          <w:sz w:val="23"/>
          <w:szCs w:val="23"/>
          <w:lang w:val="es-ES"/>
        </w:rPr>
        <w:t>Continuidad y vínculo del evento para su implementación</w:t>
      </w:r>
      <w:r w:rsidR="00F473C2" w:rsidRPr="007748D3">
        <w:rPr>
          <w:rFonts w:ascii="Times New Roman" w:eastAsia="Times New Roman" w:hAnsi="Times New Roman" w:cs="Times New Roman"/>
          <w:sz w:val="23"/>
          <w:szCs w:val="23"/>
          <w:lang w:val="es-ES"/>
        </w:rPr>
        <w:t xml:space="preserve"> a largo plazo.</w:t>
      </w:r>
    </w:p>
    <w:p w:rsidR="00EF7E14" w:rsidRPr="007748D3" w:rsidRDefault="00EF7E14" w:rsidP="00EF7E14">
      <w:pPr>
        <w:spacing w:before="4" w:line="260" w:lineRule="exact"/>
        <w:jc w:val="both"/>
        <w:rPr>
          <w:rFonts w:ascii="Times New Roman" w:hAnsi="Times New Roman" w:cs="Times New Roman"/>
          <w:sz w:val="23"/>
          <w:szCs w:val="23"/>
        </w:rPr>
      </w:pPr>
    </w:p>
    <w:p w:rsidR="007748D3" w:rsidRDefault="008D0B33" w:rsidP="00EF7E14">
      <w:pPr>
        <w:spacing w:line="258" w:lineRule="auto"/>
        <w:ind w:right="295"/>
        <w:jc w:val="both"/>
        <w:rPr>
          <w:rFonts w:ascii="Times New Roman" w:eastAsia="Times New Roman" w:hAnsi="Times New Roman" w:cs="Times New Roman"/>
          <w:color w:val="000000"/>
          <w:sz w:val="23"/>
          <w:szCs w:val="23"/>
          <w:bdr w:val="none" w:sz="0" w:space="0" w:color="auto" w:frame="1"/>
          <w:shd w:val="clear" w:color="auto" w:fill="FFFFFF"/>
        </w:rPr>
      </w:pPr>
      <w:r w:rsidRPr="007748D3">
        <w:rPr>
          <w:rFonts w:ascii="Times New Roman" w:eastAsia="Times New Roman" w:hAnsi="Times New Roman" w:cs="Times New Roman"/>
          <w:color w:val="000000"/>
          <w:sz w:val="23"/>
          <w:szCs w:val="23"/>
          <w:bdr w:val="none" w:sz="0" w:space="0" w:color="auto" w:frame="1"/>
          <w:shd w:val="clear" w:color="auto" w:fill="FFFFFF"/>
        </w:rPr>
        <w:t>Estas recomendaciones de</w:t>
      </w:r>
      <w:r w:rsidR="00F473C2" w:rsidRPr="007748D3">
        <w:rPr>
          <w:rFonts w:ascii="Times New Roman" w:eastAsia="Times New Roman" w:hAnsi="Times New Roman" w:cs="Times New Roman"/>
          <w:color w:val="000000"/>
          <w:sz w:val="23"/>
          <w:szCs w:val="23"/>
          <w:bdr w:val="none" w:sz="0" w:space="0" w:color="auto" w:frame="1"/>
          <w:shd w:val="clear" w:color="auto" w:fill="FFFFFF"/>
        </w:rPr>
        <w:t xml:space="preserve"> indicadores</w:t>
      </w:r>
      <w:r w:rsidRPr="007748D3">
        <w:rPr>
          <w:rFonts w:ascii="Times New Roman" w:eastAsia="Times New Roman" w:hAnsi="Times New Roman" w:cs="Times New Roman"/>
          <w:color w:val="000000"/>
          <w:sz w:val="23"/>
          <w:szCs w:val="23"/>
          <w:bdr w:val="none" w:sz="0" w:space="0" w:color="auto" w:frame="1"/>
          <w:shd w:val="clear" w:color="auto" w:fill="FFFFFF"/>
        </w:rPr>
        <w:t xml:space="preserve"> se realizan con la finalidad de que </w:t>
      </w:r>
      <w:r w:rsidR="00F473C2" w:rsidRPr="007748D3">
        <w:rPr>
          <w:rFonts w:ascii="Times New Roman" w:eastAsia="Times New Roman" w:hAnsi="Times New Roman" w:cs="Times New Roman"/>
          <w:color w:val="000000"/>
          <w:sz w:val="23"/>
          <w:szCs w:val="23"/>
          <w:bdr w:val="none" w:sz="0" w:space="0" w:color="auto" w:frame="1"/>
          <w:shd w:val="clear" w:color="auto" w:fill="FFFFFF"/>
        </w:rPr>
        <w:t>las actividades se</w:t>
      </w:r>
      <w:r w:rsidRPr="007748D3">
        <w:rPr>
          <w:rFonts w:ascii="Times New Roman" w:eastAsia="Times New Roman" w:hAnsi="Times New Roman" w:cs="Times New Roman"/>
          <w:color w:val="000000"/>
          <w:sz w:val="23"/>
          <w:szCs w:val="23"/>
          <w:bdr w:val="none" w:sz="0" w:space="0" w:color="auto" w:frame="1"/>
          <w:shd w:val="clear" w:color="auto" w:fill="FFFFFF"/>
        </w:rPr>
        <w:t xml:space="preserve"> </w:t>
      </w:r>
      <w:r w:rsidR="00F473C2" w:rsidRPr="007748D3">
        <w:rPr>
          <w:rFonts w:ascii="Times New Roman" w:eastAsia="Times New Roman" w:hAnsi="Times New Roman" w:cs="Times New Roman"/>
          <w:color w:val="000000"/>
          <w:sz w:val="23"/>
          <w:szCs w:val="23"/>
          <w:bdr w:val="none" w:sz="0" w:space="0" w:color="auto" w:frame="1"/>
          <w:shd w:val="clear" w:color="auto" w:fill="FFFFFF"/>
        </w:rPr>
        <w:t>a</w:t>
      </w:r>
      <w:r w:rsidRPr="007748D3">
        <w:rPr>
          <w:rFonts w:ascii="Times New Roman" w:eastAsia="Times New Roman" w:hAnsi="Times New Roman" w:cs="Times New Roman"/>
          <w:color w:val="000000"/>
          <w:sz w:val="23"/>
          <w:szCs w:val="23"/>
          <w:bdr w:val="none" w:sz="0" w:space="0" w:color="auto" w:frame="1"/>
          <w:shd w:val="clear" w:color="auto" w:fill="FFFFFF"/>
        </w:rPr>
        <w:t>cople</w:t>
      </w:r>
      <w:r w:rsidR="00F473C2" w:rsidRPr="007748D3">
        <w:rPr>
          <w:rFonts w:ascii="Times New Roman" w:eastAsia="Times New Roman" w:hAnsi="Times New Roman" w:cs="Times New Roman"/>
          <w:color w:val="000000"/>
          <w:sz w:val="23"/>
          <w:szCs w:val="23"/>
          <w:bdr w:val="none" w:sz="0" w:space="0" w:color="auto" w:frame="1"/>
          <w:shd w:val="clear" w:color="auto" w:fill="FFFFFF"/>
        </w:rPr>
        <w:t xml:space="preserve">n </w:t>
      </w:r>
      <w:r w:rsidRPr="007748D3">
        <w:rPr>
          <w:rFonts w:ascii="Times New Roman" w:eastAsia="Times New Roman" w:hAnsi="Times New Roman" w:cs="Times New Roman"/>
          <w:color w:val="000000"/>
          <w:sz w:val="23"/>
          <w:szCs w:val="23"/>
          <w:bdr w:val="none" w:sz="0" w:space="0" w:color="auto" w:frame="1"/>
          <w:shd w:val="clear" w:color="auto" w:fill="FFFFFF"/>
        </w:rPr>
        <w:t>a la realidad de los</w:t>
      </w:r>
      <w:r w:rsidR="00F473C2" w:rsidRPr="007748D3">
        <w:rPr>
          <w:rFonts w:ascii="Times New Roman" w:eastAsia="Times New Roman" w:hAnsi="Times New Roman" w:cs="Times New Roman"/>
          <w:color w:val="000000"/>
          <w:sz w:val="23"/>
          <w:szCs w:val="23"/>
          <w:bdr w:val="none" w:sz="0" w:space="0" w:color="auto" w:frame="1"/>
          <w:shd w:val="clear" w:color="auto" w:fill="FFFFFF"/>
        </w:rPr>
        <w:t xml:space="preserve"> países</w:t>
      </w:r>
      <w:r w:rsidRPr="007748D3">
        <w:rPr>
          <w:rFonts w:ascii="Times New Roman" w:eastAsia="Times New Roman" w:hAnsi="Times New Roman" w:cs="Times New Roman"/>
          <w:color w:val="000000"/>
          <w:sz w:val="23"/>
          <w:szCs w:val="23"/>
          <w:bdr w:val="none" w:sz="0" w:space="0" w:color="auto" w:frame="1"/>
          <w:shd w:val="clear" w:color="auto" w:fill="FFFFFF"/>
        </w:rPr>
        <w:t xml:space="preserve"> así como puedan impulsar positivamente el crecimiento del servicio de tran</w:t>
      </w:r>
      <w:r w:rsidR="00F473C2" w:rsidRPr="007748D3">
        <w:rPr>
          <w:rFonts w:ascii="Times New Roman" w:eastAsia="Times New Roman" w:hAnsi="Times New Roman" w:cs="Times New Roman"/>
          <w:color w:val="000000"/>
          <w:sz w:val="23"/>
          <w:szCs w:val="23"/>
          <w:bdr w:val="none" w:sz="0" w:space="0" w:color="auto" w:frame="1"/>
          <w:shd w:val="clear" w:color="auto" w:fill="FFFFFF"/>
        </w:rPr>
        <w:t>sferencia de tecnología.</w:t>
      </w:r>
    </w:p>
    <w:p w:rsidR="00EF7E14" w:rsidRPr="007748D3" w:rsidRDefault="00EF7E14" w:rsidP="00EF7E14">
      <w:pPr>
        <w:spacing w:before="8" w:line="240" w:lineRule="exact"/>
        <w:jc w:val="both"/>
        <w:rPr>
          <w:rFonts w:ascii="Times New Roman" w:hAnsi="Times New Roman" w:cs="Times New Roman"/>
          <w:sz w:val="23"/>
          <w:szCs w:val="23"/>
        </w:rPr>
      </w:pPr>
    </w:p>
    <w:p w:rsidR="00F473C2" w:rsidRPr="007748D3" w:rsidRDefault="00F473C2" w:rsidP="00EF7E14">
      <w:pPr>
        <w:spacing w:line="258" w:lineRule="auto"/>
        <w:ind w:right="297"/>
        <w:jc w:val="both"/>
        <w:rPr>
          <w:rFonts w:ascii="Times New Roman" w:eastAsia="Times New Roman" w:hAnsi="Times New Roman" w:cs="Times New Roman"/>
          <w:color w:val="000000"/>
          <w:sz w:val="23"/>
          <w:szCs w:val="23"/>
        </w:rPr>
      </w:pPr>
      <w:r w:rsidRPr="007748D3">
        <w:rPr>
          <w:rFonts w:ascii="Times New Roman" w:eastAsia="Times New Roman" w:hAnsi="Times New Roman" w:cs="Times New Roman"/>
          <w:color w:val="000000"/>
          <w:sz w:val="23"/>
          <w:szCs w:val="23"/>
        </w:rPr>
        <w:t xml:space="preserve">La Misión Permanente de Ecuador ante la Organización Mundial del Comercio y otras organizaciones económicas en Ginebra </w:t>
      </w:r>
      <w:r w:rsidR="008D0B33" w:rsidRPr="007748D3">
        <w:rPr>
          <w:rFonts w:ascii="Times New Roman" w:eastAsia="Times New Roman" w:hAnsi="Times New Roman" w:cs="Times New Roman"/>
          <w:color w:val="000000"/>
          <w:sz w:val="23"/>
          <w:szCs w:val="23"/>
        </w:rPr>
        <w:t>hace propicia la ocasión para reiterar a la Organización Mundial de la Propiedad Intelectual las seguridades de su</w:t>
      </w:r>
      <w:r w:rsidRPr="007748D3">
        <w:rPr>
          <w:rFonts w:ascii="Times New Roman" w:hAnsi="Times New Roman" w:cs="Times New Roman"/>
          <w:color w:val="000000"/>
          <w:sz w:val="23"/>
          <w:szCs w:val="23"/>
        </w:rPr>
        <w:t xml:space="preserve"> consideración.</w:t>
      </w:r>
    </w:p>
    <w:p w:rsidR="00EF7E14" w:rsidRPr="007748D3" w:rsidRDefault="00EF7E14" w:rsidP="00EF7E14">
      <w:pPr>
        <w:spacing w:line="200" w:lineRule="exact"/>
        <w:rPr>
          <w:rFonts w:ascii="Times New Roman" w:hAnsi="Times New Roman" w:cs="Times New Roman"/>
          <w:sz w:val="23"/>
          <w:szCs w:val="23"/>
        </w:rPr>
      </w:pPr>
    </w:p>
    <w:p w:rsidR="00EF7E14" w:rsidRPr="007748D3" w:rsidRDefault="009A4585" w:rsidP="00EF7E14">
      <w:pPr>
        <w:ind w:right="332"/>
        <w:jc w:val="right"/>
        <w:rPr>
          <w:rFonts w:ascii="Times New Roman" w:eastAsia="Times New Roman" w:hAnsi="Times New Roman" w:cs="Times New Roman"/>
          <w:sz w:val="23"/>
          <w:szCs w:val="23"/>
        </w:rPr>
      </w:pPr>
      <w:r w:rsidRPr="007748D3">
        <w:rPr>
          <w:rFonts w:ascii="Times New Roman" w:hAnsi="Times New Roman" w:cs="Times New Roman"/>
          <w:noProof/>
          <w:sz w:val="16"/>
          <w:szCs w:val="16"/>
          <w:lang w:val="en-US" w:eastAsia="en-US"/>
        </w:rPr>
        <w:drawing>
          <wp:anchor distT="0" distB="0" distL="114300" distR="114300" simplePos="0" relativeHeight="251659264" behindDoc="1" locked="0" layoutInCell="1" allowOverlap="1" wp14:anchorId="2E4DAAC3" wp14:editId="749CBF2C">
            <wp:simplePos x="0" y="0"/>
            <wp:positionH relativeFrom="page">
              <wp:posOffset>5314950</wp:posOffset>
            </wp:positionH>
            <wp:positionV relativeFrom="paragraph">
              <wp:posOffset>94146</wp:posOffset>
            </wp:positionV>
            <wp:extent cx="1594485" cy="1426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4485" cy="1426210"/>
                    </a:xfrm>
                    <a:prstGeom prst="rect">
                      <a:avLst/>
                    </a:prstGeom>
                    <a:noFill/>
                  </pic:spPr>
                </pic:pic>
              </a:graphicData>
            </a:graphic>
            <wp14:sizeRelH relativeFrom="page">
              <wp14:pctWidth>0</wp14:pctWidth>
            </wp14:sizeRelH>
            <wp14:sizeRelV relativeFrom="page">
              <wp14:pctHeight>0</wp14:pctHeight>
            </wp14:sizeRelV>
          </wp:anchor>
        </w:drawing>
      </w:r>
      <w:r w:rsidR="004B100C" w:rsidRPr="007748D3">
        <w:rPr>
          <w:rFonts w:ascii="Times New Roman" w:eastAsia="Times New Roman" w:hAnsi="Times New Roman" w:cs="Times New Roman"/>
          <w:color w:val="313131"/>
          <w:sz w:val="23"/>
          <w:szCs w:val="23"/>
        </w:rPr>
        <w:t>Ginebra</w:t>
      </w:r>
      <w:r w:rsidR="00EF7E14" w:rsidRPr="007748D3">
        <w:rPr>
          <w:rFonts w:ascii="Times New Roman" w:eastAsia="Times New Roman" w:hAnsi="Times New Roman" w:cs="Times New Roman"/>
          <w:color w:val="313131"/>
          <w:sz w:val="23"/>
          <w:szCs w:val="23"/>
        </w:rPr>
        <w:t xml:space="preserve">, </w:t>
      </w:r>
      <w:r w:rsidR="00EF7E14" w:rsidRPr="007748D3">
        <w:rPr>
          <w:rFonts w:ascii="Times New Roman" w:eastAsia="Times New Roman" w:hAnsi="Times New Roman" w:cs="Times New Roman"/>
          <w:color w:val="313131"/>
          <w:spacing w:val="3"/>
          <w:sz w:val="23"/>
          <w:szCs w:val="23"/>
        </w:rPr>
        <w:t>5</w:t>
      </w:r>
      <w:r w:rsidR="00EF7E14" w:rsidRPr="007748D3">
        <w:rPr>
          <w:rFonts w:ascii="Times New Roman" w:eastAsia="Times New Roman" w:hAnsi="Times New Roman" w:cs="Times New Roman"/>
          <w:color w:val="313131"/>
          <w:spacing w:val="11"/>
          <w:sz w:val="23"/>
          <w:szCs w:val="23"/>
        </w:rPr>
        <w:t xml:space="preserve"> </w:t>
      </w:r>
      <w:r w:rsidR="004B100C" w:rsidRPr="007748D3">
        <w:rPr>
          <w:rFonts w:ascii="Times New Roman" w:eastAsia="Times New Roman" w:hAnsi="Times New Roman" w:cs="Times New Roman"/>
          <w:color w:val="313131"/>
          <w:sz w:val="23"/>
          <w:szCs w:val="23"/>
        </w:rPr>
        <w:t>de septiembre de</w:t>
      </w:r>
      <w:r w:rsidR="00EF7E14" w:rsidRPr="007748D3">
        <w:rPr>
          <w:rFonts w:ascii="Times New Roman" w:eastAsia="Times New Roman" w:hAnsi="Times New Roman" w:cs="Times New Roman"/>
          <w:color w:val="313131"/>
          <w:spacing w:val="16"/>
          <w:sz w:val="23"/>
          <w:szCs w:val="23"/>
        </w:rPr>
        <w:t xml:space="preserve"> </w:t>
      </w:r>
      <w:r w:rsidR="00EF7E14" w:rsidRPr="007748D3">
        <w:rPr>
          <w:rFonts w:ascii="Times New Roman" w:eastAsia="Times New Roman" w:hAnsi="Times New Roman" w:cs="Times New Roman"/>
          <w:color w:val="313131"/>
          <w:w w:val="106"/>
          <w:sz w:val="23"/>
          <w:szCs w:val="23"/>
        </w:rPr>
        <w:t>2018</w:t>
      </w:r>
    </w:p>
    <w:p w:rsidR="00EF7E14" w:rsidRPr="007748D3" w:rsidRDefault="00EF7E14" w:rsidP="00EF7E14">
      <w:pPr>
        <w:rPr>
          <w:rFonts w:ascii="Times New Roman" w:hAnsi="Times New Roman" w:cs="Times New Roman"/>
          <w:sz w:val="16"/>
          <w:szCs w:val="16"/>
        </w:rPr>
      </w:pPr>
    </w:p>
    <w:p w:rsidR="009A4585" w:rsidRPr="007748D3" w:rsidRDefault="009A4585" w:rsidP="00EF7E14">
      <w:pPr>
        <w:rPr>
          <w:rFonts w:ascii="Times New Roman" w:hAnsi="Times New Roman" w:cs="Times New Roman"/>
          <w:sz w:val="16"/>
          <w:szCs w:val="16"/>
        </w:rPr>
      </w:pPr>
    </w:p>
    <w:p w:rsidR="00EF7E14" w:rsidRPr="007748D3" w:rsidRDefault="00566022" w:rsidP="00EF7E14">
      <w:pPr>
        <w:rPr>
          <w:rFonts w:ascii="Times New Roman" w:hAnsi="Times New Roman" w:cs="Times New Roman"/>
          <w:b/>
          <w:sz w:val="24"/>
          <w:szCs w:val="24"/>
        </w:rPr>
      </w:pPr>
      <w:r w:rsidRPr="007748D3">
        <w:rPr>
          <w:rFonts w:ascii="Times New Roman" w:hAnsi="Times New Roman" w:cs="Times New Roman"/>
          <w:b/>
          <w:sz w:val="24"/>
          <w:szCs w:val="24"/>
        </w:rPr>
        <w:t>A la</w:t>
      </w:r>
      <w:r w:rsidR="00EF7E14" w:rsidRPr="007748D3">
        <w:rPr>
          <w:rFonts w:ascii="Times New Roman" w:hAnsi="Times New Roman" w:cs="Times New Roman"/>
          <w:b/>
          <w:sz w:val="24"/>
          <w:szCs w:val="24"/>
        </w:rPr>
        <w:br/>
      </w:r>
      <w:r w:rsidRPr="007748D3">
        <w:rPr>
          <w:rFonts w:ascii="Times New Roman" w:eastAsia="Times New Roman" w:hAnsi="Times New Roman" w:cs="Times New Roman"/>
          <w:b/>
          <w:color w:val="000000"/>
          <w:sz w:val="24"/>
          <w:szCs w:val="24"/>
          <w:bdr w:val="none" w:sz="0" w:space="0" w:color="auto" w:frame="1"/>
          <w:shd w:val="clear" w:color="auto" w:fill="FFFFFF"/>
        </w:rPr>
        <w:t>ORGANIZACIÓN MUNDIAL DE LA PROPIEDAD INTELECTUAL</w:t>
      </w:r>
      <w:r w:rsidR="00EF7E14" w:rsidRPr="007748D3">
        <w:rPr>
          <w:rFonts w:ascii="Times New Roman" w:hAnsi="Times New Roman" w:cs="Times New Roman"/>
          <w:b/>
          <w:sz w:val="24"/>
          <w:szCs w:val="24"/>
        </w:rPr>
        <w:br/>
      </w:r>
      <w:r w:rsidRPr="007748D3">
        <w:rPr>
          <w:rFonts w:ascii="Times New Roman" w:eastAsia="Times New Roman" w:hAnsi="Times New Roman" w:cs="Times New Roman"/>
          <w:b/>
          <w:color w:val="000000"/>
          <w:sz w:val="24"/>
          <w:szCs w:val="24"/>
          <w:bdr w:val="none" w:sz="0" w:space="0" w:color="auto" w:frame="1"/>
          <w:shd w:val="clear" w:color="auto" w:fill="FFFFFF"/>
        </w:rPr>
        <w:t xml:space="preserve">Sector de </w:t>
      </w:r>
      <w:r w:rsidR="00EF7E14" w:rsidRPr="007748D3">
        <w:rPr>
          <w:rFonts w:ascii="Times New Roman" w:eastAsia="Times New Roman" w:hAnsi="Times New Roman" w:cs="Times New Roman"/>
          <w:b/>
          <w:color w:val="000000"/>
          <w:sz w:val="24"/>
          <w:szCs w:val="24"/>
          <w:bdr w:val="none" w:sz="0" w:space="0" w:color="auto" w:frame="1"/>
          <w:shd w:val="clear" w:color="auto" w:fill="FFFFFF"/>
        </w:rPr>
        <w:t>De</w:t>
      </w:r>
      <w:r w:rsidRPr="007748D3">
        <w:rPr>
          <w:rFonts w:ascii="Times New Roman" w:eastAsia="Times New Roman" w:hAnsi="Times New Roman" w:cs="Times New Roman"/>
          <w:b/>
          <w:color w:val="000000"/>
          <w:sz w:val="24"/>
          <w:szCs w:val="24"/>
          <w:bdr w:val="none" w:sz="0" w:space="0" w:color="auto" w:frame="1"/>
          <w:shd w:val="clear" w:color="auto" w:fill="FFFFFF"/>
        </w:rPr>
        <w:t>sarrollo</w:t>
      </w:r>
      <w:r w:rsidRPr="007748D3">
        <w:rPr>
          <w:rFonts w:ascii="Times New Roman" w:hAnsi="Times New Roman" w:cs="Times New Roman"/>
          <w:b/>
          <w:sz w:val="24"/>
          <w:szCs w:val="24"/>
        </w:rPr>
        <w:br/>
        <w:t>Ginebr</w:t>
      </w:r>
      <w:r w:rsidR="00EF7E14" w:rsidRPr="007748D3">
        <w:rPr>
          <w:rFonts w:ascii="Times New Roman" w:hAnsi="Times New Roman" w:cs="Times New Roman"/>
          <w:b/>
          <w:sz w:val="24"/>
          <w:szCs w:val="24"/>
        </w:rPr>
        <w:t>a</w:t>
      </w:r>
    </w:p>
    <w:p w:rsidR="00EF7E14" w:rsidRPr="007748D3" w:rsidRDefault="00EF7E14" w:rsidP="00EF7E14">
      <w:pPr>
        <w:spacing w:line="254" w:lineRule="auto"/>
        <w:ind w:right="332"/>
        <w:rPr>
          <w:rFonts w:eastAsia="Arial"/>
          <w:color w:val="313131"/>
          <w:sz w:val="16"/>
          <w:szCs w:val="16"/>
        </w:rPr>
      </w:pPr>
    </w:p>
    <w:p w:rsidR="007748D3" w:rsidRPr="00BB205A" w:rsidRDefault="00EF7E14" w:rsidP="00EF7E14">
      <w:pPr>
        <w:spacing w:line="254" w:lineRule="auto"/>
        <w:ind w:right="332"/>
        <w:rPr>
          <w:rFonts w:eastAsia="Arial"/>
          <w:color w:val="313131"/>
          <w:w w:val="108"/>
          <w:sz w:val="16"/>
          <w:szCs w:val="16"/>
          <w:lang w:val="fr-CH"/>
        </w:rPr>
      </w:pPr>
      <w:r w:rsidRPr="00BB205A">
        <w:rPr>
          <w:rFonts w:eastAsia="Arial"/>
          <w:color w:val="313131"/>
          <w:sz w:val="16"/>
          <w:szCs w:val="16"/>
          <w:lang w:val="fr-CH"/>
        </w:rPr>
        <w:t>15</w:t>
      </w:r>
      <w:r w:rsidRPr="00BB205A">
        <w:rPr>
          <w:rFonts w:eastAsia="Arial"/>
          <w:color w:val="313131"/>
          <w:spacing w:val="17"/>
          <w:sz w:val="16"/>
          <w:szCs w:val="16"/>
          <w:lang w:val="fr-CH"/>
        </w:rPr>
        <w:t xml:space="preserve"> </w:t>
      </w:r>
      <w:r w:rsidRPr="00BB205A">
        <w:rPr>
          <w:rFonts w:eastAsia="Arial"/>
          <w:color w:val="313131"/>
          <w:sz w:val="16"/>
          <w:szCs w:val="16"/>
          <w:lang w:val="fr-CH"/>
        </w:rPr>
        <w:t xml:space="preserve">Av. </w:t>
      </w:r>
      <w:r w:rsidRPr="00BB205A">
        <w:rPr>
          <w:rFonts w:eastAsia="Arial"/>
          <w:color w:val="313131"/>
          <w:spacing w:val="7"/>
          <w:sz w:val="16"/>
          <w:szCs w:val="16"/>
          <w:lang w:val="fr-CH"/>
        </w:rPr>
        <w:t>de</w:t>
      </w:r>
      <w:r w:rsidRPr="00BB205A">
        <w:rPr>
          <w:rFonts w:eastAsia="Arial"/>
          <w:color w:val="313131"/>
          <w:spacing w:val="9"/>
          <w:sz w:val="16"/>
          <w:szCs w:val="16"/>
          <w:lang w:val="fr-CH"/>
        </w:rPr>
        <w:t xml:space="preserve"> </w:t>
      </w:r>
      <w:r w:rsidR="007748D3" w:rsidRPr="00BB205A">
        <w:rPr>
          <w:rFonts w:eastAsia="Arial"/>
          <w:color w:val="313131"/>
          <w:sz w:val="16"/>
          <w:szCs w:val="16"/>
          <w:lang w:val="fr-CH"/>
        </w:rPr>
        <w:t>Sécheront</w:t>
      </w:r>
      <w:r w:rsidRPr="00BB205A">
        <w:rPr>
          <w:rFonts w:eastAsia="Arial"/>
          <w:color w:val="313131"/>
          <w:sz w:val="16"/>
          <w:szCs w:val="16"/>
          <w:lang w:val="fr-CH"/>
        </w:rPr>
        <w:t>,</w:t>
      </w:r>
      <w:r w:rsidRPr="00BB205A">
        <w:rPr>
          <w:rFonts w:eastAsia="Arial"/>
          <w:color w:val="313131"/>
          <w:spacing w:val="24"/>
          <w:sz w:val="16"/>
          <w:szCs w:val="16"/>
          <w:lang w:val="fr-CH"/>
        </w:rPr>
        <w:t xml:space="preserve"> </w:t>
      </w:r>
      <w:r w:rsidRPr="00BB205A">
        <w:rPr>
          <w:rFonts w:eastAsia="Arial"/>
          <w:color w:val="313131"/>
          <w:sz w:val="16"/>
          <w:szCs w:val="16"/>
          <w:lang w:val="fr-CH"/>
        </w:rPr>
        <w:t>1202</w:t>
      </w:r>
      <w:r w:rsidRPr="00BB205A">
        <w:rPr>
          <w:rFonts w:eastAsia="Arial"/>
          <w:color w:val="313131"/>
          <w:spacing w:val="15"/>
          <w:sz w:val="16"/>
          <w:szCs w:val="16"/>
          <w:lang w:val="fr-CH"/>
        </w:rPr>
        <w:t xml:space="preserve"> </w:t>
      </w:r>
      <w:r w:rsidR="00566022" w:rsidRPr="00BB205A">
        <w:rPr>
          <w:rFonts w:eastAsia="Arial"/>
          <w:color w:val="313131"/>
          <w:sz w:val="16"/>
          <w:szCs w:val="16"/>
          <w:lang w:val="fr-CH"/>
        </w:rPr>
        <w:t>Ginebra</w:t>
      </w:r>
      <w:r w:rsidRPr="00BB205A">
        <w:rPr>
          <w:rFonts w:eastAsia="Arial"/>
          <w:color w:val="313131"/>
          <w:sz w:val="16"/>
          <w:szCs w:val="16"/>
          <w:lang w:val="fr-CH"/>
        </w:rPr>
        <w:t>.</w:t>
      </w:r>
      <w:r w:rsidRPr="00BB205A">
        <w:rPr>
          <w:rFonts w:eastAsia="Arial"/>
          <w:color w:val="313131"/>
          <w:spacing w:val="25"/>
          <w:sz w:val="16"/>
          <w:szCs w:val="16"/>
          <w:lang w:val="fr-CH"/>
        </w:rPr>
        <w:t xml:space="preserve"> </w:t>
      </w:r>
      <w:r w:rsidR="00566022" w:rsidRPr="00BB205A">
        <w:rPr>
          <w:rFonts w:eastAsia="Arial"/>
          <w:color w:val="313131"/>
          <w:sz w:val="16"/>
          <w:szCs w:val="16"/>
          <w:lang w:val="fr-CH"/>
        </w:rPr>
        <w:t>Teléfono</w:t>
      </w:r>
      <w:r w:rsidRPr="00BB205A">
        <w:rPr>
          <w:rFonts w:eastAsia="Arial"/>
          <w:color w:val="313131"/>
          <w:spacing w:val="21"/>
          <w:sz w:val="16"/>
          <w:szCs w:val="16"/>
          <w:lang w:val="fr-CH"/>
        </w:rPr>
        <w:t xml:space="preserve"> </w:t>
      </w:r>
      <w:r w:rsidRPr="00BB205A">
        <w:rPr>
          <w:rFonts w:eastAsia="Arial"/>
          <w:color w:val="313131"/>
          <w:sz w:val="16"/>
          <w:szCs w:val="16"/>
          <w:lang w:val="fr-CH"/>
        </w:rPr>
        <w:t>+41</w:t>
      </w:r>
      <w:r w:rsidRPr="00BB205A">
        <w:rPr>
          <w:rFonts w:eastAsia="Arial"/>
          <w:color w:val="313131"/>
          <w:spacing w:val="2"/>
          <w:sz w:val="16"/>
          <w:szCs w:val="16"/>
          <w:lang w:val="fr-CH"/>
        </w:rPr>
        <w:t xml:space="preserve"> </w:t>
      </w:r>
      <w:r w:rsidRPr="00BB205A">
        <w:rPr>
          <w:rFonts w:eastAsia="Arial"/>
          <w:color w:val="313131"/>
          <w:sz w:val="16"/>
          <w:szCs w:val="16"/>
          <w:lang w:val="fr-CH"/>
        </w:rPr>
        <w:t>(022)</w:t>
      </w:r>
      <w:r w:rsidRPr="00BB205A">
        <w:rPr>
          <w:rFonts w:eastAsia="Arial"/>
          <w:color w:val="313131"/>
          <w:spacing w:val="25"/>
          <w:sz w:val="16"/>
          <w:szCs w:val="16"/>
          <w:lang w:val="fr-CH"/>
        </w:rPr>
        <w:t xml:space="preserve"> </w:t>
      </w:r>
      <w:r w:rsidRPr="00BB205A">
        <w:rPr>
          <w:rFonts w:eastAsia="Arial"/>
          <w:color w:val="313131"/>
          <w:w w:val="105"/>
          <w:sz w:val="16"/>
          <w:szCs w:val="16"/>
          <w:lang w:val="fr-CH"/>
        </w:rPr>
        <w:t>73</w:t>
      </w:r>
      <w:r w:rsidRPr="00BB205A">
        <w:rPr>
          <w:rFonts w:eastAsia="Arial"/>
          <w:color w:val="313131"/>
          <w:spacing w:val="-7"/>
          <w:w w:val="105"/>
          <w:sz w:val="16"/>
          <w:szCs w:val="16"/>
          <w:lang w:val="fr-CH"/>
        </w:rPr>
        <w:t>1</w:t>
      </w:r>
      <w:r w:rsidRPr="00BB205A">
        <w:rPr>
          <w:rFonts w:eastAsia="Arial"/>
          <w:color w:val="828282"/>
          <w:w w:val="110"/>
          <w:sz w:val="16"/>
          <w:szCs w:val="16"/>
          <w:lang w:val="fr-CH"/>
        </w:rPr>
        <w:t>.</w:t>
      </w:r>
      <w:r w:rsidRPr="00BB205A">
        <w:rPr>
          <w:rFonts w:eastAsia="Arial"/>
          <w:color w:val="313131"/>
          <w:w w:val="103"/>
          <w:sz w:val="16"/>
          <w:szCs w:val="16"/>
          <w:lang w:val="fr-CH"/>
        </w:rPr>
        <w:t>82.5</w:t>
      </w:r>
      <w:r w:rsidRPr="00BB205A">
        <w:rPr>
          <w:rFonts w:eastAsia="Arial"/>
          <w:color w:val="313131"/>
          <w:spacing w:val="-12"/>
          <w:w w:val="104"/>
          <w:sz w:val="16"/>
          <w:szCs w:val="16"/>
          <w:lang w:val="fr-CH"/>
        </w:rPr>
        <w:t>1</w:t>
      </w:r>
      <w:r w:rsidRPr="00BB205A">
        <w:rPr>
          <w:rFonts w:eastAsia="Arial"/>
          <w:color w:val="A5A5A5"/>
          <w:spacing w:val="8"/>
          <w:w w:val="221"/>
          <w:sz w:val="16"/>
          <w:szCs w:val="16"/>
          <w:lang w:val="fr-CH"/>
        </w:rPr>
        <w:t>.</w:t>
      </w:r>
      <w:r w:rsidRPr="00BB205A">
        <w:rPr>
          <w:rFonts w:eastAsia="Arial"/>
          <w:color w:val="313131"/>
          <w:sz w:val="16"/>
          <w:szCs w:val="16"/>
          <w:lang w:val="fr-CH"/>
        </w:rPr>
        <w:t>Fa</w:t>
      </w:r>
      <w:r w:rsidRPr="00BB205A">
        <w:rPr>
          <w:rFonts w:eastAsia="Arial"/>
          <w:color w:val="313131"/>
          <w:w w:val="101"/>
          <w:sz w:val="16"/>
          <w:szCs w:val="16"/>
          <w:lang w:val="fr-CH"/>
        </w:rPr>
        <w:t>x</w:t>
      </w:r>
      <w:r w:rsidRPr="00BB205A">
        <w:rPr>
          <w:rFonts w:eastAsia="Arial"/>
          <w:color w:val="313131"/>
          <w:spacing w:val="9"/>
          <w:sz w:val="16"/>
          <w:szCs w:val="16"/>
          <w:lang w:val="fr-CH"/>
        </w:rPr>
        <w:t xml:space="preserve"> </w:t>
      </w:r>
      <w:r w:rsidRPr="00BB205A">
        <w:rPr>
          <w:rFonts w:eastAsia="Arial"/>
          <w:color w:val="313131"/>
          <w:sz w:val="16"/>
          <w:szCs w:val="16"/>
          <w:lang w:val="fr-CH"/>
        </w:rPr>
        <w:t>+41</w:t>
      </w:r>
      <w:r w:rsidRPr="00BB205A">
        <w:rPr>
          <w:rFonts w:eastAsia="Arial"/>
          <w:color w:val="313131"/>
          <w:spacing w:val="9"/>
          <w:sz w:val="16"/>
          <w:szCs w:val="16"/>
          <w:lang w:val="fr-CH"/>
        </w:rPr>
        <w:t xml:space="preserve"> </w:t>
      </w:r>
      <w:r w:rsidRPr="00BB205A">
        <w:rPr>
          <w:rFonts w:eastAsia="Arial"/>
          <w:color w:val="313131"/>
          <w:sz w:val="16"/>
          <w:szCs w:val="16"/>
          <w:lang w:val="fr-CH"/>
        </w:rPr>
        <w:t>(022)</w:t>
      </w:r>
      <w:r w:rsidRPr="00BB205A">
        <w:rPr>
          <w:rFonts w:eastAsia="Arial"/>
          <w:color w:val="313131"/>
          <w:spacing w:val="25"/>
          <w:sz w:val="16"/>
          <w:szCs w:val="16"/>
          <w:lang w:val="fr-CH"/>
        </w:rPr>
        <w:t xml:space="preserve"> </w:t>
      </w:r>
      <w:r w:rsidRPr="00BB205A">
        <w:rPr>
          <w:rFonts w:eastAsia="Arial"/>
          <w:color w:val="313131"/>
          <w:w w:val="105"/>
          <w:sz w:val="16"/>
          <w:szCs w:val="16"/>
          <w:lang w:val="fr-CH"/>
        </w:rPr>
        <w:t>731.8</w:t>
      </w:r>
      <w:r w:rsidRPr="00BB205A">
        <w:rPr>
          <w:rFonts w:eastAsia="Arial"/>
          <w:color w:val="313131"/>
          <w:spacing w:val="-4"/>
          <w:w w:val="106"/>
          <w:sz w:val="16"/>
          <w:szCs w:val="16"/>
          <w:lang w:val="fr-CH"/>
        </w:rPr>
        <w:t>3</w:t>
      </w:r>
      <w:r w:rsidRPr="00BB205A">
        <w:rPr>
          <w:rFonts w:eastAsia="Arial"/>
          <w:color w:val="828282"/>
          <w:w w:val="110"/>
          <w:sz w:val="16"/>
          <w:szCs w:val="16"/>
          <w:lang w:val="fr-CH"/>
        </w:rPr>
        <w:t>.</w:t>
      </w:r>
      <w:r w:rsidRPr="00BB205A">
        <w:rPr>
          <w:rFonts w:eastAsia="Arial"/>
          <w:color w:val="313131"/>
          <w:w w:val="108"/>
          <w:sz w:val="16"/>
          <w:szCs w:val="16"/>
          <w:lang w:val="fr-CH"/>
        </w:rPr>
        <w:t>91</w:t>
      </w:r>
    </w:p>
    <w:p w:rsidR="00EF7E14" w:rsidRPr="007748D3" w:rsidRDefault="00BB205A" w:rsidP="009A4585">
      <w:pPr>
        <w:ind w:right="335"/>
        <w:jc w:val="center"/>
        <w:rPr>
          <w:rFonts w:eastAsia="Arial"/>
          <w:sz w:val="16"/>
          <w:szCs w:val="16"/>
        </w:rPr>
      </w:pPr>
      <w:hyperlink r:id="rId20" w:history="1">
        <w:r w:rsidR="009A4585" w:rsidRPr="007748D3">
          <w:rPr>
            <w:rStyle w:val="Hyperlink"/>
            <w:sz w:val="16"/>
            <w:szCs w:val="16"/>
          </w:rPr>
          <w:t>omcginebra@mmrree.gob.ec</w:t>
        </w:r>
      </w:hyperlink>
    </w:p>
    <w:p w:rsidR="009A4585" w:rsidRPr="007748D3" w:rsidRDefault="009A4585" w:rsidP="009A4585">
      <w:pPr>
        <w:ind w:right="335"/>
        <w:jc w:val="center"/>
        <w:rPr>
          <w:rFonts w:eastAsia="Arial"/>
          <w:szCs w:val="22"/>
        </w:rPr>
      </w:pPr>
    </w:p>
    <w:p w:rsidR="009A4585" w:rsidRPr="007748D3" w:rsidRDefault="009A4585" w:rsidP="009A4585">
      <w:pPr>
        <w:pStyle w:val="Endofdocument-Annex"/>
        <w:rPr>
          <w:lang w:val="es-ES"/>
        </w:rPr>
      </w:pPr>
      <w:r w:rsidRPr="007748D3">
        <w:rPr>
          <w:lang w:val="es-ES"/>
        </w:rPr>
        <w:t>[Sigue el Anexo III]</w:t>
      </w:r>
    </w:p>
    <w:p w:rsidR="00EF7E14" w:rsidRPr="007748D3" w:rsidRDefault="00EF7E14" w:rsidP="00EF7E14">
      <w:pPr>
        <w:rPr>
          <w:szCs w:val="22"/>
        </w:rPr>
      </w:pPr>
    </w:p>
    <w:p w:rsidR="009A4585" w:rsidRPr="007748D3" w:rsidRDefault="009A4585" w:rsidP="00EF7E14">
      <w:pPr>
        <w:rPr>
          <w:szCs w:val="22"/>
        </w:rPr>
        <w:sectPr w:rsidR="009A4585" w:rsidRPr="007748D3" w:rsidSect="009A4585">
          <w:headerReference w:type="default" r:id="rId21"/>
          <w:headerReference w:type="first" r:id="rId22"/>
          <w:footerReference w:type="first" r:id="rId23"/>
          <w:endnotePr>
            <w:numFmt w:val="decimal"/>
          </w:endnotePr>
          <w:pgSz w:w="11907" w:h="16840" w:code="9"/>
          <w:pgMar w:top="567" w:right="1134" w:bottom="680" w:left="1418" w:header="510" w:footer="1021" w:gutter="0"/>
          <w:pgNumType w:start="1"/>
          <w:cols w:space="720"/>
          <w:titlePg/>
          <w:docGrid w:linePitch="299"/>
        </w:sectPr>
      </w:pPr>
    </w:p>
    <w:p w:rsidR="004B100C" w:rsidRPr="007748D3" w:rsidRDefault="004B100C" w:rsidP="00EF7E14">
      <w:pPr>
        <w:spacing w:line="276" w:lineRule="auto"/>
        <w:rPr>
          <w:b/>
          <w:szCs w:val="22"/>
        </w:rPr>
      </w:pPr>
      <w:r w:rsidRPr="007748D3">
        <w:rPr>
          <w:rFonts w:eastAsia="Calibri"/>
          <w:b/>
          <w:szCs w:val="22"/>
          <w:lang w:eastAsia="en-US"/>
        </w:rPr>
        <w:t xml:space="preserve">CONTRIBUCIÓN </w:t>
      </w:r>
      <w:r w:rsidRPr="007748D3">
        <w:rPr>
          <w:b/>
          <w:szCs w:val="22"/>
        </w:rPr>
        <w:t>PRESENTADA A LA SECRETARÍA POR LA DELEGACIÓN DE SUDÁFRICA</w:t>
      </w:r>
    </w:p>
    <w:p w:rsidR="004B100C" w:rsidRPr="007748D3" w:rsidRDefault="004B100C" w:rsidP="00EF7E14">
      <w:pPr>
        <w:spacing w:before="100" w:beforeAutospacing="1" w:after="100" w:afterAutospacing="1" w:line="276" w:lineRule="auto"/>
        <w:rPr>
          <w:rFonts w:eastAsia="Times New Roman"/>
          <w:color w:val="000000"/>
          <w:szCs w:val="22"/>
          <w:lang w:eastAsia="en-US"/>
        </w:rPr>
      </w:pPr>
      <w:r w:rsidRPr="007748D3">
        <w:rPr>
          <w:rFonts w:eastAsia="Times New Roman"/>
          <w:color w:val="000000"/>
          <w:szCs w:val="22"/>
          <w:lang w:eastAsia="en-US"/>
        </w:rPr>
        <w:t>PROPUESTA DE INDICADORES PARA EL ANÁLISIS DE LOS ACTUALES SERVICIOS Y ACTIVIDADES DE LA OMPI RELACIONADOS CON LA TRANSFERENCIA DE TECNOLOGÍA, A LA LUZ DE LAS RECOMENDACIONES DE LA CATEGORÍA C DE LA AGENDA DE LA OMPI PARA EL DESARROLLO, QUE FIGURA EN EL DOCUMENTO CDIP/21/5.</w:t>
      </w:r>
    </w:p>
    <w:p w:rsidR="004B100C" w:rsidRPr="007748D3" w:rsidRDefault="004B100C" w:rsidP="00EF7E14">
      <w:pPr>
        <w:numPr>
          <w:ilvl w:val="0"/>
          <w:numId w:val="9"/>
        </w:numPr>
        <w:spacing w:line="276" w:lineRule="auto"/>
        <w:ind w:left="567" w:hanging="567"/>
        <w:rPr>
          <w:rFonts w:eastAsia="Times New Roman"/>
          <w:color w:val="000000"/>
          <w:szCs w:val="22"/>
          <w:lang w:eastAsia="en-US"/>
        </w:rPr>
      </w:pPr>
      <w:r w:rsidRPr="007748D3">
        <w:rPr>
          <w:rFonts w:eastAsia="Times New Roman"/>
          <w:color w:val="000000"/>
          <w:szCs w:val="22"/>
          <w:lang w:eastAsia="en-US"/>
        </w:rPr>
        <w:t xml:space="preserve">Cabe recordar que en el resumen de la presidencia de la reunión CDIP/21 se establece que “el </w:t>
      </w:r>
      <w:r w:rsidRPr="007748D3">
        <w:t>Comité examinó la información presentada en el documento. Se decidió que las delegaciones interesadas deberán presentar a la Secretaría una lista de indicadores destinados a evaluar las actividades que figuran en el documento, que serán consolidados y presentados en la próxima sesión del Comité. Las aportaciones de los Estados miembros deberán llegar a la Secretaría, a más</w:t>
      </w:r>
      <w:r w:rsidR="00C61057" w:rsidRPr="007748D3">
        <w:t xml:space="preserve"> tardar, el 10 de septiembre de </w:t>
      </w:r>
      <w:r w:rsidRPr="007748D3">
        <w:t>2018.”</w:t>
      </w:r>
    </w:p>
    <w:p w:rsidR="00EF7E14" w:rsidRPr="007748D3" w:rsidRDefault="00EF7E14" w:rsidP="00EF7E14">
      <w:pPr>
        <w:spacing w:line="276" w:lineRule="auto"/>
        <w:ind w:left="567"/>
        <w:rPr>
          <w:rFonts w:eastAsia="Times New Roman"/>
          <w:color w:val="000000"/>
          <w:szCs w:val="22"/>
          <w:lang w:eastAsia="en-US"/>
        </w:rPr>
      </w:pPr>
    </w:p>
    <w:p w:rsidR="00C0151C" w:rsidRPr="007748D3" w:rsidRDefault="004B100C" w:rsidP="004B100C">
      <w:pPr>
        <w:numPr>
          <w:ilvl w:val="0"/>
          <w:numId w:val="9"/>
        </w:numPr>
        <w:spacing w:line="276" w:lineRule="auto"/>
        <w:ind w:left="567" w:hanging="567"/>
        <w:rPr>
          <w:rFonts w:eastAsia="Times New Roman"/>
          <w:color w:val="000000"/>
          <w:szCs w:val="22"/>
          <w:lang w:eastAsia="en-US"/>
        </w:rPr>
      </w:pPr>
      <w:r w:rsidRPr="007748D3">
        <w:rPr>
          <w:rFonts w:eastAsia="Times New Roman"/>
          <w:szCs w:val="22"/>
          <w:lang w:eastAsia="en-US"/>
        </w:rPr>
        <w:t xml:space="preserve">La delegación de Sudáfrica </w:t>
      </w:r>
      <w:r w:rsidR="00C0151C" w:rsidRPr="007748D3">
        <w:rPr>
          <w:rFonts w:eastAsia="Times New Roman"/>
          <w:szCs w:val="22"/>
          <w:lang w:eastAsia="en-US"/>
        </w:rPr>
        <w:t xml:space="preserve">se permite </w:t>
      </w:r>
      <w:r w:rsidRPr="007748D3">
        <w:rPr>
          <w:rFonts w:eastAsia="Times New Roman"/>
          <w:szCs w:val="22"/>
          <w:lang w:eastAsia="en-US"/>
        </w:rPr>
        <w:t>presenta</w:t>
      </w:r>
      <w:r w:rsidR="00C0151C" w:rsidRPr="007748D3">
        <w:rPr>
          <w:rFonts w:eastAsia="Times New Roman"/>
          <w:szCs w:val="22"/>
          <w:lang w:eastAsia="en-US"/>
        </w:rPr>
        <w:t>r para su examen</w:t>
      </w:r>
      <w:r w:rsidRPr="007748D3">
        <w:rPr>
          <w:rFonts w:eastAsia="Times New Roman"/>
          <w:szCs w:val="22"/>
          <w:lang w:eastAsia="en-US"/>
        </w:rPr>
        <w:t xml:space="preserve"> </w:t>
      </w:r>
      <w:r w:rsidR="00C0151C" w:rsidRPr="007748D3">
        <w:rPr>
          <w:rFonts w:eastAsia="Times New Roman"/>
          <w:szCs w:val="22"/>
          <w:lang w:eastAsia="en-US"/>
        </w:rPr>
        <w:t xml:space="preserve">las contribuciones siguientes, teniendo en cuenta que la categoría C lleva por título “Categoría C: </w:t>
      </w:r>
      <w:r w:rsidR="00C0151C" w:rsidRPr="007748D3">
        <w:t>Transferencia de tecnología, tecnologías de la información y la comunicación (TIC) y acceso a los conocimientos”.</w:t>
      </w:r>
    </w:p>
    <w:p w:rsidR="00EF7E14" w:rsidRPr="007748D3" w:rsidRDefault="00EF7E14" w:rsidP="00EF7E14">
      <w:pPr>
        <w:spacing w:line="276" w:lineRule="auto"/>
        <w:rPr>
          <w:rFonts w:eastAsia="Times New Roman"/>
          <w:color w:val="000000"/>
          <w:szCs w:val="22"/>
          <w:lang w:eastAsia="en-US"/>
        </w:rPr>
      </w:pPr>
    </w:p>
    <w:p w:rsidR="00C0151C" w:rsidRPr="007748D3" w:rsidRDefault="00C0151C" w:rsidP="00C0151C">
      <w:pPr>
        <w:numPr>
          <w:ilvl w:val="0"/>
          <w:numId w:val="9"/>
        </w:numPr>
        <w:spacing w:line="276" w:lineRule="auto"/>
        <w:ind w:left="567" w:hanging="567"/>
        <w:rPr>
          <w:rFonts w:eastAsia="Times New Roman"/>
          <w:color w:val="000000"/>
          <w:szCs w:val="22"/>
          <w:lang w:eastAsia="en-US"/>
        </w:rPr>
      </w:pPr>
      <w:r w:rsidRPr="007748D3">
        <w:rPr>
          <w:rFonts w:eastAsia="Times New Roman"/>
          <w:color w:val="000000"/>
          <w:szCs w:val="22"/>
          <w:lang w:eastAsia="en-US"/>
        </w:rPr>
        <w:t>Como observación general cabe señalar que, excepto la recomendación 26, la mayor parte de las intervenciones sobre las recomendaciones de la Agenda para el Desarrollo de la categoría C se basan en actos. En consecuencia, sería acertado afirmar que las “carencias” en los servicios y actividades de la OMPI en este ámbito no afectan a los actos, sino a la asistencia técnica, los proyectos, las alianzas y las compilaciones, entre otros aspectos.</w:t>
      </w:r>
    </w:p>
    <w:p w:rsidR="00EF7E14" w:rsidRPr="007748D3" w:rsidRDefault="00EF7E14" w:rsidP="00EF7E14">
      <w:pPr>
        <w:spacing w:line="276" w:lineRule="auto"/>
        <w:rPr>
          <w:rFonts w:eastAsia="Times New Roman"/>
          <w:color w:val="000000"/>
          <w:szCs w:val="22"/>
          <w:lang w:eastAsia="en-US"/>
        </w:rPr>
      </w:pPr>
    </w:p>
    <w:p w:rsidR="00C0151C" w:rsidRPr="007748D3" w:rsidRDefault="00C61057" w:rsidP="00EF7E14">
      <w:pPr>
        <w:numPr>
          <w:ilvl w:val="0"/>
          <w:numId w:val="9"/>
        </w:numPr>
        <w:spacing w:line="276" w:lineRule="auto"/>
        <w:ind w:left="567" w:hanging="567"/>
        <w:rPr>
          <w:rFonts w:eastAsia="Times New Roman"/>
          <w:color w:val="000000"/>
          <w:szCs w:val="22"/>
          <w:lang w:eastAsia="en-US"/>
        </w:rPr>
      </w:pPr>
      <w:r w:rsidRPr="007748D3">
        <w:rPr>
          <w:rFonts w:eastAsia="Times New Roman"/>
          <w:color w:val="000000"/>
          <w:szCs w:val="22"/>
          <w:lang w:eastAsia="en-US"/>
        </w:rPr>
        <w:t>La ausencia notable del fortalecimiento</w:t>
      </w:r>
      <w:r w:rsidR="00C0151C" w:rsidRPr="007748D3">
        <w:rPr>
          <w:rFonts w:eastAsia="Times New Roman"/>
          <w:color w:val="000000"/>
          <w:szCs w:val="22"/>
          <w:lang w:eastAsia="en-US"/>
        </w:rPr>
        <w:t xml:space="preserve"> de capacidades es de especial importancia. A este respecto, se desea recordar la postura de Sudáfrica acerca de la </w:t>
      </w:r>
      <w:r w:rsidR="002F0A68" w:rsidRPr="007748D3">
        <w:rPr>
          <w:rFonts w:eastAsia="Times New Roman"/>
          <w:color w:val="000000"/>
          <w:szCs w:val="22"/>
          <w:lang w:eastAsia="en-US"/>
        </w:rPr>
        <w:t xml:space="preserve">ausencia del fortalecimiento de capacidades en la </w:t>
      </w:r>
      <w:r w:rsidR="00C0151C" w:rsidRPr="007748D3">
        <w:rPr>
          <w:rFonts w:eastAsia="Times New Roman"/>
          <w:color w:val="000000"/>
          <w:szCs w:val="22"/>
          <w:lang w:eastAsia="en-US"/>
        </w:rPr>
        <w:t>asistencia t</w:t>
      </w:r>
      <w:r w:rsidR="002F0A68" w:rsidRPr="007748D3">
        <w:rPr>
          <w:rFonts w:eastAsia="Times New Roman"/>
          <w:color w:val="000000"/>
          <w:szCs w:val="22"/>
          <w:lang w:eastAsia="en-US"/>
        </w:rPr>
        <w:t>écnica</w:t>
      </w:r>
      <w:r w:rsidR="00C0151C" w:rsidRPr="007748D3">
        <w:rPr>
          <w:rFonts w:eastAsia="Times New Roman"/>
          <w:color w:val="000000"/>
          <w:szCs w:val="22"/>
          <w:lang w:eastAsia="en-US"/>
        </w:rPr>
        <w:t xml:space="preserve">. Sin </w:t>
      </w:r>
      <w:r w:rsidR="00335F1F" w:rsidRPr="007748D3">
        <w:rPr>
          <w:rFonts w:eastAsia="Times New Roman"/>
          <w:color w:val="000000"/>
          <w:szCs w:val="22"/>
          <w:lang w:eastAsia="en-US"/>
        </w:rPr>
        <w:t>el fortalecimiento de capacidades</w:t>
      </w:r>
      <w:r w:rsidR="00C0151C" w:rsidRPr="007748D3">
        <w:rPr>
          <w:rFonts w:eastAsia="Times New Roman"/>
          <w:color w:val="000000"/>
          <w:szCs w:val="22"/>
          <w:lang w:eastAsia="en-US"/>
        </w:rPr>
        <w:t xml:space="preserve">, la asistencia técnica nunca podrá </w:t>
      </w:r>
      <w:r w:rsidR="002F0A68" w:rsidRPr="007748D3">
        <w:rPr>
          <w:rFonts w:eastAsia="Times New Roman"/>
          <w:color w:val="000000"/>
          <w:szCs w:val="22"/>
          <w:lang w:eastAsia="en-US"/>
        </w:rPr>
        <w:t>ponerse en funcionamiento de manera eficaz. Por lo tanto, para cada recomendación se ha elaborado un indicador que contempla el fortalecimiento de capacidades.</w:t>
      </w:r>
    </w:p>
    <w:p w:rsidR="00EF7E14" w:rsidRPr="007748D3" w:rsidRDefault="00EF7E14" w:rsidP="00EF7E14">
      <w:pPr>
        <w:spacing w:after="240" w:line="276" w:lineRule="auto"/>
        <w:rPr>
          <w:rFonts w:eastAsia="Times New Roman"/>
          <w:b/>
          <w:color w:val="3B3B3B"/>
          <w:szCs w:val="22"/>
          <w:lang w:eastAsia="en-US"/>
        </w:rPr>
      </w:pPr>
    </w:p>
    <w:p w:rsidR="00EF7E14" w:rsidRP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Recomendación</w:t>
      </w:r>
      <w:r w:rsidR="00EF7E14" w:rsidRPr="007748D3">
        <w:rPr>
          <w:rFonts w:eastAsia="Times New Roman"/>
          <w:b/>
          <w:color w:val="3B3B3B"/>
          <w:szCs w:val="22"/>
          <w:lang w:eastAsia="en-US"/>
        </w:rPr>
        <w:t xml:space="preserve"> 24:</w:t>
      </w:r>
    </w:p>
    <w:p w:rsidR="00EF7E14" w:rsidRPr="007748D3" w:rsidRDefault="00D57E6C" w:rsidP="00EF7E14">
      <w:pPr>
        <w:spacing w:after="240" w:line="276" w:lineRule="auto"/>
        <w:rPr>
          <w:rFonts w:eastAsia="Times New Roman"/>
          <w:color w:val="3B3B3B"/>
          <w:szCs w:val="22"/>
          <w:lang w:eastAsia="en-US"/>
        </w:rPr>
      </w:pPr>
      <w:r w:rsidRPr="007748D3">
        <w:rPr>
          <w:rFonts w:eastAsia="Times New Roman"/>
          <w:color w:val="3B3B3B"/>
          <w:szCs w:val="22"/>
          <w:lang w:eastAsia="en-US"/>
        </w:rPr>
        <w:t>Solicitar a la OMPI que, dentro de su mandato, amplíe el alcance de sus actividades destinadas a colmar la brecha digital, de conformidad con los resultados de la Cumbre Mundial sobre la Sociedad de la Información (CMSI)</w:t>
      </w:r>
      <w:r w:rsidR="00EA2B88" w:rsidRPr="007748D3">
        <w:rPr>
          <w:rFonts w:eastAsia="Times New Roman"/>
          <w:color w:val="3B3B3B"/>
          <w:szCs w:val="22"/>
          <w:vertAlign w:val="superscript"/>
          <w:lang w:eastAsia="en-US"/>
        </w:rPr>
        <w:t xml:space="preserve"> </w:t>
      </w:r>
      <w:r w:rsidR="00EA2B88" w:rsidRPr="007748D3">
        <w:rPr>
          <w:rFonts w:eastAsia="Times New Roman"/>
          <w:color w:val="3B3B3B"/>
          <w:szCs w:val="22"/>
          <w:vertAlign w:val="superscript"/>
          <w:lang w:eastAsia="en-US"/>
        </w:rPr>
        <w:footnoteReference w:id="2"/>
      </w:r>
      <w:r w:rsidRPr="007748D3">
        <w:rPr>
          <w:rFonts w:eastAsia="Times New Roman"/>
          <w:color w:val="3B3B3B"/>
          <w:szCs w:val="22"/>
          <w:lang w:eastAsia="en-US"/>
        </w:rPr>
        <w:t>, y teniendo en cuenta la importancia del Fondo de Solidaridad Digital.</w:t>
      </w:r>
    </w:p>
    <w:p w:rsidR="00EF7E14" w:rsidRPr="007748D3" w:rsidRDefault="00D57E6C" w:rsidP="00EF7E14">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r w:rsidR="00EF7E14" w:rsidRPr="007748D3">
        <w:rPr>
          <w:rFonts w:eastAsia="Times New Roman"/>
          <w:color w:val="3B3B3B"/>
          <w:szCs w:val="22"/>
          <w:lang w:eastAsia="en-US"/>
        </w:rPr>
        <w:t>:</w:t>
      </w:r>
    </w:p>
    <w:p w:rsidR="00231E68" w:rsidRPr="007748D3" w:rsidRDefault="00EF7E14" w:rsidP="00EF7E14">
      <w:pPr>
        <w:numPr>
          <w:ilvl w:val="0"/>
          <w:numId w:val="10"/>
        </w:numPr>
        <w:spacing w:after="240" w:line="276" w:lineRule="auto"/>
        <w:jc w:val="both"/>
        <w:rPr>
          <w:rFonts w:eastAsia="Times New Roman"/>
          <w:color w:val="3B3B3B"/>
          <w:szCs w:val="22"/>
          <w:lang w:eastAsia="en-US"/>
        </w:rPr>
      </w:pPr>
      <w:r w:rsidRPr="007748D3">
        <w:rPr>
          <w:rFonts w:eastAsia="Times New Roman"/>
          <w:color w:val="3B3B3B"/>
          <w:szCs w:val="22"/>
          <w:lang w:eastAsia="en-US"/>
        </w:rPr>
        <w:t>N</w:t>
      </w:r>
      <w:r w:rsidR="00231E68" w:rsidRPr="007748D3">
        <w:rPr>
          <w:rFonts w:eastAsia="Times New Roman"/>
          <w:color w:val="3B3B3B"/>
          <w:szCs w:val="22"/>
          <w:lang w:eastAsia="en-US"/>
        </w:rPr>
        <w:t>úmero de iniciativas de fortalecimiento de capacidades emprendidas para colmar la brecha digital en relación con la aplicación de las normas técnicas de la OMPI (</w:t>
      </w:r>
      <w:r w:rsidR="005C351E" w:rsidRPr="007748D3">
        <w:rPr>
          <w:rFonts w:eastAsia="Times New Roman"/>
          <w:color w:val="3B3B3B"/>
          <w:szCs w:val="22"/>
          <w:lang w:eastAsia="en-US"/>
        </w:rPr>
        <w:t>resultado 4 de la CMSI).</w:t>
      </w:r>
    </w:p>
    <w:p w:rsidR="005C351E" w:rsidRPr="007748D3" w:rsidRDefault="005C351E" w:rsidP="00EF7E14">
      <w:pPr>
        <w:numPr>
          <w:ilvl w:val="0"/>
          <w:numId w:val="10"/>
        </w:numPr>
        <w:spacing w:after="240" w:line="276" w:lineRule="auto"/>
        <w:jc w:val="both"/>
        <w:rPr>
          <w:rFonts w:eastAsia="Times New Roman"/>
          <w:color w:val="3B3B3B"/>
          <w:szCs w:val="22"/>
          <w:lang w:eastAsia="en-US"/>
        </w:rPr>
      </w:pPr>
      <w:r w:rsidRPr="007748D3">
        <w:rPr>
          <w:rFonts w:eastAsia="Times New Roman"/>
          <w:color w:val="3B3B3B"/>
          <w:szCs w:val="22"/>
          <w:lang w:eastAsia="en-US"/>
        </w:rPr>
        <w:t>Número de normas técnicas de la OMPI que no pueden aplicarse en los países en desarrollo ni en los países menos adelantados debido a la falta de infraestructura (resultado 4 de la CMSI).</w:t>
      </w:r>
    </w:p>
    <w:p w:rsidR="00EF7E14" w:rsidRPr="007748D3" w:rsidRDefault="005C351E" w:rsidP="00EF7E14">
      <w:pPr>
        <w:numPr>
          <w:ilvl w:val="0"/>
          <w:numId w:val="10"/>
        </w:numPr>
        <w:spacing w:after="240" w:line="276" w:lineRule="auto"/>
        <w:jc w:val="both"/>
        <w:rPr>
          <w:rFonts w:eastAsia="Times New Roman"/>
          <w:color w:val="3B3B3B"/>
          <w:szCs w:val="22"/>
          <w:lang w:eastAsia="en-US"/>
        </w:rPr>
      </w:pPr>
      <w:r w:rsidRPr="007748D3">
        <w:rPr>
          <w:rFonts w:eastAsia="Times New Roman"/>
          <w:color w:val="3B3B3B"/>
          <w:szCs w:val="22"/>
          <w:lang w:eastAsia="en-US"/>
        </w:rPr>
        <w:t xml:space="preserve">Número de adaptaciones (recursos especializados) basadas en las tecnologías de la información y las comunicaciones del programa de enseñanza </w:t>
      </w:r>
      <w:r w:rsidR="005D0FCD" w:rsidRPr="007748D3">
        <w:rPr>
          <w:rFonts w:eastAsia="Times New Roman"/>
          <w:color w:val="3B3B3B"/>
          <w:szCs w:val="22"/>
          <w:lang w:eastAsia="en-US"/>
        </w:rPr>
        <w:t>IP4Youth, concebido para impulsar las capacidades de innovación y creatividad de los jóvenes, con el objetivo de empoderarlos y aumentar las oportunidades para el crecimiento económico (resultados 1 y 6).</w:t>
      </w:r>
    </w:p>
    <w:p w:rsidR="005D0FCD" w:rsidRPr="007748D3" w:rsidRDefault="005D0FCD" w:rsidP="005D0FCD">
      <w:pPr>
        <w:spacing w:after="240" w:line="276" w:lineRule="auto"/>
        <w:ind w:left="360"/>
        <w:jc w:val="both"/>
        <w:rPr>
          <w:rFonts w:eastAsia="Times New Roman"/>
          <w:color w:val="3B3B3B"/>
          <w:szCs w:val="22"/>
          <w:lang w:eastAsia="en-US"/>
        </w:rPr>
      </w:pPr>
    </w:p>
    <w:p w:rsidR="00EF7E14" w:rsidRP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25:</w:t>
      </w:r>
    </w:p>
    <w:p w:rsidR="007748D3" w:rsidRDefault="00231E68" w:rsidP="00EF7E14">
      <w:pPr>
        <w:spacing w:after="240" w:line="276" w:lineRule="auto"/>
      </w:pPr>
      <w:r w:rsidRPr="007748D3">
        <w:rPr>
          <w:rFonts w:eastAsia="Times New Roman"/>
          <w:color w:val="3B3B3B"/>
          <w:szCs w:val="22"/>
          <w:lang w:eastAsia="en-US"/>
        </w:rPr>
        <w:t>Estudiar qué políticas e iniciativas relacionadas con la PI son necesarias para fomentar la transferencia y difusión de tecnología en pro de los países en desarrollo, y adoptar las medidas adecuadas para que los países en desarrollo puedan comprender plenamente las distintas disposiciones relativas a las flexibilidades previstas en los acuerdos internacionales y beneficiarse de las mismas, según corresponda.</w:t>
      </w:r>
    </w:p>
    <w:p w:rsidR="00D57E6C" w:rsidRPr="007748D3" w:rsidRDefault="00D57E6C" w:rsidP="00D57E6C">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5D0FCD" w:rsidRPr="007748D3" w:rsidRDefault="005D0FCD" w:rsidP="00EF7E14">
      <w:pPr>
        <w:numPr>
          <w:ilvl w:val="0"/>
          <w:numId w:val="11"/>
        </w:numPr>
        <w:spacing w:after="240" w:line="276" w:lineRule="auto"/>
        <w:rPr>
          <w:rFonts w:eastAsia="Times New Roman"/>
          <w:color w:val="3B3B3B"/>
          <w:szCs w:val="22"/>
          <w:lang w:eastAsia="en-US"/>
        </w:rPr>
      </w:pPr>
      <w:r w:rsidRPr="007748D3">
        <w:rPr>
          <w:rFonts w:eastAsia="Times New Roman"/>
          <w:color w:val="3B3B3B"/>
          <w:szCs w:val="22"/>
          <w:lang w:eastAsia="en-US"/>
        </w:rPr>
        <w:t>Número total de iniciativas de fortalecimiento de capacidades llevadas a cabo durante un ejercicio financiero y hasta la fecha</w:t>
      </w:r>
      <w:r w:rsidR="00C61057" w:rsidRPr="007748D3">
        <w:rPr>
          <w:rFonts w:eastAsia="Times New Roman"/>
          <w:color w:val="3B3B3B"/>
          <w:szCs w:val="22"/>
          <w:lang w:eastAsia="en-US"/>
        </w:rPr>
        <w:t>, y</w:t>
      </w:r>
      <w:r w:rsidRPr="007748D3">
        <w:rPr>
          <w:rFonts w:eastAsia="Times New Roman"/>
          <w:color w:val="3B3B3B"/>
          <w:szCs w:val="22"/>
          <w:lang w:eastAsia="en-US"/>
        </w:rPr>
        <w:t xml:space="preserve"> dirigidas a ayudar a los países a </w:t>
      </w:r>
      <w:r w:rsidR="0048290D" w:rsidRPr="007748D3">
        <w:rPr>
          <w:rFonts w:eastAsia="Times New Roman"/>
          <w:color w:val="3B3B3B"/>
          <w:szCs w:val="22"/>
          <w:lang w:eastAsia="en-US"/>
        </w:rPr>
        <w:t>tener conocimiento de</w:t>
      </w:r>
      <w:r w:rsidRPr="007748D3">
        <w:rPr>
          <w:rFonts w:eastAsia="Times New Roman"/>
          <w:color w:val="3B3B3B"/>
          <w:szCs w:val="22"/>
          <w:lang w:eastAsia="en-US"/>
        </w:rPr>
        <w:t xml:space="preserve"> las flexibilidades disponibles en el Derecho internacional.</w:t>
      </w:r>
    </w:p>
    <w:p w:rsidR="00713A1A" w:rsidRPr="007748D3" w:rsidRDefault="00713A1A" w:rsidP="00EF7E14">
      <w:pPr>
        <w:numPr>
          <w:ilvl w:val="0"/>
          <w:numId w:val="11"/>
        </w:numPr>
        <w:spacing w:after="240" w:line="276" w:lineRule="auto"/>
        <w:rPr>
          <w:rFonts w:eastAsia="Times New Roman"/>
          <w:color w:val="3B3B3B"/>
          <w:szCs w:val="22"/>
          <w:lang w:eastAsia="en-US"/>
        </w:rPr>
      </w:pPr>
      <w:r w:rsidRPr="007748D3">
        <w:rPr>
          <w:rFonts w:eastAsia="Times New Roman"/>
          <w:color w:val="3B3B3B"/>
          <w:szCs w:val="22"/>
          <w:lang w:eastAsia="en-US"/>
        </w:rPr>
        <w:t>Número de países que se ha</w:t>
      </w:r>
      <w:r w:rsidR="00C61057" w:rsidRPr="007748D3">
        <w:rPr>
          <w:rFonts w:eastAsia="Times New Roman"/>
          <w:color w:val="3B3B3B"/>
          <w:szCs w:val="22"/>
          <w:lang w:eastAsia="en-US"/>
        </w:rPr>
        <w:t>ya</w:t>
      </w:r>
      <w:r w:rsidRPr="007748D3">
        <w:rPr>
          <w:rFonts w:eastAsia="Times New Roman"/>
          <w:color w:val="3B3B3B"/>
          <w:szCs w:val="22"/>
          <w:lang w:eastAsia="en-US"/>
        </w:rPr>
        <w:t>n beneficiado de asistencia técnica e iniciativas de fortalecimiento de capacidades adaptadas a las necesidades y dirigidas a ayudar a los países específicos a tener un mayor conocimiento de</w:t>
      </w:r>
      <w:r w:rsidR="00C61057" w:rsidRPr="007748D3">
        <w:rPr>
          <w:rFonts w:eastAsia="Times New Roman"/>
          <w:color w:val="3B3B3B"/>
          <w:szCs w:val="22"/>
          <w:lang w:eastAsia="en-US"/>
        </w:rPr>
        <w:t xml:space="preserve"> las flexibilidades disponibles, con el objetivo de</w:t>
      </w:r>
      <w:r w:rsidRPr="007748D3">
        <w:rPr>
          <w:rFonts w:eastAsia="Times New Roman"/>
          <w:color w:val="3B3B3B"/>
          <w:szCs w:val="22"/>
          <w:lang w:eastAsia="en-US"/>
        </w:rPr>
        <w:t xml:space="preserve"> promover la transferencia y la difusión de la tecnología.</w:t>
      </w:r>
    </w:p>
    <w:p w:rsidR="00713A1A" w:rsidRPr="007748D3" w:rsidRDefault="00713A1A" w:rsidP="00EF7E14">
      <w:pPr>
        <w:numPr>
          <w:ilvl w:val="0"/>
          <w:numId w:val="11"/>
        </w:numPr>
        <w:spacing w:after="240" w:line="276" w:lineRule="auto"/>
        <w:rPr>
          <w:rFonts w:eastAsia="Times New Roman"/>
          <w:color w:val="3B3B3B"/>
          <w:szCs w:val="22"/>
          <w:lang w:eastAsia="en-US"/>
        </w:rPr>
      </w:pPr>
      <w:r w:rsidRPr="007748D3">
        <w:rPr>
          <w:rFonts w:eastAsia="Times New Roman"/>
          <w:color w:val="3B3B3B"/>
          <w:szCs w:val="22"/>
          <w:lang w:eastAsia="en-US"/>
        </w:rPr>
        <w:t xml:space="preserve">Número de países que hayan incorporado a sus políticas flexibilidades específicas tras </w:t>
      </w:r>
      <w:r w:rsidR="0030493B" w:rsidRPr="007748D3">
        <w:rPr>
          <w:rFonts w:eastAsia="Times New Roman"/>
          <w:color w:val="3B3B3B"/>
          <w:szCs w:val="22"/>
          <w:lang w:eastAsia="en-US"/>
        </w:rPr>
        <w:t xml:space="preserve">recibir, por mediación de la OMPI, </w:t>
      </w:r>
      <w:r w:rsidRPr="007748D3">
        <w:rPr>
          <w:rFonts w:eastAsia="Times New Roman"/>
          <w:color w:val="3B3B3B"/>
          <w:szCs w:val="22"/>
          <w:lang w:eastAsia="en-US"/>
        </w:rPr>
        <w:t>asistencia técnica y fortalecimiento de capacidades con el objetivo de facilitar la transferencia y la difusión de la tecnología.</w:t>
      </w:r>
    </w:p>
    <w:p w:rsidR="00713A1A" w:rsidRPr="007748D3" w:rsidRDefault="00713A1A" w:rsidP="00EF7E14">
      <w:pPr>
        <w:numPr>
          <w:ilvl w:val="0"/>
          <w:numId w:val="11"/>
        </w:numPr>
        <w:spacing w:after="240" w:line="276" w:lineRule="auto"/>
        <w:rPr>
          <w:rFonts w:eastAsia="Times New Roman"/>
          <w:color w:val="3B3B3B"/>
          <w:szCs w:val="22"/>
          <w:lang w:eastAsia="en-US"/>
        </w:rPr>
      </w:pPr>
      <w:r w:rsidRPr="007748D3">
        <w:rPr>
          <w:rFonts w:eastAsia="Times New Roman"/>
          <w:color w:val="3B3B3B"/>
          <w:szCs w:val="22"/>
          <w:lang w:eastAsia="en-US"/>
        </w:rPr>
        <w:t xml:space="preserve">Número de iniciativas centradas en el fortalecimiento de capacidades en </w:t>
      </w:r>
      <w:r w:rsidR="0030493B" w:rsidRPr="007748D3">
        <w:rPr>
          <w:rFonts w:eastAsia="Times New Roman"/>
          <w:color w:val="3B3B3B"/>
          <w:szCs w:val="22"/>
          <w:lang w:eastAsia="en-US"/>
        </w:rPr>
        <w:t>relación con los</w:t>
      </w:r>
      <w:r w:rsidRPr="007748D3">
        <w:rPr>
          <w:rFonts w:eastAsia="Times New Roman"/>
          <w:color w:val="3B3B3B"/>
          <w:szCs w:val="22"/>
          <w:lang w:eastAsia="en-US"/>
        </w:rPr>
        <w:t xml:space="preserve"> conocimientos sobre los acuerdos (a menudo modelos de acuerdo) y las dificultades de las técnicas de negociación en materia de transferencia de tecnología.</w:t>
      </w:r>
    </w:p>
    <w:p w:rsidR="00EF7E14" w:rsidRP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26:</w:t>
      </w:r>
    </w:p>
    <w:p w:rsidR="00EF7E14" w:rsidRPr="007748D3" w:rsidRDefault="00231E68" w:rsidP="00EF7E14">
      <w:pPr>
        <w:spacing w:after="240" w:line="276" w:lineRule="auto"/>
        <w:rPr>
          <w:rFonts w:eastAsia="Times New Roman"/>
          <w:color w:val="3B3B3B"/>
          <w:szCs w:val="22"/>
          <w:lang w:eastAsia="en-US"/>
        </w:rPr>
      </w:pPr>
      <w:r w:rsidRPr="007748D3">
        <w:rPr>
          <w:rFonts w:eastAsia="Times New Roman"/>
          <w:color w:val="3B3B3B"/>
          <w:szCs w:val="22"/>
          <w:lang w:eastAsia="en-US"/>
        </w:rPr>
        <w:t>Alentar a los Estados miembros, especialmente a los países desarrollados, a que insten a sus instituciones científicas y de investigación a fomentar la cooperación y el intercambio con las instituciones de investigación y desarrollo de los países en desarrollo, en especial los PMA.</w:t>
      </w:r>
    </w:p>
    <w:p w:rsidR="00EF7E14" w:rsidRPr="007748D3" w:rsidRDefault="00D57E6C" w:rsidP="00EF7E14">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FE218D" w:rsidRPr="007748D3" w:rsidRDefault="00EF7E14" w:rsidP="00EF7E14">
      <w:pPr>
        <w:numPr>
          <w:ilvl w:val="0"/>
          <w:numId w:val="12"/>
        </w:numPr>
        <w:spacing w:after="240" w:line="276" w:lineRule="auto"/>
        <w:rPr>
          <w:rFonts w:eastAsia="Times New Roman"/>
          <w:color w:val="3B3B3B"/>
          <w:szCs w:val="22"/>
          <w:lang w:eastAsia="en-US"/>
        </w:rPr>
      </w:pPr>
      <w:r w:rsidRPr="007748D3">
        <w:rPr>
          <w:rFonts w:eastAsia="Times New Roman"/>
          <w:color w:val="3B3B3B"/>
          <w:szCs w:val="22"/>
          <w:lang w:eastAsia="en-US"/>
        </w:rPr>
        <w:t>N</w:t>
      </w:r>
      <w:r w:rsidR="00FE218D" w:rsidRPr="007748D3">
        <w:rPr>
          <w:rFonts w:eastAsia="Times New Roman"/>
          <w:color w:val="3B3B3B"/>
          <w:szCs w:val="22"/>
          <w:lang w:eastAsia="en-US"/>
        </w:rPr>
        <w:t>úmero de solicitudes del PCT en las que los solicitantes representen a una o más instituciones de investigación y desarrollo de un país desarrollado y</w:t>
      </w:r>
      <w:r w:rsidR="0030493B" w:rsidRPr="007748D3">
        <w:rPr>
          <w:rFonts w:eastAsia="Times New Roman"/>
          <w:color w:val="3B3B3B"/>
          <w:szCs w:val="22"/>
          <w:lang w:eastAsia="en-US"/>
        </w:rPr>
        <w:t xml:space="preserve"> de un país</w:t>
      </w:r>
      <w:r w:rsidR="00FE218D" w:rsidRPr="007748D3">
        <w:rPr>
          <w:rFonts w:eastAsia="Times New Roman"/>
          <w:color w:val="3B3B3B"/>
          <w:szCs w:val="22"/>
          <w:lang w:eastAsia="en-US"/>
        </w:rPr>
        <w:t xml:space="preserve"> en desarrollo (en particular, uno o varios PMA).</w:t>
      </w:r>
    </w:p>
    <w:p w:rsidR="00FE218D" w:rsidRPr="007748D3" w:rsidRDefault="00FE218D" w:rsidP="00FE218D">
      <w:pPr>
        <w:numPr>
          <w:ilvl w:val="0"/>
          <w:numId w:val="12"/>
        </w:numPr>
        <w:spacing w:after="240" w:line="276" w:lineRule="auto"/>
        <w:rPr>
          <w:rFonts w:eastAsia="Times New Roman"/>
          <w:color w:val="3B3B3B"/>
          <w:szCs w:val="22"/>
          <w:lang w:eastAsia="en-US"/>
        </w:rPr>
      </w:pPr>
      <w:r w:rsidRPr="007748D3">
        <w:rPr>
          <w:rFonts w:eastAsia="Times New Roman"/>
          <w:color w:val="3B3B3B"/>
          <w:szCs w:val="22"/>
          <w:lang w:eastAsia="en-US"/>
        </w:rPr>
        <w:t>Número de formaciones impartidas por medio de CATI centradas en el análisis de patentes para detectar oportunidades de colaboración con otros países en ámbitos de la investigación y la actividad científica.</w:t>
      </w:r>
    </w:p>
    <w:p w:rsidR="00FE218D" w:rsidRPr="007748D3" w:rsidRDefault="00FE218D" w:rsidP="00EF7E14">
      <w:pPr>
        <w:spacing w:after="240" w:line="276" w:lineRule="auto"/>
        <w:jc w:val="both"/>
        <w:rPr>
          <w:rFonts w:eastAsia="Times New Roman"/>
          <w:b/>
          <w:color w:val="3B3B3B"/>
          <w:szCs w:val="22"/>
          <w:lang w:eastAsia="en-US"/>
        </w:rPr>
      </w:pPr>
    </w:p>
    <w:p w:rsidR="007748D3" w:rsidRDefault="00D57E6C" w:rsidP="00EF7E14">
      <w:pPr>
        <w:spacing w:after="240" w:line="276" w:lineRule="auto"/>
        <w:jc w:val="both"/>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27:</w:t>
      </w:r>
    </w:p>
    <w:p w:rsidR="007748D3" w:rsidRDefault="00231E68" w:rsidP="00EF7E14">
      <w:pPr>
        <w:spacing w:line="276" w:lineRule="auto"/>
        <w:rPr>
          <w:rFonts w:eastAsia="Times New Roman"/>
          <w:color w:val="3B3B3B"/>
          <w:szCs w:val="22"/>
          <w:lang w:eastAsia="en-US"/>
        </w:rPr>
      </w:pPr>
      <w:r w:rsidRPr="007748D3">
        <w:rPr>
          <w:rFonts w:eastAsia="Times New Roman"/>
          <w:color w:val="3B3B3B"/>
          <w:szCs w:val="22"/>
          <w:lang w:eastAsia="en-US"/>
        </w:rPr>
        <w:t>Determinar los aspectos de las TIC relacionados con la PI que favorecen el crecimiento y el desarrollo: crear un foro, en el marco de un órgano pertinente de la OMPI, para debatir la importancia de los aspectos de las TIC relacionados con la PI y su papel en el desarrollo económico y cultural, haciendo hincapié concretamente en ayudar a los Estados miembros a definir estrategias prácticas relacionadas con la PI para utilizar las TIC en pro del desarrollo económico, social y cultural.</w:t>
      </w:r>
    </w:p>
    <w:p w:rsidR="00EF7E14" w:rsidRPr="007748D3" w:rsidRDefault="00EF7E14" w:rsidP="00EF7E14">
      <w:pPr>
        <w:spacing w:line="276" w:lineRule="auto"/>
        <w:rPr>
          <w:rFonts w:eastAsia="Times New Roman"/>
          <w:b/>
          <w:color w:val="3B3B3B"/>
          <w:szCs w:val="22"/>
          <w:lang w:eastAsia="en-US"/>
        </w:rPr>
      </w:pPr>
    </w:p>
    <w:p w:rsidR="00EF7E14" w:rsidRPr="007748D3" w:rsidRDefault="00D57E6C" w:rsidP="00D57E6C">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FE218D" w:rsidRPr="007748D3" w:rsidRDefault="00FE218D" w:rsidP="00EF7E14">
      <w:pPr>
        <w:numPr>
          <w:ilvl w:val="0"/>
          <w:numId w:val="13"/>
        </w:numPr>
        <w:spacing w:after="240" w:line="276" w:lineRule="auto"/>
        <w:rPr>
          <w:rFonts w:eastAsia="Times New Roman"/>
          <w:color w:val="3B3B3B"/>
          <w:szCs w:val="22"/>
          <w:lang w:eastAsia="en-US"/>
        </w:rPr>
      </w:pPr>
      <w:r w:rsidRPr="007748D3">
        <w:rPr>
          <w:rFonts w:eastAsia="Times New Roman"/>
          <w:color w:val="3B3B3B"/>
          <w:szCs w:val="22"/>
          <w:lang w:eastAsia="en-US"/>
        </w:rPr>
        <w:t>Número de iniciativas</w:t>
      </w:r>
      <w:r w:rsidR="00C150DE" w:rsidRPr="007748D3">
        <w:rPr>
          <w:rFonts w:eastAsia="Times New Roman"/>
          <w:color w:val="3B3B3B"/>
          <w:szCs w:val="22"/>
          <w:lang w:eastAsia="en-US"/>
        </w:rPr>
        <w:t xml:space="preserve"> prácticas de asistencia técnica y fortalecimiento de capacidades dirigidas a elaborar estrategias u hojas de ruta en materia de PI para su utilización y, de este modo, emplear nuevos conocimientos para el desarrollo económico, social y cultural en los países en desarrollo.</w:t>
      </w:r>
    </w:p>
    <w:p w:rsidR="00C150DE" w:rsidRPr="007748D3" w:rsidRDefault="00C150DE" w:rsidP="00EF7E14">
      <w:pPr>
        <w:numPr>
          <w:ilvl w:val="0"/>
          <w:numId w:val="13"/>
        </w:numPr>
        <w:spacing w:after="240" w:line="276" w:lineRule="auto"/>
        <w:rPr>
          <w:rFonts w:eastAsia="Times New Roman"/>
          <w:color w:val="3B3B3B"/>
          <w:szCs w:val="22"/>
          <w:lang w:eastAsia="en-US"/>
        </w:rPr>
      </w:pPr>
      <w:r w:rsidRPr="007748D3">
        <w:rPr>
          <w:rFonts w:eastAsia="Times New Roman"/>
          <w:color w:val="3B3B3B"/>
          <w:szCs w:val="22"/>
          <w:lang w:eastAsia="en-US"/>
        </w:rPr>
        <w:t>Número de solicitudes de PCT presentadas por un solicitante procedente de un país en desarrollo con el código CIP G06Q,</w:t>
      </w:r>
      <w:r w:rsidRPr="007748D3">
        <w:rPr>
          <w:rFonts w:eastAsia="Times New Roman"/>
          <w:szCs w:val="22"/>
          <w:lang w:eastAsia="en-US"/>
        </w:rPr>
        <w:t xml:space="preserve"> </w:t>
      </w:r>
      <w:r w:rsidR="0030493B" w:rsidRPr="007748D3">
        <w:rPr>
          <w:rFonts w:eastAsia="Times New Roman"/>
          <w:color w:val="3B3B3B"/>
          <w:szCs w:val="22"/>
          <w:lang w:eastAsia="en-US"/>
        </w:rPr>
        <w:t>G06F, H04M, H04B o</w:t>
      </w:r>
      <w:r w:rsidRPr="007748D3">
        <w:rPr>
          <w:rFonts w:eastAsia="Times New Roman"/>
          <w:color w:val="3B3B3B"/>
          <w:szCs w:val="22"/>
          <w:lang w:eastAsia="en-US"/>
        </w:rPr>
        <w:t xml:space="preserve"> H04L.</w:t>
      </w:r>
    </w:p>
    <w:p w:rsidR="00C150DE" w:rsidRPr="007748D3" w:rsidRDefault="00C150DE" w:rsidP="00EF7E14">
      <w:pPr>
        <w:spacing w:after="240" w:line="276" w:lineRule="auto"/>
        <w:rPr>
          <w:rFonts w:eastAsia="Times New Roman"/>
          <w:color w:val="3B3B3B"/>
          <w:szCs w:val="22"/>
          <w:lang w:eastAsia="en-US"/>
        </w:rPr>
      </w:pPr>
    </w:p>
    <w:p w:rsidR="00EF7E14" w:rsidRP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28:</w:t>
      </w:r>
    </w:p>
    <w:p w:rsidR="007748D3" w:rsidRDefault="00231E68" w:rsidP="00EF7E14">
      <w:pPr>
        <w:spacing w:line="276" w:lineRule="auto"/>
        <w:rPr>
          <w:rFonts w:eastAsia="Times New Roman"/>
          <w:color w:val="3B3B3B"/>
          <w:szCs w:val="22"/>
          <w:lang w:eastAsia="en-US"/>
        </w:rPr>
      </w:pPr>
      <w:r w:rsidRPr="007748D3">
        <w:rPr>
          <w:rFonts w:eastAsia="Times New Roman"/>
          <w:color w:val="3B3B3B"/>
          <w:szCs w:val="22"/>
          <w:lang w:eastAsia="en-US"/>
        </w:rPr>
        <w:t>Estudiar las políticas y medidas de apoyo a la PI que podrían adoptar los Estados miembros, en especial los países desarrollados, para fomentar la transferencia y difusión de tecnología a los países en desarrollo.</w:t>
      </w:r>
    </w:p>
    <w:p w:rsidR="00EF7E14" w:rsidRPr="007748D3" w:rsidRDefault="00EF7E14" w:rsidP="00EF7E14">
      <w:pPr>
        <w:spacing w:line="276" w:lineRule="auto"/>
        <w:rPr>
          <w:rFonts w:eastAsia="Times New Roman"/>
          <w:color w:val="3B3B3B"/>
          <w:szCs w:val="22"/>
          <w:lang w:eastAsia="en-US"/>
        </w:rPr>
      </w:pPr>
    </w:p>
    <w:p w:rsidR="00D57E6C" w:rsidRPr="007748D3" w:rsidRDefault="00D57E6C" w:rsidP="00D57E6C">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C150DE" w:rsidRPr="007748D3" w:rsidRDefault="00EF7E14" w:rsidP="00EF7E14">
      <w:pPr>
        <w:numPr>
          <w:ilvl w:val="0"/>
          <w:numId w:val="14"/>
        </w:numPr>
        <w:spacing w:after="240" w:line="276" w:lineRule="auto"/>
        <w:rPr>
          <w:rFonts w:eastAsia="Times New Roman"/>
          <w:color w:val="3B3B3B"/>
          <w:szCs w:val="22"/>
          <w:lang w:eastAsia="en-US"/>
        </w:rPr>
      </w:pPr>
      <w:r w:rsidRPr="007748D3">
        <w:rPr>
          <w:rFonts w:eastAsia="Times New Roman"/>
          <w:color w:val="3B3B3B"/>
          <w:szCs w:val="22"/>
          <w:lang w:eastAsia="en-US"/>
        </w:rPr>
        <w:t>N</w:t>
      </w:r>
      <w:r w:rsidR="00C150DE" w:rsidRPr="007748D3">
        <w:rPr>
          <w:rFonts w:eastAsia="Times New Roman"/>
          <w:color w:val="3B3B3B"/>
          <w:szCs w:val="22"/>
          <w:lang w:eastAsia="en-US"/>
        </w:rPr>
        <w:t>úmero de sesiones de intercambio de información con países en desarrollo para indicar</w:t>
      </w:r>
      <w:r w:rsidR="00E147B4" w:rsidRPr="007748D3">
        <w:rPr>
          <w:rFonts w:eastAsia="Times New Roman"/>
          <w:color w:val="3B3B3B"/>
          <w:szCs w:val="22"/>
          <w:lang w:eastAsia="en-US"/>
        </w:rPr>
        <w:t xml:space="preserve"> a los países desarrollados</w:t>
      </w:r>
      <w:r w:rsidR="00C150DE" w:rsidRPr="007748D3">
        <w:rPr>
          <w:rFonts w:eastAsia="Times New Roman"/>
          <w:color w:val="3B3B3B"/>
          <w:szCs w:val="22"/>
          <w:lang w:eastAsia="en-US"/>
        </w:rPr>
        <w:t xml:space="preserve"> las necesidades </w:t>
      </w:r>
      <w:r w:rsidR="00E147B4" w:rsidRPr="007748D3">
        <w:rPr>
          <w:rFonts w:eastAsia="Times New Roman"/>
          <w:color w:val="3B3B3B"/>
          <w:szCs w:val="22"/>
          <w:lang w:eastAsia="en-US"/>
        </w:rPr>
        <w:t>de participación para recibir y difundir la tecnología que se transfiere.</w:t>
      </w:r>
    </w:p>
    <w:p w:rsidR="00EF7E14" w:rsidRPr="007748D3" w:rsidRDefault="00E147B4" w:rsidP="00E147B4">
      <w:pPr>
        <w:numPr>
          <w:ilvl w:val="0"/>
          <w:numId w:val="14"/>
        </w:numPr>
        <w:spacing w:after="240" w:line="276" w:lineRule="auto"/>
        <w:rPr>
          <w:rFonts w:eastAsia="Times New Roman"/>
          <w:color w:val="3B3B3B"/>
          <w:szCs w:val="22"/>
          <w:lang w:eastAsia="en-US"/>
        </w:rPr>
      </w:pPr>
      <w:r w:rsidRPr="007748D3">
        <w:rPr>
          <w:rFonts w:eastAsia="Times New Roman"/>
          <w:color w:val="3B3B3B"/>
          <w:szCs w:val="22"/>
          <w:lang w:eastAsia="en-US"/>
        </w:rPr>
        <w:t>Número de guías de la OMPI sobre las mejores prácticas, posteriores a las sesiones de intercambio de información, relativas a las políticas en materia de PI y aplicadas en los países en desarrollo para fomentar de manera óptima la transferencia y la difusión de tecnología a los países en desarrollo.</w:t>
      </w:r>
    </w:p>
    <w:p w:rsidR="00E147B4" w:rsidRPr="007748D3" w:rsidRDefault="00E147B4" w:rsidP="00EF7E14">
      <w:pPr>
        <w:spacing w:after="240" w:line="276" w:lineRule="auto"/>
        <w:rPr>
          <w:rFonts w:eastAsia="Times New Roman"/>
          <w:b/>
          <w:color w:val="3B3B3B"/>
          <w:szCs w:val="22"/>
          <w:lang w:eastAsia="en-US"/>
        </w:rPr>
      </w:pPr>
    </w:p>
    <w:p w:rsid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29:</w:t>
      </w:r>
    </w:p>
    <w:p w:rsidR="00EF7E14" w:rsidRPr="007748D3" w:rsidRDefault="00231E68" w:rsidP="00EF7E14">
      <w:pPr>
        <w:spacing w:line="276" w:lineRule="auto"/>
        <w:rPr>
          <w:rFonts w:eastAsia="Times New Roman"/>
          <w:color w:val="3B3B3B"/>
          <w:szCs w:val="22"/>
          <w:lang w:eastAsia="en-US"/>
        </w:rPr>
      </w:pPr>
      <w:r w:rsidRPr="007748D3">
        <w:rPr>
          <w:rFonts w:eastAsia="Times New Roman"/>
          <w:color w:val="3B3B3B"/>
          <w:szCs w:val="22"/>
          <w:lang w:eastAsia="en-US"/>
        </w:rPr>
        <w:t>Incorporar al mandato de un órgano adecuado de la OMPI debates sobre transferencia de tecnología en materia de PI</w:t>
      </w:r>
    </w:p>
    <w:p w:rsidR="00EF7E14" w:rsidRPr="007748D3" w:rsidRDefault="00EF7E14" w:rsidP="00EF7E14">
      <w:pPr>
        <w:spacing w:line="276" w:lineRule="auto"/>
        <w:rPr>
          <w:rFonts w:eastAsia="Times New Roman"/>
          <w:color w:val="3B3B3B"/>
          <w:szCs w:val="22"/>
          <w:lang w:eastAsia="en-US"/>
        </w:rPr>
      </w:pPr>
    </w:p>
    <w:p w:rsidR="00EF7E14" w:rsidRPr="007748D3" w:rsidRDefault="00D57E6C" w:rsidP="00E147B4">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E147B4" w:rsidRPr="007748D3" w:rsidRDefault="00EF7E14" w:rsidP="00EF7E14">
      <w:pPr>
        <w:keepNext/>
        <w:keepLines/>
        <w:numPr>
          <w:ilvl w:val="0"/>
          <w:numId w:val="15"/>
        </w:numPr>
        <w:spacing w:after="240" w:line="276" w:lineRule="auto"/>
        <w:ind w:left="714" w:hanging="357"/>
        <w:rPr>
          <w:rFonts w:eastAsia="Times New Roman"/>
          <w:color w:val="3B3B3B"/>
          <w:szCs w:val="22"/>
          <w:lang w:eastAsia="en-US"/>
        </w:rPr>
      </w:pPr>
      <w:r w:rsidRPr="007748D3">
        <w:rPr>
          <w:rFonts w:eastAsia="Times New Roman"/>
          <w:color w:val="3B3B3B"/>
          <w:szCs w:val="22"/>
          <w:lang w:eastAsia="en-US"/>
        </w:rPr>
        <w:t>N</w:t>
      </w:r>
      <w:r w:rsidR="00E147B4" w:rsidRPr="007748D3">
        <w:rPr>
          <w:rFonts w:eastAsia="Times New Roman"/>
          <w:color w:val="3B3B3B"/>
          <w:szCs w:val="22"/>
          <w:lang w:eastAsia="en-US"/>
        </w:rPr>
        <w:t>úmero de debates sustantivos</w:t>
      </w:r>
      <w:r w:rsidR="00E050DB" w:rsidRPr="007748D3">
        <w:rPr>
          <w:rFonts w:eastAsia="Times New Roman"/>
          <w:color w:val="3B3B3B"/>
          <w:szCs w:val="22"/>
          <w:vertAlign w:val="superscript"/>
          <w:lang w:eastAsia="en-US"/>
        </w:rPr>
        <w:footnoteReference w:id="3"/>
      </w:r>
      <w:r w:rsidR="007748D3">
        <w:rPr>
          <w:rFonts w:eastAsia="Times New Roman"/>
          <w:color w:val="3B3B3B"/>
          <w:szCs w:val="22"/>
          <w:lang w:eastAsia="en-US"/>
        </w:rPr>
        <w:t xml:space="preserve"> </w:t>
      </w:r>
      <w:r w:rsidR="00E050DB" w:rsidRPr="007748D3">
        <w:rPr>
          <w:rFonts w:eastAsia="Times New Roman"/>
          <w:color w:val="3B3B3B"/>
          <w:szCs w:val="22"/>
          <w:lang w:eastAsia="en-US"/>
        </w:rPr>
        <w:t>en el CDIP</w:t>
      </w:r>
      <w:r w:rsidR="00E147B4" w:rsidRPr="007748D3">
        <w:rPr>
          <w:rFonts w:eastAsia="Times New Roman"/>
          <w:color w:val="3B3B3B"/>
          <w:szCs w:val="22"/>
          <w:lang w:eastAsia="en-US"/>
        </w:rPr>
        <w:t xml:space="preserve"> sobre la utilización de la propiedad intelectual (en todas sus formas) en la transferencia de tecnología en el marco del punto del orden del día </w:t>
      </w:r>
      <w:r w:rsidR="0030493B" w:rsidRPr="007748D3">
        <w:rPr>
          <w:rFonts w:eastAsia="Times New Roman"/>
          <w:color w:val="3B3B3B"/>
          <w:szCs w:val="22"/>
          <w:lang w:eastAsia="en-US"/>
        </w:rPr>
        <w:t xml:space="preserve">sobre </w:t>
      </w:r>
      <w:r w:rsidR="00E147B4" w:rsidRPr="007748D3">
        <w:rPr>
          <w:rFonts w:eastAsia="Times New Roman"/>
          <w:color w:val="3B3B3B"/>
          <w:szCs w:val="22"/>
          <w:lang w:eastAsia="en-US"/>
        </w:rPr>
        <w:t>la propie</w:t>
      </w:r>
      <w:r w:rsidR="0030493B" w:rsidRPr="007748D3">
        <w:rPr>
          <w:rFonts w:eastAsia="Times New Roman"/>
          <w:color w:val="3B3B3B"/>
          <w:szCs w:val="22"/>
          <w:lang w:eastAsia="en-US"/>
        </w:rPr>
        <w:t>dad intelectual y el desarrollo</w:t>
      </w:r>
      <w:r w:rsidR="00E050DB" w:rsidRPr="007748D3">
        <w:rPr>
          <w:rFonts w:eastAsia="Times New Roman"/>
          <w:color w:val="3B3B3B"/>
          <w:szCs w:val="22"/>
          <w:lang w:eastAsia="en-US"/>
        </w:rPr>
        <w:t>.</w:t>
      </w:r>
    </w:p>
    <w:p w:rsidR="00E050DB" w:rsidRPr="007748D3" w:rsidRDefault="00E050DB" w:rsidP="00EF7E14">
      <w:pPr>
        <w:numPr>
          <w:ilvl w:val="0"/>
          <w:numId w:val="15"/>
        </w:numPr>
        <w:spacing w:after="240" w:line="276" w:lineRule="auto"/>
        <w:ind w:left="714" w:hanging="357"/>
        <w:rPr>
          <w:rFonts w:eastAsia="Times New Roman"/>
          <w:color w:val="3B3B3B"/>
          <w:szCs w:val="22"/>
          <w:lang w:eastAsia="en-US"/>
        </w:rPr>
      </w:pPr>
      <w:r w:rsidRPr="007748D3">
        <w:rPr>
          <w:rFonts w:eastAsia="Times New Roman"/>
          <w:color w:val="3B3B3B"/>
          <w:szCs w:val="22"/>
          <w:lang w:eastAsia="en-US"/>
        </w:rPr>
        <w:t>Número de debates sustantivos en el SCP sobre la utilización de las patentes en la transferencia de tecnología en el marco del punto del orden del día sobre la transferencia de tecnología.</w:t>
      </w:r>
    </w:p>
    <w:p w:rsidR="00EF7E14" w:rsidRPr="007748D3" w:rsidRDefault="00E050DB" w:rsidP="00E050DB">
      <w:pPr>
        <w:numPr>
          <w:ilvl w:val="0"/>
          <w:numId w:val="15"/>
        </w:numPr>
        <w:spacing w:after="240" w:line="276" w:lineRule="auto"/>
        <w:ind w:left="714" w:hanging="357"/>
        <w:rPr>
          <w:rFonts w:eastAsia="Times New Roman"/>
          <w:color w:val="3B3B3B"/>
          <w:szCs w:val="22"/>
          <w:lang w:eastAsia="en-US"/>
        </w:rPr>
      </w:pPr>
      <w:r w:rsidRPr="007748D3">
        <w:rPr>
          <w:rFonts w:eastAsia="Times New Roman"/>
          <w:color w:val="3B3B3B"/>
          <w:szCs w:val="22"/>
          <w:lang w:eastAsia="en-US"/>
        </w:rPr>
        <w:t>Número de debates sustantivos en el SCT sobre la utilización de los dibujos o modelos en la transferencia de tecnología en el marco del punto del orden del día sobre la transferencia de tecnología.</w:t>
      </w:r>
    </w:p>
    <w:p w:rsidR="00E050DB" w:rsidRPr="007748D3" w:rsidRDefault="00E050DB" w:rsidP="00EF7E14">
      <w:pPr>
        <w:spacing w:after="240" w:line="276" w:lineRule="auto"/>
        <w:rPr>
          <w:rFonts w:eastAsia="Times New Roman"/>
          <w:b/>
          <w:color w:val="3B3B3B"/>
          <w:szCs w:val="22"/>
          <w:lang w:eastAsia="en-US"/>
        </w:rPr>
      </w:pPr>
    </w:p>
    <w:p w:rsidR="00EF7E14" w:rsidRP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30:</w:t>
      </w:r>
    </w:p>
    <w:p w:rsidR="00231E68" w:rsidRPr="007748D3" w:rsidRDefault="00231E68" w:rsidP="00EF7E14">
      <w:pPr>
        <w:spacing w:after="240" w:line="276" w:lineRule="auto"/>
        <w:rPr>
          <w:rFonts w:eastAsia="Times New Roman"/>
          <w:color w:val="3B3B3B"/>
          <w:szCs w:val="22"/>
          <w:lang w:eastAsia="en-US"/>
        </w:rPr>
      </w:pPr>
      <w:r w:rsidRPr="007748D3">
        <w:rPr>
          <w:rFonts w:eastAsia="Times New Roman"/>
          <w:color w:val="3B3B3B"/>
          <w:szCs w:val="22"/>
          <w:lang w:eastAsia="en-US"/>
        </w:rPr>
        <w:t>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EF7E14" w:rsidRPr="007748D3" w:rsidRDefault="00D57E6C" w:rsidP="00EF7E14">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EF7E14" w:rsidRPr="007748D3" w:rsidRDefault="00BA2F4B" w:rsidP="00BA2F4B">
      <w:pPr>
        <w:numPr>
          <w:ilvl w:val="0"/>
          <w:numId w:val="18"/>
        </w:numPr>
        <w:spacing w:after="240" w:line="276" w:lineRule="auto"/>
        <w:rPr>
          <w:rFonts w:eastAsia="Times New Roman"/>
          <w:color w:val="3B3B3B"/>
          <w:szCs w:val="22"/>
          <w:lang w:eastAsia="en-US"/>
        </w:rPr>
      </w:pPr>
      <w:r w:rsidRPr="007748D3">
        <w:rPr>
          <w:rFonts w:eastAsia="Times New Roman"/>
          <w:color w:val="3B3B3B"/>
          <w:szCs w:val="22"/>
          <w:lang w:eastAsia="en-US"/>
        </w:rPr>
        <w:t>Número de empresas comerciales con mot</w:t>
      </w:r>
      <w:r w:rsidR="0030493B" w:rsidRPr="007748D3">
        <w:rPr>
          <w:rFonts w:eastAsia="Times New Roman"/>
          <w:color w:val="3B3B3B"/>
          <w:szCs w:val="22"/>
          <w:lang w:eastAsia="en-US"/>
        </w:rPr>
        <w:t>ores de búsqueda de PI que ofrezcan un</w:t>
      </w:r>
      <w:r w:rsidRPr="007748D3">
        <w:rPr>
          <w:rFonts w:eastAsia="Times New Roman"/>
          <w:color w:val="3B3B3B"/>
          <w:szCs w:val="22"/>
          <w:lang w:eastAsia="en-US"/>
        </w:rPr>
        <w:t xml:space="preserve"> acceso preferente o un costo reducido a los países en desarrollo y a los menos adelantados.</w:t>
      </w:r>
    </w:p>
    <w:p w:rsidR="00BA2F4B" w:rsidRPr="007748D3" w:rsidRDefault="00BA2F4B" w:rsidP="00EF7E14">
      <w:pPr>
        <w:spacing w:after="240" w:line="276" w:lineRule="auto"/>
        <w:jc w:val="both"/>
        <w:rPr>
          <w:rFonts w:eastAsia="Times New Roman"/>
          <w:b/>
          <w:color w:val="3B3B3B"/>
          <w:szCs w:val="22"/>
          <w:lang w:eastAsia="en-US"/>
        </w:rPr>
      </w:pPr>
    </w:p>
    <w:p w:rsidR="00EF7E14" w:rsidRPr="007748D3" w:rsidRDefault="00D57E6C" w:rsidP="00EF7E14">
      <w:pPr>
        <w:spacing w:after="240" w:line="276" w:lineRule="auto"/>
        <w:jc w:val="both"/>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31:</w:t>
      </w:r>
    </w:p>
    <w:p w:rsidR="00EF7E14" w:rsidRPr="007748D3" w:rsidRDefault="00231E68" w:rsidP="00EF7E14">
      <w:pPr>
        <w:spacing w:after="240" w:line="276" w:lineRule="auto"/>
        <w:rPr>
          <w:rFonts w:eastAsia="Times New Roman"/>
          <w:color w:val="3B3B3B"/>
          <w:szCs w:val="22"/>
          <w:lang w:eastAsia="en-US"/>
        </w:rPr>
      </w:pPr>
      <w:r w:rsidRPr="007748D3">
        <w:rPr>
          <w:rFonts w:eastAsia="Times New Roman"/>
          <w:color w:val="3B3B3B"/>
          <w:szCs w:val="22"/>
          <w:lang w:eastAsia="en-US"/>
        </w:rPr>
        <w:t>Emprender las iniciativas adoptadas por los Estados miembros que contribuyen a la transferencia de tecnología a los países en desarrollo, tales como solicitar a la OMPI que proporcione mejor acceso a la información publicada sobre patentes.</w:t>
      </w:r>
    </w:p>
    <w:p w:rsidR="00D57E6C" w:rsidRPr="007748D3" w:rsidRDefault="00D57E6C" w:rsidP="00EF7E14">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BA2F4B" w:rsidRPr="007748D3" w:rsidRDefault="00EF7E14" w:rsidP="00EF7E14">
      <w:pPr>
        <w:numPr>
          <w:ilvl w:val="0"/>
          <w:numId w:val="17"/>
        </w:numPr>
        <w:spacing w:after="240" w:line="276" w:lineRule="auto"/>
        <w:rPr>
          <w:rFonts w:eastAsia="Times New Roman"/>
          <w:color w:val="3B3B3B"/>
          <w:szCs w:val="22"/>
          <w:lang w:eastAsia="en-US"/>
        </w:rPr>
      </w:pPr>
      <w:r w:rsidRPr="007748D3">
        <w:rPr>
          <w:rFonts w:eastAsia="Times New Roman"/>
          <w:color w:val="3B3B3B"/>
          <w:szCs w:val="22"/>
          <w:lang w:eastAsia="en-US"/>
        </w:rPr>
        <w:t>N</w:t>
      </w:r>
      <w:r w:rsidR="00BA2F4B" w:rsidRPr="007748D3">
        <w:rPr>
          <w:rFonts w:eastAsia="Times New Roman"/>
          <w:color w:val="3B3B3B"/>
          <w:szCs w:val="22"/>
          <w:lang w:eastAsia="en-US"/>
        </w:rPr>
        <w:t>úmero de consorcios de patentes disponibles en los ámbitos de i) la salud; ii) las tecnologías de mitigación del cambio climático; y iii) las tecnologías de saneamiento de aguas y eliminación de residuos.</w:t>
      </w:r>
    </w:p>
    <w:p w:rsidR="00EF7E14" w:rsidRPr="007748D3" w:rsidRDefault="00BA2F4B" w:rsidP="00247ED7">
      <w:pPr>
        <w:numPr>
          <w:ilvl w:val="0"/>
          <w:numId w:val="17"/>
        </w:numPr>
        <w:spacing w:after="240" w:line="276" w:lineRule="auto"/>
        <w:rPr>
          <w:rFonts w:eastAsia="Times New Roman"/>
          <w:color w:val="3B3B3B"/>
          <w:szCs w:val="22"/>
          <w:lang w:eastAsia="en-US"/>
        </w:rPr>
      </w:pPr>
      <w:r w:rsidRPr="007748D3">
        <w:rPr>
          <w:rFonts w:eastAsia="Times New Roman"/>
          <w:color w:val="3B3B3B"/>
          <w:szCs w:val="22"/>
          <w:lang w:eastAsia="en-US"/>
        </w:rPr>
        <w:t>Número de iniciativas de fortalecimiento de capacidades emprendidas en relación con el uso de la información en el dominio público.</w:t>
      </w:r>
    </w:p>
    <w:p w:rsidR="00247ED7" w:rsidRPr="007748D3" w:rsidRDefault="00247ED7" w:rsidP="00EF7E14">
      <w:pPr>
        <w:spacing w:after="240" w:line="276" w:lineRule="auto"/>
        <w:rPr>
          <w:rFonts w:eastAsia="Times New Roman"/>
          <w:b/>
          <w:color w:val="3B3B3B"/>
          <w:szCs w:val="22"/>
          <w:lang w:eastAsia="en-US"/>
        </w:rPr>
      </w:pPr>
    </w:p>
    <w:p w:rsidR="007748D3" w:rsidRDefault="00D57E6C" w:rsidP="00EF7E14">
      <w:pPr>
        <w:spacing w:after="240" w:line="276" w:lineRule="auto"/>
        <w:rPr>
          <w:rFonts w:eastAsia="Times New Roman"/>
          <w:b/>
          <w:color w:val="3B3B3B"/>
          <w:szCs w:val="22"/>
          <w:lang w:eastAsia="en-US"/>
        </w:rPr>
      </w:pPr>
      <w:r w:rsidRPr="007748D3">
        <w:rPr>
          <w:rFonts w:eastAsia="Times New Roman"/>
          <w:b/>
          <w:color w:val="3B3B3B"/>
          <w:szCs w:val="22"/>
          <w:lang w:eastAsia="en-US"/>
        </w:rPr>
        <w:t xml:space="preserve">Recomendación </w:t>
      </w:r>
      <w:r w:rsidR="00EF7E14" w:rsidRPr="007748D3">
        <w:rPr>
          <w:rFonts w:eastAsia="Times New Roman"/>
          <w:b/>
          <w:color w:val="3B3B3B"/>
          <w:szCs w:val="22"/>
          <w:lang w:eastAsia="en-US"/>
        </w:rPr>
        <w:t>32:</w:t>
      </w:r>
    </w:p>
    <w:p w:rsidR="00231E68" w:rsidRPr="007748D3" w:rsidRDefault="00231E68" w:rsidP="00231E68">
      <w:pPr>
        <w:spacing w:after="240" w:line="276" w:lineRule="auto"/>
        <w:rPr>
          <w:rFonts w:eastAsia="Times New Roman"/>
          <w:color w:val="3B3B3B"/>
          <w:szCs w:val="22"/>
          <w:lang w:eastAsia="en-US"/>
        </w:rPr>
      </w:pPr>
      <w:r w:rsidRPr="007748D3">
        <w:rPr>
          <w:rFonts w:eastAsia="Times New Roman"/>
          <w:color w:val="3B3B3B"/>
          <w:szCs w:val="22"/>
          <w:lang w:eastAsia="en-US"/>
        </w:rPr>
        <w:t xml:space="preserve">Contar con la posibilidad de intercambiar, </w:t>
      </w:r>
      <w:r w:rsidRPr="007748D3">
        <w:rPr>
          <w:rFonts w:eastAsia="Times New Roman"/>
          <w:color w:val="3B3B3B"/>
          <w:szCs w:val="22"/>
          <w:u w:val="single"/>
          <w:lang w:eastAsia="en-US"/>
        </w:rPr>
        <w:t>en el seno de la OMPI</w:t>
      </w:r>
      <w:r w:rsidRPr="007748D3">
        <w:rPr>
          <w:rFonts w:eastAsia="Times New Roman"/>
          <w:color w:val="3B3B3B"/>
          <w:szCs w:val="22"/>
          <w:lang w:eastAsia="en-US"/>
        </w:rPr>
        <w:t>, las experiencias e información, en los ámbitos nacional y regional, sobre la relación existente entre los derechos de PI y las políticas de competencia.</w:t>
      </w:r>
    </w:p>
    <w:p w:rsidR="00D57E6C" w:rsidRPr="007748D3" w:rsidRDefault="00D57E6C" w:rsidP="00D57E6C">
      <w:pPr>
        <w:spacing w:after="240" w:line="276" w:lineRule="auto"/>
        <w:rPr>
          <w:rFonts w:eastAsia="Times New Roman"/>
          <w:color w:val="3B3B3B"/>
          <w:szCs w:val="22"/>
          <w:lang w:eastAsia="en-US"/>
        </w:rPr>
      </w:pPr>
      <w:r w:rsidRPr="007748D3">
        <w:rPr>
          <w:rFonts w:eastAsia="Times New Roman"/>
          <w:color w:val="3B3B3B"/>
          <w:szCs w:val="22"/>
          <w:lang w:eastAsia="en-US"/>
        </w:rPr>
        <w:t>Indicador o indicadores propuestos:</w:t>
      </w:r>
    </w:p>
    <w:p w:rsidR="00247ED7" w:rsidRPr="007748D3" w:rsidRDefault="00EF7E14" w:rsidP="00EF7E14">
      <w:pPr>
        <w:numPr>
          <w:ilvl w:val="0"/>
          <w:numId w:val="16"/>
        </w:numPr>
        <w:spacing w:before="100" w:beforeAutospacing="1" w:after="240" w:line="276" w:lineRule="auto"/>
        <w:rPr>
          <w:rFonts w:eastAsia="Times New Roman"/>
          <w:color w:val="000000"/>
          <w:szCs w:val="22"/>
          <w:lang w:eastAsia="en-US"/>
        </w:rPr>
      </w:pPr>
      <w:r w:rsidRPr="007748D3">
        <w:rPr>
          <w:rFonts w:eastAsia="Times New Roman"/>
          <w:color w:val="000000"/>
          <w:szCs w:val="22"/>
          <w:lang w:eastAsia="en-US"/>
        </w:rPr>
        <w:t>N</w:t>
      </w:r>
      <w:r w:rsidR="00247ED7" w:rsidRPr="007748D3">
        <w:rPr>
          <w:rFonts w:eastAsia="Times New Roman"/>
          <w:color w:val="000000"/>
          <w:szCs w:val="22"/>
          <w:lang w:eastAsia="en-US"/>
        </w:rPr>
        <w:t xml:space="preserve">úmero de conferencias bienales </w:t>
      </w:r>
      <w:r w:rsidRPr="007748D3">
        <w:rPr>
          <w:rFonts w:eastAsia="Times New Roman"/>
          <w:color w:val="000000"/>
          <w:szCs w:val="22"/>
          <w:lang w:eastAsia="en-US"/>
        </w:rPr>
        <w:t>o</w:t>
      </w:r>
      <w:r w:rsidR="00247ED7" w:rsidRPr="007748D3">
        <w:rPr>
          <w:rFonts w:eastAsia="Times New Roman"/>
          <w:color w:val="000000"/>
          <w:szCs w:val="22"/>
          <w:lang w:eastAsia="en-US"/>
        </w:rPr>
        <w:t xml:space="preserve"> mesas redondas para el intercambio de información sobre los derechos de </w:t>
      </w:r>
      <w:r w:rsidR="00972C90" w:rsidRPr="007748D3">
        <w:rPr>
          <w:rFonts w:eastAsia="Times New Roman"/>
          <w:color w:val="000000"/>
          <w:szCs w:val="22"/>
          <w:lang w:eastAsia="en-US"/>
        </w:rPr>
        <w:t>PI</w:t>
      </w:r>
      <w:r w:rsidR="00247ED7" w:rsidRPr="007748D3">
        <w:rPr>
          <w:rFonts w:eastAsia="Times New Roman"/>
          <w:color w:val="000000"/>
          <w:szCs w:val="22"/>
          <w:lang w:eastAsia="en-US"/>
        </w:rPr>
        <w:t xml:space="preserve"> y las políticas de competencia.</w:t>
      </w:r>
    </w:p>
    <w:p w:rsidR="00247ED7" w:rsidRPr="007748D3" w:rsidRDefault="00247ED7" w:rsidP="00EF7E14">
      <w:pPr>
        <w:numPr>
          <w:ilvl w:val="0"/>
          <w:numId w:val="16"/>
        </w:numPr>
        <w:spacing w:before="100" w:beforeAutospacing="1" w:after="240" w:line="276" w:lineRule="auto"/>
        <w:rPr>
          <w:rFonts w:eastAsia="Times New Roman"/>
          <w:color w:val="000000"/>
          <w:szCs w:val="22"/>
          <w:lang w:eastAsia="en-US"/>
        </w:rPr>
      </w:pPr>
      <w:r w:rsidRPr="007748D3">
        <w:rPr>
          <w:rFonts w:eastAsia="Times New Roman"/>
          <w:color w:val="000000"/>
          <w:szCs w:val="22"/>
          <w:lang w:eastAsia="en-US"/>
        </w:rPr>
        <w:t xml:space="preserve">Número de estudios de caso </w:t>
      </w:r>
      <w:r w:rsidR="00972C90" w:rsidRPr="007748D3">
        <w:rPr>
          <w:rFonts w:eastAsia="Times New Roman"/>
          <w:color w:val="000000"/>
          <w:szCs w:val="22"/>
          <w:lang w:eastAsia="en-US"/>
        </w:rPr>
        <w:t>o co</w:t>
      </w:r>
      <w:r w:rsidR="0048290D" w:rsidRPr="007748D3">
        <w:rPr>
          <w:rFonts w:eastAsia="Times New Roman"/>
          <w:color w:val="000000"/>
          <w:szCs w:val="22"/>
          <w:lang w:eastAsia="en-US"/>
        </w:rPr>
        <w:t>mpendios en los que se determine</w:t>
      </w:r>
      <w:r w:rsidR="00972C90" w:rsidRPr="007748D3">
        <w:rPr>
          <w:rFonts w:eastAsia="Times New Roman"/>
          <w:color w:val="000000"/>
          <w:szCs w:val="22"/>
          <w:lang w:eastAsia="en-US"/>
        </w:rPr>
        <w:t>n las dificultades y los desafíos a los que se hace frente en las negociaciones en torno a los derechos de PI y las políticas de competencia.</w:t>
      </w:r>
    </w:p>
    <w:p w:rsidR="00EF7E14" w:rsidRPr="007748D3" w:rsidRDefault="00972C90" w:rsidP="00EF7E14">
      <w:pPr>
        <w:numPr>
          <w:ilvl w:val="0"/>
          <w:numId w:val="16"/>
        </w:numPr>
        <w:spacing w:before="100" w:beforeAutospacing="1" w:after="240" w:line="276" w:lineRule="auto"/>
        <w:rPr>
          <w:rFonts w:eastAsia="Times New Roman"/>
          <w:color w:val="000000"/>
          <w:szCs w:val="22"/>
          <w:lang w:eastAsia="en-US"/>
        </w:rPr>
      </w:pPr>
      <w:r w:rsidRPr="007748D3">
        <w:rPr>
          <w:rFonts w:eastAsia="Times New Roman"/>
          <w:color w:val="000000"/>
          <w:szCs w:val="22"/>
          <w:lang w:eastAsia="en-US"/>
        </w:rPr>
        <w:t>El número de anexos específicos de cada país en los que se proporcione información detallada sobre la relación entre los derechos de PI y las políticas de competencia.</w:t>
      </w:r>
    </w:p>
    <w:p w:rsidR="00EF7E14" w:rsidRPr="007748D3" w:rsidRDefault="00EF7E14" w:rsidP="00EF7E14">
      <w:pPr>
        <w:rPr>
          <w:rFonts w:eastAsia="Times New Roman"/>
          <w:color w:val="000000"/>
          <w:szCs w:val="22"/>
          <w:lang w:eastAsia="en-US"/>
        </w:rPr>
      </w:pPr>
    </w:p>
    <w:p w:rsidR="00EF7E14" w:rsidRPr="007748D3" w:rsidRDefault="00EF7E14" w:rsidP="00EF7E14">
      <w:pPr>
        <w:rPr>
          <w:rFonts w:eastAsia="Times New Roman"/>
          <w:color w:val="000000"/>
          <w:szCs w:val="22"/>
          <w:lang w:eastAsia="en-US"/>
        </w:rPr>
      </w:pPr>
    </w:p>
    <w:p w:rsidR="00152CEA" w:rsidRPr="007748D3" w:rsidRDefault="00EF7E14" w:rsidP="005213BA">
      <w:pPr>
        <w:pStyle w:val="Endofdocument-Annex"/>
        <w:rPr>
          <w:b/>
          <w:lang w:val="es-ES"/>
        </w:rPr>
      </w:pPr>
      <w:r w:rsidRPr="007748D3">
        <w:rPr>
          <w:lang w:val="es-ES"/>
        </w:rPr>
        <w:t>[</w:t>
      </w:r>
      <w:r w:rsidR="00D57E6C" w:rsidRPr="007748D3">
        <w:rPr>
          <w:lang w:val="es-ES"/>
        </w:rPr>
        <w:t>Fin del Anexo</w:t>
      </w:r>
      <w:r w:rsidRPr="007748D3">
        <w:rPr>
          <w:lang w:val="es-ES"/>
        </w:rPr>
        <w:t xml:space="preserve"> </w:t>
      </w:r>
      <w:r w:rsidRPr="007748D3">
        <w:rPr>
          <w:bCs/>
          <w:caps/>
          <w:lang w:val="es-ES"/>
        </w:rPr>
        <w:t>III</w:t>
      </w:r>
      <w:r w:rsidR="00D57E6C" w:rsidRPr="007748D3">
        <w:rPr>
          <w:b/>
          <w:caps/>
          <w:lang w:val="es-ES"/>
        </w:rPr>
        <w:t xml:space="preserve"> </w:t>
      </w:r>
      <w:r w:rsidR="00D57E6C" w:rsidRPr="007748D3">
        <w:rPr>
          <w:lang w:val="es-ES"/>
        </w:rPr>
        <w:t>y del documento</w:t>
      </w:r>
      <w:r w:rsidRPr="007748D3">
        <w:rPr>
          <w:lang w:val="es-ES"/>
        </w:rPr>
        <w:t>]</w:t>
      </w:r>
    </w:p>
    <w:sectPr w:rsidR="00152CEA" w:rsidRPr="007748D3" w:rsidSect="00EF7E14">
      <w:headerReference w:type="default" r:id="rId24"/>
      <w:headerReference w:type="first" r:id="rId2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CC2" w:rsidRDefault="00241CC2">
      <w:r>
        <w:separator/>
      </w:r>
    </w:p>
  </w:endnote>
  <w:endnote w:type="continuationSeparator" w:id="0">
    <w:p w:rsidR="00241CC2" w:rsidRPr="009D30E6" w:rsidRDefault="00241CC2" w:rsidP="007E663E">
      <w:pPr>
        <w:rPr>
          <w:sz w:val="17"/>
          <w:szCs w:val="17"/>
        </w:rPr>
      </w:pPr>
      <w:r w:rsidRPr="009D30E6">
        <w:rPr>
          <w:sz w:val="17"/>
          <w:szCs w:val="17"/>
        </w:rPr>
        <w:separator/>
      </w:r>
    </w:p>
    <w:p w:rsidR="00241CC2" w:rsidRPr="007E663E" w:rsidRDefault="00241CC2" w:rsidP="007E663E">
      <w:pPr>
        <w:spacing w:after="60"/>
        <w:rPr>
          <w:sz w:val="17"/>
          <w:szCs w:val="17"/>
        </w:rPr>
      </w:pPr>
      <w:r>
        <w:rPr>
          <w:sz w:val="17"/>
        </w:rPr>
        <w:t>[Continuación de la nota de la página anterior]</w:t>
      </w:r>
    </w:p>
  </w:endnote>
  <w:endnote w:type="continuationNotice" w:id="1">
    <w:p w:rsidR="00241CC2" w:rsidRPr="007E663E" w:rsidRDefault="00241CC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585" w:rsidRPr="009A4585" w:rsidRDefault="009A4585" w:rsidP="009A4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CC2" w:rsidRDefault="00241CC2">
      <w:r>
        <w:separator/>
      </w:r>
    </w:p>
  </w:footnote>
  <w:footnote w:type="continuationSeparator" w:id="0">
    <w:p w:rsidR="00241CC2" w:rsidRPr="009D30E6" w:rsidRDefault="00241CC2" w:rsidP="007E663E">
      <w:pPr>
        <w:rPr>
          <w:sz w:val="17"/>
          <w:szCs w:val="17"/>
        </w:rPr>
      </w:pPr>
      <w:r w:rsidRPr="009D30E6">
        <w:rPr>
          <w:sz w:val="17"/>
          <w:szCs w:val="17"/>
        </w:rPr>
        <w:separator/>
      </w:r>
    </w:p>
    <w:p w:rsidR="00241CC2" w:rsidRPr="007E663E" w:rsidRDefault="00241CC2" w:rsidP="007E663E">
      <w:pPr>
        <w:spacing w:after="60"/>
        <w:rPr>
          <w:sz w:val="17"/>
          <w:szCs w:val="17"/>
        </w:rPr>
      </w:pPr>
      <w:r>
        <w:rPr>
          <w:sz w:val="17"/>
        </w:rPr>
        <w:t>[Continuación de la nota de la página anterior]</w:t>
      </w:r>
    </w:p>
  </w:footnote>
  <w:footnote w:type="continuationNotice" w:id="1">
    <w:p w:rsidR="00241CC2" w:rsidRPr="007E663E" w:rsidRDefault="00241CC2" w:rsidP="007E663E">
      <w:pPr>
        <w:spacing w:before="60"/>
        <w:jc w:val="right"/>
        <w:rPr>
          <w:sz w:val="17"/>
          <w:szCs w:val="17"/>
        </w:rPr>
      </w:pPr>
      <w:r w:rsidRPr="007E663E">
        <w:rPr>
          <w:sz w:val="17"/>
          <w:szCs w:val="17"/>
        </w:rPr>
        <w:t>[Sigue la nota en la página siguiente]</w:t>
      </w:r>
    </w:p>
  </w:footnote>
  <w:footnote w:id="2">
    <w:p w:rsidR="007748D3" w:rsidRDefault="00EA2B88" w:rsidP="00EA2B88">
      <w:pPr>
        <w:pStyle w:val="NormalWeb"/>
        <w:jc w:val="both"/>
        <w:rPr>
          <w:rFonts w:ascii="Arial" w:hAnsi="Arial" w:cs="Arial"/>
          <w:sz w:val="18"/>
          <w:szCs w:val="18"/>
          <w:lang w:val="es-ES"/>
        </w:rPr>
      </w:pPr>
      <w:r w:rsidRPr="00A1510E">
        <w:rPr>
          <w:rStyle w:val="FootnoteReference"/>
          <w:rFonts w:ascii="Arial" w:hAnsi="Arial" w:cs="Arial"/>
          <w:sz w:val="18"/>
          <w:szCs w:val="18"/>
        </w:rPr>
        <w:footnoteRef/>
      </w:r>
      <w:r w:rsidRPr="00EA2B88">
        <w:rPr>
          <w:rFonts w:ascii="Arial" w:hAnsi="Arial" w:cs="Arial"/>
          <w:sz w:val="18"/>
          <w:szCs w:val="18"/>
          <w:lang w:val="es-ES"/>
        </w:rPr>
        <w:t xml:space="preserve"> A</w:t>
      </w:r>
      <w:r w:rsidR="00C61057">
        <w:rPr>
          <w:rFonts w:ascii="Arial" w:hAnsi="Arial" w:cs="Arial"/>
          <w:sz w:val="18"/>
          <w:szCs w:val="18"/>
          <w:lang w:val="es-ES"/>
        </w:rPr>
        <w:t xml:space="preserve"> continuación se presentan algunos extractos de </w:t>
      </w:r>
      <w:r w:rsidRPr="00EA2B88">
        <w:rPr>
          <w:rFonts w:ascii="Arial" w:hAnsi="Arial" w:cs="Arial"/>
          <w:sz w:val="18"/>
          <w:szCs w:val="18"/>
          <w:lang w:val="es-ES"/>
        </w:rPr>
        <w:t>los resultados:</w:t>
      </w:r>
    </w:p>
    <w:p w:rsidR="00EA2B88" w:rsidRPr="008D2D23" w:rsidRDefault="00EA2B88" w:rsidP="00EA2B88">
      <w:pPr>
        <w:pStyle w:val="NormalWeb"/>
        <w:rPr>
          <w:rFonts w:ascii="Arial" w:hAnsi="Arial" w:cs="Arial"/>
          <w:sz w:val="18"/>
          <w:szCs w:val="18"/>
          <w:lang w:val="es-ES"/>
        </w:rPr>
      </w:pPr>
      <w:r w:rsidRPr="00EA2B88">
        <w:rPr>
          <w:rFonts w:ascii="Arial" w:hAnsi="Arial" w:cs="Arial"/>
          <w:sz w:val="18"/>
          <w:szCs w:val="18"/>
          <w:lang w:val="es-ES"/>
        </w:rPr>
        <w:t>Resultado 3 -</w:t>
      </w:r>
      <w:r w:rsidRPr="00EA2B88">
        <w:rPr>
          <w:rFonts w:ascii="Arial" w:hAnsi="Arial" w:cs="Arial"/>
          <w:color w:val="0C3F00"/>
          <w:sz w:val="18"/>
          <w:szCs w:val="18"/>
          <w:lang w:val="es-ES"/>
        </w:rPr>
        <w:t xml:space="preserve"> </w:t>
      </w:r>
      <w:r w:rsidRPr="008D2D23">
        <w:rPr>
          <w:rFonts w:ascii="Arial" w:hAnsi="Arial" w:cs="Arial"/>
          <w:sz w:val="18"/>
          <w:szCs w:val="18"/>
          <w:lang w:val="es-ES"/>
        </w:rPr>
        <w:t>A dicho efecto, debemos integrar una perspectiva de igualdad de género y utilizar las TIC como un instrumento para conseguir este objetivo;</w:t>
      </w:r>
    </w:p>
    <w:p w:rsidR="00EA2B88" w:rsidRPr="008D2D23" w:rsidRDefault="00EA2B88" w:rsidP="00EA2B88">
      <w:pPr>
        <w:pStyle w:val="NormalWeb"/>
        <w:rPr>
          <w:rFonts w:ascii="Arial" w:hAnsi="Arial" w:cs="Arial"/>
          <w:sz w:val="18"/>
          <w:szCs w:val="18"/>
          <w:lang w:val="es-ES"/>
        </w:rPr>
      </w:pPr>
      <w:r w:rsidRPr="008D2D23">
        <w:rPr>
          <w:rFonts w:ascii="Arial" w:hAnsi="Arial" w:cs="Arial"/>
          <w:sz w:val="18"/>
          <w:szCs w:val="18"/>
          <w:lang w:val="es-ES"/>
        </w:rPr>
        <w:t>Resultado 4 - Reconocemos y somos conscientes de que los problemas para el cierre de la brecha digital aún no se han resuelto adecuadamente, para lo que se necesitan inversiones sustanciales en infraestructura y servicios de TIC, capacitación, transmisión de conocimientos técnicos y promoción de la transferencia de tecnologías en términos mutuamente acordados.</w:t>
      </w:r>
    </w:p>
    <w:p w:rsidR="00EA2B88" w:rsidRPr="008D2D23" w:rsidRDefault="00EA2B88" w:rsidP="00EA2B88">
      <w:pPr>
        <w:pStyle w:val="NormalWeb"/>
        <w:rPr>
          <w:rFonts w:ascii="Arial" w:hAnsi="Arial" w:cs="Arial"/>
          <w:sz w:val="18"/>
          <w:szCs w:val="18"/>
          <w:lang w:val="es-ES"/>
        </w:rPr>
      </w:pPr>
      <w:r w:rsidRPr="008D2D23">
        <w:rPr>
          <w:rFonts w:ascii="Arial" w:hAnsi="Arial" w:cs="Arial"/>
          <w:sz w:val="18"/>
          <w:szCs w:val="18"/>
          <w:lang w:val="es-ES"/>
        </w:rPr>
        <w:t xml:space="preserve">Resultado 6 - </w:t>
      </w:r>
      <w:r w:rsidR="0048290D" w:rsidRPr="008D2D23">
        <w:rPr>
          <w:rFonts w:ascii="Arial" w:hAnsi="Arial" w:cs="Arial"/>
          <w:sz w:val="18"/>
          <w:szCs w:val="18"/>
          <w:lang w:val="es-ES"/>
        </w:rPr>
        <w:t>Se debe reconocer que las TIC son herramientas de empoderamiento y motor del crecimiento económico en pro del desarrollo, habida cuenta de la creciente importancia que están adquiriendo los contenidos y competencias pertinentes, así como la existencia de un entorno propicio.</w:t>
      </w:r>
    </w:p>
  </w:footnote>
  <w:footnote w:id="3">
    <w:p w:rsidR="00E050DB" w:rsidRPr="00E050DB" w:rsidRDefault="00E050DB" w:rsidP="00E050DB">
      <w:pPr>
        <w:pStyle w:val="FootnoteText"/>
        <w:jc w:val="both"/>
        <w:rPr>
          <w:szCs w:val="18"/>
        </w:rPr>
      </w:pPr>
      <w:r w:rsidRPr="003E624E">
        <w:rPr>
          <w:rStyle w:val="FootnoteReference"/>
          <w:szCs w:val="18"/>
        </w:rPr>
        <w:footnoteRef/>
      </w:r>
      <w:r w:rsidRPr="00E050DB">
        <w:rPr>
          <w:szCs w:val="18"/>
        </w:rPr>
        <w:t xml:space="preserve"> Basad</w:t>
      </w:r>
      <w:r>
        <w:rPr>
          <w:szCs w:val="18"/>
        </w:rPr>
        <w:t>os en las recomendaciones de los pr</w:t>
      </w:r>
      <w:r w:rsidRPr="0030493B">
        <w:rPr>
          <w:szCs w:val="18"/>
        </w:rPr>
        <w:t>oyectos específicos que ya se ha</w:t>
      </w:r>
      <w:r w:rsidR="0030493B" w:rsidRPr="0030493B">
        <w:rPr>
          <w:szCs w:val="18"/>
        </w:rPr>
        <w:t>ya</w:t>
      </w:r>
      <w:r w:rsidRPr="0030493B">
        <w:rPr>
          <w:szCs w:val="18"/>
        </w:rPr>
        <w:t>n llevado a cabo en el CDIP o en estudios de caso relacionados con experiencias</w:t>
      </w:r>
      <w:r>
        <w:rPr>
          <w:szCs w:val="18"/>
        </w:rPr>
        <w:t xml:space="preserve"> de transferencia de tecnología en el ámbito de la 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477D6B">
    <w:pPr>
      <w:jc w:val="right"/>
    </w:pPr>
    <w:r>
      <w:t>CDIP/18/4</w:t>
    </w:r>
  </w:p>
  <w:p w:rsidR="00E050DB" w:rsidRDefault="00EA3BFE" w:rsidP="00477D6B">
    <w:pPr>
      <w:jc w:val="right"/>
    </w:pPr>
    <w:r>
      <w:t xml:space="preserve">Anexo I, página </w:t>
    </w:r>
    <w:r>
      <w:fldChar w:fldCharType="begin"/>
    </w:r>
    <w:r>
      <w:instrText xml:space="preserve"> PAGE  \* MERGEFORMAT </w:instrText>
    </w:r>
    <w:r>
      <w:fldChar w:fldCharType="separate"/>
    </w:r>
    <w:r>
      <w:rPr>
        <w:noProof/>
      </w:rPr>
      <w:t>2</w:t>
    </w:r>
    <w:r>
      <w:fldChar w:fldCharType="end"/>
    </w:r>
  </w:p>
  <w:p w:rsidR="00E050DB" w:rsidRDefault="00E050D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477D6B">
    <w:pPr>
      <w:jc w:val="right"/>
    </w:pPr>
    <w:r>
      <w:t>CDIP/22/4</w:t>
    </w:r>
  </w:p>
  <w:p w:rsidR="00E050DB" w:rsidRDefault="00EA3BFE" w:rsidP="00040449">
    <w:pPr>
      <w:jc w:val="right"/>
    </w:pPr>
    <w:r>
      <w:t>Apéndice</w:t>
    </w:r>
    <w:r w:rsidR="00E050DB">
      <w:t xml:space="preserve"> I, page </w:t>
    </w:r>
    <w:r w:rsidR="00E050DB">
      <w:fldChar w:fldCharType="begin"/>
    </w:r>
    <w:r w:rsidR="00E050DB">
      <w:instrText xml:space="preserve"> PAGE  \* MERGEFORMAT </w:instrText>
    </w:r>
    <w:r w:rsidR="00E050DB">
      <w:fldChar w:fldCharType="separate"/>
    </w:r>
    <w:r w:rsidR="00E050DB">
      <w:rPr>
        <w:noProof/>
      </w:rPr>
      <w:t>5</w:t>
    </w:r>
    <w:r w:rsidR="00E050DB">
      <w:fldChar w:fldCharType="end"/>
    </w:r>
  </w:p>
  <w:p w:rsidR="00E050DB" w:rsidRDefault="00E050DB" w:rsidP="00477D6B">
    <w:pPr>
      <w:jc w:val="right"/>
    </w:pPr>
  </w:p>
  <w:p w:rsidR="00E050DB" w:rsidRDefault="00E050D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040449">
    <w:pPr>
      <w:pStyle w:val="Header"/>
      <w:jc w:val="right"/>
    </w:pPr>
    <w:r>
      <w:t>CDIP/22/7</w:t>
    </w:r>
  </w:p>
  <w:p w:rsidR="00E050DB" w:rsidRDefault="00E050DB" w:rsidP="00040449">
    <w:pPr>
      <w:pStyle w:val="Header"/>
      <w:jc w:val="right"/>
    </w:pPr>
    <w:r>
      <w:t>ANEXO I</w:t>
    </w:r>
  </w:p>
  <w:p w:rsidR="00E050DB" w:rsidRDefault="00E050DB" w:rsidP="0004044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040449">
    <w:pPr>
      <w:jc w:val="right"/>
    </w:pPr>
    <w:r>
      <w:t>CDIP/22/7</w:t>
    </w:r>
  </w:p>
  <w:p w:rsidR="00E050DB" w:rsidRDefault="00E050DB" w:rsidP="00040449">
    <w:pPr>
      <w:jc w:val="right"/>
    </w:pPr>
    <w:r>
      <w:t xml:space="preserve">Apéndice I, página </w:t>
    </w:r>
    <w:r>
      <w:fldChar w:fldCharType="begin"/>
    </w:r>
    <w:r>
      <w:instrText xml:space="preserve"> PAGE  \* MERGEFORMAT </w:instrText>
    </w:r>
    <w:r>
      <w:fldChar w:fldCharType="separate"/>
    </w:r>
    <w:r w:rsidR="00BB205A">
      <w:rPr>
        <w:noProof/>
      </w:rPr>
      <w:t>6</w:t>
    </w:r>
    <w:r>
      <w:fldChar w:fldCharType="end"/>
    </w:r>
  </w:p>
  <w:p w:rsidR="00E050DB" w:rsidRDefault="00E050DB" w:rsidP="00477D6B">
    <w:pPr>
      <w:jc w:val="right"/>
    </w:pPr>
  </w:p>
  <w:p w:rsidR="00E050DB" w:rsidRDefault="00E050D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040449">
    <w:pPr>
      <w:pStyle w:val="Header"/>
      <w:jc w:val="right"/>
    </w:pPr>
    <w:r>
      <w:t>CDIP/22/7</w:t>
    </w:r>
  </w:p>
  <w:p w:rsidR="00E050DB" w:rsidRDefault="00E050DB" w:rsidP="00040449">
    <w:pPr>
      <w:pStyle w:val="Header"/>
      <w:jc w:val="right"/>
    </w:pPr>
    <w:r>
      <w:t>APÉNDICE I</w:t>
    </w:r>
  </w:p>
  <w:p w:rsidR="00E050DB" w:rsidRDefault="00E050DB" w:rsidP="00040449">
    <w:pPr>
      <w:pStyle w:val="Header"/>
      <w:jc w:val="right"/>
    </w:pPr>
  </w:p>
  <w:p w:rsidR="00E050DB" w:rsidRDefault="00E050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477D6B">
    <w:pPr>
      <w:jc w:val="right"/>
    </w:pPr>
    <w:r>
      <w:t>CDIP/22/7</w:t>
    </w:r>
  </w:p>
  <w:p w:rsidR="00E050DB" w:rsidRDefault="00E050DB" w:rsidP="00477D6B">
    <w:pPr>
      <w:jc w:val="right"/>
    </w:pPr>
    <w:r>
      <w:t>Anexo II, página 2</w:t>
    </w:r>
  </w:p>
  <w:p w:rsidR="00E050DB" w:rsidRDefault="00E050DB" w:rsidP="00477D6B">
    <w:pPr>
      <w:jc w:val="right"/>
    </w:pPr>
  </w:p>
  <w:p w:rsidR="00E050DB" w:rsidRDefault="00E050D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040449">
    <w:pPr>
      <w:pStyle w:val="Header"/>
      <w:jc w:val="right"/>
    </w:pPr>
    <w:r>
      <w:t>CDIP/22/7</w:t>
    </w:r>
  </w:p>
  <w:p w:rsidR="00E050DB" w:rsidRDefault="00E050DB" w:rsidP="00040449">
    <w:pPr>
      <w:pStyle w:val="Header"/>
      <w:jc w:val="right"/>
    </w:pPr>
    <w:r>
      <w:t>ANEXO II</w:t>
    </w:r>
  </w:p>
  <w:p w:rsidR="00E050DB" w:rsidRPr="00D10829" w:rsidRDefault="00E050DB" w:rsidP="000404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477D6B">
    <w:pPr>
      <w:jc w:val="right"/>
    </w:pPr>
    <w:bookmarkStart w:id="6" w:name="Code2"/>
    <w:bookmarkEnd w:id="6"/>
    <w:r>
      <w:t>CDIP/22/7</w:t>
    </w:r>
  </w:p>
  <w:p w:rsidR="00E050DB" w:rsidRDefault="00E050DB" w:rsidP="00477D6B">
    <w:pPr>
      <w:jc w:val="right"/>
    </w:pPr>
    <w:r>
      <w:t xml:space="preserve">Anexo III, página </w:t>
    </w:r>
    <w:r>
      <w:fldChar w:fldCharType="begin"/>
    </w:r>
    <w:r>
      <w:instrText xml:space="preserve"> PAGE  \* MERGEFORMAT </w:instrText>
    </w:r>
    <w:r>
      <w:fldChar w:fldCharType="separate"/>
    </w:r>
    <w:r w:rsidR="00BB205A">
      <w:rPr>
        <w:noProof/>
      </w:rPr>
      <w:t>5</w:t>
    </w:r>
    <w:r>
      <w:fldChar w:fldCharType="end"/>
    </w:r>
  </w:p>
  <w:p w:rsidR="00E050DB" w:rsidRDefault="00E050D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0DB" w:rsidRDefault="00E050DB" w:rsidP="00040449">
    <w:pPr>
      <w:pStyle w:val="Header"/>
      <w:jc w:val="right"/>
    </w:pPr>
    <w:r>
      <w:t>CDIP/22/7</w:t>
    </w:r>
  </w:p>
  <w:p w:rsidR="00E050DB" w:rsidRDefault="00E050DB" w:rsidP="00040449">
    <w:pPr>
      <w:pStyle w:val="Header"/>
      <w:jc w:val="right"/>
    </w:pPr>
    <w:r>
      <w:t>ANEXO III</w:t>
    </w:r>
  </w:p>
  <w:p w:rsidR="00E050DB" w:rsidRPr="00D10829" w:rsidRDefault="00E050DB" w:rsidP="0004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B6027"/>
    <w:multiLevelType w:val="hybridMultilevel"/>
    <w:tmpl w:val="BE5E95F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6673D6"/>
    <w:multiLevelType w:val="hybridMultilevel"/>
    <w:tmpl w:val="524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42619"/>
    <w:multiLevelType w:val="hybridMultilevel"/>
    <w:tmpl w:val="EF1E1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11197"/>
    <w:multiLevelType w:val="hybridMultilevel"/>
    <w:tmpl w:val="834698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23745"/>
    <w:multiLevelType w:val="hybridMultilevel"/>
    <w:tmpl w:val="3AE6D6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9236FD"/>
    <w:multiLevelType w:val="hybridMultilevel"/>
    <w:tmpl w:val="82009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BF27B9D"/>
    <w:multiLevelType w:val="hybridMultilevel"/>
    <w:tmpl w:val="DAB8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94D15"/>
    <w:multiLevelType w:val="hybridMultilevel"/>
    <w:tmpl w:val="D72C2F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073A86"/>
    <w:multiLevelType w:val="hybridMultilevel"/>
    <w:tmpl w:val="4E44F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01C1F"/>
    <w:multiLevelType w:val="hybridMultilevel"/>
    <w:tmpl w:val="6D166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965082"/>
    <w:multiLevelType w:val="multilevel"/>
    <w:tmpl w:val="48A2F61A"/>
    <w:lvl w:ilvl="0">
      <w:start w:val="1"/>
      <w:numFmt w:val="decimal"/>
      <w:lvlRestart w:val="0"/>
      <w:lvlText w:val="%1."/>
      <w:lvlJc w:val="left"/>
      <w:pPr>
        <w:tabs>
          <w:tab w:val="num" w:pos="1985"/>
        </w:tabs>
        <w:ind w:left="1418"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91856FC"/>
    <w:multiLevelType w:val="hybridMultilevel"/>
    <w:tmpl w:val="005E68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96786"/>
    <w:multiLevelType w:val="hybridMultilevel"/>
    <w:tmpl w:val="41CC9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
  </w:num>
  <w:num w:numId="6">
    <w:abstractNumId w:val="4"/>
  </w:num>
  <w:num w:numId="7">
    <w:abstractNumId w:val="9"/>
  </w:num>
  <w:num w:numId="8">
    <w:abstractNumId w:val="5"/>
  </w:num>
  <w:num w:numId="9">
    <w:abstractNumId w:val="10"/>
  </w:num>
  <w:num w:numId="10">
    <w:abstractNumId w:val="15"/>
  </w:num>
  <w:num w:numId="11">
    <w:abstractNumId w:val="17"/>
  </w:num>
  <w:num w:numId="12">
    <w:abstractNumId w:val="14"/>
  </w:num>
  <w:num w:numId="13">
    <w:abstractNumId w:val="18"/>
  </w:num>
  <w:num w:numId="14">
    <w:abstractNumId w:val="8"/>
  </w:num>
  <w:num w:numId="15">
    <w:abstractNumId w:val="2"/>
  </w:num>
  <w:num w:numId="16">
    <w:abstractNumId w:val="6"/>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14"/>
    <w:rsid w:val="00010686"/>
    <w:rsid w:val="00040449"/>
    <w:rsid w:val="00052915"/>
    <w:rsid w:val="00081F05"/>
    <w:rsid w:val="000A0261"/>
    <w:rsid w:val="000E3BB3"/>
    <w:rsid w:val="000F5E56"/>
    <w:rsid w:val="001362EE"/>
    <w:rsid w:val="00152CEA"/>
    <w:rsid w:val="001832A6"/>
    <w:rsid w:val="001E51FD"/>
    <w:rsid w:val="001F3A67"/>
    <w:rsid w:val="001F786C"/>
    <w:rsid w:val="00231E68"/>
    <w:rsid w:val="00241CC2"/>
    <w:rsid w:val="00247ED7"/>
    <w:rsid w:val="002634C4"/>
    <w:rsid w:val="002E0F47"/>
    <w:rsid w:val="002F0A68"/>
    <w:rsid w:val="002F4E68"/>
    <w:rsid w:val="0030493B"/>
    <w:rsid w:val="00320B22"/>
    <w:rsid w:val="00322077"/>
    <w:rsid w:val="0033322A"/>
    <w:rsid w:val="00335F1F"/>
    <w:rsid w:val="00354647"/>
    <w:rsid w:val="00370BF3"/>
    <w:rsid w:val="00377273"/>
    <w:rsid w:val="003845C1"/>
    <w:rsid w:val="00387287"/>
    <w:rsid w:val="003E48F1"/>
    <w:rsid w:val="003F347A"/>
    <w:rsid w:val="004026C4"/>
    <w:rsid w:val="00423E3E"/>
    <w:rsid w:val="00427AF4"/>
    <w:rsid w:val="0045231F"/>
    <w:rsid w:val="004602EC"/>
    <w:rsid w:val="004647DA"/>
    <w:rsid w:val="0046793F"/>
    <w:rsid w:val="00477808"/>
    <w:rsid w:val="00477D6B"/>
    <w:rsid w:val="0048290D"/>
    <w:rsid w:val="004A6C37"/>
    <w:rsid w:val="004B100C"/>
    <w:rsid w:val="004E297D"/>
    <w:rsid w:val="00507D8B"/>
    <w:rsid w:val="005213BA"/>
    <w:rsid w:val="00531B02"/>
    <w:rsid w:val="005332F0"/>
    <w:rsid w:val="005454A2"/>
    <w:rsid w:val="0055013B"/>
    <w:rsid w:val="00566022"/>
    <w:rsid w:val="00571B99"/>
    <w:rsid w:val="00590813"/>
    <w:rsid w:val="005C351E"/>
    <w:rsid w:val="005C5335"/>
    <w:rsid w:val="005D0FCD"/>
    <w:rsid w:val="00605827"/>
    <w:rsid w:val="0062256A"/>
    <w:rsid w:val="00647365"/>
    <w:rsid w:val="00660603"/>
    <w:rsid w:val="0066508F"/>
    <w:rsid w:val="00672821"/>
    <w:rsid w:val="00675021"/>
    <w:rsid w:val="006A06C6"/>
    <w:rsid w:val="006B6E72"/>
    <w:rsid w:val="006B71BB"/>
    <w:rsid w:val="006E7750"/>
    <w:rsid w:val="006F2626"/>
    <w:rsid w:val="00713A1A"/>
    <w:rsid w:val="007224C8"/>
    <w:rsid w:val="007444B5"/>
    <w:rsid w:val="007748D3"/>
    <w:rsid w:val="00794BE2"/>
    <w:rsid w:val="007A5581"/>
    <w:rsid w:val="007B3774"/>
    <w:rsid w:val="007B71FE"/>
    <w:rsid w:val="007D781E"/>
    <w:rsid w:val="007E663E"/>
    <w:rsid w:val="00815082"/>
    <w:rsid w:val="00846494"/>
    <w:rsid w:val="0088395E"/>
    <w:rsid w:val="008B0D4E"/>
    <w:rsid w:val="008B2CC1"/>
    <w:rsid w:val="008D0B33"/>
    <w:rsid w:val="008D2D23"/>
    <w:rsid w:val="008E6BD6"/>
    <w:rsid w:val="00903B64"/>
    <w:rsid w:val="0090731E"/>
    <w:rsid w:val="0092793A"/>
    <w:rsid w:val="00956459"/>
    <w:rsid w:val="0096247A"/>
    <w:rsid w:val="00966A22"/>
    <w:rsid w:val="009711FB"/>
    <w:rsid w:val="00972C90"/>
    <w:rsid w:val="00972F03"/>
    <w:rsid w:val="00980D45"/>
    <w:rsid w:val="009A0C8B"/>
    <w:rsid w:val="009A4585"/>
    <w:rsid w:val="009B6241"/>
    <w:rsid w:val="00A16FC0"/>
    <w:rsid w:val="00A32C9E"/>
    <w:rsid w:val="00A7453C"/>
    <w:rsid w:val="00AB613D"/>
    <w:rsid w:val="00AE7F20"/>
    <w:rsid w:val="00AF4B60"/>
    <w:rsid w:val="00B3747C"/>
    <w:rsid w:val="00B515FE"/>
    <w:rsid w:val="00B65A0A"/>
    <w:rsid w:val="00B67CDC"/>
    <w:rsid w:val="00B72D36"/>
    <w:rsid w:val="00B97C87"/>
    <w:rsid w:val="00BA2F4B"/>
    <w:rsid w:val="00BB205A"/>
    <w:rsid w:val="00BC4164"/>
    <w:rsid w:val="00BD2DCC"/>
    <w:rsid w:val="00BE0D78"/>
    <w:rsid w:val="00C0151C"/>
    <w:rsid w:val="00C150DE"/>
    <w:rsid w:val="00C61057"/>
    <w:rsid w:val="00C66C46"/>
    <w:rsid w:val="00C90559"/>
    <w:rsid w:val="00C9216A"/>
    <w:rsid w:val="00CA2251"/>
    <w:rsid w:val="00CC3A13"/>
    <w:rsid w:val="00D36137"/>
    <w:rsid w:val="00D56C7C"/>
    <w:rsid w:val="00D57E6C"/>
    <w:rsid w:val="00D71B4D"/>
    <w:rsid w:val="00D76308"/>
    <w:rsid w:val="00D90289"/>
    <w:rsid w:val="00D93D55"/>
    <w:rsid w:val="00DA2190"/>
    <w:rsid w:val="00DC4C60"/>
    <w:rsid w:val="00E0079A"/>
    <w:rsid w:val="00E050DB"/>
    <w:rsid w:val="00E147B4"/>
    <w:rsid w:val="00E444DA"/>
    <w:rsid w:val="00E45C84"/>
    <w:rsid w:val="00E504E5"/>
    <w:rsid w:val="00E72D95"/>
    <w:rsid w:val="00EA2B88"/>
    <w:rsid w:val="00EA3BFE"/>
    <w:rsid w:val="00EB7A3E"/>
    <w:rsid w:val="00EC401A"/>
    <w:rsid w:val="00EE230B"/>
    <w:rsid w:val="00EF3D56"/>
    <w:rsid w:val="00EF530A"/>
    <w:rsid w:val="00EF6622"/>
    <w:rsid w:val="00EF78A9"/>
    <w:rsid w:val="00EF7E14"/>
    <w:rsid w:val="00F473C2"/>
    <w:rsid w:val="00F55408"/>
    <w:rsid w:val="00F600FE"/>
    <w:rsid w:val="00F638E4"/>
    <w:rsid w:val="00F66152"/>
    <w:rsid w:val="00F80845"/>
    <w:rsid w:val="00F84474"/>
    <w:rsid w:val="00FA0F0D"/>
    <w:rsid w:val="00FD59D1"/>
    <w:rsid w:val="00FE00A8"/>
    <w:rsid w:val="00FE218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9978D6A"/>
  <w15:docId w15:val="{46A68D17-D6C3-4570-8E49-424D9897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Endofdocument-AnnexChar">
    <w:name w:val="[End of document - Annex] Char"/>
    <w:link w:val="Endofdocument-Annex"/>
    <w:rsid w:val="00EF7E14"/>
    <w:rPr>
      <w:rFonts w:ascii="Arial" w:eastAsia="SimSun" w:hAnsi="Arial" w:cs="Arial"/>
      <w:sz w:val="22"/>
      <w:lang w:val="en-US" w:eastAsia="zh-CN"/>
    </w:rPr>
  </w:style>
  <w:style w:type="character" w:customStyle="1" w:styleId="ONUMFSChar">
    <w:name w:val="ONUM FS Char"/>
    <w:basedOn w:val="DefaultParagraphFont"/>
    <w:link w:val="ONUMFS"/>
    <w:rsid w:val="00EF7E14"/>
    <w:rPr>
      <w:rFonts w:ascii="Arial" w:eastAsia="SimSun" w:hAnsi="Arial" w:cs="Arial"/>
      <w:sz w:val="22"/>
      <w:lang w:val="es-ES" w:eastAsia="zh-CN"/>
    </w:rPr>
  </w:style>
  <w:style w:type="character" w:styleId="FootnoteReference">
    <w:name w:val="footnote reference"/>
    <w:basedOn w:val="DefaultParagraphFont"/>
    <w:uiPriority w:val="99"/>
    <w:rsid w:val="00EF7E14"/>
    <w:rPr>
      <w:vertAlign w:val="superscript"/>
    </w:rPr>
  </w:style>
  <w:style w:type="paragraph" w:styleId="ListParagraph">
    <w:name w:val="List Paragraph"/>
    <w:basedOn w:val="Normal"/>
    <w:uiPriority w:val="34"/>
    <w:qFormat/>
    <w:rsid w:val="00EF7E14"/>
    <w:pPr>
      <w:ind w:left="720"/>
      <w:contextualSpacing/>
    </w:pPr>
    <w:rPr>
      <w:lang w:val="en-US"/>
    </w:rPr>
  </w:style>
  <w:style w:type="character" w:customStyle="1" w:styleId="FootnoteTextChar">
    <w:name w:val="Footnote Text Char"/>
    <w:basedOn w:val="DefaultParagraphFont"/>
    <w:link w:val="FootnoteText"/>
    <w:uiPriority w:val="99"/>
    <w:semiHidden/>
    <w:rsid w:val="00EF7E14"/>
    <w:rPr>
      <w:rFonts w:ascii="Arial" w:eastAsia="SimSun" w:hAnsi="Arial" w:cs="Arial"/>
      <w:sz w:val="18"/>
      <w:lang w:val="es-ES" w:eastAsia="zh-CN"/>
    </w:rPr>
  </w:style>
  <w:style w:type="table" w:customStyle="1" w:styleId="TableGrid2">
    <w:name w:val="Table Grid2"/>
    <w:basedOn w:val="TableNormal"/>
    <w:next w:val="TableGrid"/>
    <w:uiPriority w:val="59"/>
    <w:rsid w:val="00EF7E14"/>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F7E14"/>
    <w:rPr>
      <w:rFonts w:ascii="Times New Roman" w:hAnsi="Times New Roman" w:cs="Times New Roman"/>
      <w:sz w:val="24"/>
      <w:szCs w:val="24"/>
      <w:lang w:val="en-US"/>
    </w:rPr>
  </w:style>
  <w:style w:type="table" w:styleId="TableGrid">
    <w:name w:val="Table Grid"/>
    <w:basedOn w:val="TableNormal"/>
    <w:rsid w:val="00EF7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66C46"/>
    <w:rPr>
      <w:sz w:val="16"/>
      <w:szCs w:val="16"/>
    </w:rPr>
  </w:style>
  <w:style w:type="paragraph" w:styleId="CommentSubject">
    <w:name w:val="annotation subject"/>
    <w:basedOn w:val="CommentText"/>
    <w:next w:val="CommentText"/>
    <w:link w:val="CommentSubjectChar"/>
    <w:semiHidden/>
    <w:unhideWhenUsed/>
    <w:rsid w:val="00C66C46"/>
    <w:rPr>
      <w:b/>
      <w:bCs/>
      <w:sz w:val="20"/>
    </w:rPr>
  </w:style>
  <w:style w:type="character" w:customStyle="1" w:styleId="CommentTextChar">
    <w:name w:val="Comment Text Char"/>
    <w:basedOn w:val="DefaultParagraphFont"/>
    <w:link w:val="CommentText"/>
    <w:semiHidden/>
    <w:rsid w:val="00C66C46"/>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C66C46"/>
    <w:rPr>
      <w:rFonts w:ascii="Arial" w:eastAsia="SimSun" w:hAnsi="Arial" w:cs="Arial"/>
      <w:b/>
      <w:bCs/>
      <w:sz w:val="18"/>
      <w:lang w:val="es-ES" w:eastAsia="zh-CN"/>
    </w:rPr>
  </w:style>
  <w:style w:type="character" w:styleId="Hyperlink">
    <w:name w:val="Hyperlink"/>
    <w:basedOn w:val="DefaultParagraphFont"/>
    <w:unhideWhenUsed/>
    <w:rsid w:val="00482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omcginebra@mmrree.gob.e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2BA6-4903-4018-9166-2FBDF71D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3492</Words>
  <Characters>19906</Characters>
  <Application>Microsoft Office Word</Application>
  <DocSecurity>0</DocSecurity>
  <Lines>165</Lines>
  <Paragraphs>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CDIP/22/</vt:lpstr>
      <vt:lpstr>CDIP/22/</vt:lpstr>
    </vt:vector>
  </TitlesOfParts>
  <Company>WIPO</Company>
  <LinksUpToDate>false</LinksUpToDate>
  <CharactersWithSpaces>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dc:title>
  <dc:creator>CEVALLOS DUQUE Nilo</dc:creator>
  <cp:lastModifiedBy>BRACI Biljana</cp:lastModifiedBy>
  <cp:revision>8</cp:revision>
  <cp:lastPrinted>2018-10-11T13:20:00Z</cp:lastPrinted>
  <dcterms:created xsi:type="dcterms:W3CDTF">2018-10-08T13:05:00Z</dcterms:created>
  <dcterms:modified xsi:type="dcterms:W3CDTF">2018-10-11T13:23:00Z</dcterms:modified>
</cp:coreProperties>
</file>