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EE230B" w:rsidP="00AB613D">
            <w:r>
              <w:rPr>
                <w:noProof/>
                <w:lang w:val="en-US" w:eastAsia="en-US"/>
              </w:rPr>
              <w:drawing>
                <wp:inline distT="0" distB="0" distL="0" distR="0">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B3774" w:rsidP="00CC3A13">
            <w:pPr>
              <w:jc w:val="right"/>
              <w:rPr>
                <w:rFonts w:ascii="Arial Black" w:hAnsi="Arial Black"/>
                <w:caps/>
                <w:sz w:val="15"/>
              </w:rPr>
            </w:pPr>
            <w:r>
              <w:rPr>
                <w:rFonts w:ascii="Arial Black" w:hAnsi="Arial Black"/>
                <w:caps/>
                <w:sz w:val="15"/>
              </w:rPr>
              <w:t>CDIP/2</w:t>
            </w:r>
            <w:r w:rsidR="00CC3A13">
              <w:rPr>
                <w:rFonts w:ascii="Arial Black" w:hAnsi="Arial Black"/>
                <w:caps/>
                <w:sz w:val="15"/>
              </w:rPr>
              <w:t>1</w:t>
            </w:r>
            <w:r w:rsidR="0096247A">
              <w:rPr>
                <w:rFonts w:ascii="Arial Black" w:hAnsi="Arial Black"/>
                <w:caps/>
                <w:sz w:val="15"/>
              </w:rPr>
              <w:t>/</w:t>
            </w:r>
            <w:bookmarkStart w:id="0" w:name="Code"/>
            <w:bookmarkEnd w:id="0"/>
            <w:r w:rsidR="00F202EF">
              <w:rPr>
                <w:rFonts w:ascii="Arial Black" w:hAnsi="Arial Black"/>
                <w:caps/>
                <w:sz w:val="15"/>
              </w:rPr>
              <w:t>5</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202215">
              <w:rPr>
                <w:rFonts w:ascii="Arial Black" w:hAnsi="Arial Black"/>
                <w:caps/>
                <w:sz w:val="15"/>
              </w:rPr>
              <w:t xml:space="preserve"> </w:t>
            </w:r>
            <w:r w:rsidR="00F202EF">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2" w:name="Date"/>
            <w:bookmarkEnd w:id="2"/>
            <w:r w:rsidR="00C72314">
              <w:rPr>
                <w:rFonts w:ascii="Arial Black" w:hAnsi="Arial Black"/>
                <w:caps/>
                <w:sz w:val="15"/>
              </w:rPr>
              <w:t xml:space="preserve"> </w:t>
            </w:r>
            <w:r w:rsidR="00F202EF">
              <w:rPr>
                <w:rFonts w:ascii="Arial Black" w:hAnsi="Arial Black"/>
                <w:caps/>
                <w:sz w:val="15"/>
              </w:rPr>
              <w:t>26 DE FEBRERO DE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AE1FC9" w:rsidRDefault="008B2CC1" w:rsidP="008B2CC1"/>
    <w:p w:rsidR="00B67CDC" w:rsidRPr="00AE1FC9" w:rsidRDefault="0096247A" w:rsidP="00B67CDC">
      <w:pPr>
        <w:rPr>
          <w:b/>
          <w:sz w:val="28"/>
          <w:szCs w:val="28"/>
        </w:rPr>
      </w:pPr>
      <w:r w:rsidRPr="00AE1FC9">
        <w:rPr>
          <w:b/>
          <w:sz w:val="28"/>
          <w:szCs w:val="28"/>
        </w:rPr>
        <w:t xml:space="preserve">Comité </w:t>
      </w:r>
      <w:r w:rsidR="00EE230B" w:rsidRPr="00AE1FC9">
        <w:rPr>
          <w:b/>
          <w:sz w:val="28"/>
          <w:szCs w:val="28"/>
        </w:rPr>
        <w:t>de Desarrollo y Propiedad Intelectual (CDIP)</w:t>
      </w:r>
    </w:p>
    <w:p w:rsidR="003845C1" w:rsidRPr="00AE1FC9" w:rsidRDefault="003845C1" w:rsidP="003845C1"/>
    <w:p w:rsidR="003845C1" w:rsidRPr="00AE1FC9" w:rsidRDefault="003845C1" w:rsidP="003845C1"/>
    <w:p w:rsidR="00CC3A13" w:rsidRPr="00AE1FC9" w:rsidRDefault="00CC3A13" w:rsidP="00CC3A13">
      <w:pPr>
        <w:rPr>
          <w:b/>
          <w:sz w:val="24"/>
          <w:szCs w:val="24"/>
        </w:rPr>
      </w:pPr>
      <w:r w:rsidRPr="00AE1FC9">
        <w:rPr>
          <w:b/>
          <w:sz w:val="24"/>
          <w:szCs w:val="24"/>
        </w:rPr>
        <w:t>Vigesimoprimera sesión</w:t>
      </w:r>
    </w:p>
    <w:p w:rsidR="00B67CDC" w:rsidRPr="00AE1FC9" w:rsidRDefault="00CC3A13" w:rsidP="00CC3A13">
      <w:pPr>
        <w:rPr>
          <w:b/>
          <w:sz w:val="24"/>
          <w:szCs w:val="24"/>
        </w:rPr>
      </w:pPr>
      <w:r w:rsidRPr="00AE1FC9">
        <w:rPr>
          <w:b/>
          <w:sz w:val="24"/>
          <w:szCs w:val="24"/>
        </w:rPr>
        <w:t>Ginebra, 14 a 18 de mayo de 2018</w:t>
      </w:r>
    </w:p>
    <w:p w:rsidR="008B2CC1" w:rsidRPr="00AE1FC9" w:rsidRDefault="008B2CC1" w:rsidP="008B2CC1"/>
    <w:p w:rsidR="008B2CC1" w:rsidRPr="00AE1FC9" w:rsidRDefault="008B2CC1" w:rsidP="008B2CC1"/>
    <w:p w:rsidR="008B2CC1" w:rsidRPr="00AE1FC9" w:rsidRDefault="008B2CC1" w:rsidP="008B2CC1"/>
    <w:p w:rsidR="00980DB7" w:rsidRPr="00AE1FC9" w:rsidRDefault="00980DB7" w:rsidP="00980DB7">
      <w:pPr>
        <w:rPr>
          <w:caps/>
          <w:sz w:val="24"/>
        </w:rPr>
      </w:pPr>
      <w:bookmarkStart w:id="3" w:name="TitleOfDoc"/>
      <w:bookmarkEnd w:id="3"/>
      <w:r w:rsidRPr="00AE1FC9">
        <w:rPr>
          <w:caps/>
          <w:sz w:val="24"/>
          <w:lang w:val="es-ES_tradnl"/>
        </w:rPr>
        <w:t>ANÁLISIS DE LAS CARENCIAS EN LOS ACTUALES SERVICIOS Y ACTIVIDADES DE LA OMPI RELACIONADOS CON LA TRANSFERENCIA DE TECNOLOGÍA, A LA LUZ DE LAS RECOMENDACIONES DE LA “</w:t>
      </w:r>
      <w:r w:rsidR="00C72314" w:rsidRPr="00AE1FC9">
        <w:rPr>
          <w:caps/>
          <w:sz w:val="24"/>
          <w:lang w:val="es-ES_tradnl"/>
        </w:rPr>
        <w:t>CATEGORÍA C” DE LA AGENDA DE LA </w:t>
      </w:r>
      <w:r w:rsidRPr="00AE1FC9">
        <w:rPr>
          <w:caps/>
          <w:sz w:val="24"/>
          <w:lang w:val="es-ES_tradnl"/>
        </w:rPr>
        <w:t>OMPI PARA EL DESARROLLO</w:t>
      </w:r>
    </w:p>
    <w:p w:rsidR="00980DB7" w:rsidRPr="00AE1FC9" w:rsidRDefault="00980DB7" w:rsidP="00980DB7"/>
    <w:p w:rsidR="00980DB7" w:rsidRPr="00AE1FC9" w:rsidRDefault="00980DB7" w:rsidP="00980DB7">
      <w:pPr>
        <w:rPr>
          <w:i/>
        </w:rPr>
      </w:pPr>
      <w:r w:rsidRPr="00AE1FC9">
        <w:rPr>
          <w:i/>
          <w:lang w:val="es-ES_tradnl"/>
        </w:rPr>
        <w:t>Documento preparado por la Secretaría</w:t>
      </w:r>
    </w:p>
    <w:p w:rsidR="00980DB7" w:rsidRPr="00AE1FC9" w:rsidRDefault="00980DB7" w:rsidP="00980DB7"/>
    <w:p w:rsidR="00980DB7" w:rsidRPr="00AE1FC9" w:rsidRDefault="00980DB7" w:rsidP="00980DB7"/>
    <w:p w:rsidR="00980DB7" w:rsidRPr="00AE1FC9" w:rsidRDefault="00980DB7" w:rsidP="00980DB7"/>
    <w:p w:rsidR="00980DB7" w:rsidRPr="00AE1FC9" w:rsidRDefault="00980DB7" w:rsidP="00980DB7"/>
    <w:p w:rsidR="00980DB7" w:rsidRPr="00AE1FC9" w:rsidRDefault="00980DB7" w:rsidP="00980DB7">
      <w:pPr>
        <w:rPr>
          <w:szCs w:val="22"/>
        </w:rPr>
      </w:pPr>
    </w:p>
    <w:p w:rsidR="00980DB7" w:rsidRPr="00AE1FC9" w:rsidRDefault="00980DB7" w:rsidP="00980DB7">
      <w:pPr>
        <w:pStyle w:val="ListParagraph"/>
        <w:ind w:left="0"/>
        <w:rPr>
          <w:szCs w:val="22"/>
          <w:lang w:val="es-ES"/>
        </w:rPr>
      </w:pPr>
      <w:r w:rsidRPr="00AE1FC9">
        <w:rPr>
          <w:szCs w:val="22"/>
        </w:rPr>
        <w:fldChar w:fldCharType="begin"/>
      </w:r>
      <w:r w:rsidRPr="00AE1FC9">
        <w:rPr>
          <w:szCs w:val="22"/>
          <w:lang w:val="es-ES"/>
        </w:rPr>
        <w:instrText xml:space="preserve"> AUTONUM  </w:instrText>
      </w:r>
      <w:r w:rsidRPr="00AE1FC9">
        <w:rPr>
          <w:szCs w:val="22"/>
        </w:rPr>
        <w:fldChar w:fldCharType="end"/>
      </w:r>
      <w:r w:rsidRPr="00AE1FC9">
        <w:rPr>
          <w:szCs w:val="22"/>
          <w:lang w:val="es-ES"/>
        </w:rPr>
        <w:tab/>
      </w:r>
      <w:r w:rsidRPr="00AE1FC9">
        <w:rPr>
          <w:szCs w:val="22"/>
          <w:lang w:val="es-ES_tradnl"/>
        </w:rPr>
        <w:t>En su decimoctava sesión, celebrada del 31 de octubre al 4 de noviembre de 2016, el Comité de Desarrollo y Propiedad Intelectual (CDIP) acordó proseguir con los puntos 1, 2, 3, 4 y 6 de la propuesta conjunta de las delegaciones de los Estados Unidos de América, Australia y el Canadá acerca de las actividades relativas a la transferencia de tecnología, contenida en el Anexo I del documento CDIP/18/6 Rev.  En el punto 6 de la propuesta adoptada se establece lo siguiente:</w:t>
      </w:r>
      <w:r w:rsidRPr="00AE1FC9">
        <w:rPr>
          <w:szCs w:val="22"/>
          <w:lang w:val="es-ES"/>
        </w:rPr>
        <w:t xml:space="preserve"> </w:t>
      </w:r>
    </w:p>
    <w:p w:rsidR="00980DB7" w:rsidRPr="00AE1FC9" w:rsidRDefault="00980DB7" w:rsidP="00980DB7">
      <w:pPr>
        <w:pStyle w:val="ListParagraph"/>
        <w:ind w:left="0"/>
        <w:rPr>
          <w:szCs w:val="22"/>
          <w:lang w:val="es-ES"/>
        </w:rPr>
      </w:pPr>
    </w:p>
    <w:p w:rsidR="00980DB7" w:rsidRPr="00AE1FC9" w:rsidRDefault="00980DB7" w:rsidP="00980DB7">
      <w:pPr>
        <w:pStyle w:val="ListParagraph"/>
        <w:ind w:left="567"/>
        <w:rPr>
          <w:szCs w:val="22"/>
          <w:lang w:val="es-ES"/>
        </w:rPr>
      </w:pPr>
      <w:r w:rsidRPr="00AE1FC9">
        <w:rPr>
          <w:szCs w:val="22"/>
          <w:lang w:val="es-ES_tradnl"/>
        </w:rPr>
        <w:t>“De conformidad con la decisión del Comité, contenida en el “Resumen de la Presidencia” de la decimosexta sesión del CDIP, de invitar a los Estados miembros interesados a presentar propuestas para examinarlas en la decimoctava sesión del Comité, invitamos a los Estados miembros a presentar al Comité proyectos específicos y prácticos que produzcan efectos concretos en pro de los Estados miembros, con objeto de fomentar la transferencia de tecnología a escala internacional, fortalecer las capacidades en los países menos adelantados y países en desarrollo, así como países con economías en transición, e impulsar de esa manera una trasferencia de tecnología más eficaz, además de mejorar la colaboración entre quienes intervienen en la transferencia de tecnología.</w:t>
      </w:r>
      <w:r w:rsidRPr="00AE1FC9">
        <w:rPr>
          <w:szCs w:val="22"/>
          <w:lang w:val="es-ES"/>
        </w:rPr>
        <w:t xml:space="preserve"> </w:t>
      </w:r>
      <w:r w:rsidRPr="00AE1FC9">
        <w:rPr>
          <w:szCs w:val="22"/>
          <w:lang w:val="es-ES_tradnl"/>
        </w:rPr>
        <w:t xml:space="preserve">Como paso primero, y aprovechando la importante labor realizada al trazar el reciente esquema de las actividades en el documento CDIP/17/9, la Secretaría debería efectuar un análisis de las carencias en los actuales servicios y actividades de la OMPI relacionados con la transferencia de tecnología, a la luz de las recomendaciones de la “categoría C” de la Agenda de la OMPI para el Desarrollo como contribución al avance </w:t>
      </w:r>
      <w:r w:rsidRPr="00AE1FC9">
        <w:rPr>
          <w:szCs w:val="22"/>
          <w:lang w:val="es-ES_tradnl"/>
        </w:rPr>
        <w:lastRenderedPageBreak/>
        <w:t>del examen y la evaluación de las propuestas y los ámbitos de prioridad.</w:t>
      </w:r>
      <w:r w:rsidRPr="00AE1FC9">
        <w:rPr>
          <w:szCs w:val="22"/>
          <w:lang w:val="es-ES"/>
        </w:rPr>
        <w:t xml:space="preserve"> </w:t>
      </w:r>
      <w:r w:rsidRPr="00AE1FC9">
        <w:rPr>
          <w:szCs w:val="22"/>
          <w:lang w:val="es-ES_tradnl"/>
        </w:rPr>
        <w:t xml:space="preserve"> Los resultados no deberían impedir el suministro de proyectos similares para beneficiarios diferentes.”</w:t>
      </w:r>
    </w:p>
    <w:p w:rsidR="00980DB7" w:rsidRPr="00AE1FC9" w:rsidRDefault="00980DB7" w:rsidP="00980DB7">
      <w:pPr>
        <w:pStyle w:val="ListParagraph"/>
        <w:ind w:left="0"/>
        <w:rPr>
          <w:lang w:val="es-ES"/>
        </w:rPr>
      </w:pPr>
    </w:p>
    <w:p w:rsidR="00980DB7" w:rsidRPr="00AE1FC9" w:rsidRDefault="00980DB7" w:rsidP="00980DB7">
      <w:pPr>
        <w:rPr>
          <w:szCs w:val="22"/>
        </w:rPr>
      </w:pPr>
      <w:r w:rsidRPr="00AE1FC9">
        <w:rPr>
          <w:szCs w:val="22"/>
        </w:rPr>
        <w:fldChar w:fldCharType="begin"/>
      </w:r>
      <w:r w:rsidRPr="00AE1FC9">
        <w:rPr>
          <w:szCs w:val="22"/>
        </w:rPr>
        <w:instrText xml:space="preserve"> AUTONUM  </w:instrText>
      </w:r>
      <w:r w:rsidRPr="00AE1FC9">
        <w:rPr>
          <w:szCs w:val="22"/>
        </w:rPr>
        <w:fldChar w:fldCharType="end"/>
      </w:r>
      <w:r w:rsidRPr="00AE1FC9">
        <w:rPr>
          <w:szCs w:val="22"/>
        </w:rPr>
        <w:tab/>
      </w:r>
      <w:r w:rsidRPr="00AE1FC9">
        <w:rPr>
          <w:szCs w:val="22"/>
          <w:lang w:val="es-ES_tradnl"/>
        </w:rPr>
        <w:t>El Anexo del presente documento contiene el análisis solicitado de las carencias en los actuales servicios y actividades de la OMPI relacionados con la transferencia de tecnología, a la luz de las recomendaciones de la “categoría C” de la Agenda de la OMPI para el Desarrollo.</w:t>
      </w:r>
    </w:p>
    <w:p w:rsidR="00980DB7" w:rsidRPr="00AE1FC9" w:rsidRDefault="00980DB7" w:rsidP="00980DB7"/>
    <w:p w:rsidR="00980DB7" w:rsidRPr="00AE1FC9" w:rsidRDefault="00980DB7" w:rsidP="00091A75">
      <w:pPr>
        <w:ind w:left="5529"/>
        <w:rPr>
          <w:i/>
          <w:iCs/>
          <w:szCs w:val="22"/>
        </w:rPr>
      </w:pPr>
      <w:r w:rsidRPr="00AE1FC9">
        <w:rPr>
          <w:szCs w:val="22"/>
        </w:rPr>
        <w:fldChar w:fldCharType="begin"/>
      </w:r>
      <w:r w:rsidRPr="00AE1FC9">
        <w:rPr>
          <w:szCs w:val="22"/>
        </w:rPr>
        <w:instrText xml:space="preserve"> AUTONUM  </w:instrText>
      </w:r>
      <w:r w:rsidRPr="00AE1FC9">
        <w:rPr>
          <w:szCs w:val="22"/>
        </w:rPr>
        <w:fldChar w:fldCharType="end"/>
      </w:r>
      <w:r w:rsidRPr="00AE1FC9">
        <w:rPr>
          <w:szCs w:val="22"/>
        </w:rPr>
        <w:tab/>
      </w:r>
      <w:r w:rsidRPr="00AE1FC9">
        <w:rPr>
          <w:i/>
          <w:szCs w:val="22"/>
          <w:lang w:val="es-ES_tradnl"/>
        </w:rPr>
        <w:t xml:space="preserve">Se invita al CDIP a examinar la información contenida en </w:t>
      </w:r>
      <w:r w:rsidR="003F03D8" w:rsidRPr="00AE1FC9">
        <w:rPr>
          <w:i/>
          <w:szCs w:val="22"/>
          <w:lang w:val="es-ES_tradnl"/>
        </w:rPr>
        <w:t>el</w:t>
      </w:r>
      <w:r w:rsidRPr="00AE1FC9">
        <w:rPr>
          <w:i/>
          <w:szCs w:val="22"/>
          <w:lang w:val="es-ES_tradnl"/>
        </w:rPr>
        <w:t xml:space="preserve"> Anexo del presente documento.</w:t>
      </w:r>
    </w:p>
    <w:p w:rsidR="00980DB7" w:rsidRPr="00AE1FC9" w:rsidRDefault="00980DB7" w:rsidP="003C0AB2">
      <w:pPr>
        <w:rPr>
          <w:szCs w:val="22"/>
        </w:rPr>
      </w:pPr>
    </w:p>
    <w:p w:rsidR="00980DB7" w:rsidRPr="00AE1FC9" w:rsidRDefault="00980DB7" w:rsidP="003C0AB2">
      <w:pPr>
        <w:rPr>
          <w:szCs w:val="22"/>
        </w:rPr>
      </w:pPr>
    </w:p>
    <w:p w:rsidR="00980DB7" w:rsidRPr="00AE1FC9" w:rsidRDefault="00980DB7" w:rsidP="003C0AB2">
      <w:pPr>
        <w:rPr>
          <w:szCs w:val="22"/>
        </w:rPr>
      </w:pPr>
    </w:p>
    <w:p w:rsidR="00980DB7" w:rsidRPr="003C0AB2" w:rsidRDefault="00980DB7" w:rsidP="00091A75">
      <w:pPr>
        <w:pStyle w:val="Endofdocument-Annex"/>
        <w:rPr>
          <w:lang w:val="es-ES_tradnl"/>
        </w:rPr>
      </w:pPr>
      <w:r w:rsidRPr="003C0AB2">
        <w:rPr>
          <w:lang w:val="es-ES_tradnl"/>
        </w:rPr>
        <w:t>[Sigue el Anexo]</w:t>
      </w:r>
    </w:p>
    <w:p w:rsidR="00980DB7" w:rsidRPr="00AE1FC9" w:rsidRDefault="00980DB7" w:rsidP="00980DB7"/>
    <w:p w:rsidR="00980DB7" w:rsidRPr="00AE1FC9" w:rsidRDefault="00980DB7" w:rsidP="00980DB7">
      <w:pPr>
        <w:sectPr w:rsidR="00980DB7" w:rsidRPr="00AE1FC9" w:rsidSect="009E52D2">
          <w:headerReference w:type="default" r:id="rId9"/>
          <w:endnotePr>
            <w:numFmt w:val="decimal"/>
          </w:endnotePr>
          <w:pgSz w:w="11907" w:h="16840" w:code="9"/>
          <w:pgMar w:top="567" w:right="1134" w:bottom="1418" w:left="1418" w:header="510" w:footer="1021" w:gutter="0"/>
          <w:cols w:space="720"/>
          <w:titlePg/>
          <w:docGrid w:linePitch="299"/>
        </w:sectPr>
      </w:pPr>
    </w:p>
    <w:p w:rsidR="00980DB7" w:rsidRPr="00AE1FC9" w:rsidRDefault="00980DB7" w:rsidP="00980DB7">
      <w:pPr>
        <w:pStyle w:val="Heading2"/>
      </w:pPr>
      <w:r w:rsidRPr="00AE1FC9">
        <w:rPr>
          <w:lang w:val="es-ES_tradnl"/>
        </w:rPr>
        <w:lastRenderedPageBreak/>
        <w:t>INTRODUCCIÓN Y METODOLOGÍA</w:t>
      </w:r>
    </w:p>
    <w:p w:rsidR="00980DB7" w:rsidRPr="00AE1FC9" w:rsidRDefault="00980DB7" w:rsidP="00980DB7"/>
    <w:p w:rsidR="00980DB7" w:rsidRPr="00AE1FC9" w:rsidRDefault="00980DB7" w:rsidP="00980DB7">
      <w:pPr>
        <w:numPr>
          <w:ilvl w:val="0"/>
          <w:numId w:val="7"/>
        </w:numPr>
        <w:ind w:left="0" w:firstLine="0"/>
      </w:pPr>
      <w:r w:rsidRPr="00AE1FC9">
        <w:rPr>
          <w:lang w:val="es-ES_tradnl"/>
        </w:rPr>
        <w:t>La “categoría C” de la Agenda de la OMPI para el Desarrollo incluye nueve recomendaciones (de la 24 a la 32) relacionadas con la “transferencia de tecnología, tecnologías de la información y la comunicación (TIC) y acceso a los conocimientos”.</w:t>
      </w:r>
      <w:r w:rsidRPr="00AE1FC9">
        <w:t xml:space="preserve">  </w:t>
      </w:r>
    </w:p>
    <w:p w:rsidR="00980DB7" w:rsidRPr="00AE1FC9" w:rsidRDefault="00980DB7" w:rsidP="00980DB7"/>
    <w:p w:rsidR="00980DB7" w:rsidRPr="00AE1FC9" w:rsidRDefault="00980DB7" w:rsidP="00980DB7">
      <w:pPr>
        <w:numPr>
          <w:ilvl w:val="0"/>
          <w:numId w:val="7"/>
        </w:numPr>
        <w:ind w:left="0" w:firstLine="0"/>
      </w:pPr>
      <w:r w:rsidRPr="00AE1FC9">
        <w:rPr>
          <w:lang w:val="es-ES_tradnl"/>
        </w:rPr>
        <w:t>En el presente documento se expone un análisis general en lugar de un análisis específico de las carencias de las actividades indicadas para cada una de las recomendaciones de la categoría C, puesto que en ningún momento se han definido indicadores o parámetros que permitan determinar de forma objetiva cómo, y en qué medida, las actividades de la OMPI en el marco de ciertas recomendaciones específicas han contribuido a alcanzar los objetivos que figuran en dichas recomendaciones</w:t>
      </w:r>
      <w:r w:rsidR="003F03D8" w:rsidRPr="00AE1FC9">
        <w:rPr>
          <w:lang w:val="es-ES_tradnl"/>
        </w:rPr>
        <w:t>, formuladas</w:t>
      </w:r>
      <w:r w:rsidRPr="00AE1FC9">
        <w:rPr>
          <w:lang w:val="es-ES_tradnl"/>
        </w:rPr>
        <w:t xml:space="preserve"> a menudo en términos amplios.</w:t>
      </w:r>
      <w:r w:rsidRPr="00AE1FC9">
        <w:t xml:space="preserve">  </w:t>
      </w:r>
    </w:p>
    <w:p w:rsidR="00980DB7" w:rsidRPr="00AE1FC9" w:rsidRDefault="00980DB7" w:rsidP="00980DB7">
      <w:pPr>
        <w:pStyle w:val="ListParagraph"/>
        <w:rPr>
          <w:lang w:val="es-ES"/>
        </w:rPr>
      </w:pPr>
    </w:p>
    <w:p w:rsidR="00980DB7" w:rsidRPr="00AE1FC9" w:rsidRDefault="00980DB7" w:rsidP="00ED3191">
      <w:pPr>
        <w:numPr>
          <w:ilvl w:val="0"/>
          <w:numId w:val="7"/>
        </w:numPr>
        <w:ind w:left="0" w:firstLine="0"/>
      </w:pPr>
      <w:r w:rsidRPr="00AE1FC9">
        <w:rPr>
          <w:lang w:val="es-ES_tradnl"/>
        </w:rPr>
        <w:t xml:space="preserve">Así pues, el análisis que se ofrece a continuación se refiere a los servicios y actividades de la OMPI relacionados con la transferencia de tecnología durante el período comprendido entre 2014 y 2017, y en él se hace referencia específica </w:t>
      </w:r>
      <w:r w:rsidR="003F03D8" w:rsidRPr="00AE1FC9">
        <w:rPr>
          <w:lang w:val="es-ES_tradnl"/>
        </w:rPr>
        <w:t xml:space="preserve">a </w:t>
      </w:r>
      <w:r w:rsidRPr="00AE1FC9">
        <w:rPr>
          <w:lang w:val="es-ES_tradnl"/>
        </w:rPr>
        <w:t xml:space="preserve">la recomendación de la “categoría C” de la Agenda para el Desarrollo, </w:t>
      </w:r>
      <w:r w:rsidR="00ED3191" w:rsidRPr="00AE1FC9">
        <w:rPr>
          <w:lang w:val="es-ES_tradnl"/>
        </w:rPr>
        <w:t>a cuyo</w:t>
      </w:r>
      <w:r w:rsidRPr="00AE1FC9">
        <w:rPr>
          <w:lang w:val="es-ES_tradnl"/>
        </w:rPr>
        <w:t xml:space="preserve"> cumplimiento</w:t>
      </w:r>
      <w:r w:rsidR="00ED3191" w:rsidRPr="00AE1FC9">
        <w:rPr>
          <w:lang w:val="es-ES_tradnl"/>
        </w:rPr>
        <w:t xml:space="preserve"> contribuyen</w:t>
      </w:r>
      <w:r w:rsidRPr="00AE1FC9">
        <w:rPr>
          <w:lang w:val="es-ES_tradnl"/>
        </w:rPr>
        <w:t>.</w:t>
      </w:r>
      <w:r w:rsidRPr="00AE1FC9">
        <w:t xml:space="preserve">  </w:t>
      </w:r>
      <w:r w:rsidRPr="00AE1FC9">
        <w:rPr>
          <w:lang w:val="es-ES_tradnl"/>
        </w:rPr>
        <w:t>En cada caso también se especifica el tipo de servicio o actividad.</w:t>
      </w:r>
      <w:r w:rsidRPr="00AE1FC9">
        <w:t xml:space="preserve">  </w:t>
      </w:r>
      <w:r w:rsidRPr="00AE1FC9">
        <w:rPr>
          <w:lang w:val="es-ES_tradnl"/>
        </w:rPr>
        <w:t xml:space="preserve">El tipo de servicio se indica de acuerdo con la metodología acordada por el Comité de Desarrollo y Propiedad Intelectual </w:t>
      </w:r>
      <w:r w:rsidR="00ED3191" w:rsidRPr="00AE1FC9">
        <w:rPr>
          <w:lang w:val="es-ES_tradnl"/>
        </w:rPr>
        <w:t>para el</w:t>
      </w:r>
      <w:r w:rsidRPr="00AE1FC9">
        <w:rPr>
          <w:lang w:val="es-ES_tradnl"/>
        </w:rPr>
        <w:t xml:space="preserve"> documento CDIP/20/11.</w:t>
      </w:r>
      <w:r w:rsidRPr="00AE1FC9">
        <w:t xml:space="preserve">  </w:t>
      </w:r>
    </w:p>
    <w:p w:rsidR="00980DB7" w:rsidRPr="00AE1FC9" w:rsidRDefault="00980DB7" w:rsidP="00980DB7">
      <w:pPr>
        <w:pStyle w:val="ListParagraph"/>
        <w:rPr>
          <w:lang w:val="es-ES"/>
        </w:rPr>
      </w:pPr>
    </w:p>
    <w:p w:rsidR="00980DB7" w:rsidRPr="00AE1FC9" w:rsidRDefault="00980DB7" w:rsidP="00F505F9">
      <w:pPr>
        <w:numPr>
          <w:ilvl w:val="0"/>
          <w:numId w:val="7"/>
        </w:numPr>
        <w:ind w:left="0" w:firstLine="0"/>
      </w:pPr>
      <w:r w:rsidRPr="00AE1FC9">
        <w:rPr>
          <w:lang w:val="es-ES_tradnl"/>
        </w:rPr>
        <w:t xml:space="preserve">Asimismo se facilita </w:t>
      </w:r>
      <w:r w:rsidR="00ED3191" w:rsidRPr="00AE1FC9">
        <w:rPr>
          <w:lang w:val="es-ES_tradnl"/>
        </w:rPr>
        <w:t>un</w:t>
      </w:r>
      <w:r w:rsidRPr="00AE1FC9">
        <w:rPr>
          <w:lang w:val="es-ES_tradnl"/>
        </w:rPr>
        <w:t xml:space="preserve"> análisis sobre los proyectos de la OMPI para la aplicación de las recomendaciones de la Agenda para el Desarrollo </w:t>
      </w:r>
      <w:r w:rsidR="00F505F9" w:rsidRPr="00AE1FC9">
        <w:rPr>
          <w:lang w:val="es-ES_tradnl"/>
        </w:rPr>
        <w:t>de acuerdo con</w:t>
      </w:r>
      <w:r w:rsidRPr="00AE1FC9">
        <w:rPr>
          <w:lang w:val="es-ES_tradnl"/>
        </w:rPr>
        <w:t xml:space="preserve"> la</w:t>
      </w:r>
      <w:r w:rsidR="00F505F9" w:rsidRPr="00AE1FC9">
        <w:rPr>
          <w:lang w:val="es-ES_tradnl"/>
        </w:rPr>
        <w:t>s recomendacio</w:t>
      </w:r>
      <w:r w:rsidRPr="00AE1FC9">
        <w:rPr>
          <w:lang w:val="es-ES_tradnl"/>
        </w:rPr>
        <w:t>n</w:t>
      </w:r>
      <w:r w:rsidR="00F505F9" w:rsidRPr="00AE1FC9">
        <w:rPr>
          <w:lang w:val="es-ES_tradnl"/>
        </w:rPr>
        <w:t>es</w:t>
      </w:r>
      <w:r w:rsidRPr="00AE1FC9">
        <w:rPr>
          <w:lang w:val="es-ES_tradnl"/>
        </w:rPr>
        <w:t xml:space="preserve"> de la “categoría C” de la Agenda para el Desarrollo, a cuyo cumplimiento contribuyen.</w:t>
      </w:r>
    </w:p>
    <w:p w:rsidR="00980DB7" w:rsidRPr="00AE1FC9" w:rsidRDefault="00980DB7" w:rsidP="00980DB7">
      <w:pPr>
        <w:pStyle w:val="ListParagraph"/>
        <w:rPr>
          <w:lang w:val="es-ES"/>
        </w:rPr>
      </w:pPr>
    </w:p>
    <w:p w:rsidR="00980DB7" w:rsidRPr="00AE1FC9" w:rsidRDefault="00307018" w:rsidP="00307018">
      <w:pPr>
        <w:numPr>
          <w:ilvl w:val="0"/>
          <w:numId w:val="7"/>
        </w:numPr>
        <w:ind w:left="0" w:firstLine="0"/>
      </w:pPr>
      <w:r w:rsidRPr="00AE1FC9">
        <w:rPr>
          <w:lang w:val="es-ES_tradnl"/>
        </w:rPr>
        <w:t>Los dos análisis, que se detallan</w:t>
      </w:r>
      <w:r w:rsidR="00980DB7" w:rsidRPr="00AE1FC9">
        <w:rPr>
          <w:lang w:val="es-ES_tradnl"/>
        </w:rPr>
        <w:t xml:space="preserve"> </w:t>
      </w:r>
      <w:r w:rsidR="00F505F9" w:rsidRPr="00AE1FC9">
        <w:rPr>
          <w:lang w:val="es-ES_tradnl"/>
        </w:rPr>
        <w:t>más adelante</w:t>
      </w:r>
      <w:r w:rsidRPr="00AE1FC9">
        <w:rPr>
          <w:lang w:val="es-ES_tradnl"/>
        </w:rPr>
        <w:t>,</w:t>
      </w:r>
      <w:r w:rsidR="00980DB7" w:rsidRPr="00AE1FC9">
        <w:rPr>
          <w:lang w:val="es-ES_tradnl"/>
        </w:rPr>
        <w:t xml:space="preserve"> pueden contribuir al avance del examen y la evaluación de las propuestas y los ámbitos de prioridad en lo que concierne a las recomendaciones de la “categoría C” de la Agenda para el Desarrollo.</w:t>
      </w:r>
    </w:p>
    <w:p w:rsidR="00980DB7" w:rsidRPr="00AE1FC9" w:rsidRDefault="00980DB7" w:rsidP="00980DB7"/>
    <w:p w:rsidR="00980DB7" w:rsidRPr="00AE1FC9" w:rsidRDefault="00980DB7" w:rsidP="00980DB7">
      <w:pPr>
        <w:pStyle w:val="Heading2"/>
      </w:pPr>
      <w:r w:rsidRPr="00AE1FC9">
        <w:rPr>
          <w:lang w:val="es-ES_tradnl"/>
        </w:rPr>
        <w:t>EXAMEN</w:t>
      </w:r>
    </w:p>
    <w:p w:rsidR="00980DB7" w:rsidRPr="00AE1FC9" w:rsidRDefault="00980DB7" w:rsidP="00980DB7"/>
    <w:p w:rsidR="00980DB7" w:rsidRPr="00AE1FC9" w:rsidRDefault="00980DB7" w:rsidP="00307018">
      <w:pPr>
        <w:numPr>
          <w:ilvl w:val="0"/>
          <w:numId w:val="7"/>
        </w:numPr>
        <w:ind w:left="0" w:firstLine="0"/>
      </w:pPr>
      <w:r w:rsidRPr="00AE1FC9">
        <w:rPr>
          <w:lang w:val="es-ES_tradnl"/>
        </w:rPr>
        <w:t xml:space="preserve">El análisis de los servicios y actividades de la OMPI relacionados con la transferencia de tecnología </w:t>
      </w:r>
      <w:r w:rsidR="00307018" w:rsidRPr="00AE1FC9">
        <w:rPr>
          <w:lang w:val="es-ES_tradnl"/>
        </w:rPr>
        <w:t xml:space="preserve">y </w:t>
      </w:r>
      <w:r w:rsidRPr="00AE1FC9">
        <w:rPr>
          <w:lang w:val="es-ES_tradnl"/>
        </w:rPr>
        <w:t>realizados durante el período comprendido entre 2014 y 2017 incluye</w:t>
      </w:r>
      <w:r w:rsidR="00307018" w:rsidRPr="00AE1FC9">
        <w:rPr>
          <w:lang w:val="es-ES_tradnl"/>
        </w:rPr>
        <w:t xml:space="preserve"> un total de </w:t>
      </w:r>
      <w:r w:rsidRPr="00AE1FC9">
        <w:rPr>
          <w:lang w:val="es-ES_tradnl"/>
        </w:rPr>
        <w:t>425 servicios y actividades.</w:t>
      </w:r>
      <w:r w:rsidRPr="00AE1FC9">
        <w:t xml:space="preserve">  </w:t>
      </w:r>
      <w:r w:rsidRPr="00AE1FC9">
        <w:rPr>
          <w:lang w:val="es-ES_tradnl"/>
        </w:rPr>
        <w:t xml:space="preserve">El análisis de los proyectos de la OMPI para la aplicación de las recomendaciones de la Agenda para el Desarrollo </w:t>
      </w:r>
      <w:r w:rsidR="00307018" w:rsidRPr="00AE1FC9">
        <w:rPr>
          <w:lang w:val="es-ES_tradnl"/>
        </w:rPr>
        <w:t>abarca</w:t>
      </w:r>
      <w:r w:rsidRPr="00AE1FC9">
        <w:rPr>
          <w:lang w:val="es-ES_tradnl"/>
        </w:rPr>
        <w:t xml:space="preserve"> diez proyectos en total.</w:t>
      </w:r>
    </w:p>
    <w:p w:rsidR="00980DB7" w:rsidRPr="00AE1FC9" w:rsidRDefault="00980DB7" w:rsidP="00980DB7"/>
    <w:p w:rsidR="00980DB7" w:rsidRPr="00AE1FC9" w:rsidRDefault="00980DB7" w:rsidP="00307018">
      <w:pPr>
        <w:numPr>
          <w:ilvl w:val="0"/>
          <w:numId w:val="7"/>
        </w:numPr>
        <w:ind w:left="0" w:firstLine="0"/>
      </w:pPr>
      <w:r w:rsidRPr="00AE1FC9">
        <w:rPr>
          <w:lang w:val="es-ES_tradnl"/>
        </w:rPr>
        <w:t>Cabe mencionar que se puede considerar que ciertos servicios y actividades pueden contribuir a cumplir más de una recomendación de la “categoría C” de la Agenda para el Desarrollo.</w:t>
      </w:r>
      <w:r w:rsidRPr="00AE1FC9">
        <w:t xml:space="preserve">  </w:t>
      </w:r>
      <w:r w:rsidRPr="00AE1FC9">
        <w:rPr>
          <w:lang w:val="es-ES_tradnl"/>
        </w:rPr>
        <w:t xml:space="preserve">Por ejemplo, se podría considerar que un servicio o una actividad contribuye a cumplir </w:t>
      </w:r>
      <w:r w:rsidR="00307018" w:rsidRPr="00AE1FC9">
        <w:rPr>
          <w:lang w:val="es-ES_tradnl"/>
        </w:rPr>
        <w:t>simultáneamente</w:t>
      </w:r>
      <w:r w:rsidRPr="00AE1FC9">
        <w:rPr>
          <w:lang w:val="es-ES_tradnl"/>
        </w:rPr>
        <w:t xml:space="preserve"> las recomendaciones 30 y 31, por lo que se incluiría en ambas recomendaciones en el marco del análisis.</w:t>
      </w:r>
      <w:r w:rsidRPr="00AE1FC9">
        <w:t xml:space="preserve">  </w:t>
      </w:r>
      <w:r w:rsidR="00307018" w:rsidRPr="00AE1FC9">
        <w:rPr>
          <w:lang w:val="es-ES_tradnl"/>
        </w:rPr>
        <w:t>Por este motivo</w:t>
      </w:r>
      <w:r w:rsidRPr="00AE1FC9">
        <w:rPr>
          <w:lang w:val="es-ES_tradnl"/>
        </w:rPr>
        <w:t>, el número total de actividades en el conjunto de recomendaciones de la “categoría C” de la Agenda para el Desarrollo supera el total de servicios y actividades indicados anteriormente.</w:t>
      </w:r>
    </w:p>
    <w:p w:rsidR="00980DB7" w:rsidRPr="00AE1FC9" w:rsidRDefault="00980DB7" w:rsidP="00980DB7">
      <w:pPr>
        <w:pStyle w:val="ListParagraph"/>
        <w:rPr>
          <w:lang w:val="es-ES"/>
        </w:rPr>
      </w:pPr>
    </w:p>
    <w:p w:rsidR="00980DB7" w:rsidRPr="00AE1FC9" w:rsidRDefault="00980DB7" w:rsidP="00AE1FC9">
      <w:pPr>
        <w:numPr>
          <w:ilvl w:val="0"/>
          <w:numId w:val="7"/>
        </w:numPr>
        <w:ind w:left="0" w:firstLine="0"/>
      </w:pPr>
      <w:r w:rsidRPr="00AE1FC9">
        <w:rPr>
          <w:lang w:val="es-ES_tradnl"/>
        </w:rPr>
        <w:t xml:space="preserve">Del mismo modo, cabe destacar que </w:t>
      </w:r>
      <w:r w:rsidR="00307018" w:rsidRPr="00AE1FC9">
        <w:rPr>
          <w:lang w:val="es-ES_tradnl"/>
        </w:rPr>
        <w:t xml:space="preserve">es posible que no todas las actividades tengan el mismo </w:t>
      </w:r>
      <w:r w:rsidRPr="00AE1FC9">
        <w:rPr>
          <w:lang w:val="es-ES_tradnl"/>
        </w:rPr>
        <w:t>alcance.</w:t>
      </w:r>
      <w:r w:rsidRPr="00AE1FC9">
        <w:t xml:space="preserve">  </w:t>
      </w:r>
      <w:r w:rsidRPr="00AE1FC9">
        <w:rPr>
          <w:lang w:val="es-ES_tradnl"/>
        </w:rPr>
        <w:t xml:space="preserve">Por ejemplo, un programa de sensibilización y formación puede </w:t>
      </w:r>
      <w:r w:rsidR="00AE1FC9" w:rsidRPr="00AE1FC9">
        <w:rPr>
          <w:lang w:val="es-ES_tradnl"/>
        </w:rPr>
        <w:t>suponer</w:t>
      </w:r>
      <w:r w:rsidRPr="00AE1FC9">
        <w:rPr>
          <w:lang w:val="es-ES_tradnl"/>
        </w:rPr>
        <w:t xml:space="preserve"> varios meses de desarrollo de capacidades, mientras que </w:t>
      </w:r>
      <w:r w:rsidR="00307018" w:rsidRPr="00AE1FC9">
        <w:rPr>
          <w:lang w:val="es-ES_tradnl"/>
        </w:rPr>
        <w:t xml:space="preserve">es posible que, en </w:t>
      </w:r>
      <w:r w:rsidRPr="00AE1FC9">
        <w:rPr>
          <w:lang w:val="es-ES_tradnl"/>
        </w:rPr>
        <w:t xml:space="preserve">un </w:t>
      </w:r>
      <w:r w:rsidR="00307018" w:rsidRPr="00AE1FC9">
        <w:rPr>
          <w:lang w:val="es-ES_tradnl"/>
        </w:rPr>
        <w:t>evento,</w:t>
      </w:r>
      <w:r w:rsidRPr="00AE1FC9">
        <w:rPr>
          <w:lang w:val="es-ES_tradnl"/>
        </w:rPr>
        <w:t xml:space="preserve"> </w:t>
      </w:r>
      <w:r w:rsidR="00307018" w:rsidRPr="00AE1FC9">
        <w:rPr>
          <w:lang w:val="es-ES_tradnl"/>
        </w:rPr>
        <w:t xml:space="preserve">ese contenido se abarque en </w:t>
      </w:r>
      <w:r w:rsidR="00AE1FC9" w:rsidRPr="00AE1FC9">
        <w:rPr>
          <w:lang w:val="es-ES_tradnl"/>
        </w:rPr>
        <w:t>unos</w:t>
      </w:r>
      <w:r w:rsidR="00307018" w:rsidRPr="00AE1FC9">
        <w:rPr>
          <w:lang w:val="es-ES_tradnl"/>
        </w:rPr>
        <w:t xml:space="preserve"> </w:t>
      </w:r>
      <w:r w:rsidRPr="00AE1FC9">
        <w:rPr>
          <w:lang w:val="es-ES_tradnl"/>
        </w:rPr>
        <w:t>días.</w:t>
      </w:r>
      <w:r w:rsidRPr="00AE1FC9">
        <w:t xml:space="preserve">  </w:t>
      </w:r>
      <w:r w:rsidRPr="00AE1FC9">
        <w:rPr>
          <w:lang w:val="es-ES_tradnl"/>
        </w:rPr>
        <w:t>En consecuencia, el número de actividades relacionadas con una recomendación específica de la “categoría C” de la Agenda para el Desarrollo puede no ser directamente comparable, en particular entre tipos de actividades diferentes.</w:t>
      </w:r>
    </w:p>
    <w:p w:rsidR="00980DB7" w:rsidRPr="00AE1FC9" w:rsidRDefault="00980DB7" w:rsidP="00980DB7">
      <w:pPr>
        <w:pStyle w:val="ListParagraph"/>
        <w:rPr>
          <w:lang w:val="es-ES"/>
        </w:rPr>
      </w:pPr>
    </w:p>
    <w:p w:rsidR="00980DB7" w:rsidRPr="00AE1FC9" w:rsidRDefault="00980DB7" w:rsidP="00AE1FC9">
      <w:pPr>
        <w:numPr>
          <w:ilvl w:val="0"/>
          <w:numId w:val="7"/>
        </w:numPr>
        <w:ind w:left="0" w:firstLine="0"/>
      </w:pPr>
      <w:r w:rsidRPr="00AE1FC9">
        <w:rPr>
          <w:lang w:val="es-ES_tradnl"/>
        </w:rPr>
        <w:lastRenderedPageBreak/>
        <w:t>Por último, cabe destacar que es posible que ciertos proyectos específicos se superpongan a otros servicios o actividades.</w:t>
      </w:r>
      <w:r w:rsidRPr="00AE1FC9">
        <w:t xml:space="preserve">  </w:t>
      </w:r>
      <w:r w:rsidRPr="00AE1FC9">
        <w:rPr>
          <w:lang w:val="es-ES_tradnl"/>
        </w:rPr>
        <w:t>Por ejemplo, es posible que se ponga en marcha o se realice un servicio o actividad en el marco de un proyecto y que se incluya indirectamente en el proyecto o de forma directa como un servicio o actividad.</w:t>
      </w:r>
      <w:r w:rsidRPr="00AE1FC9">
        <w:t xml:space="preserve">  </w:t>
      </w:r>
      <w:r w:rsidRPr="00AE1FC9">
        <w:rPr>
          <w:lang w:val="es-ES_tradnl"/>
        </w:rPr>
        <w:t>Se ha adoptado este enfoque para garantizar que los p</w:t>
      </w:r>
      <w:bookmarkStart w:id="4" w:name="_GoBack"/>
      <w:bookmarkEnd w:id="4"/>
      <w:r w:rsidRPr="00AE1FC9">
        <w:rPr>
          <w:lang w:val="es-ES_tradnl"/>
        </w:rPr>
        <w:t>royectos queden reflejados en los análisis en su alcance completo y no en función únicamente de servicios o actividades específicos.</w:t>
      </w:r>
    </w:p>
    <w:p w:rsidR="00980DB7" w:rsidRPr="00AE1FC9" w:rsidRDefault="00980DB7" w:rsidP="00980DB7">
      <w:pPr>
        <w:pStyle w:val="ListParagraph"/>
        <w:rPr>
          <w:lang w:val="es-ES"/>
        </w:rPr>
      </w:pPr>
    </w:p>
    <w:p w:rsidR="00980DB7" w:rsidRPr="00AE1FC9" w:rsidRDefault="00980DB7" w:rsidP="00AE1FC9">
      <w:pPr>
        <w:numPr>
          <w:ilvl w:val="0"/>
          <w:numId w:val="7"/>
        </w:numPr>
        <w:ind w:left="0" w:firstLine="0"/>
      </w:pPr>
      <w:r w:rsidRPr="00AE1FC9">
        <w:rPr>
          <w:lang w:val="es-ES_tradnl"/>
        </w:rPr>
        <w:t xml:space="preserve">El gráfico que figura a continuación muestra la distribución de los servicios y las actividades para cada recomendación de la “categoría C” de la Agenda para el Desarrollo, categorizadas según el tipo de actividad, lo que permite identificar las recomendaciones en las que ha habido más o menos actividades que han contribuido a cumplir los objetivos correspondientes de </w:t>
      </w:r>
      <w:r w:rsidR="00AE1FC9" w:rsidRPr="00AE1FC9">
        <w:rPr>
          <w:lang w:val="es-ES_tradnl"/>
        </w:rPr>
        <w:t>dichas</w:t>
      </w:r>
      <w:r w:rsidRPr="00AE1FC9">
        <w:rPr>
          <w:lang w:val="es-ES_tradnl"/>
        </w:rPr>
        <w:t xml:space="preserve"> recomendaciones y a su vez facilitar las futuras propuestas de proyectos en otros posibles ámbitos de prioridad.</w:t>
      </w:r>
    </w:p>
    <w:p w:rsidR="00980DB7" w:rsidRPr="00AE1FC9" w:rsidRDefault="00980DB7" w:rsidP="00980DB7">
      <w:pPr>
        <w:pStyle w:val="ListParagraph"/>
        <w:rPr>
          <w:lang w:val="es-ES"/>
        </w:rPr>
      </w:pPr>
    </w:p>
    <w:p w:rsidR="00980DB7" w:rsidRPr="00AE1FC9" w:rsidRDefault="00980DB7" w:rsidP="00980DB7"/>
    <w:p w:rsidR="00980DB7" w:rsidRPr="00AE1FC9" w:rsidRDefault="000E022B" w:rsidP="00980DB7">
      <w:r w:rsidRPr="000E022B">
        <w:drawing>
          <wp:inline distT="0" distB="0" distL="0" distR="0" wp14:anchorId="54964BEA" wp14:editId="24EB2D98">
            <wp:extent cx="5940425" cy="386221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862210"/>
                    </a:xfrm>
                    <a:prstGeom prst="rect">
                      <a:avLst/>
                    </a:prstGeom>
                    <a:noFill/>
                    <a:ln>
                      <a:noFill/>
                    </a:ln>
                  </pic:spPr>
                </pic:pic>
              </a:graphicData>
            </a:graphic>
          </wp:inline>
        </w:drawing>
      </w:r>
    </w:p>
    <w:p w:rsidR="000E022B" w:rsidRDefault="000E022B" w:rsidP="00980DB7">
      <w:pPr>
        <w:pStyle w:val="Endofdocument-Annex"/>
        <w:rPr>
          <w:lang w:val="es-ES_tradnl"/>
        </w:rPr>
      </w:pPr>
    </w:p>
    <w:p w:rsidR="000E022B" w:rsidRDefault="000E022B" w:rsidP="00980DB7">
      <w:pPr>
        <w:pStyle w:val="Endofdocument-Annex"/>
        <w:rPr>
          <w:lang w:val="es-ES_tradnl"/>
        </w:rPr>
      </w:pPr>
    </w:p>
    <w:p w:rsidR="00980DB7" w:rsidRPr="00AE1FC9" w:rsidRDefault="00980DB7" w:rsidP="00980DB7">
      <w:pPr>
        <w:pStyle w:val="Endofdocument-Annex"/>
        <w:rPr>
          <w:lang w:val="es-ES"/>
        </w:rPr>
      </w:pPr>
      <w:r w:rsidRPr="00AE1FC9">
        <w:rPr>
          <w:lang w:val="es-ES_tradnl"/>
        </w:rPr>
        <w:t>[Sigue el Apéndice en inglés]</w:t>
      </w:r>
    </w:p>
    <w:p w:rsidR="00980DB7" w:rsidRDefault="00980DB7" w:rsidP="00980DB7">
      <w:pPr>
        <w:pStyle w:val="Endofdocument-Annex"/>
        <w:rPr>
          <w:lang w:val="es-ES"/>
        </w:rPr>
      </w:pPr>
    </w:p>
    <w:p w:rsidR="003C0AB2" w:rsidRPr="00AE1FC9" w:rsidRDefault="003C0AB2" w:rsidP="00980DB7">
      <w:pPr>
        <w:pStyle w:val="Endofdocument-Annex"/>
        <w:rPr>
          <w:lang w:val="es-ES"/>
        </w:rPr>
        <w:sectPr w:rsidR="003C0AB2" w:rsidRPr="00AE1FC9" w:rsidSect="00F03DD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3C0AB2" w:rsidRPr="003C0AB2" w:rsidRDefault="003C0AB2" w:rsidP="003C0AB2">
      <w:pPr>
        <w:pStyle w:val="Heading2"/>
        <w:rPr>
          <w:szCs w:val="22"/>
          <w:lang w:val="en-US"/>
        </w:rPr>
      </w:pPr>
      <w:r w:rsidRPr="003C0AB2">
        <w:rPr>
          <w:szCs w:val="22"/>
          <w:lang w:val="en-US"/>
        </w:rPr>
        <w:lastRenderedPageBreak/>
        <w:t>Recommendation 24</w:t>
      </w:r>
    </w:p>
    <w:p w:rsidR="003C0AB2" w:rsidRPr="003C0AB2" w:rsidRDefault="003C0AB2" w:rsidP="003C0AB2">
      <w:pPr>
        <w:rPr>
          <w:lang w:val="en-US"/>
        </w:rPr>
      </w:pPr>
      <w:r w:rsidRPr="003C0AB2">
        <w:rPr>
          <w:lang w:val="en-US"/>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196"/>
        <w:gridCol w:w="2375"/>
      </w:tblGrid>
      <w:tr w:rsidR="003C0AB2" w:rsidRPr="0079293C" w:rsidTr="007B5CB5">
        <w:trPr>
          <w:cantSplit/>
        </w:trPr>
        <w:tc>
          <w:tcPr>
            <w:tcW w:w="7196" w:type="dxa"/>
          </w:tcPr>
          <w:p w:rsidR="003C0AB2" w:rsidRPr="0079293C" w:rsidRDefault="003C0AB2" w:rsidP="007B5CB5">
            <w:pPr>
              <w:rPr>
                <w:b/>
                <w:szCs w:val="22"/>
              </w:rPr>
            </w:pPr>
            <w:r w:rsidRPr="0079293C">
              <w:rPr>
                <w:b/>
                <w:szCs w:val="22"/>
              </w:rPr>
              <w:t>Title</w:t>
            </w:r>
          </w:p>
        </w:tc>
        <w:tc>
          <w:tcPr>
            <w:tcW w:w="2375" w:type="dxa"/>
          </w:tcPr>
          <w:p w:rsidR="003C0AB2" w:rsidRPr="0079293C" w:rsidRDefault="003C0AB2" w:rsidP="007B5CB5">
            <w:pPr>
              <w:rPr>
                <w:b/>
                <w:szCs w:val="22"/>
              </w:rPr>
            </w:pPr>
            <w:r w:rsidRPr="0079293C">
              <w:rPr>
                <w:b/>
                <w:szCs w:val="22"/>
              </w:rPr>
              <w:t>Type</w:t>
            </w:r>
          </w:p>
        </w:tc>
      </w:tr>
      <w:tr w:rsidR="003C0AB2" w:rsidRPr="000E022B" w:rsidTr="007B5CB5">
        <w:trPr>
          <w:cantSplit/>
        </w:trPr>
        <w:tc>
          <w:tcPr>
            <w:tcW w:w="7196" w:type="dxa"/>
          </w:tcPr>
          <w:p w:rsidR="003C0AB2" w:rsidRPr="003C0AB2" w:rsidRDefault="003C0AB2" w:rsidP="007B5CB5">
            <w:pPr>
              <w:rPr>
                <w:szCs w:val="22"/>
                <w:lang w:val="en-US"/>
              </w:rPr>
            </w:pPr>
            <w:r w:rsidRPr="003C0AB2">
              <w:rPr>
                <w:szCs w:val="22"/>
                <w:lang w:val="en-US"/>
              </w:rPr>
              <w:t>WIPO National Seminar on Patents and their Impact on Innovation, Paraguay (2016)</w:t>
            </w:r>
          </w:p>
        </w:tc>
        <w:tc>
          <w:tcPr>
            <w:tcW w:w="2375" w:type="dxa"/>
          </w:tcPr>
          <w:p w:rsidR="003C0AB2" w:rsidRPr="003C0AB2" w:rsidRDefault="003C0AB2" w:rsidP="007B5CB5">
            <w:pPr>
              <w:rPr>
                <w:szCs w:val="22"/>
                <w:lang w:val="en-US"/>
              </w:rPr>
            </w:pPr>
            <w:r w:rsidRPr="003C0AB2">
              <w:rPr>
                <w:szCs w:val="22"/>
                <w:lang w:val="en-US"/>
              </w:rPr>
              <w:t>Awareness-raising and training program</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Dominican Republic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Peru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 Sub-regional Workshop on WIPO Pilot Project for Universities and Research Centers in Central American Countries, Panama Knowledge City, Panama (2015)</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WIPO/OEPM in collaboration with MIEM - 2nd Regional Workshop for Training the Trainers on Patent Drafting, Uruguay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4th Regional Workshop on Industrial Property and Technology Transfer, El Salvador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 xml:space="preserve">IP Marketing and Valuation (advanced STL course), Brazil (2015) </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Argentina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Cuba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Guatemala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Nicaragua,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Seminar for Technology and Innovation Support Centers (TISCs), Panama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 xml:space="preserve">National Training Program on IP Marketing and Valuation, Chile (2016) </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Workshop on Innovation and Added Value based on Technological Information, and Competitive Intelligence for TISC Staff, Universities and R&amp;D centers, Colombia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Workshop on Technology Transfer Agreements, Mexico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National Workshop on Technology Transfer, Valuation and Dispute Resolution for TISC staff and R&amp;D Centers, Colombia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Regional TTO Meeting (Working Together) on Internet and Research, Croatia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Round Table on Patents and their Impact on Innovation, Uruguay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Seminar on IP and Public Policies for Innovation and Technology Transfer, Peru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Sub-Regional Intellectual Property Workshop for Young Innovators: From Idea to the Market Place, Botswana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 xml:space="preserve">Sub-regional Seminar on IP and Technology Transfer, Costa Rica (2017) </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Sub-Regional Seminar on the Development of IP Policies for Universities and Research Institutions, Colombia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 xml:space="preserve">Sub-regional Workshop on the Use of IP Tools related to Technology Transfer, Costa Rica (2017) </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lastRenderedPageBreak/>
              <w:t>Training Workshop on Patent information, Search Strategies and Tech-Transfer for National TISC network, Guatemala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 National Workshop on Basic Patent Analytics Using the Guidelines for Preparing Patent Landscape Reports and the Manual on Free and Open Source Tools for Patent Analytics, Brazil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 National Workshop on Basic Patent Analytics, Colombia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 Patent Workshop on Practical Aspects of Patent Applications for the Industry, University Researchers and Patent Agents, Paraguay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WIPO/IDB IP Commercialization and Technology Transfer Cohort/Team Induction Program, Trinidad and Tobago (2017)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WIPO/OEPM/AECID Regional Workshop for Training of Trainers on Industrial Property: Drafting of Patent Applications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Workshop on IP Strategies, Patent Information and Technological Solutions, Colombia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Workshop on Technology Transfer, Chile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Workshop on the Use of Tools for Technology Transfer, Peru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WIPO/IDB IP Commercialization and Technology Transfer Training Course, Barbados, Jamaica, Trinidad and Tobago (2016-2017)</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WIPO/OEPM - Regional Workshop for Training the Trainers on Patent Drafting, Colombia (2016)</w:t>
            </w:r>
          </w:p>
        </w:tc>
        <w:tc>
          <w:tcPr>
            <w:tcW w:w="2375" w:type="dxa"/>
          </w:tcPr>
          <w:p w:rsidR="003C0AB2" w:rsidRPr="0079293C" w:rsidRDefault="003C0AB2" w:rsidP="007B5CB5">
            <w:pPr>
              <w:rPr>
                <w:szCs w:val="22"/>
              </w:rPr>
            </w:pPr>
            <w:r w:rsidRPr="0079293C">
              <w:rPr>
                <w:szCs w:val="22"/>
              </w:rPr>
              <w:t>Event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Establishment and development of Technology and Innovation Support Centers (TISCs)</w:t>
            </w:r>
          </w:p>
        </w:tc>
        <w:tc>
          <w:tcPr>
            <w:tcW w:w="2375" w:type="dxa"/>
          </w:tcPr>
          <w:p w:rsidR="003C0AB2" w:rsidRPr="0079293C" w:rsidRDefault="003C0AB2" w:rsidP="007B5CB5">
            <w:pPr>
              <w:rPr>
                <w:szCs w:val="22"/>
              </w:rPr>
            </w:pPr>
            <w:r w:rsidRPr="0079293C">
              <w:rPr>
                <w:szCs w:val="22"/>
              </w:rPr>
              <w:t>Project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 xml:space="preserve">Project to support Member States to integrate IP and knowledge transfer considerations into their IP Strategies, Trinidad and Tobago </w:t>
            </w:r>
          </w:p>
        </w:tc>
        <w:tc>
          <w:tcPr>
            <w:tcW w:w="2375" w:type="dxa"/>
          </w:tcPr>
          <w:p w:rsidR="003C0AB2" w:rsidRPr="0079293C" w:rsidRDefault="003C0AB2" w:rsidP="007B5CB5">
            <w:pPr>
              <w:rPr>
                <w:szCs w:val="22"/>
              </w:rPr>
            </w:pPr>
            <w:r w:rsidRPr="0079293C">
              <w:rPr>
                <w:szCs w:val="22"/>
              </w:rPr>
              <w:t>Project</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Support to the Elaboration of the IP Policy to the Galileo University, Guatemala</w:t>
            </w:r>
          </w:p>
        </w:tc>
        <w:tc>
          <w:tcPr>
            <w:tcW w:w="2375" w:type="dxa"/>
          </w:tcPr>
          <w:p w:rsidR="003C0AB2" w:rsidRPr="0079293C" w:rsidRDefault="003C0AB2" w:rsidP="007B5CB5">
            <w:pPr>
              <w:rPr>
                <w:szCs w:val="22"/>
              </w:rPr>
            </w:pPr>
            <w:r w:rsidRPr="0079293C">
              <w:rPr>
                <w:szCs w:val="22"/>
              </w:rPr>
              <w:t>Technical assistance</w:t>
            </w:r>
          </w:p>
        </w:tc>
      </w:tr>
      <w:tr w:rsidR="003C0AB2" w:rsidRPr="0079293C" w:rsidTr="007B5CB5">
        <w:trPr>
          <w:cantSplit/>
        </w:trPr>
        <w:tc>
          <w:tcPr>
            <w:tcW w:w="7196" w:type="dxa"/>
          </w:tcPr>
          <w:p w:rsidR="003C0AB2" w:rsidRPr="003C0AB2" w:rsidRDefault="003C0AB2" w:rsidP="007B5CB5">
            <w:pPr>
              <w:rPr>
                <w:szCs w:val="22"/>
                <w:lang w:val="en-US"/>
              </w:rPr>
            </w:pPr>
            <w:r w:rsidRPr="003C0AB2">
              <w:rPr>
                <w:szCs w:val="22"/>
                <w:lang w:val="en-US"/>
              </w:rPr>
              <w:t>Review of an IP Curriculum for a Postgraduate Program, Nicaragua (Organized jointly by a national university and the Nicaraguan Council of Science and Technology)</w:t>
            </w:r>
          </w:p>
        </w:tc>
        <w:tc>
          <w:tcPr>
            <w:tcW w:w="2375" w:type="dxa"/>
          </w:tcPr>
          <w:p w:rsidR="003C0AB2" w:rsidRPr="0079293C" w:rsidRDefault="003C0AB2" w:rsidP="007B5CB5">
            <w:pPr>
              <w:rPr>
                <w:szCs w:val="22"/>
              </w:rPr>
            </w:pPr>
            <w:r w:rsidRPr="0079293C">
              <w:rPr>
                <w:szCs w:val="22"/>
              </w:rPr>
              <w:t>Technical assistance</w:t>
            </w:r>
          </w:p>
        </w:tc>
      </w:tr>
    </w:tbl>
    <w:p w:rsidR="003C0AB2" w:rsidRPr="0079293C"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IP, Information and Communication Technologies (ICTs), the Digital Divide and Access to Knowledge</w:t>
            </w:r>
          </w:p>
        </w:tc>
      </w:tr>
    </w:tbl>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t>Recommendation 25</w:t>
      </w:r>
    </w:p>
    <w:p w:rsidR="003C0AB2" w:rsidRPr="003C0AB2" w:rsidRDefault="003C0AB2" w:rsidP="003C0AB2">
      <w:pPr>
        <w:rPr>
          <w:lang w:val="en-US"/>
        </w:rPr>
      </w:pPr>
      <w:r w:rsidRPr="003C0AB2">
        <w:rPr>
          <w:lang w:val="en-US"/>
        </w:rPr>
        <w:t>“To explore intellectual property-related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196"/>
        <w:gridCol w:w="2375"/>
      </w:tblGrid>
      <w:tr w:rsidR="003C0AB2" w:rsidRPr="0079293C" w:rsidTr="007B5CB5">
        <w:trPr>
          <w:cantSplit/>
        </w:trPr>
        <w:tc>
          <w:tcPr>
            <w:tcW w:w="7196" w:type="dxa"/>
          </w:tcPr>
          <w:p w:rsidR="003C0AB2" w:rsidRPr="0079293C" w:rsidRDefault="003C0AB2" w:rsidP="007B5CB5">
            <w:pPr>
              <w:rPr>
                <w:b/>
                <w:szCs w:val="22"/>
              </w:rPr>
            </w:pPr>
            <w:r w:rsidRPr="0079293C">
              <w:rPr>
                <w:b/>
                <w:szCs w:val="22"/>
              </w:rPr>
              <w:t>Title</w:t>
            </w:r>
          </w:p>
        </w:tc>
        <w:tc>
          <w:tcPr>
            <w:tcW w:w="2375" w:type="dxa"/>
          </w:tcPr>
          <w:p w:rsidR="003C0AB2" w:rsidRPr="0079293C" w:rsidRDefault="003C0AB2" w:rsidP="007B5CB5">
            <w:pPr>
              <w:rPr>
                <w:b/>
                <w:szCs w:val="22"/>
              </w:rPr>
            </w:pPr>
            <w:r w:rsidRPr="0079293C">
              <w:rPr>
                <w:b/>
                <w:szCs w:val="22"/>
              </w:rPr>
              <w:t>Type</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Studies and programs regarding an importance of IP policies/strategies on the national level </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Distance Learning Course on Patent Information (DL-318) in English, French and Spanish (2014-2017)</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WIPO / WTO Colloquium for Teachers of IP, Switzerland (2014-2017) </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lastRenderedPageBreak/>
              <w:t>WIPO Joint Master's Programs on Intellectual Property (MIP and LLM) (including lectures and exercises relating to technology transfer) (2014-2017)</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National Seminar on Patents and their Impact on Innovation, Paraguay (2016)</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Summer Schools Program includes sessions on technology transfer and technology licensing activities. The WIPO South Africa Summer School focuses specifically on IP and transfer of technology (2014-2017)</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WIPO-CEIPI Advanced Training Course on Intellectual Property, Transfer of Technology and Licensing</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Workshop on “Strengthening national systems of innovation in developing countries, covering the entire technology cycle for climate technology” – UNFCCC TEC Workshop, Bonn, October 13 and 14, 2014</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Distance Learning Course on Basics of Patent Drafting (DL-320) in Arabic, Chinese, English, French, Portuguese, Russian and Spanish (2014-2017)</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 WTO Advanced Trade Policy Course for Policy Makers and Government Officials, Geneva (2014-2017)</w:t>
            </w:r>
          </w:p>
        </w:tc>
        <w:tc>
          <w:tcPr>
            <w:tcW w:w="2375"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Bibliography on Intellectual Property Arbitration and Mediation: WIPO Arbitration, Mediation, and Expert Determination Clauses:  http://www.wipo.int/amc/en/clauses/index.html</w:t>
            </w:r>
          </w:p>
        </w:tc>
        <w:tc>
          <w:tcPr>
            <w:tcW w:w="2375"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Bibliography on Intellectual Property Arbitration and Mediation: WIPO Arbitration, Mediation, and Expert Determination Clauses:  http://www.wipo.int/amc/en/clauses/index.html</w:t>
            </w:r>
          </w:p>
        </w:tc>
        <w:tc>
          <w:tcPr>
            <w:tcW w:w="2375"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Database of IP Policies for Universities and Research Institutions</w:t>
            </w:r>
          </w:p>
        </w:tc>
        <w:tc>
          <w:tcPr>
            <w:tcW w:w="2375"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Database of National Frameworks concerning Ownership Issues in Academic Research and Commercialization of Innovations Developed at Universities and Research Institutions</w:t>
            </w:r>
          </w:p>
        </w:tc>
        <w:tc>
          <w:tcPr>
            <w:tcW w:w="2375"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Joint Side Event on Climate Change and Technology – Global Environment Facility 5th Assembly, Bonn, May 27, 2014</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WIPO/IRENA Side Event on Renewable Energy Technologies: Technology Trends, Patents and Policy Implications – UNFCCC Bonn Climate Change Conference, June 13, 2014</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COHRED Global Forum on Research and Innovation for Health, Philippines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National Conference on Intellectual Property Policies for Universities and Innovation, Bulgaria, (2015)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National Patent Drafting Course, Malaysia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National Patent Drafting Course, Philippines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National Patent Drafting Course, Sri Lanka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Patent Drafting Course, Thailand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Patent Drafting Course, Thailand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Patent Drafting Workshop, Algeria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National Patent Drafting Workshop, Colombia (2015)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Patent Drafting Workshop, Ecuador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National Patent Drafting Workshop, Niger (2017)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Patent Drafting Workshop, South Africa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National Patent Drafting Workshop, Tunisia (2017)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Intellectual Property Policies in Universities and Research  Institutions, Kyrgyzstan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in Universities, Belarus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lastRenderedPageBreak/>
              <w:t>Patent Drafting Training for Member and Observer States of the African Regional Intellectual Property Organization (ARIPO)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Patent Drafting Training for Member and Observer States of the African Regional Intellectual Property Organization (ARIPO)(2015)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Regional Patent Drafting Course for GCC Member States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Regional Patent Drafting Course for Member and Observer States of ARIPO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Seminar on International Technology Transfer – Licensing and ADR with the Licensing Executives Society (LES) Italy, Management Dell’ Innovazione E Imprenditorialità,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Seminar on International Technology Transfer – Licensing and ADR with the Licensing Executives Society (LES) Italy, Management Dell’ Innovazione E Imprenditorialità,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Sub-regional Patent Drafting Course, Jamaica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Sub-regional Patent Drafting Course, Jordan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University Technology Managers (AUTM)</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European Association of Research and Technology Organizations (EARTO)</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European Industrial Research Management Association (EIRMA)</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lastRenderedPageBreak/>
              <w:t>WIPO participation in IRENA Side event on IRENA’s Interactive Web Tool on International Standards and Patents in Renewable Energy – UNFCCC Climate Change Conference, Bonn, June 5,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Patent Workshop on Practical Aspects of Patent Applications for the Industry University Researchers and Patent Agents, Paraguay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WIPO/OEPM - 2nd Regional Workshop for Training the Trainers on Patent Drafting, Uruguay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WIPO/PIPRA/UC Davis IP Valuation Course, UC Davis Licensing Academy, UC Davis, California, United States of America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Fact Finding Mission to Assess the Situation regarding Knowledge Transfer and Define an Action Plan for the Establishment of a Model TTO, Algeria (2014)</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Meeting for selected countries on Developing National and Regional approaches to Technology and innovation Support and commercialization of Research and Development, Morocco (June 11 to 13, 2014)</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National Seminar for Technology and Innovation Support Centers (TISCs), Mauritania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in Innovative Economy, Kyrgyzstan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for Universities and Research Institutions, Iceland (2016-2017)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for Universities and Research Institutions, Italy (2016-2017)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for Universities and Research Institutions, Morocco (2016-2017)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for Universities and Research Institutions, Mozambique (2016-2017)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for Universities and Research Institutions, Sudan (2016-2017)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IP Policies for Universities and Research Institutions, UAE (2016-2017)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Seminar on the development of IP Policies for Universities, Morocco (September 13 and 14,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Presentation on TISC Program, University of Tlemcen, Algeria, (April 26,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Regional Seminar on IP Policies in Universities and Research Institutions, Azerbaijan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Regional Workshop on the Outcome of WIPO Pilot Technology Transfer Offices (TTO) Project in Tunisia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Seminar on IP Policies for Universities Sudan (May 17 and 18,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Seminar on Technology and Innovation Support Centers (TISCs) and the Use of Patent Information, Algeria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Seminar on the efficiency of TISC National Network, Mauritania (November 21 to 23,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lastRenderedPageBreak/>
              <w:t>Study visit of the Representatives from Armenia and the Russian Federation on the Issues of Innovative Activities, Israel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Study Visit on Best Practices in IP Management for Government officials from Bosnia and Herzegovina, Poland and the Russian Federation, Singapore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IP Policies for Universities and Research Institutions, Bosnia and Herzegovina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IP Policies for Universities and Research Institutions, Czech Republic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IP Policies for Universities and Research Institutions, Georgia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IP Policies for Universities and Research Institutions, Hungary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IP Policies for Universities and Research Institutions, Lebanon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IP Policies for Universities, Ukraine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Sub-Regional Seminar on the Development of IP Policies for Universities and Research Institutions, Colombia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TISC Seminar, Oran, Algeria (December 13 and 14,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Training workshop on TISC, Oman, (March 20 to 22,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TTO Project, Tunisia:  Workshop on IP Marketing and Valuation, WIPO Headquarters, (November 2 to 4,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Conference on IP Policy for Visegrad Countries, Switzerland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WIPO Inter-Regional TTO Meeting "Working Together on Academic IP Commercialization in the Region", Czech Republic (2016)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Side Event on Policies and Evidence to Support Climate Change Technology Transfer and Innovation – UNFCCC Climate Change Conference, Bonn, June 8, 2015</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WIPO/OEPM/AECID Regional Workshop for Training of Trainers on Patent Drafting, Colombia (2016)</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TISC Network, Oman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on Establishing a Technology and Innovation Support Centers (TISCs) Network, Jordan (2016)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Workshop on IP policies for Universities, UAE, November 22 and 23, 2017)</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Workshop on TISCs Network for Selected Arab Countries, Jordan (2017) </w:t>
            </w:r>
          </w:p>
        </w:tc>
        <w:tc>
          <w:tcPr>
            <w:tcW w:w="2375"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Knowledge and Technology Transfer webpage </w:t>
            </w:r>
          </w:p>
        </w:tc>
        <w:tc>
          <w:tcPr>
            <w:tcW w:w="2375"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Alternative Dispute Resolution (ADR) of Research and Development/Technology Transfer Disputes Procedural Guidance and Training.</w:t>
            </w:r>
          </w:p>
        </w:tc>
        <w:tc>
          <w:tcPr>
            <w:tcW w:w="2375"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lastRenderedPageBreak/>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Evaluation and Development of the Technology and Innovation Support Center (TISC) National Project in Egypt (2017)</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IP Commercialization Coaching Session for TTOs in Tunisia, National TTO-Pilot Project, Tunisia (2017)</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Georgia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Latvia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TISCs Clinic Services as Pilot Project in Morocco providing pro bono assistance to eligible inventors, Morocco (2015)</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Workshop on Successful Technology Licensing within the framework of TTOs Project Implementation, Tunisia (2016)</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Country project to provide technical assistance to Botswana government- funded research institutions and universities in support of innovation and IP mainstreaming in institutional strategies, Botswana (2015)</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Enabling IP Environment</w:t>
            </w:r>
          </w:p>
          <w:p w:rsidR="003C0AB2" w:rsidRPr="003C0AB2" w:rsidRDefault="003C0AB2" w:rsidP="007B5CB5">
            <w:pPr>
              <w:rPr>
                <w:color w:val="000000"/>
                <w:szCs w:val="22"/>
                <w:lang w:val="en-US"/>
              </w:rPr>
            </w:pPr>
            <w:r w:rsidRPr="003C0AB2">
              <w:rPr>
                <w:color w:val="000000"/>
                <w:szCs w:val="22"/>
                <w:lang w:val="en-US"/>
              </w:rPr>
              <w:t>Designed to establish a network of in- country IP support institutions and organizations receiving technical assistance relating to technology development, management, and commercialization from WIPO</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Project on IP Policies for Universities and Research Institutions, Botswana (2016)</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Project on IP Policies for Universities and Research Institutions, Colombia (2016)</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National Project on IP Policies for Universities and Research Institutions, Sri Lanka (2016)</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Albania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lastRenderedPageBreak/>
              <w:t>Project to support Member States to integrate IP and knowledge transfer considerations into their IP Strategies, Cameroon</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Jamaica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Rwanda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Slovakia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Sri Lanka</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Project to support Member States to integrate IP and knowledge transfer considerations into their IP Strategies, Trinidad and Tobago </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WIPO Re:Search research collaborations on neglected tropical diseases, malaria and tuberculosis </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 xml:space="preserve">Inventor Assistance Program (IAP) </w:t>
            </w:r>
          </w:p>
        </w:tc>
        <w:tc>
          <w:tcPr>
            <w:tcW w:w="2375"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Global Challenges Brief: Incentivizing the Adoption of Green Technology on a Global Scale</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Global Challenges Brief: WIPO Re:Search: Sharing Innovation in the Fight Against Neglected Tropical Diseases</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Global Challenges Report: Antimicrobial Resistance (AMR) and Multidrug Resistance (MDR): Overview of current approaches, consortia and intellectual property issues</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Global Challenges Report: Innovation and Diffusion of Green Technologies: The Role of Intellectual Property and Other Enabling Factors</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 xml:space="preserve">WIPO Alternative Dispute Resolution (ADR) of R&amp;D/Technology Transfer Disputes: Recommended Contract Clauses and Submission Agreements </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79293C" w:rsidRDefault="003C0AB2" w:rsidP="007B5CB5">
            <w:pPr>
              <w:rPr>
                <w:color w:val="000000"/>
                <w:szCs w:val="22"/>
              </w:rPr>
            </w:pPr>
            <w:r w:rsidRPr="003C0AB2">
              <w:rPr>
                <w:color w:val="000000"/>
                <w:szCs w:val="22"/>
                <w:lang w:val="en-US"/>
              </w:rPr>
              <w:t xml:space="preserve">WIPO Alternative Dispute Resolution (ADR) of Research and Development/Technology Transfer Disputes Recommended Contract Clauses and Submission Agreements. </w:t>
            </w:r>
            <w:r w:rsidRPr="0079293C">
              <w:rPr>
                <w:color w:val="000000"/>
                <w:szCs w:val="22"/>
              </w:rPr>
              <w:t>Anonymized technology transfer mediation and arbitration case examples</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 xml:space="preserve">Global Innovation Index </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Alternative Dispute Resolution (ADR) of R&amp;D/Technology Transfer Disputes Recommended Contract Clauses and Submission Agreements: Anonymized technology transfer mediation and arbitration case examples</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IP Policy Template for Universities and Research Institutions and Guidelines for Customization of the IP Policy Template</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 xml:space="preserve">World IP Report </w:t>
            </w:r>
          </w:p>
        </w:tc>
        <w:tc>
          <w:tcPr>
            <w:tcW w:w="2375"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WIPO GREEN Database</w:t>
            </w:r>
          </w:p>
        </w:tc>
        <w:tc>
          <w:tcPr>
            <w:tcW w:w="2375" w:type="dxa"/>
          </w:tcPr>
          <w:p w:rsidR="003C0AB2" w:rsidRPr="0079293C" w:rsidRDefault="003C0AB2" w:rsidP="007B5CB5">
            <w:pPr>
              <w:rPr>
                <w:color w:val="000000"/>
                <w:szCs w:val="22"/>
              </w:rPr>
            </w:pPr>
            <w:r w:rsidRPr="0079293C">
              <w:rPr>
                <w:color w:val="000000"/>
                <w:szCs w:val="22"/>
              </w:rPr>
              <w:t>Specialized resource</w:t>
            </w:r>
          </w:p>
        </w:tc>
      </w:tr>
      <w:tr w:rsidR="003C0AB2" w:rsidRPr="0079293C" w:rsidTr="007B5CB5">
        <w:trPr>
          <w:cantSplit/>
        </w:trPr>
        <w:tc>
          <w:tcPr>
            <w:tcW w:w="7196" w:type="dxa"/>
          </w:tcPr>
          <w:p w:rsidR="003C0AB2" w:rsidRPr="0079293C" w:rsidRDefault="003C0AB2" w:rsidP="007B5CB5">
            <w:pPr>
              <w:rPr>
                <w:color w:val="000000"/>
                <w:szCs w:val="22"/>
              </w:rPr>
            </w:pPr>
            <w:r w:rsidRPr="0079293C">
              <w:rPr>
                <w:color w:val="000000"/>
                <w:szCs w:val="22"/>
              </w:rPr>
              <w:t>WIPO Re:Search Database</w:t>
            </w:r>
          </w:p>
        </w:tc>
        <w:tc>
          <w:tcPr>
            <w:tcW w:w="2375" w:type="dxa"/>
          </w:tcPr>
          <w:p w:rsidR="003C0AB2" w:rsidRPr="0079293C" w:rsidRDefault="003C0AB2" w:rsidP="007B5CB5">
            <w:pPr>
              <w:rPr>
                <w:color w:val="000000"/>
                <w:szCs w:val="22"/>
              </w:rPr>
            </w:pPr>
            <w:r w:rsidRPr="0079293C">
              <w:rPr>
                <w:color w:val="000000"/>
                <w:szCs w:val="22"/>
              </w:rPr>
              <w:t>Specialized resource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WIPO Studies on International Comparison of Knowledge Transfer Policies and Practices</w:t>
            </w:r>
          </w:p>
        </w:tc>
        <w:tc>
          <w:tcPr>
            <w:tcW w:w="2375" w:type="dxa"/>
          </w:tcPr>
          <w:p w:rsidR="003C0AB2" w:rsidRPr="0079293C" w:rsidRDefault="003C0AB2" w:rsidP="007B5CB5">
            <w:pPr>
              <w:rPr>
                <w:color w:val="000000"/>
                <w:szCs w:val="22"/>
              </w:rPr>
            </w:pPr>
            <w:r w:rsidRPr="0079293C">
              <w:rPr>
                <w:color w:val="000000"/>
                <w:szCs w:val="22"/>
              </w:rPr>
              <w:t>Specialized resource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Development of IP Institutional Policies for Universities</w:t>
            </w:r>
          </w:p>
        </w:tc>
        <w:tc>
          <w:tcPr>
            <w:tcW w:w="2375"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Technical assistance in establishing IP management offices</w:t>
            </w:r>
          </w:p>
        </w:tc>
        <w:tc>
          <w:tcPr>
            <w:tcW w:w="2375"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Expert Mission on TTOs, (January 31 to February 2, Tunisia, 2017)</w:t>
            </w:r>
          </w:p>
        </w:tc>
        <w:tc>
          <w:tcPr>
            <w:tcW w:w="2375"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IP Policies for Universities and Research Institutions in Azerbaijan</w:t>
            </w:r>
          </w:p>
        </w:tc>
        <w:tc>
          <w:tcPr>
            <w:tcW w:w="2375"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IP Policies for Universities and Research Institutions in the Russian Federation</w:t>
            </w:r>
          </w:p>
        </w:tc>
        <w:tc>
          <w:tcPr>
            <w:tcW w:w="2375"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IP Policies for Universities and Research Institutions in the Ukraine</w:t>
            </w:r>
          </w:p>
        </w:tc>
        <w:tc>
          <w:tcPr>
            <w:tcW w:w="2375"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196" w:type="dxa"/>
          </w:tcPr>
          <w:p w:rsidR="003C0AB2" w:rsidRPr="003C0AB2" w:rsidRDefault="003C0AB2" w:rsidP="007B5CB5">
            <w:pPr>
              <w:rPr>
                <w:color w:val="000000"/>
                <w:szCs w:val="22"/>
                <w:lang w:val="en-US"/>
              </w:rPr>
            </w:pPr>
            <w:r w:rsidRPr="003C0AB2">
              <w:rPr>
                <w:color w:val="000000"/>
                <w:szCs w:val="22"/>
                <w:lang w:val="en-US"/>
              </w:rPr>
              <w:t>Standing Committee on the Law of Patents (SCP): Items on "Transfer of Technology" have been on the agenda since the 14th session of the Standing Committee</w:t>
            </w:r>
          </w:p>
        </w:tc>
        <w:tc>
          <w:tcPr>
            <w:tcW w:w="2375" w:type="dxa"/>
          </w:tcPr>
          <w:p w:rsidR="003C0AB2" w:rsidRPr="0079293C" w:rsidRDefault="003C0AB2" w:rsidP="007B5CB5">
            <w:pPr>
              <w:rPr>
                <w:color w:val="000000"/>
                <w:szCs w:val="22"/>
              </w:rPr>
            </w:pPr>
            <w:r w:rsidRPr="0079293C">
              <w:rPr>
                <w:color w:val="000000"/>
                <w:szCs w:val="22"/>
              </w:rPr>
              <w:t>WIPO Committee</w:t>
            </w:r>
          </w:p>
        </w:tc>
      </w:tr>
    </w:tbl>
    <w:p w:rsidR="003C0AB2" w:rsidRPr="0079293C"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Intellectual Property and Technology Transfer: Common Challenges – Building Solutions</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Enhancing South-South Cooperation on IP and Development Among Developing Countries and Least Developed Countries</w:t>
            </w:r>
          </w:p>
        </w:tc>
      </w:tr>
    </w:tbl>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t>Recommendation 26</w:t>
      </w:r>
    </w:p>
    <w:p w:rsidR="003C0AB2" w:rsidRPr="003C0AB2" w:rsidRDefault="003C0AB2" w:rsidP="003C0AB2">
      <w:pPr>
        <w:rPr>
          <w:lang w:val="en-US"/>
        </w:rPr>
      </w:pPr>
      <w:proofErr w:type="gramStart"/>
      <w:r w:rsidRPr="003C0AB2">
        <w:rPr>
          <w:lang w:val="en-US"/>
        </w:rPr>
        <w:t>“To encourage Member States, especially developed countries, to urge their research and scientific institutions to enhance cooperation and exchange with research and development institutions in developing countries, especially LDCs.”</w:t>
      </w:r>
      <w:proofErr w:type="gramEnd"/>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3C0AB2" w:rsidRPr="0079293C" w:rsidTr="007B5CB5">
        <w:tc>
          <w:tcPr>
            <w:tcW w:w="7054" w:type="dxa"/>
          </w:tcPr>
          <w:p w:rsidR="003C0AB2" w:rsidRPr="0079293C" w:rsidRDefault="003C0AB2" w:rsidP="007B5CB5">
            <w:pPr>
              <w:rPr>
                <w:b/>
                <w:szCs w:val="22"/>
              </w:rPr>
            </w:pPr>
            <w:r w:rsidRPr="0079293C">
              <w:rPr>
                <w:b/>
                <w:szCs w:val="22"/>
              </w:rPr>
              <w:t>Title</w:t>
            </w:r>
          </w:p>
        </w:tc>
        <w:tc>
          <w:tcPr>
            <w:tcW w:w="2517" w:type="dxa"/>
          </w:tcPr>
          <w:p w:rsidR="003C0AB2" w:rsidRPr="0079293C" w:rsidRDefault="003C0AB2" w:rsidP="007B5CB5">
            <w:pPr>
              <w:rPr>
                <w:b/>
                <w:szCs w:val="22"/>
              </w:rPr>
            </w:pPr>
            <w:r w:rsidRPr="0079293C">
              <w:rPr>
                <w:b/>
                <w:szCs w:val="22"/>
              </w:rPr>
              <w:t>Type</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Distance Learning Course on Patent Information (DL-318) in English, French and Spanish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 xml:space="preserve">WIPO / WTO Colloquium for Teachers of IP, Switzerland (2014-2017) </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WIPO Joint Master's Programs on Intellectual Property (MIP and LLM) (including lectures and exercises relating to technology transfer)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WIPO Summer Schools Program includes sessions on technology transfer and technology licensing activities. The WIPO South Africa Summer School focuses specifically on IP and transfer of technology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WIPO-CEIPI Advanced Training Course on Intellectual Property, Transfer of Technology and Licensing</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Distance Learning Course on Basics of Patent Drafting (DL-320) in Arabic, Chinese, English, French, Portuguese, Russian and Spanish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c>
          <w:tcPr>
            <w:tcW w:w="7054" w:type="dxa"/>
          </w:tcPr>
          <w:p w:rsidR="003C0AB2" w:rsidRPr="003C0AB2" w:rsidRDefault="003C0AB2" w:rsidP="007B5CB5">
            <w:pPr>
              <w:rPr>
                <w:color w:val="000000"/>
                <w:szCs w:val="22"/>
                <w:lang w:val="en-US"/>
              </w:rPr>
            </w:pPr>
            <w:r w:rsidRPr="003C0AB2">
              <w:rPr>
                <w:color w:val="000000"/>
                <w:szCs w:val="22"/>
                <w:lang w:val="en-US"/>
              </w:rPr>
              <w:t>WIPO / WTO Advanced Trade Policy Course for Policy Makers and Government Officials, Geneva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Database of Biodiversity-related Access and Benefit-sharing Agreements</w:t>
            </w:r>
          </w:p>
        </w:tc>
        <w:tc>
          <w:tcPr>
            <w:tcW w:w="2517"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3rd International Conference on Water Resources and Environmental Management (ICWRE-2014), Antalya, May 13 to 15,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c>
          <w:tcPr>
            <w:tcW w:w="7054" w:type="dxa"/>
          </w:tcPr>
          <w:p w:rsidR="003C0AB2" w:rsidRPr="0079293C" w:rsidRDefault="003C0AB2" w:rsidP="007B5CB5">
            <w:pPr>
              <w:rPr>
                <w:color w:val="000000"/>
                <w:szCs w:val="22"/>
              </w:rPr>
            </w:pPr>
            <w:r w:rsidRPr="003C0AB2">
              <w:rPr>
                <w:color w:val="000000"/>
                <w:szCs w:val="22"/>
                <w:lang w:val="en-US"/>
              </w:rPr>
              <w:t xml:space="preserve">WIPO Alternative Dispute Resolution (ADR) of Research and Development/Technology Transfer Disputes Recommended Contract Clauses and Submission Agreements. </w:t>
            </w:r>
            <w:r w:rsidRPr="0079293C">
              <w:rPr>
                <w:color w:val="000000"/>
                <w:szCs w:val="22"/>
              </w:rPr>
              <w:t>Anonymized technology transfer mediation and arbitration case examples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Global Challenges Brief: Promoting Medical Innovation and Access, Together</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Global Challenges Report: Sharing Innovation and Building Capacity to Fight Neglected Tropical Diseases: A Selection of WIPO Re:Search Fellowship Stories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Guide on Intellectual Property Issues in Access and Benefit-Sharing Agreements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c>
          <w:tcPr>
            <w:tcW w:w="7054" w:type="dxa"/>
          </w:tcPr>
          <w:p w:rsidR="003C0AB2" w:rsidRPr="003C0AB2" w:rsidRDefault="003C0AB2" w:rsidP="007B5CB5">
            <w:pPr>
              <w:rPr>
                <w:color w:val="000000"/>
                <w:szCs w:val="22"/>
                <w:lang w:val="en-US"/>
              </w:rPr>
            </w:pPr>
            <w:r w:rsidRPr="003C0AB2">
              <w:rPr>
                <w:color w:val="000000"/>
                <w:szCs w:val="22"/>
                <w:lang w:val="en-US"/>
              </w:rPr>
              <w:t>WIPO Alternative Dispute Resolution (ADR) of R&amp;D/Technology Transfer Disputes Recommended Contract Clauses and Submission Agreements: Anonymized technology transfer mediation and arbitration case examples</w:t>
            </w:r>
          </w:p>
        </w:tc>
        <w:tc>
          <w:tcPr>
            <w:tcW w:w="2517" w:type="dxa"/>
          </w:tcPr>
          <w:p w:rsidR="003C0AB2" w:rsidRPr="0079293C" w:rsidRDefault="003C0AB2" w:rsidP="007B5CB5">
            <w:pPr>
              <w:rPr>
                <w:color w:val="000000"/>
                <w:szCs w:val="22"/>
              </w:rPr>
            </w:pPr>
            <w:r w:rsidRPr="0079293C">
              <w:rPr>
                <w:color w:val="000000"/>
                <w:szCs w:val="22"/>
              </w:rPr>
              <w:t>Publication</w:t>
            </w:r>
          </w:p>
        </w:tc>
      </w:tr>
    </w:tbl>
    <w:p w:rsidR="003C0AB2" w:rsidRPr="0079293C"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Intellectual Property and Technology Transfer: Common Challenges – Building Solutions</w:t>
            </w:r>
          </w:p>
        </w:tc>
      </w:tr>
    </w:tbl>
    <w:p w:rsidR="003C0AB2" w:rsidRPr="003C0AB2" w:rsidRDefault="003C0AB2" w:rsidP="003C0AB2">
      <w:pPr>
        <w:rPr>
          <w:szCs w:val="22"/>
          <w:lang w:val="en-US"/>
        </w:rPr>
      </w:pPr>
    </w:p>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t>Recommendation 27</w:t>
      </w:r>
    </w:p>
    <w:p w:rsidR="003C0AB2" w:rsidRPr="003C0AB2" w:rsidRDefault="003C0AB2" w:rsidP="003C0AB2">
      <w:pPr>
        <w:rPr>
          <w:lang w:val="en-US"/>
        </w:rPr>
      </w:pPr>
      <w:r w:rsidRPr="003C0AB2">
        <w:rPr>
          <w:lang w:val="en-US"/>
        </w:rPr>
        <w:t>“Facilitating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w:t>
      </w:r>
    </w:p>
    <w:p w:rsidR="003C0AB2" w:rsidRPr="003C0AB2" w:rsidRDefault="003C0AB2" w:rsidP="003C0AB2">
      <w:pPr>
        <w:rPr>
          <w:lang w:val="en-US"/>
        </w:rPr>
      </w:pPr>
    </w:p>
    <w:p w:rsidR="003C0AB2" w:rsidRPr="0079293C" w:rsidRDefault="003C0AB2" w:rsidP="003C0AB2">
      <w:pPr>
        <w:pStyle w:val="Heading3"/>
      </w:pPr>
      <w:r w:rsidRPr="0079293C">
        <w:lastRenderedPageBreak/>
        <w:t>Services and Activities</w:t>
      </w:r>
    </w:p>
    <w:tbl>
      <w:tblPr>
        <w:tblStyle w:val="TableGrid"/>
        <w:tblW w:w="0" w:type="auto"/>
        <w:tblLook w:val="04A0" w:firstRow="1" w:lastRow="0" w:firstColumn="1" w:lastColumn="0" w:noHBand="0" w:noVBand="1"/>
      </w:tblPr>
      <w:tblGrid>
        <w:gridCol w:w="7054"/>
        <w:gridCol w:w="2517"/>
      </w:tblGrid>
      <w:tr w:rsidR="003C0AB2" w:rsidRPr="0079293C" w:rsidTr="007B5CB5">
        <w:trPr>
          <w:cantSplit/>
        </w:trPr>
        <w:tc>
          <w:tcPr>
            <w:tcW w:w="7054" w:type="dxa"/>
          </w:tcPr>
          <w:p w:rsidR="003C0AB2" w:rsidRPr="0079293C" w:rsidRDefault="003C0AB2" w:rsidP="007B5CB5">
            <w:pPr>
              <w:rPr>
                <w:b/>
                <w:szCs w:val="22"/>
              </w:rPr>
            </w:pPr>
            <w:r w:rsidRPr="0079293C">
              <w:rPr>
                <w:b/>
                <w:szCs w:val="22"/>
              </w:rPr>
              <w:t>Title</w:t>
            </w:r>
          </w:p>
        </w:tc>
        <w:tc>
          <w:tcPr>
            <w:tcW w:w="2517" w:type="dxa"/>
          </w:tcPr>
          <w:p w:rsidR="003C0AB2" w:rsidRPr="0079293C" w:rsidRDefault="003C0AB2" w:rsidP="007B5CB5">
            <w:pPr>
              <w:rPr>
                <w:b/>
                <w:szCs w:val="22"/>
              </w:rPr>
            </w:pPr>
            <w:r w:rsidRPr="0079293C">
              <w:rPr>
                <w:b/>
                <w:szCs w:val="22"/>
              </w:rPr>
              <w:t>Type</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 WTO Advanced Trade Policy Course for Policy Makers and Government Officials, Geneva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Distance Learning Course on Patent Information (DL-318) in English, French and Spanish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WIPO / WTO Colloquium for Teachers of IP, Switzerland (2014-2017) </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Joint Master's Programs on Intellectual Property (MIP and LLM) (including lectures and exercises relating to technology transfer)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Summer Schools Program includes sessions on technology transfer and technology licensing activities. The WIPO South Africa Summer School focuses specifically on IP and transfer of technology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WIPO-CEIPI Advanced Training Course on Intellectual Property, Transfer of Technology and Licensing</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Distance Learning Course on Basics of Patent Drafting (DL-320) in Arabic, Chinese, English, French, Portuguese, Russian and Spanish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Bibliography on Intellectual Property Arbitration and Mediation: WIPO Arbitration, Mediation, and Expert Determination Clauses:  http://www.wipo.int/amc/en/clauses/index.html</w:t>
            </w:r>
          </w:p>
        </w:tc>
        <w:tc>
          <w:tcPr>
            <w:tcW w:w="2517"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Bibliography on Intellectual Property Arbitration and Mediation: WIPO Arbitration, Mediation, and Expert Determination Clauses:  http://www.wipo.int/amc/en/clauses/index.html</w:t>
            </w:r>
          </w:p>
        </w:tc>
        <w:tc>
          <w:tcPr>
            <w:tcW w:w="2517"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Dominican Republic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Peru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Brazil (2015)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Argentina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Cuba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Guatemala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Nicaragua,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Panama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Workshop on Innovation and Added Value based on Technological Information, and Competitive Intelligence for TISC Staff, Universities and R&amp;D centers,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Training Workshop on Patent information, Search Strategies and Tech-Transfer for National TISC network, Guatemala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Using the Guidelines for Preparing Patent Landscape Reports and the Manual on Free and Open Source Tools for Patent Analytics, Brazil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Colombia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IP Strategies, Patent Information and Technological Solutions,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WIPO Alternative Dispute Resolution (ADR) of Research and Development/Technology Transfer Disputes Procedural Guidance and Training.</w:t>
            </w:r>
          </w:p>
        </w:tc>
        <w:tc>
          <w:tcPr>
            <w:tcW w:w="2517"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Establishment and development of Technology and Innovation Support Centers (TISCs)</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79293C" w:rsidRDefault="003C0AB2" w:rsidP="007B5CB5">
            <w:pPr>
              <w:rPr>
                <w:color w:val="000000"/>
                <w:szCs w:val="22"/>
              </w:rPr>
            </w:pPr>
            <w:r w:rsidRPr="003C0AB2">
              <w:rPr>
                <w:color w:val="000000"/>
                <w:szCs w:val="22"/>
                <w:lang w:val="en-US"/>
              </w:rPr>
              <w:t xml:space="preserve">WIPO Alternative Dispute Resolution (ADR) of Research and Development/Technology Transfer Disputes Recommended Contract Clauses and Submission Agreements. </w:t>
            </w:r>
            <w:r w:rsidRPr="0079293C">
              <w:rPr>
                <w:color w:val="000000"/>
                <w:szCs w:val="22"/>
              </w:rPr>
              <w:t>Anonymized technology transfer mediation and arbitration case examples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WIPO Alternative Dispute Resolution (ADR) of R&amp;D/Technology Transfer Disputes: Recommended Contract Clauses and Submission Agreements </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Alternative Dispute Resolution (ADR) of R&amp;D/Technology Transfer Disputes Recommended Contract Clauses and Submission Agreements: Anonymized technology transfer mediation and arbitration case examples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Technical assistance in establishing IP management offices</w:t>
            </w:r>
          </w:p>
        </w:tc>
        <w:tc>
          <w:tcPr>
            <w:tcW w:w="2517" w:type="dxa"/>
          </w:tcPr>
          <w:p w:rsidR="003C0AB2" w:rsidRPr="0079293C" w:rsidRDefault="003C0AB2" w:rsidP="007B5CB5">
            <w:pPr>
              <w:rPr>
                <w:color w:val="000000"/>
                <w:szCs w:val="22"/>
              </w:rPr>
            </w:pPr>
            <w:r w:rsidRPr="0079293C">
              <w:rPr>
                <w:color w:val="000000"/>
                <w:szCs w:val="22"/>
              </w:rPr>
              <w:t>Technical assistance</w:t>
            </w:r>
          </w:p>
        </w:tc>
      </w:tr>
    </w:tbl>
    <w:p w:rsidR="003C0AB2" w:rsidRDefault="003C0AB2" w:rsidP="003C0AB2">
      <w:pPr>
        <w:rPr>
          <w:szCs w:val="22"/>
        </w:rPr>
      </w:pPr>
    </w:p>
    <w:p w:rsidR="003C0AB2" w:rsidRPr="0079293C" w:rsidRDefault="003C0AB2" w:rsidP="003C0AB2">
      <w:pPr>
        <w:rPr>
          <w:szCs w:val="22"/>
        </w:rPr>
      </w:pPr>
    </w:p>
    <w:p w:rsidR="003C0AB2" w:rsidRPr="0079293C" w:rsidRDefault="003C0AB2" w:rsidP="003C0AB2">
      <w:pPr>
        <w:pStyle w:val="Heading3"/>
      </w:pPr>
      <w:r w:rsidRPr="0079293C">
        <w:lastRenderedPageBreak/>
        <w:t>Development Agenda Projects</w:t>
      </w:r>
    </w:p>
    <w:tbl>
      <w:tblPr>
        <w:tblStyle w:val="TableGrid"/>
        <w:tblW w:w="9606" w:type="dxa"/>
        <w:tblLook w:val="04A0" w:firstRow="1" w:lastRow="0" w:firstColumn="1" w:lastColumn="0" w:noHBand="0" w:noVBand="1"/>
      </w:tblPr>
      <w:tblGrid>
        <w:gridCol w:w="9606"/>
      </w:tblGrid>
      <w:tr w:rsidR="003C0AB2" w:rsidRPr="0079293C" w:rsidTr="007B5CB5">
        <w:trPr>
          <w:cantSplit/>
        </w:trPr>
        <w:tc>
          <w:tcPr>
            <w:tcW w:w="9606"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606" w:type="dxa"/>
          </w:tcPr>
          <w:p w:rsidR="003C0AB2" w:rsidRPr="003C0AB2" w:rsidRDefault="003C0AB2" w:rsidP="007B5CB5">
            <w:pPr>
              <w:rPr>
                <w:szCs w:val="22"/>
                <w:lang w:val="en-US"/>
              </w:rPr>
            </w:pPr>
            <w:r w:rsidRPr="003C0AB2">
              <w:rPr>
                <w:szCs w:val="22"/>
                <w:lang w:val="en-US"/>
              </w:rPr>
              <w:t>IP, Information and Communication Technologies (ICTs), the Digital Divide and Access to Knowledge</w:t>
            </w:r>
          </w:p>
        </w:tc>
      </w:tr>
    </w:tbl>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t>Recommendation 28</w:t>
      </w:r>
    </w:p>
    <w:p w:rsidR="003C0AB2" w:rsidRPr="003C0AB2" w:rsidRDefault="003C0AB2" w:rsidP="003C0AB2">
      <w:pPr>
        <w:rPr>
          <w:lang w:val="en-US"/>
        </w:rPr>
      </w:pPr>
      <w:r w:rsidRPr="003C0AB2">
        <w:rPr>
          <w:lang w:val="en-US"/>
        </w:rPr>
        <w:t>“To explore supportive intellectual property-related policies and measures Member States, especially developed countries, could adopt for promoting transfer and dissemination of technology to developing countries.”</w:t>
      </w:r>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3C0AB2" w:rsidRPr="0079293C" w:rsidTr="007B5CB5">
        <w:trPr>
          <w:cantSplit/>
        </w:trPr>
        <w:tc>
          <w:tcPr>
            <w:tcW w:w="7054" w:type="dxa"/>
          </w:tcPr>
          <w:p w:rsidR="003C0AB2" w:rsidRPr="0079293C" w:rsidRDefault="003C0AB2" w:rsidP="007B5CB5">
            <w:pPr>
              <w:rPr>
                <w:b/>
                <w:szCs w:val="22"/>
              </w:rPr>
            </w:pPr>
            <w:r w:rsidRPr="0079293C">
              <w:rPr>
                <w:b/>
                <w:szCs w:val="22"/>
              </w:rPr>
              <w:t>Title</w:t>
            </w:r>
          </w:p>
        </w:tc>
        <w:tc>
          <w:tcPr>
            <w:tcW w:w="2517" w:type="dxa"/>
          </w:tcPr>
          <w:p w:rsidR="003C0AB2" w:rsidRPr="0079293C" w:rsidRDefault="003C0AB2" w:rsidP="007B5CB5">
            <w:pPr>
              <w:rPr>
                <w:b/>
                <w:szCs w:val="22"/>
              </w:rPr>
            </w:pPr>
            <w:r w:rsidRPr="0079293C">
              <w:rPr>
                <w:b/>
                <w:szCs w:val="22"/>
              </w:rPr>
              <w:t>Type</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Long-term Fellowship in Japan, Philippines (2016)</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Long-term Fellowship in Japan, Thailand (2017)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 WTO Advanced Trade Policy Course for Policy Makers and Government Officials, Geneva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Distance Learning Course on Patent Information (DL-318) in English, French and Spanish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WIPO / WTO Colloquium for Teachers of IP, Switzerland (2014-2017) </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Joint Master's Programs on Intellectual Property (MIP and LLM) (including lectures and exercises relating to technology transfer)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National Seminar on Patents and their Impact on Innovation, Paraguay (2016)</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Summer Schools Program includes sessions on technology transfer and technology licensing activities. The WIPO South Africa Summer School focuses specifically on IP and transfer of technology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WIPO-CEIPI Advanced Training Course on Intellectual Property, Transfer of Technology and Licensing</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“Strengthening national systems of innovation in developing countries, covering the entire technology cycle for climate technology” – UNFCCC TEC Workshop, Bonn, October 13 and 14, 2014</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Distance Learning Course on Basics of Patent Drafting (DL-320) in Arabic, Chinese, English, French, Portuguese, Russian and Spanish (2014-2017)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Bibliography on Intellectual Property Arbitration and Mediation: WIPO Arbitration, Mediation, and Expert Determination Clauses:  http://www.wipo.int/amc/en/clauses/index.html</w:t>
            </w:r>
          </w:p>
        </w:tc>
        <w:tc>
          <w:tcPr>
            <w:tcW w:w="2517"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Bibliography on Intellectual Property Arbitration and Mediation: WIPO Arbitration, Mediation, and Expert Determination Clauses:  http://www.wipo.int/amc/en/clauses/index.html</w:t>
            </w:r>
          </w:p>
        </w:tc>
        <w:tc>
          <w:tcPr>
            <w:tcW w:w="2517" w:type="dxa"/>
          </w:tcPr>
          <w:p w:rsidR="003C0AB2" w:rsidRPr="0079293C" w:rsidRDefault="003C0AB2" w:rsidP="007B5CB5">
            <w:pPr>
              <w:rPr>
                <w:color w:val="000000"/>
                <w:szCs w:val="22"/>
              </w:rPr>
            </w:pPr>
            <w:r w:rsidRPr="0079293C">
              <w:rPr>
                <w:color w:val="000000"/>
                <w:szCs w:val="22"/>
              </w:rPr>
              <w:t xml:space="preserve">Compilation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Subregional Seminar on International Technology Transfer and Open Innovation,  Katmandu, Nepal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University Technology Managers (AUTM)</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WIPO Arbitration and Mediation Center Training and Workshops on Alternative Dispute Resolution of R&amp;D/Technology Transfer Disputes with the European Association of Research and Technology Organizations (EARTO)</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European Industrial Research Management Association (EIRMA)</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Seminar on International Technology Transfer – Licensing and ADR with the Licensing Executives Society (LES) Italy, Management Dell’ Innovazione E Imprenditorialità,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Workshop, Ecuador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National Patent Drafting Course, Malaysia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National Patent Drafting Course, Philippines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National Patent Drafting Course, Sri Lanka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Thailand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Thailand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Workshop, Algeria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National Patent Drafting Workshop, Colombia (2015)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National Patent Drafting Workshop, Niger (2017)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Workshop, South Africa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National Patent Drafting Workshop, Tunisia (2017)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Drafting Training for Member and Observer States of the African Regional Intellectual Property Organization (ARIPO) 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Drafting Training for Member and Observer States of the African Regional Intellectual Property Organization (ARIPO)(2015)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Regional Patent Drafting Course for GCC Member States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Regional Patent Drafting Course for Member and Observer States of ARIPO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Seminar on International Technology Transfer – Licensing and ADR with the Licensing Executives Society (LES) Italy, Management Dell’ Innovazione E Imprenditorialità,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Sub-regional Patent Drafting Course, Jamaica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Sub-regional Patent Drafting Course, Jordan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WHO, WIPO, WTO Joint Symposium on Innovation and Access to Medical Technologies -Challenges and Opportunities for Middle-Income Countries, Switzerland (2015)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WHO, WIPO, WTO Joint Symposium on Public Health, Intellectual Property, and TRIPS at 20: Innovation and Access to Medicines; Learning from the Past, Illuminating the Future, Switzerland (2015)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 FIT Australia IP Valuation Workshop,  Jakarta, Indonesian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IP Management and Training Workshop for senior researchers and scientists from developing countries that are Members of WIPO Re:Search, New York, United States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Patent Workshop on Practical Aspects of Patent Applications for the Industry University Researchers and Patent Agents, Paraguay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WIPO/OEPM - 2nd Regional Workshop for Training the Trainers on Patent Drafting, Uruguay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Establishing a Technology and Innovation Support Center (TISC) Network in Indonesia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Malaysia (2016,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Philippines (2016,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Sri Lanka(2016,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Thailand (2016,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Creating an Enabling Intellectual Property Environment to Increase the Capacity for Innovation and Creativity: Inception Phase, Viet Nam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Philippines (2015)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Malaysia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Philippines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Sri Lanka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Thailand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Thailand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Second Annual Multi-Stakeholder Forum on Science, Technology and Innovation for SDGs, New York, May 15 and 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Seminar on Patent Search, Mongolia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Seminar on Patent Search, Myanmar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Seminar on Patent Search, Thailand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Training of Trainers Workshop on Patent Database Searches and Development of Technology and Innovation Support Centers (TISCs), Sri Lanka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Regional Technology and Innovation Support Center (TISC) Project Study Visit for SAARC Countries, Philippines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Side Event on Policies and Evidence to Support Climate Change Technology Transfer and Innovation – UNFCCC Climate Change Conference, Bonn, June 8, 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WIPO/OEPM/AECID Regional Workshop for Training of Trainers on Patent Drafting,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Pakistan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the Islamic Republic of Iran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Patent Database Search Exercises, Philippines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Alternative Dispute Resolution (ADR) of Research and Development/Technology Transfer Disputes Procedural Guidance and Training.</w:t>
            </w:r>
          </w:p>
        </w:tc>
        <w:tc>
          <w:tcPr>
            <w:tcW w:w="2517"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Knowledge and Technology Transfer webpage </w:t>
            </w:r>
          </w:p>
        </w:tc>
        <w:tc>
          <w:tcPr>
            <w:tcW w:w="2517"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Establishment and development of Technology and Innovation Support Centers (TISCs)</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Enabling IP Environment</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Sri Lanka</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WIPO Re:Search research collaborations on neglected tropical diseases, malaria and tuberculosis </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 xml:space="preserve">Inventor Assistance Program (IAP) </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79293C" w:rsidRDefault="003C0AB2" w:rsidP="007B5CB5">
            <w:pPr>
              <w:rPr>
                <w:color w:val="000000"/>
                <w:szCs w:val="22"/>
              </w:rPr>
            </w:pPr>
            <w:r w:rsidRPr="003C0AB2">
              <w:rPr>
                <w:color w:val="000000"/>
                <w:szCs w:val="22"/>
                <w:lang w:val="en-US"/>
              </w:rPr>
              <w:lastRenderedPageBreak/>
              <w:t xml:space="preserve">WIPO Alternative Dispute Resolution (ADR) of Research and Development/Technology Transfer Disputes Recommended Contract Clauses and Submission Agreements. </w:t>
            </w:r>
            <w:r w:rsidRPr="0079293C">
              <w:rPr>
                <w:color w:val="000000"/>
                <w:szCs w:val="22"/>
              </w:rPr>
              <w:t>Anonymized technology transfer mediation and arbitration case examples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Global Challenges Brief: Incentivizing the Adoption of Green Technology on a Global Scale</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Global Challenges Report: Innovation and Diffusion of Green Technologies: The Role of Intellectual Property and Other Enabling Factors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Global Challenges Report: Strategic Review of WIPO Re:Search</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Global Challenges Report: The Changing Landscape of Medical Innovation: How Have Business Models Responded?</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Global Challenges Report: Vaccines: Accelerating Innovation and Access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79293C" w:rsidRDefault="003C0AB2" w:rsidP="007B5CB5">
            <w:pPr>
              <w:rPr>
                <w:color w:val="000000"/>
                <w:szCs w:val="22"/>
              </w:rPr>
            </w:pPr>
            <w:r w:rsidRPr="003C0AB2">
              <w:rPr>
                <w:color w:val="000000"/>
                <w:szCs w:val="22"/>
                <w:lang w:val="en-US"/>
              </w:rPr>
              <w:t xml:space="preserve">WHO, WIPO, WTO Joint Technical Symposium on Antimicrobial Resistance: How to Foster Innovation, Access and Appropriate Use of Antibiotics? </w:t>
            </w:r>
            <w:r w:rsidRPr="0079293C">
              <w:rPr>
                <w:color w:val="000000"/>
                <w:szCs w:val="22"/>
              </w:rPr>
              <w:t>Summary of the Key Issues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WIPO Alternative Dispute Resolution (ADR) of R&amp;D/Technology Transfer Disputes: Recommended Contract Clauses and Submission Agreements </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Alternative Dispute Resolution (ADR) of R&amp;D/Technology Transfer Disputes Recommended Contract Clauses and Submission Agreements: Anonymized technology transfer mediation and arbitration case examples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Green Case Study: Green Technology Diffusion: The Case of Arvivi Paraffin Cookstoves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WIPO Green Case Study: Green Technology Diffusion: The Case of Ecosan Waterless Toilets </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WIPO GREEN Database</w:t>
            </w:r>
          </w:p>
        </w:tc>
        <w:tc>
          <w:tcPr>
            <w:tcW w:w="2517" w:type="dxa"/>
          </w:tcPr>
          <w:p w:rsidR="003C0AB2" w:rsidRPr="0079293C" w:rsidRDefault="003C0AB2" w:rsidP="007B5CB5">
            <w:pPr>
              <w:rPr>
                <w:color w:val="000000"/>
                <w:szCs w:val="22"/>
              </w:rPr>
            </w:pPr>
            <w:r w:rsidRPr="0079293C">
              <w:rPr>
                <w:color w:val="000000"/>
                <w:szCs w:val="22"/>
              </w:rPr>
              <w:t>Specialized resource</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Technical assistance in establishing IP management offices</w:t>
            </w:r>
          </w:p>
        </w:tc>
        <w:tc>
          <w:tcPr>
            <w:tcW w:w="2517" w:type="dxa"/>
          </w:tcPr>
          <w:p w:rsidR="003C0AB2" w:rsidRPr="0079293C" w:rsidRDefault="003C0AB2" w:rsidP="007B5CB5">
            <w:pPr>
              <w:rPr>
                <w:color w:val="000000"/>
                <w:szCs w:val="22"/>
              </w:rPr>
            </w:pPr>
            <w:r w:rsidRPr="0079293C">
              <w:rPr>
                <w:color w:val="000000"/>
                <w:szCs w:val="22"/>
              </w:rPr>
              <w:t>Technical assistance</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Standing Committee on the Law of Patents (SCP): Items on "Transfer of Technology" have been on the agenda since the 14th session of the Standing Committee</w:t>
            </w:r>
          </w:p>
        </w:tc>
        <w:tc>
          <w:tcPr>
            <w:tcW w:w="2517" w:type="dxa"/>
          </w:tcPr>
          <w:p w:rsidR="003C0AB2" w:rsidRPr="0079293C" w:rsidRDefault="003C0AB2" w:rsidP="007B5CB5">
            <w:pPr>
              <w:rPr>
                <w:color w:val="000000"/>
                <w:szCs w:val="22"/>
              </w:rPr>
            </w:pPr>
            <w:r w:rsidRPr="0079293C">
              <w:rPr>
                <w:color w:val="000000"/>
                <w:szCs w:val="22"/>
              </w:rPr>
              <w:t>WIPO Committee</w:t>
            </w:r>
          </w:p>
        </w:tc>
      </w:tr>
    </w:tbl>
    <w:p w:rsidR="003C0AB2"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Intellectual Property and Technology Transfer: Common Challenges – Building Solutions</w:t>
            </w:r>
          </w:p>
        </w:tc>
      </w:tr>
    </w:tbl>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t>Recommendation 29</w:t>
      </w:r>
    </w:p>
    <w:p w:rsidR="003C0AB2" w:rsidRPr="003C0AB2" w:rsidRDefault="003C0AB2" w:rsidP="003C0AB2">
      <w:pPr>
        <w:rPr>
          <w:lang w:val="en-US"/>
        </w:rPr>
      </w:pPr>
      <w:r w:rsidRPr="003C0AB2">
        <w:rPr>
          <w:lang w:val="en-US"/>
        </w:rPr>
        <w:t>“To include discussions on intellectual property -related technology transfer issues within the mandate of an appropriate WIPO body.”</w:t>
      </w:r>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054"/>
        <w:gridCol w:w="2517"/>
      </w:tblGrid>
      <w:tr w:rsidR="003C0AB2" w:rsidRPr="0079293C" w:rsidTr="007B5CB5">
        <w:trPr>
          <w:cantSplit/>
        </w:trPr>
        <w:tc>
          <w:tcPr>
            <w:tcW w:w="7054" w:type="dxa"/>
            <w:vAlign w:val="center"/>
          </w:tcPr>
          <w:p w:rsidR="003C0AB2" w:rsidRPr="0079293C" w:rsidRDefault="003C0AB2" w:rsidP="007B5CB5">
            <w:pPr>
              <w:rPr>
                <w:b/>
                <w:szCs w:val="22"/>
              </w:rPr>
            </w:pPr>
            <w:r w:rsidRPr="0079293C">
              <w:rPr>
                <w:b/>
                <w:szCs w:val="22"/>
              </w:rPr>
              <w:t>Title</w:t>
            </w:r>
          </w:p>
        </w:tc>
        <w:tc>
          <w:tcPr>
            <w:tcW w:w="2517" w:type="dxa"/>
            <w:vAlign w:val="center"/>
          </w:tcPr>
          <w:p w:rsidR="003C0AB2" w:rsidRPr="0079293C" w:rsidRDefault="003C0AB2" w:rsidP="007B5CB5">
            <w:pPr>
              <w:rPr>
                <w:b/>
                <w:szCs w:val="22"/>
              </w:rPr>
            </w:pPr>
            <w:r w:rsidRPr="0079293C">
              <w:rPr>
                <w:b/>
                <w:szCs w:val="22"/>
              </w:rPr>
              <w:t>Type</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 WTO Advanced Trade Policy Course for Policy Makers and Government Officials, Geneva (2014-2017)</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Distance Learning Course on Patent Information (DL-318) in English, French and Spanish (2014-2017)</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Successful Technology Licensing (STL) course, Brazil</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lastRenderedPageBreak/>
              <w:t xml:space="preserve">Successful Technology Licensing (STL) course, Italy </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WIPO / WTO Colloquium for Teachers of IP, Switzerland (2014-2017) </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Joint Master's Programs on Intellectual Property (MIP and LLM) (including lectures and exercises relating to technology transfer) (2014-2017)</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Summer Schools Program includes sessions on technology transfer and technology licensing activities. The WIPO South Africa Summer School focuses specifically on IP and transfer of technology (2014-2017)</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WIPO-CEIPI Advanced Training Course on Intellectual Property, Transfer of Technology and Licensing</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Distance Learning Course on Basics of Patent Drafting (DL-320) in Arabic, Chinese, English, French, Portuguese, Russian and Spanish (2014-2017)</w:t>
            </w:r>
          </w:p>
        </w:tc>
        <w:tc>
          <w:tcPr>
            <w:tcW w:w="2517" w:type="dxa"/>
            <w:vAlign w:val="center"/>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National Workshop on Technology Management for Universities, Brunei Darussalam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Subregional Workshop on IP Commercialization "Working Together" for Technology Transfer Offices in the Region, Belgrade, Serbia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Sub- regional Workshop for Technology Transfer Offices, Skopje, FYR Macedonia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National Workshop on "Working Together for Promoting Knowledge Transfer and IP Commercialization in Georgia",  Tbilisi, Georgia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Advanced Successful Technology Licensing, Vietnam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Bridging the Gap between the Universities and Industry, Joint Training Program for Universities and SMEs, Philippines, Malaysia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IP Valuation Course in the framework of UC Davis Licensing Academy in collaboration with PIPRA and UC Davis for technology managers, including from developing countries, UC Davis, United States of America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Licensing and IP Valuation, Iran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Roving Seminar on IP Valuation and Technology Transfer for Universities, Klaipeda and Kaunas, Lithuania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Sub – Regional IP Valuation Workshop, Sibiu, Romania (2015)</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Sub – regional Workshop on IP Commercialization "Working Together" for Technology Transfer Offices in the Region, Belgrade, Serbia (2014)</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Brazil (2015)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Philippines (2015)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Serbia (2015)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IP Marketing and Valuation, Training Program, Baltic States Project, Lithuania (2017)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IPR Asset Management Strategy, Baltic States Project, Estonia (2017)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Knowledge Transfer Round-Table for Delegation of Romanian Inventors, Switzerland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(2016)</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79293C" w:rsidRDefault="003C0AB2" w:rsidP="007B5CB5">
            <w:pPr>
              <w:rPr>
                <w:color w:val="000000"/>
                <w:szCs w:val="22"/>
              </w:rPr>
            </w:pPr>
            <w:r w:rsidRPr="0079293C">
              <w:rPr>
                <w:color w:val="000000"/>
                <w:szCs w:val="22"/>
              </w:rPr>
              <w:lastRenderedPageBreak/>
              <w:t>National Seminar for Technology and Innovation Support Centers (TISCs), Mauritania (2016)</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National Training Program on IP Marketing and Valuation, Chile (2016)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Presentation on TISC Program, University of Tlemcen, Algeria, (April 26,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Regional Conference on Results of the National TTO Project in Tunisia, Sharing Knowledge and Lessons Learned, Tunisia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Regional Meeting on the Development of an IP Policy and Strategy in the Universities and Research Institutions to Facilitate the Transfer of Technology to the Industrial Sector, Morocco (2016)</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Regional Workshop on the Outcome of WIPO Pilot Technology Transfer Offices (TTO) Project in Tunisia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Second Annual Multi-Stakeholder Forum on Science, Technology and Innovation for SDGs, New York, May 15 and 16,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Seminar on Technology and Innovation Support Centers (TISCs) and the Use of Patent Information, Algeria (2016)</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Seminar on the efficiency of TISC National Network, Mauritania (November 21 to 23,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Sub-Regional Meeting Creation and Management of Start-Ups, Serbia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79293C" w:rsidRDefault="003C0AB2" w:rsidP="007B5CB5">
            <w:pPr>
              <w:rPr>
                <w:color w:val="000000"/>
                <w:szCs w:val="22"/>
              </w:rPr>
            </w:pPr>
            <w:r w:rsidRPr="0079293C">
              <w:rPr>
                <w:color w:val="000000"/>
                <w:szCs w:val="22"/>
              </w:rPr>
              <w:t>TISC Seminar, Oran, Algeria (December 13 and 14,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Training workshop on TISC, Oman, (March 20 to 22,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Inter-Regional TTO Meeting "Working Together on Academic IP Commercialization in the Region", Czech Republic (2016)</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Regional Seminar on Basic Patent Analytics for Member States of the Eurasian Patent Organization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TISC Network, Oman (2017)</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on Establishing a Technology and Innovation Support Centers (TISCs) Network, Jordan (2016)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Workshop on TISCs Network for Selected Arab Countries, Jordan (2017) </w:t>
            </w:r>
          </w:p>
        </w:tc>
        <w:tc>
          <w:tcPr>
            <w:tcW w:w="2517" w:type="dxa"/>
            <w:vAlign w:val="center"/>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 xml:space="preserve">Knowledge and Technology Transfer webpage </w:t>
            </w:r>
          </w:p>
        </w:tc>
        <w:tc>
          <w:tcPr>
            <w:tcW w:w="2517" w:type="dxa"/>
            <w:vAlign w:val="center"/>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Baltic States Pilot Project on Establishment of Regional Pool of Experts on Academic IP Commercialization</w:t>
            </w:r>
          </w:p>
        </w:tc>
        <w:tc>
          <w:tcPr>
            <w:tcW w:w="2517" w:type="dxa"/>
            <w:vAlign w:val="center"/>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Evaluation and Development of the Technology and Innovation Support Center (TISC) National Project in Egypt (2017)</w:t>
            </w:r>
          </w:p>
        </w:tc>
        <w:tc>
          <w:tcPr>
            <w:tcW w:w="2517" w:type="dxa"/>
            <w:vAlign w:val="center"/>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TISCs Clinic Services as Pilot Project in Morocco providing pro bono assistance to eligible inventors, Morocco (2015)</w:t>
            </w:r>
          </w:p>
        </w:tc>
        <w:tc>
          <w:tcPr>
            <w:tcW w:w="2517" w:type="dxa"/>
            <w:vAlign w:val="center"/>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vAlign w:val="center"/>
          </w:tcPr>
          <w:p w:rsidR="003C0AB2" w:rsidRPr="0079293C" w:rsidRDefault="003C0AB2" w:rsidP="007B5CB5">
            <w:pPr>
              <w:rPr>
                <w:color w:val="000000"/>
                <w:szCs w:val="22"/>
              </w:rPr>
            </w:pPr>
            <w:r w:rsidRPr="0079293C">
              <w:rPr>
                <w:color w:val="000000"/>
                <w:szCs w:val="22"/>
              </w:rPr>
              <w:t>Enabling IP Environment</w:t>
            </w:r>
          </w:p>
        </w:tc>
        <w:tc>
          <w:tcPr>
            <w:tcW w:w="2517" w:type="dxa"/>
            <w:vAlign w:val="center"/>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WIPO / FIT Australia Program on the Bridging the Gap between the Academic Institutions and Industry, Philippines (2017)</w:t>
            </w:r>
          </w:p>
        </w:tc>
        <w:tc>
          <w:tcPr>
            <w:tcW w:w="2517" w:type="dxa"/>
            <w:vAlign w:val="center"/>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vAlign w:val="center"/>
          </w:tcPr>
          <w:p w:rsidR="003C0AB2" w:rsidRPr="003C0AB2" w:rsidRDefault="003C0AB2" w:rsidP="007B5CB5">
            <w:pPr>
              <w:rPr>
                <w:color w:val="000000"/>
                <w:szCs w:val="22"/>
                <w:lang w:val="en-US"/>
              </w:rPr>
            </w:pPr>
            <w:r w:rsidRPr="003C0AB2">
              <w:rPr>
                <w:color w:val="000000"/>
                <w:szCs w:val="22"/>
                <w:lang w:val="en-US"/>
              </w:rPr>
              <w:t>Standing Committee on the Law of Patents (SCP): Items on "Transfer of Technology" have been on the agenda since the 14th session of the Standing Committee</w:t>
            </w:r>
          </w:p>
        </w:tc>
        <w:tc>
          <w:tcPr>
            <w:tcW w:w="2517" w:type="dxa"/>
            <w:vAlign w:val="center"/>
          </w:tcPr>
          <w:p w:rsidR="003C0AB2" w:rsidRPr="0079293C" w:rsidRDefault="003C0AB2" w:rsidP="007B5CB5">
            <w:pPr>
              <w:rPr>
                <w:color w:val="000000"/>
                <w:szCs w:val="22"/>
              </w:rPr>
            </w:pPr>
            <w:r w:rsidRPr="0079293C">
              <w:rPr>
                <w:color w:val="000000"/>
                <w:szCs w:val="22"/>
              </w:rPr>
              <w:t>WIPO Committee</w:t>
            </w:r>
          </w:p>
        </w:tc>
      </w:tr>
    </w:tbl>
    <w:p w:rsidR="003C0AB2" w:rsidRDefault="003C0AB2" w:rsidP="003C0AB2">
      <w:pPr>
        <w:rPr>
          <w:szCs w:val="22"/>
        </w:rPr>
      </w:pPr>
    </w:p>
    <w:p w:rsidR="003C0AB2" w:rsidRPr="0079293C" w:rsidRDefault="003C0AB2" w:rsidP="003C0AB2">
      <w:pPr>
        <w:rPr>
          <w:szCs w:val="22"/>
        </w:rPr>
      </w:pPr>
    </w:p>
    <w:p w:rsidR="003C0AB2" w:rsidRDefault="003C0AB2" w:rsidP="003C0AB2">
      <w:pPr>
        <w:pStyle w:val="Heading2"/>
        <w:keepLines/>
        <w:rPr>
          <w:szCs w:val="22"/>
        </w:rPr>
      </w:pPr>
      <w:r>
        <w:rPr>
          <w:szCs w:val="22"/>
        </w:rPr>
        <w:lastRenderedPageBreak/>
        <w:t>Recommendation 30</w:t>
      </w:r>
    </w:p>
    <w:p w:rsidR="003C0AB2" w:rsidRPr="003C0AB2" w:rsidRDefault="003C0AB2" w:rsidP="003C0AB2">
      <w:pPr>
        <w:keepNext/>
        <w:keepLines/>
        <w:rPr>
          <w:lang w:val="en-US"/>
        </w:rPr>
      </w:pPr>
      <w:r w:rsidRPr="003C0AB2">
        <w:rPr>
          <w:lang w:val="en-US"/>
        </w:rPr>
        <w:t>“WIPO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rsidR="003C0AB2" w:rsidRPr="0079293C" w:rsidRDefault="003C0AB2" w:rsidP="003C0AB2">
      <w:pPr>
        <w:pStyle w:val="Heading3"/>
        <w:keepLines/>
      </w:pPr>
      <w:r w:rsidRPr="0079293C">
        <w:t>Services and Activities</w:t>
      </w:r>
    </w:p>
    <w:tbl>
      <w:tblPr>
        <w:tblStyle w:val="TableGrid"/>
        <w:tblW w:w="0" w:type="auto"/>
        <w:tblLook w:val="04A0" w:firstRow="1" w:lastRow="0" w:firstColumn="1" w:lastColumn="0" w:noHBand="0" w:noVBand="1"/>
      </w:tblPr>
      <w:tblGrid>
        <w:gridCol w:w="7054"/>
        <w:gridCol w:w="2517"/>
      </w:tblGrid>
      <w:tr w:rsidR="003C0AB2" w:rsidRPr="0079293C" w:rsidTr="007B5CB5">
        <w:trPr>
          <w:cantSplit/>
        </w:trPr>
        <w:tc>
          <w:tcPr>
            <w:tcW w:w="7054" w:type="dxa"/>
          </w:tcPr>
          <w:p w:rsidR="003C0AB2" w:rsidRPr="0079293C" w:rsidRDefault="003C0AB2" w:rsidP="007B5CB5">
            <w:pPr>
              <w:keepNext/>
              <w:keepLines/>
              <w:rPr>
                <w:b/>
                <w:szCs w:val="22"/>
              </w:rPr>
            </w:pPr>
            <w:r w:rsidRPr="0079293C">
              <w:rPr>
                <w:b/>
                <w:szCs w:val="22"/>
              </w:rPr>
              <w:t>Title</w:t>
            </w:r>
          </w:p>
        </w:tc>
        <w:tc>
          <w:tcPr>
            <w:tcW w:w="2517" w:type="dxa"/>
          </w:tcPr>
          <w:p w:rsidR="003C0AB2" w:rsidRPr="0079293C" w:rsidRDefault="003C0AB2" w:rsidP="007B5CB5">
            <w:pPr>
              <w:keepNext/>
              <w:keepLines/>
              <w:rPr>
                <w:b/>
                <w:szCs w:val="22"/>
              </w:rPr>
            </w:pPr>
            <w:r w:rsidRPr="0079293C">
              <w:rPr>
                <w:b/>
                <w:szCs w:val="22"/>
              </w:rPr>
              <w:t>Type</w:t>
            </w:r>
          </w:p>
        </w:tc>
      </w:tr>
      <w:tr w:rsidR="003C0AB2" w:rsidRPr="000E022B" w:rsidTr="007B5CB5">
        <w:trPr>
          <w:cantSplit/>
        </w:trPr>
        <w:tc>
          <w:tcPr>
            <w:tcW w:w="7054" w:type="dxa"/>
          </w:tcPr>
          <w:p w:rsidR="003C0AB2" w:rsidRPr="003C0AB2" w:rsidRDefault="003C0AB2" w:rsidP="007B5CB5">
            <w:pPr>
              <w:keepNext/>
              <w:keepLines/>
              <w:rPr>
                <w:color w:val="000000"/>
                <w:szCs w:val="22"/>
                <w:lang w:val="en-US"/>
              </w:rPr>
            </w:pPr>
            <w:r w:rsidRPr="003C0AB2">
              <w:rPr>
                <w:color w:val="000000"/>
                <w:szCs w:val="22"/>
                <w:lang w:val="en-US"/>
              </w:rPr>
              <w:t>Long-term Fellowship in Japan, Philippines (2016)</w:t>
            </w:r>
          </w:p>
        </w:tc>
        <w:tc>
          <w:tcPr>
            <w:tcW w:w="2517" w:type="dxa"/>
          </w:tcPr>
          <w:p w:rsidR="003C0AB2" w:rsidRPr="003C0AB2" w:rsidRDefault="003C0AB2" w:rsidP="007B5CB5">
            <w:pPr>
              <w:keepNext/>
              <w:keepLines/>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Long-term Fellowship in Japan, Thailand (2017)</w:t>
            </w:r>
          </w:p>
        </w:tc>
        <w:tc>
          <w:tcPr>
            <w:tcW w:w="2517"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Side Event with IHP UNESCO at the World Water Week, Stockholm, August 31 to September 6,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Subregional Seminar on International Technology Transfer and Open Innovation,  Katmandu, Nepal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Dominican Republic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Peru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Senegal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National Workshop on Technology Transfer, Valuation and Dispute Resolution for TISC Staff and R&amp;D Centers, Colombia (2016)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Drafting Training for Member and Observer States of the African Regional Intellectual Property Organization (ARIPO) 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Drafting Training for Member and Observer States of the African Regional Intellectual Property Organization (ARIPO)(2015)</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Regional Patent Drafting Course for GCC Member States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Regional Patent Drafting Course for Member and Observer States of ARIPO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of Trainers’ Workshop on the Effective Use of Technical and Scientific Information, Nigeria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TISCs Seminar on the Access to Technical and Scientific Information, Training of Trainers and Official TISCs Launch, Djibouti (2016)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 FIT Australia IP Valuation Workshop,  Jakarta, Indonesian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WIPO/OEPM - 2nd Regional Workshop for Training the Trainers on Patent Drafting, Uruguay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WIPO/OEPM in collaboration with MIEM - 2nd Regional Workshop for Training the Trainers on Patent Drafting, Uruguay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Establishing a Technology and Innovation Support Center (TISC) Network in Indonesia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Jamaica</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21st session of the Intergovernmental Council of the International Hydrological Program (IHP), UNESCO, Paris, June 18 to 20,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3rd International Conference on Water Resources and Environmental Management (ICWRE-2014), Antalya, May 13 to 15, 2014</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Malaysia (2016,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Philippines (2016,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Sri Lanka(2016,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Thailand (2016,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Viet Nam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Philippines (2015)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Malaysia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Philippines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Sri Lanka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Thailand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Thailand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Argentina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Cameroon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Central African Republic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Cuba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Guatemala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Guinea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National Seminar for Technology and Innovation Support Centers (TISCs), Mali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National Seminar for Technology and Innovation Support Centers (TISCs), Mauritania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Nicaragua,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Panama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Uzbekistan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Workshop on Innovation and Added Value based on Technological Information, and Competitive Intelligence for TISC Staff, Universities and R&amp;D centers,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Seminar on Technology and Innovation Support Centers (TISCs) and the Use of Patent Information, Algeria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Sub-Regional Intellectual Property Workshop for Young Innovators: From Idea to the Market Place, Botswana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Seminar on Patent Search, Mongolia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Seminar on Patent Search, Myanmar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Seminar on Patent Search, Thailand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Workshop on the Effective Use of Technical and Scientific Information, Malawi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of Trainers’ Workshop on the Effective Use of Technical and Scientific Information, Tanzania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Workshop on the Effectiveness of the National Network, Nigeria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Training of Trainers Workshop on Patent Database Searches and Development of Technology and Innovation Support Centers (TISCs), Sri Lanka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Training Workshop on Patent information, Search Strategies and Tech-Transfer for National TISC network, Guatemala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Using the Guidelines for Preparing Patent Landscape Reports and the Manual on Free and Open Source Tools for Patent Analytics, Brazil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using the Guidelines for Preparing Patent Landscape Reports and the Manual on Free and Open Source Tools for Patent Analytics, South Africa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Colombia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Regional Seminar on Basic Patent Analytics for Member States of the Eurasian Patent Organization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Regional Technology and Innovation Support Center (TISC) Project Study Visit for SAARC Countries, Philippines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WIPO/IDB IP Commercialization and Technology Transfer Cohort/Team Induction Program, Trinidad and Tobago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WIPO/OEPM/AECID Regional Workshop for Training of Trainers on Industrial Property: Drafting of Patent Applications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lastRenderedPageBreak/>
              <w:t>WIPO/OEPM/AECID Regional Workshop for Training of Trainers on Patent Drafting,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Armenia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Pakistan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the Islamic Republic of Iran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Establishing a TISC Network, Oman (2017)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on Establishing a Technology and Innovation Support Center (TISC) Network in Belarus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on Establishing a Technology and Innovation Support Center (TISC) Network in the Kyrgyz Republic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on Establishing a Technology and Innovation Support Center (TISC) Network in the Republic of Azerbaijan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on Establishing a Technology and Innovation Support Centers (TISCs) Network, Jordan (2016) </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IP Strategies, Patent Information and Technological Solutions,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Patent Database Search Exercises, Philippines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Patent Search Strategies and Techniques and on Establishing Technology and Innovation Support Centers (TISCs) in Botswana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Workshop on TISCs Network for Selected Arab Countries, Jordan (2017)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WIPO/IDB IP Commercialization and Technology Transfer Training Course, Barbados, Jamaica, Trinidad and Tobago (2016-2017)</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WIPO/OEPM - Regional Workshop for Training the Trainers on Patent Drafting, Colombia (2016)</w:t>
            </w:r>
          </w:p>
        </w:tc>
        <w:tc>
          <w:tcPr>
            <w:tcW w:w="2517"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 xml:space="preserve">eTISC knowledge management platform </w:t>
            </w:r>
          </w:p>
        </w:tc>
        <w:tc>
          <w:tcPr>
            <w:tcW w:w="2517"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Access to Research for Development and Innovation program (ARDI)</w:t>
            </w:r>
          </w:p>
          <w:p w:rsidR="003C0AB2" w:rsidRPr="003C0AB2" w:rsidRDefault="003C0AB2" w:rsidP="007B5CB5">
            <w:pPr>
              <w:rPr>
                <w:color w:val="000000"/>
                <w:szCs w:val="22"/>
                <w:lang w:val="en-US"/>
              </w:rPr>
            </w:pPr>
            <w:r w:rsidRPr="003C0AB2">
              <w:rPr>
                <w:color w:val="000000"/>
                <w:szCs w:val="22"/>
                <w:lang w:val="en-US"/>
              </w:rPr>
              <w:t>Provides free or low cost access to scientific and technical content for organizations in developing countries</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Access to Specialized Patent Information program (ASPI)</w:t>
            </w:r>
            <w:r w:rsidRPr="003C0AB2">
              <w:rPr>
                <w:color w:val="000000"/>
                <w:szCs w:val="22"/>
                <w:lang w:val="en-US"/>
              </w:rPr>
              <w:br/>
              <w:t>Provides free or low cost access to commercial patent search and analysis tools for organizations in developing countries</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Federal Ministry of Economics and Technology (BMWi) Germany</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Establishment and development of Technology and Innovation Support Centers (TISCs)</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lastRenderedPageBreak/>
              <w:t>Enabling IP Environment</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Establishing Technology and Innovation Support Centers (TISCs) in Ugandan Universities, Uganda (2017)</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Sri Lanka</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 xml:space="preserve">Inventor Assistance Program (IAP) </w:t>
            </w:r>
          </w:p>
        </w:tc>
        <w:tc>
          <w:tcPr>
            <w:tcW w:w="2517"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Guidelines for Preparing Patent Landscape Reports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Landscape Report on Animal Genetic Resources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Landscape Report on Assistive Devices and Technologies for Visually and Hearing Impaired Persons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79293C" w:rsidRDefault="003C0AB2" w:rsidP="007B5CB5">
            <w:pPr>
              <w:rPr>
                <w:color w:val="000000"/>
                <w:szCs w:val="22"/>
              </w:rPr>
            </w:pPr>
            <w:r w:rsidRPr="0079293C">
              <w:rPr>
                <w:color w:val="000000"/>
                <w:szCs w:val="22"/>
              </w:rPr>
              <w:t>Patent Landscape Report on Microalgae-Related Technologies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Patent Landscape Report on Palm Oil Production and Waste Treatment Technologies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WIPO Manual on Open Source Tools for Patent Analytics</w:t>
            </w:r>
          </w:p>
        </w:tc>
        <w:tc>
          <w:tcPr>
            <w:tcW w:w="2517"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4" w:type="dxa"/>
          </w:tcPr>
          <w:p w:rsidR="003C0AB2" w:rsidRPr="003C0AB2" w:rsidRDefault="003C0AB2" w:rsidP="007B5CB5">
            <w:pPr>
              <w:rPr>
                <w:color w:val="000000"/>
                <w:szCs w:val="22"/>
                <w:lang w:val="en-US"/>
              </w:rPr>
            </w:pPr>
            <w:r w:rsidRPr="003C0AB2">
              <w:rPr>
                <w:color w:val="000000"/>
                <w:szCs w:val="22"/>
                <w:lang w:val="en-US"/>
              </w:rPr>
              <w:t>Technical assistance in establishing IP management offices</w:t>
            </w:r>
          </w:p>
        </w:tc>
        <w:tc>
          <w:tcPr>
            <w:tcW w:w="2517" w:type="dxa"/>
          </w:tcPr>
          <w:p w:rsidR="003C0AB2" w:rsidRPr="0079293C" w:rsidRDefault="003C0AB2" w:rsidP="007B5CB5">
            <w:pPr>
              <w:rPr>
                <w:color w:val="000000"/>
                <w:szCs w:val="22"/>
              </w:rPr>
            </w:pPr>
            <w:r w:rsidRPr="0079293C">
              <w:rPr>
                <w:color w:val="000000"/>
                <w:szCs w:val="22"/>
              </w:rPr>
              <w:t>Technical assistance</w:t>
            </w:r>
          </w:p>
        </w:tc>
      </w:tr>
    </w:tbl>
    <w:p w:rsidR="003C0AB2" w:rsidRPr="0079293C"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Developing Tools for Access to Patent information – Phase I</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Developing Tools for Access to Patent information – Phase II</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Capacity Building in the Use of Appropriate Technology-Specific Technical and Scientific Information as a Solution for Identified Development Challenges</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Capacity-Building in the Use of Appropriate Technology Specific Technical and Scientific Information as a Solution for Identified Development Challenges - Phase II</w:t>
            </w:r>
          </w:p>
        </w:tc>
      </w:tr>
    </w:tbl>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t>Recommendation 31</w:t>
      </w:r>
    </w:p>
    <w:p w:rsidR="003C0AB2" w:rsidRPr="003C0AB2" w:rsidRDefault="003C0AB2" w:rsidP="003C0AB2">
      <w:pPr>
        <w:rPr>
          <w:lang w:val="en-US"/>
        </w:rPr>
      </w:pPr>
      <w:r w:rsidRPr="003C0AB2">
        <w:rPr>
          <w:lang w:val="en-US"/>
        </w:rPr>
        <w:t>“To undertake initiatives agreed by Member States, which contribute to transfer of technology to developing countries, such as requesting WIPO to facilitate better access to publicly available patent information.”</w:t>
      </w:r>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051"/>
        <w:gridCol w:w="2520"/>
      </w:tblGrid>
      <w:tr w:rsidR="003C0AB2" w:rsidRPr="0079293C" w:rsidTr="007B5CB5">
        <w:trPr>
          <w:cantSplit/>
        </w:trPr>
        <w:tc>
          <w:tcPr>
            <w:tcW w:w="7051" w:type="dxa"/>
          </w:tcPr>
          <w:p w:rsidR="003C0AB2" w:rsidRPr="0079293C" w:rsidRDefault="003C0AB2" w:rsidP="007B5CB5">
            <w:pPr>
              <w:rPr>
                <w:b/>
                <w:szCs w:val="22"/>
              </w:rPr>
            </w:pPr>
            <w:r w:rsidRPr="0079293C">
              <w:rPr>
                <w:b/>
                <w:szCs w:val="22"/>
              </w:rPr>
              <w:t>Title</w:t>
            </w:r>
          </w:p>
        </w:tc>
        <w:tc>
          <w:tcPr>
            <w:tcW w:w="2520" w:type="dxa"/>
          </w:tcPr>
          <w:p w:rsidR="003C0AB2" w:rsidRPr="0079293C" w:rsidRDefault="003C0AB2" w:rsidP="007B5CB5">
            <w:pPr>
              <w:rPr>
                <w:b/>
                <w:szCs w:val="22"/>
              </w:rPr>
            </w:pPr>
            <w:r w:rsidRPr="0079293C">
              <w:rPr>
                <w:b/>
                <w:szCs w:val="22"/>
              </w:rPr>
              <w:t>Type</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Long-term Fellowship in Japan, Philippines (2016)</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Long-term Fellowship in Japan, Thailand (2017)</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 WTO Advanced Trade Policy Course for Policy Makers and Government Officials, Geneva (2014-2017)</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Distance Learning Course on Patent Information (DL-318) in English, French and Spanish (2014-2017)</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WIPO / WTO Colloquium for Teachers of IP, Switzerland (2014-2017) </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Joint Master's Programs on Intellectual Property (MIP and LLM) (including lectures and exercises relating to technology transfer) (2014-2017)</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National Seminar on Patents and their Impact on Innovation, Paraguay (2016)</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Summer Schools Program includes sessions on technology transfer and technology licensing activities. The WIPO South Africa Summer School focuses specifically on IP and transfer of technology (2014-2017)</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lastRenderedPageBreak/>
              <w:t>WIPO-CEIPI Advanced Training Course on Intellectual Property, Transfer of Technology and Licensing</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0E022B"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Distance Learning Course on Basics of Patent Drafting (DL-320) in Arabic, Chinese, English, French, Portuguese, Russian and Spanish (2014-2017)</w:t>
            </w:r>
          </w:p>
        </w:tc>
        <w:tc>
          <w:tcPr>
            <w:tcW w:w="2520" w:type="dxa"/>
          </w:tcPr>
          <w:p w:rsidR="003C0AB2" w:rsidRPr="003C0AB2" w:rsidRDefault="003C0AB2" w:rsidP="007B5CB5">
            <w:pPr>
              <w:rPr>
                <w:color w:val="000000"/>
                <w:szCs w:val="22"/>
                <w:lang w:val="en-US"/>
              </w:rPr>
            </w:pPr>
            <w:r w:rsidRPr="003C0AB2">
              <w:rPr>
                <w:color w:val="000000"/>
                <w:szCs w:val="22"/>
                <w:lang w:val="en-US"/>
              </w:rPr>
              <w:t>Awareness-raising and training program</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Side Event with IHP UNESCO at the World Water Week, Stockholm, August 31 to September 6, 2014</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WIPO/IRENA Side Event on Renewable Energy Technologies: Technology Trends, Patents and Policy Implications – UNFCCC Bonn Climate Change Conference, June 13, 2014</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Dominican Republic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Peru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Senegal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National Workshop on Technology Transfer, Valuation and Dispute Resolution for TISC Staff and R&amp;D Centers, Colombia (2016)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of Trainers’ Workshop on the Effective Use of Technical and Scientific Information, Nigeria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TISCs Seminar on the Access to Technical and Scientific Information, Training of Trainers and Official TISCs Launch, Djibouti (2016)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 FIT Australia IP Valuation Workshop,  Jakarta, Indonesian (2014)</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 FIT Australia Program on IP Marketing and Valuation, Jakarta, Indonesia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participation in IRENA Side event on IRENA’s Interactive Web Tool on International Standards and Patents in Renewable Energy – UNFCCC Climate Change Conference, Bonn, June 5, 2015</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Subregional Seminar on International Technology Transfer and Open Innovation,  Katmandu, Nepal (2014)</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Sub-regional Workshop on WIPO Pilot Project for Universities and Research Centers in Central American Countries, Panama Knowledge City, Panama (2015)</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Establishing a Technology and Innovation Support Center (TISC) Network in Indonesia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Jamaica</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21st session of the Intergovernmental Council of the International Hydrological Program (IHP), UNESCO, Paris, June 18 to 20, 2014</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3rd International Conference on Water Resources and Environmental Management (ICWRE-2014), Antalya, May 13 to 15, 2014</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4th Regional Workshop on Industrial Property and Technology Transfer, El Salvador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lastRenderedPageBreak/>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Malaysia (2016,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Philippines (2016,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Sri Lanka(2016,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Thailand (2016,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Creating an Enabling Intellectual Property Environment to Increase the Capacity for Innovation and Creativity: Inception Phase, Viet Nam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Brazil (2015)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Philippines (2015)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IP Marketing and Valuation (advanced STL course), Serbia (2015)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IP Marketing and Valuation, Training Program, Baltic States Project, Lithuania (2017)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IPR Asset Management Strategy, Baltic States Project, Estonia (2017)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Malaysia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Philippines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Sri Lanka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Thailand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Patent Drafting Course to contribute to the training provided for effective innovation support services, Thailand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Argentina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Cameroon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Central African Republic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Cuba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Djibouti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lastRenderedPageBreak/>
              <w:t>National Seminar for Technology and Innovation Support Centers (TISCs), Guatemala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Guinea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Mali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National Seminar for Technology and Innovation Support Centers (TISCs), Mauritania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Nicaragua,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Panama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Uzbekistan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on IP and Innovations, Uzbekistan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National Training Program on IP Marketing and Valuation, Chile (2016)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Workshop on Innovation and Added Value based on Technological Information, and Competitive Intelligence for TISC Staff, Universities and R&amp;D centers, Colombia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Workshop on Technology Transfer Agreements, Mexico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Seminar on IP and Public Policies for Innovation and Technology Transfer, Peru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Seminar on Technology and Innovation Support Centers (TISCs) and the Use of Patent Information, Algeria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Sub-Regional Intellectual Property Workshop for Young Innovators: From Idea to the Market Place, Botswana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Sub-regional Seminar on IP and Technology Transfer, Costa Rica (2017)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Sub-regional Workshop on the Use of IP Tools related to Technology Transfer, Costa Rica (2017)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Seminar on Patent Search, Mongolia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Seminar on Patent Search, Myanmar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Seminar on Patent Search, Thailand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Workshop on the Effective Use of Technical and Scientific Information, Malawi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Training of Trainers’ Workshop on the Effective Use of Technical and Scientific Information, Tanzania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Technology and Innovation Support Centers (TISCs): Workshop on the Effectiveness of the National Network, Nigeria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Training of Trainers Workshop on Patent Database Searches and Development of Technology and Innovation Support Centers (TISCs), Sri Lanka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Training Workshop on Patent information, Search Strategies and Tech-Transfer for National TISC network, Guatemala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lastRenderedPageBreak/>
              <w:t>WIPO National Workshop on Basic Patent Analytics Using the Guidelines for Preparing Patent Landscape Reports and the Manual on Free and Open Source Tools for Patent Analytics, Brazil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using the Guidelines for Preparing Patent Landscape Reports and the Manual on Free and Open Source Tools for Patent Analytics, South Africa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using the Guidelines for Preparing Patent Landscape Reports and the Manual on Free and Open Source Tools for Patent Analytics, South Africa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National Workshop on Basic Patent Analytics, Colombia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Patent Workshop on Practical Aspects of Patent Applications for the Industry, University Researchers and Patent Agents, Paraguay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Regional Seminar on Basic Patent Analytics for Member States of the Eurasian Patent Organization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Regional Technology and Innovation Support Center (TISC) Project Study Visit for SAARC Countries, Philippines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WIPO/IDB IP Commercialization and Technology Transfer Cohort/Team Induction Program, Trinidad and Tobago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Armenia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Pakistan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Establishing a Technology and Innovation Support Center (TISC) Network in the Islamic Republic of Iran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Establishing a TISC Network, Oman (2017)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on Establishing a Technology and Innovation Support Center (TISC) Network in Belarus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on Establishing a Technology and Innovation Support Center (TISC) Network in the Kyrgyz Republic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Access to Technology for Innovation and on Establishing a Technology and Innovation Support Center (TISC) Network in the Republic of Azerbaijan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Workshop on Access to Technology for Innovation and on Establishing a Technology and Innovation Support Centers (TISCs) Network, Jordan (2016) </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IP Strategies, Patent Information and Technological Solutions, Colombia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Patent Database Search Exercises, Philippines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Patent Search Strategies and Techniques and on Establishing Technology and Innovation Support Centers (TISCs) in Botswana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Technology Transfer, Chile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the Use of Tools for Technology Transfer, Peru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Workshop on TISCs Network for Selected Arab Countries, Jordan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lastRenderedPageBreak/>
              <w:t>WIPO/IDB IP Commercialization and Technology Transfer Training Course, Barbados, Jamaica, Trinidad and Tobago (2016-2017)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 xml:space="preserve">eTISC knowledge management platform </w:t>
            </w:r>
          </w:p>
        </w:tc>
        <w:tc>
          <w:tcPr>
            <w:tcW w:w="2520" w:type="dxa"/>
          </w:tcPr>
          <w:p w:rsidR="003C0AB2" w:rsidRPr="0079293C" w:rsidRDefault="003C0AB2" w:rsidP="007B5CB5">
            <w:pPr>
              <w:rPr>
                <w:color w:val="000000"/>
                <w:szCs w:val="22"/>
              </w:rPr>
            </w:pPr>
            <w:r w:rsidRPr="0079293C">
              <w:rPr>
                <w:color w:val="000000"/>
                <w:szCs w:val="22"/>
              </w:rPr>
              <w:t xml:space="preserve">Information webpage </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Access to Research for Development and Innovation program (ARDI)</w:t>
            </w:r>
          </w:p>
        </w:tc>
        <w:tc>
          <w:tcPr>
            <w:tcW w:w="2520"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Access to Specialized Patent Information program (ASPI)</w:t>
            </w:r>
          </w:p>
        </w:tc>
        <w:tc>
          <w:tcPr>
            <w:tcW w:w="2520" w:type="dxa"/>
          </w:tcPr>
          <w:p w:rsidR="003C0AB2" w:rsidRPr="0079293C" w:rsidRDefault="003C0AB2" w:rsidP="007B5CB5">
            <w:pPr>
              <w:rPr>
                <w:color w:val="000000"/>
                <w:szCs w:val="22"/>
              </w:rPr>
            </w:pPr>
            <w:r w:rsidRPr="0079293C">
              <w:rPr>
                <w:color w:val="000000"/>
                <w:szCs w:val="22"/>
              </w:rPr>
              <w:t>Partnership</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Baltic States Pilot Project on Establishment of Regional Pool of Experts on Academic IP Commercialization</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Establishment and development of Technology and Innovation Support Centers (TISCs)</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IP Commercialization Coaching Session for TTOs in Tunisia, National TTO-Pilot Project, Tunisia (2017)</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Pilot Project for the "Establishment of TTOs in Tunisia" (2015)</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Enabling IP Environment</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Establishing Technology and Innovation Support Centers (TISCs) in Ugandan Universities, Uganda (2017)</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Cameroon</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Project to support Member States to integrate IP and knowledge transfer considerations into their IP Strategies, Sri Lanka</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Project to support Member States to integrate IP and knowledge transfer considerations into their IP Strategies, Trinidad and Tobago </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GREEN regional matchmaking projects Focus on specific fields of technology</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 xml:space="preserve">Inventor Assistance Program (IAP) </w:t>
            </w:r>
          </w:p>
        </w:tc>
        <w:tc>
          <w:tcPr>
            <w:tcW w:w="2520" w:type="dxa"/>
          </w:tcPr>
          <w:p w:rsidR="003C0AB2" w:rsidRPr="0079293C" w:rsidRDefault="003C0AB2" w:rsidP="007B5CB5">
            <w:pPr>
              <w:rPr>
                <w:color w:val="000000"/>
                <w:szCs w:val="22"/>
              </w:rPr>
            </w:pPr>
            <w:r w:rsidRPr="0079293C">
              <w:rPr>
                <w:color w:val="000000"/>
                <w:szCs w:val="22"/>
              </w:rPr>
              <w:t>Project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Global Challenges Brief: The Acceleration of Climate Change and Mitigation Technologies: Intellectual Property Trends in the Renewable Energy Landscape</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Renewable Energy Technology: Evolution and Policy Implications - Evidence from Patent Literature</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Guidelines for Preparing Patent Landscape Reports</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Patent Landscape Report on Animal Genetic Resources</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Patent Landscape Report on Assistive Devices and Technologies for Visually and Hearing Impaired Persons</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Patent Landscape Report on Microalgae-Related Technologies</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Patent Landscape Report on Palm Oil Production and Waste Treatment Technologies</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WIPO Manual on Open Source Tools for Patent Analytics</w:t>
            </w:r>
          </w:p>
        </w:tc>
        <w:tc>
          <w:tcPr>
            <w:tcW w:w="2520" w:type="dxa"/>
          </w:tcPr>
          <w:p w:rsidR="003C0AB2" w:rsidRPr="0079293C" w:rsidRDefault="003C0AB2" w:rsidP="007B5CB5">
            <w:pPr>
              <w:rPr>
                <w:color w:val="000000"/>
                <w:szCs w:val="22"/>
              </w:rPr>
            </w:pPr>
            <w:r w:rsidRPr="0079293C">
              <w:rPr>
                <w:color w:val="000000"/>
                <w:szCs w:val="22"/>
              </w:rPr>
              <w:t>Publication</w:t>
            </w:r>
          </w:p>
        </w:tc>
      </w:tr>
      <w:tr w:rsidR="003C0AB2" w:rsidRPr="0079293C" w:rsidTr="007B5CB5">
        <w:trPr>
          <w:cantSplit/>
        </w:trPr>
        <w:tc>
          <w:tcPr>
            <w:tcW w:w="7051" w:type="dxa"/>
          </w:tcPr>
          <w:p w:rsidR="003C0AB2" w:rsidRPr="0079293C" w:rsidRDefault="003C0AB2" w:rsidP="007B5CB5">
            <w:pPr>
              <w:rPr>
                <w:color w:val="000000"/>
                <w:szCs w:val="22"/>
              </w:rPr>
            </w:pPr>
            <w:r w:rsidRPr="0079293C">
              <w:rPr>
                <w:color w:val="000000"/>
                <w:szCs w:val="22"/>
              </w:rPr>
              <w:t>WIPO GREEN Database</w:t>
            </w:r>
          </w:p>
        </w:tc>
        <w:tc>
          <w:tcPr>
            <w:tcW w:w="2520" w:type="dxa"/>
          </w:tcPr>
          <w:p w:rsidR="003C0AB2" w:rsidRPr="0079293C" w:rsidRDefault="003C0AB2" w:rsidP="007B5CB5">
            <w:pPr>
              <w:rPr>
                <w:color w:val="000000"/>
                <w:szCs w:val="22"/>
              </w:rPr>
            </w:pPr>
            <w:r w:rsidRPr="0079293C">
              <w:rPr>
                <w:color w:val="000000"/>
                <w:szCs w:val="22"/>
              </w:rPr>
              <w:t>Specialized resource</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Technical assistance in establishing IP management offices</w:t>
            </w:r>
          </w:p>
        </w:tc>
        <w:tc>
          <w:tcPr>
            <w:tcW w:w="2520" w:type="dxa"/>
          </w:tcPr>
          <w:p w:rsidR="003C0AB2" w:rsidRPr="0079293C" w:rsidRDefault="003C0AB2" w:rsidP="007B5CB5">
            <w:pPr>
              <w:rPr>
                <w:color w:val="000000"/>
                <w:szCs w:val="22"/>
              </w:rPr>
            </w:pPr>
            <w:r w:rsidRPr="0079293C">
              <w:rPr>
                <w:color w:val="000000"/>
                <w:szCs w:val="22"/>
              </w:rPr>
              <w:t>Technical assistance</w:t>
            </w:r>
          </w:p>
        </w:tc>
      </w:tr>
    </w:tbl>
    <w:p w:rsidR="003C0AB2" w:rsidRPr="0079293C"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Developing Tools for Access to Patent information – Phase I</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Developing Tools for Access to Patent information – Phase II</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Capacity Building in the Use of Appropriate Technology-Specific Technical and Scientific Information as a Solution for Identified Development Challenges</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Project on Capacity-Building in the Use of Appropriate Technology Specific Technical and Scientific Information as a Solution for Identified Development Challenges - Phase II</w:t>
            </w:r>
          </w:p>
        </w:tc>
      </w:tr>
    </w:tbl>
    <w:p w:rsidR="003C0AB2" w:rsidRPr="003C0AB2" w:rsidRDefault="003C0AB2" w:rsidP="003C0AB2">
      <w:pPr>
        <w:rPr>
          <w:szCs w:val="22"/>
          <w:lang w:val="en-US"/>
        </w:rPr>
      </w:pPr>
    </w:p>
    <w:p w:rsidR="003C0AB2" w:rsidRPr="003C0AB2" w:rsidRDefault="003C0AB2" w:rsidP="003C0AB2">
      <w:pPr>
        <w:rPr>
          <w:szCs w:val="22"/>
          <w:lang w:val="en-US"/>
        </w:rPr>
      </w:pPr>
    </w:p>
    <w:p w:rsidR="003C0AB2" w:rsidRPr="003C0AB2" w:rsidRDefault="003C0AB2" w:rsidP="003C0AB2">
      <w:pPr>
        <w:pStyle w:val="Heading2"/>
        <w:rPr>
          <w:szCs w:val="22"/>
          <w:lang w:val="en-US"/>
        </w:rPr>
      </w:pPr>
      <w:r w:rsidRPr="003C0AB2">
        <w:rPr>
          <w:szCs w:val="22"/>
          <w:lang w:val="en-US"/>
        </w:rPr>
        <w:lastRenderedPageBreak/>
        <w:t>Recommendation 32</w:t>
      </w:r>
    </w:p>
    <w:p w:rsidR="003C0AB2" w:rsidRPr="003C0AB2" w:rsidRDefault="003C0AB2" w:rsidP="003C0AB2">
      <w:pPr>
        <w:rPr>
          <w:lang w:val="en-US"/>
        </w:rPr>
      </w:pPr>
      <w:proofErr w:type="gramStart"/>
      <w:r w:rsidRPr="003C0AB2">
        <w:rPr>
          <w:lang w:val="en-US"/>
        </w:rPr>
        <w:t>“To have within WIPO opportunity for exchange of national and regional experiences and information on the links between IPRs and competition policies.”</w:t>
      </w:r>
      <w:proofErr w:type="gramEnd"/>
    </w:p>
    <w:p w:rsidR="003C0AB2" w:rsidRPr="0079293C" w:rsidRDefault="003C0AB2" w:rsidP="003C0AB2">
      <w:pPr>
        <w:pStyle w:val="Heading3"/>
      </w:pPr>
      <w:r w:rsidRPr="0079293C">
        <w:t>Services and Activities</w:t>
      </w:r>
    </w:p>
    <w:tbl>
      <w:tblPr>
        <w:tblStyle w:val="TableGrid"/>
        <w:tblW w:w="0" w:type="auto"/>
        <w:tblLook w:val="04A0" w:firstRow="1" w:lastRow="0" w:firstColumn="1" w:lastColumn="0" w:noHBand="0" w:noVBand="1"/>
      </w:tblPr>
      <w:tblGrid>
        <w:gridCol w:w="7051"/>
        <w:gridCol w:w="2520"/>
      </w:tblGrid>
      <w:tr w:rsidR="003C0AB2" w:rsidRPr="0079293C" w:rsidTr="007B5CB5">
        <w:trPr>
          <w:cantSplit/>
        </w:trPr>
        <w:tc>
          <w:tcPr>
            <w:tcW w:w="7051" w:type="dxa"/>
          </w:tcPr>
          <w:p w:rsidR="003C0AB2" w:rsidRPr="0079293C" w:rsidRDefault="003C0AB2" w:rsidP="007B5CB5">
            <w:pPr>
              <w:rPr>
                <w:b/>
                <w:szCs w:val="22"/>
              </w:rPr>
            </w:pPr>
            <w:r w:rsidRPr="0079293C">
              <w:rPr>
                <w:b/>
                <w:szCs w:val="22"/>
              </w:rPr>
              <w:t>Title</w:t>
            </w:r>
          </w:p>
        </w:tc>
        <w:tc>
          <w:tcPr>
            <w:tcW w:w="2520" w:type="dxa"/>
          </w:tcPr>
          <w:p w:rsidR="003C0AB2" w:rsidRPr="0079293C" w:rsidRDefault="003C0AB2" w:rsidP="007B5CB5">
            <w:pPr>
              <w:rPr>
                <w:b/>
                <w:szCs w:val="22"/>
              </w:rPr>
            </w:pPr>
            <w:r w:rsidRPr="0079293C">
              <w:rPr>
                <w:b/>
                <w:szCs w:val="22"/>
              </w:rPr>
              <w:t>Type</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Seminar for Technology and Innovation Support Centers (TISCs), Uzbekistan (2017)</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National Workshop on Technology Transfer, Valuation and Dispute Resolution for TISC staff and R&amp;D Centers, Colombia (2016)</w:t>
            </w:r>
          </w:p>
        </w:tc>
        <w:tc>
          <w:tcPr>
            <w:tcW w:w="2520" w:type="dxa"/>
          </w:tcPr>
          <w:p w:rsidR="003C0AB2" w:rsidRPr="0079293C" w:rsidRDefault="003C0AB2" w:rsidP="007B5CB5">
            <w:pPr>
              <w:rPr>
                <w:color w:val="000000"/>
                <w:szCs w:val="22"/>
              </w:rPr>
            </w:pPr>
            <w:r w:rsidRPr="0079293C">
              <w:rPr>
                <w:color w:val="000000"/>
                <w:szCs w:val="22"/>
              </w:rPr>
              <w:t>Event</w:t>
            </w:r>
          </w:p>
        </w:tc>
      </w:tr>
      <w:tr w:rsidR="003C0AB2" w:rsidRPr="0079293C" w:rsidTr="007B5CB5">
        <w:trPr>
          <w:cantSplit/>
        </w:trPr>
        <w:tc>
          <w:tcPr>
            <w:tcW w:w="7051" w:type="dxa"/>
          </w:tcPr>
          <w:p w:rsidR="003C0AB2" w:rsidRPr="003C0AB2" w:rsidRDefault="003C0AB2" w:rsidP="007B5CB5">
            <w:pPr>
              <w:rPr>
                <w:color w:val="000000"/>
                <w:szCs w:val="22"/>
                <w:lang w:val="en-US"/>
              </w:rPr>
            </w:pPr>
            <w:r w:rsidRPr="003C0AB2">
              <w:rPr>
                <w:color w:val="000000"/>
                <w:szCs w:val="22"/>
                <w:lang w:val="en-US"/>
              </w:rPr>
              <w:t xml:space="preserve">Successful Technology Transfer (STL) Guide (WIPO publication 903 E -reviewed and new addition issued in 2015 with new Chapter V on Understanding Certain Antitrust Concerns Related to Technology Licensing </w:t>
            </w:r>
          </w:p>
        </w:tc>
        <w:tc>
          <w:tcPr>
            <w:tcW w:w="2520" w:type="dxa"/>
          </w:tcPr>
          <w:p w:rsidR="003C0AB2" w:rsidRPr="0079293C" w:rsidRDefault="003C0AB2" w:rsidP="007B5CB5">
            <w:pPr>
              <w:rPr>
                <w:color w:val="000000"/>
                <w:szCs w:val="22"/>
              </w:rPr>
            </w:pPr>
            <w:r w:rsidRPr="0079293C">
              <w:rPr>
                <w:color w:val="000000"/>
                <w:szCs w:val="22"/>
              </w:rPr>
              <w:t>Publication</w:t>
            </w:r>
          </w:p>
        </w:tc>
      </w:tr>
    </w:tbl>
    <w:p w:rsidR="003C0AB2" w:rsidRPr="0079293C" w:rsidRDefault="003C0AB2" w:rsidP="003C0AB2">
      <w:pPr>
        <w:rPr>
          <w:szCs w:val="22"/>
        </w:rPr>
      </w:pPr>
    </w:p>
    <w:p w:rsidR="003C0AB2" w:rsidRPr="0079293C" w:rsidRDefault="003C0AB2" w:rsidP="003C0AB2">
      <w:pPr>
        <w:pStyle w:val="Heading3"/>
      </w:pPr>
      <w:r w:rsidRPr="0079293C">
        <w:t>Development Agenda Projects</w:t>
      </w:r>
    </w:p>
    <w:tbl>
      <w:tblPr>
        <w:tblStyle w:val="TableGrid"/>
        <w:tblW w:w="0" w:type="auto"/>
        <w:tblLook w:val="04A0" w:firstRow="1" w:lastRow="0" w:firstColumn="1" w:lastColumn="0" w:noHBand="0" w:noVBand="1"/>
      </w:tblPr>
      <w:tblGrid>
        <w:gridCol w:w="9571"/>
      </w:tblGrid>
      <w:tr w:rsidR="003C0AB2" w:rsidRPr="0079293C" w:rsidTr="007B5CB5">
        <w:trPr>
          <w:cantSplit/>
        </w:trPr>
        <w:tc>
          <w:tcPr>
            <w:tcW w:w="9571" w:type="dxa"/>
          </w:tcPr>
          <w:p w:rsidR="003C0AB2" w:rsidRPr="0079293C" w:rsidRDefault="003C0AB2" w:rsidP="007B5CB5">
            <w:pPr>
              <w:rPr>
                <w:b/>
                <w:szCs w:val="22"/>
              </w:rPr>
            </w:pPr>
            <w:r w:rsidRPr="0079293C">
              <w:rPr>
                <w:b/>
                <w:szCs w:val="22"/>
              </w:rPr>
              <w:t>Title</w:t>
            </w:r>
          </w:p>
        </w:tc>
      </w:tr>
      <w:tr w:rsidR="003C0AB2" w:rsidRPr="000E022B" w:rsidTr="007B5CB5">
        <w:trPr>
          <w:cantSplit/>
        </w:trPr>
        <w:tc>
          <w:tcPr>
            <w:tcW w:w="9571" w:type="dxa"/>
          </w:tcPr>
          <w:p w:rsidR="003C0AB2" w:rsidRPr="003C0AB2" w:rsidRDefault="003C0AB2" w:rsidP="007B5CB5">
            <w:pPr>
              <w:rPr>
                <w:szCs w:val="22"/>
                <w:lang w:val="en-US"/>
              </w:rPr>
            </w:pPr>
            <w:r w:rsidRPr="003C0AB2">
              <w:rPr>
                <w:szCs w:val="22"/>
                <w:lang w:val="en-US"/>
              </w:rPr>
              <w:t>Enhancing South-South Cooperation on IP and Development Among Developing Countries and Least Developed Countries</w:t>
            </w:r>
          </w:p>
        </w:tc>
      </w:tr>
      <w:tr w:rsidR="003C0AB2" w:rsidRPr="0079293C" w:rsidTr="007B5CB5">
        <w:trPr>
          <w:cantSplit/>
        </w:trPr>
        <w:tc>
          <w:tcPr>
            <w:tcW w:w="9571" w:type="dxa"/>
          </w:tcPr>
          <w:p w:rsidR="003C0AB2" w:rsidRPr="0079293C" w:rsidRDefault="003C0AB2" w:rsidP="007B5CB5">
            <w:pPr>
              <w:rPr>
                <w:szCs w:val="22"/>
              </w:rPr>
            </w:pPr>
            <w:r w:rsidRPr="0079293C">
              <w:rPr>
                <w:szCs w:val="22"/>
              </w:rPr>
              <w:t>IP and Competition Policy</w:t>
            </w:r>
          </w:p>
        </w:tc>
      </w:tr>
    </w:tbl>
    <w:p w:rsidR="003C0AB2" w:rsidRPr="0079293C" w:rsidRDefault="003C0AB2" w:rsidP="003C0AB2">
      <w:pPr>
        <w:rPr>
          <w:szCs w:val="22"/>
        </w:rPr>
      </w:pPr>
    </w:p>
    <w:p w:rsidR="003C0AB2" w:rsidRDefault="003C0AB2" w:rsidP="003C0AB2"/>
    <w:p w:rsidR="00980DB7" w:rsidRPr="00AE1FC9" w:rsidRDefault="00980DB7" w:rsidP="00980DB7"/>
    <w:p w:rsidR="00980DB7" w:rsidRPr="00AE1FC9" w:rsidRDefault="00980DB7" w:rsidP="00980DB7"/>
    <w:p w:rsidR="00980DB7" w:rsidRPr="00AE1FC9" w:rsidRDefault="00980DB7" w:rsidP="00980DB7">
      <w:pPr>
        <w:pStyle w:val="Endofdocument-Annex"/>
        <w:rPr>
          <w:lang w:val="es-ES"/>
        </w:rPr>
      </w:pPr>
      <w:r w:rsidRPr="00AE1FC9">
        <w:rPr>
          <w:lang w:val="es-ES_tradnl"/>
        </w:rPr>
        <w:t>[Fin del Apéndice y del documento]</w:t>
      </w:r>
    </w:p>
    <w:sectPr w:rsidR="00980DB7" w:rsidRPr="00AE1FC9" w:rsidSect="003C0AB2">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EF" w:rsidRDefault="00F202EF">
      <w:r>
        <w:separator/>
      </w:r>
    </w:p>
  </w:endnote>
  <w:endnote w:type="continuationSeparator" w:id="0">
    <w:p w:rsidR="00F202EF" w:rsidRPr="009D30E6" w:rsidRDefault="00F202EF" w:rsidP="007E663E">
      <w:pPr>
        <w:rPr>
          <w:sz w:val="17"/>
          <w:szCs w:val="17"/>
        </w:rPr>
      </w:pPr>
      <w:r w:rsidRPr="009D30E6">
        <w:rPr>
          <w:sz w:val="17"/>
          <w:szCs w:val="17"/>
        </w:rPr>
        <w:separator/>
      </w:r>
    </w:p>
    <w:p w:rsidR="00F202EF" w:rsidRPr="007E663E" w:rsidRDefault="00F202EF" w:rsidP="007E663E">
      <w:pPr>
        <w:spacing w:after="60"/>
        <w:rPr>
          <w:sz w:val="17"/>
          <w:szCs w:val="17"/>
        </w:rPr>
      </w:pPr>
      <w:r>
        <w:rPr>
          <w:sz w:val="17"/>
        </w:rPr>
        <w:t>[Continuación de la nota de la página anterior]</w:t>
      </w:r>
    </w:p>
  </w:endnote>
  <w:endnote w:type="continuationNotice" w:id="1">
    <w:p w:rsidR="00F202EF" w:rsidRPr="007E663E" w:rsidRDefault="00F202E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B7" w:rsidRDefault="00980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EF" w:rsidRDefault="00F202EF">
      <w:r>
        <w:separator/>
      </w:r>
    </w:p>
  </w:footnote>
  <w:footnote w:type="continuationSeparator" w:id="0">
    <w:p w:rsidR="00F202EF" w:rsidRPr="009D30E6" w:rsidRDefault="00F202EF" w:rsidP="007E663E">
      <w:pPr>
        <w:rPr>
          <w:sz w:val="17"/>
          <w:szCs w:val="17"/>
        </w:rPr>
      </w:pPr>
      <w:r w:rsidRPr="009D30E6">
        <w:rPr>
          <w:sz w:val="17"/>
          <w:szCs w:val="17"/>
        </w:rPr>
        <w:separator/>
      </w:r>
    </w:p>
    <w:p w:rsidR="00F202EF" w:rsidRPr="007E663E" w:rsidRDefault="00F202EF" w:rsidP="007E663E">
      <w:pPr>
        <w:spacing w:after="60"/>
        <w:rPr>
          <w:sz w:val="17"/>
          <w:szCs w:val="17"/>
        </w:rPr>
      </w:pPr>
      <w:r>
        <w:rPr>
          <w:sz w:val="17"/>
        </w:rPr>
        <w:t>[Continuación de la nota de la página anterior]</w:t>
      </w:r>
    </w:p>
  </w:footnote>
  <w:footnote w:type="continuationNotice" w:id="1">
    <w:p w:rsidR="00F202EF" w:rsidRPr="007E663E" w:rsidRDefault="00F202E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B7" w:rsidRPr="00202215" w:rsidRDefault="00980DB7" w:rsidP="0013324B">
    <w:pPr>
      <w:jc w:val="right"/>
    </w:pPr>
    <w:r w:rsidRPr="00202215">
      <w:rPr>
        <w:lang w:val="es-ES_tradnl"/>
      </w:rPr>
      <w:t>CDIP/21/5</w:t>
    </w:r>
  </w:p>
  <w:p w:rsidR="00980DB7" w:rsidRPr="00202215" w:rsidRDefault="00980DB7" w:rsidP="0013324B">
    <w:pPr>
      <w:jc w:val="right"/>
    </w:pPr>
    <w:proofErr w:type="gramStart"/>
    <w:r w:rsidRPr="00202215">
      <w:rPr>
        <w:lang w:val="es-ES_tradnl"/>
      </w:rPr>
      <w:t>página</w:t>
    </w:r>
    <w:proofErr w:type="gramEnd"/>
    <w:r w:rsidRPr="00202215">
      <w:t xml:space="preserve"> </w:t>
    </w:r>
    <w:r w:rsidRPr="00202215">
      <w:fldChar w:fldCharType="begin"/>
    </w:r>
    <w:r w:rsidRPr="00202215">
      <w:instrText xml:space="preserve"> PAGE  \* MERGEFORMAT </w:instrText>
    </w:r>
    <w:r w:rsidRPr="00202215">
      <w:fldChar w:fldCharType="separate"/>
    </w:r>
    <w:r w:rsidR="000E022B">
      <w:rPr>
        <w:noProof/>
      </w:rPr>
      <w:t>2</w:t>
    </w:r>
    <w:r w:rsidRPr="00202215">
      <w:fldChar w:fldCharType="end"/>
    </w:r>
  </w:p>
  <w:p w:rsidR="00980DB7" w:rsidRDefault="00980DB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B7" w:rsidRDefault="00980DB7" w:rsidP="00477D6B">
    <w:pPr>
      <w:jc w:val="right"/>
    </w:pPr>
    <w:r>
      <w:t>CDIP/21/5</w:t>
    </w:r>
  </w:p>
  <w:p w:rsidR="00980DB7" w:rsidRPr="00AE1FC9" w:rsidRDefault="00980DB7" w:rsidP="0013324B">
    <w:pPr>
      <w:jc w:val="right"/>
    </w:pPr>
    <w:r w:rsidRPr="00AE1FC9">
      <w:rPr>
        <w:lang w:val="es-ES_tradnl"/>
      </w:rPr>
      <w:t xml:space="preserve">Anexo, página </w:t>
    </w:r>
    <w:r w:rsidRPr="00AE1FC9">
      <w:t xml:space="preserve"> </w:t>
    </w:r>
    <w:r w:rsidRPr="00AE1FC9">
      <w:fldChar w:fldCharType="begin"/>
    </w:r>
    <w:r w:rsidRPr="00AE1FC9">
      <w:instrText xml:space="preserve"> PAGE  \* MERGEFORMAT </w:instrText>
    </w:r>
    <w:r w:rsidRPr="00AE1FC9">
      <w:fldChar w:fldCharType="separate"/>
    </w:r>
    <w:r w:rsidR="000E022B">
      <w:rPr>
        <w:noProof/>
      </w:rPr>
      <w:t>2</w:t>
    </w:r>
    <w:r w:rsidRPr="00AE1FC9">
      <w:fldChar w:fldCharType="end"/>
    </w:r>
  </w:p>
  <w:p w:rsidR="00980DB7" w:rsidRDefault="00980DB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B7" w:rsidRDefault="00980DB7" w:rsidP="00F03DDC">
    <w:pPr>
      <w:pStyle w:val="Header"/>
      <w:jc w:val="right"/>
    </w:pPr>
    <w:r>
      <w:t>CDIP/21/5</w:t>
    </w:r>
  </w:p>
  <w:p w:rsidR="00980DB7" w:rsidRPr="00AE1FC9" w:rsidRDefault="00980DB7" w:rsidP="00F03DDC">
    <w:pPr>
      <w:pStyle w:val="Header"/>
      <w:jc w:val="right"/>
    </w:pPr>
    <w:r w:rsidRPr="00AE1FC9">
      <w:t>ANEXO</w:t>
    </w:r>
  </w:p>
  <w:p w:rsidR="00980DB7" w:rsidRDefault="00980D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F202EF" w:rsidP="00477D6B">
    <w:pPr>
      <w:jc w:val="right"/>
    </w:pPr>
    <w:bookmarkStart w:id="5" w:name="Code2"/>
    <w:bookmarkEnd w:id="5"/>
    <w:r>
      <w:t>CDIP/21/5</w:t>
    </w:r>
  </w:p>
  <w:p w:rsidR="00AE7F20" w:rsidRDefault="003C0AB2" w:rsidP="00477D6B">
    <w:pPr>
      <w:jc w:val="right"/>
    </w:pPr>
    <w:r>
      <w:t xml:space="preserve">Apéndice, </w:t>
    </w:r>
    <w:r w:rsidR="00AE7F20">
      <w:t xml:space="preserve">página </w:t>
    </w:r>
    <w:r w:rsidR="00AE7F20">
      <w:fldChar w:fldCharType="begin"/>
    </w:r>
    <w:r w:rsidR="00AE7F20">
      <w:instrText xml:space="preserve"> PAGE  \* MERGEFORMAT </w:instrText>
    </w:r>
    <w:r w:rsidR="00AE7F20">
      <w:fldChar w:fldCharType="separate"/>
    </w:r>
    <w:r w:rsidR="000E022B">
      <w:rPr>
        <w:noProof/>
      </w:rPr>
      <w:t>30</w:t>
    </w:r>
    <w:r w:rsidR="00AE7F20">
      <w:fldChar w:fldCharType="end"/>
    </w:r>
  </w:p>
  <w:p w:rsidR="00AE7F20" w:rsidRDefault="00AE7F2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85D" w:rsidRDefault="0003285D" w:rsidP="00F03DDC">
    <w:pPr>
      <w:pStyle w:val="Header"/>
      <w:jc w:val="right"/>
    </w:pPr>
    <w:r>
      <w:t>CDIP/21/5</w:t>
    </w:r>
  </w:p>
  <w:p w:rsidR="0003285D" w:rsidRPr="00AE1FC9" w:rsidRDefault="0003285D" w:rsidP="00F03DDC">
    <w:pPr>
      <w:pStyle w:val="Header"/>
      <w:jc w:val="right"/>
    </w:pPr>
    <w:r>
      <w:t>APÉNDICE</w:t>
    </w:r>
  </w:p>
  <w:p w:rsidR="0003285D" w:rsidRDefault="00032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7AA429E4"/>
    <w:multiLevelType w:val="hybridMultilevel"/>
    <w:tmpl w:val="BB36B11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EF"/>
    <w:rsid w:val="00005369"/>
    <w:rsid w:val="00010686"/>
    <w:rsid w:val="0003285D"/>
    <w:rsid w:val="00052915"/>
    <w:rsid w:val="00091A75"/>
    <w:rsid w:val="000E022B"/>
    <w:rsid w:val="000E3BB3"/>
    <w:rsid w:val="000F5E56"/>
    <w:rsid w:val="001362EE"/>
    <w:rsid w:val="00152CEA"/>
    <w:rsid w:val="001832A6"/>
    <w:rsid w:val="00202215"/>
    <w:rsid w:val="002634C4"/>
    <w:rsid w:val="002E0F47"/>
    <w:rsid w:val="002F4E68"/>
    <w:rsid w:val="00307018"/>
    <w:rsid w:val="00354647"/>
    <w:rsid w:val="00377273"/>
    <w:rsid w:val="003845C1"/>
    <w:rsid w:val="00387287"/>
    <w:rsid w:val="003C0AB2"/>
    <w:rsid w:val="003E48F1"/>
    <w:rsid w:val="003F03D8"/>
    <w:rsid w:val="003F347A"/>
    <w:rsid w:val="00423E3E"/>
    <w:rsid w:val="00427AF4"/>
    <w:rsid w:val="0045231F"/>
    <w:rsid w:val="004647DA"/>
    <w:rsid w:val="0046793F"/>
    <w:rsid w:val="00477808"/>
    <w:rsid w:val="00477D6B"/>
    <w:rsid w:val="004A6C37"/>
    <w:rsid w:val="004E297D"/>
    <w:rsid w:val="00531B02"/>
    <w:rsid w:val="005332F0"/>
    <w:rsid w:val="0055013B"/>
    <w:rsid w:val="00571B99"/>
    <w:rsid w:val="00590813"/>
    <w:rsid w:val="00605827"/>
    <w:rsid w:val="00675021"/>
    <w:rsid w:val="006A06C6"/>
    <w:rsid w:val="007224C8"/>
    <w:rsid w:val="00794BE2"/>
    <w:rsid w:val="007A5581"/>
    <w:rsid w:val="007B3774"/>
    <w:rsid w:val="007B71FE"/>
    <w:rsid w:val="007D781E"/>
    <w:rsid w:val="007E663E"/>
    <w:rsid w:val="00815082"/>
    <w:rsid w:val="0088395E"/>
    <w:rsid w:val="008B2CC1"/>
    <w:rsid w:val="008E6BD6"/>
    <w:rsid w:val="0090731E"/>
    <w:rsid w:val="00931BEC"/>
    <w:rsid w:val="0096247A"/>
    <w:rsid w:val="00966A22"/>
    <w:rsid w:val="00972F03"/>
    <w:rsid w:val="00980DB7"/>
    <w:rsid w:val="009A0C8B"/>
    <w:rsid w:val="009B6241"/>
    <w:rsid w:val="00A16FC0"/>
    <w:rsid w:val="00A32C9E"/>
    <w:rsid w:val="00A44122"/>
    <w:rsid w:val="00AB613D"/>
    <w:rsid w:val="00AE1FC9"/>
    <w:rsid w:val="00AE7F20"/>
    <w:rsid w:val="00B65A0A"/>
    <w:rsid w:val="00B67CDC"/>
    <w:rsid w:val="00B72D36"/>
    <w:rsid w:val="00BC4164"/>
    <w:rsid w:val="00BD2DCC"/>
    <w:rsid w:val="00C72314"/>
    <w:rsid w:val="00C90559"/>
    <w:rsid w:val="00CA2251"/>
    <w:rsid w:val="00CC3A13"/>
    <w:rsid w:val="00D56C7C"/>
    <w:rsid w:val="00D71B4D"/>
    <w:rsid w:val="00D90289"/>
    <w:rsid w:val="00D93D55"/>
    <w:rsid w:val="00DC4C60"/>
    <w:rsid w:val="00DF7865"/>
    <w:rsid w:val="00E0079A"/>
    <w:rsid w:val="00E35461"/>
    <w:rsid w:val="00E444DA"/>
    <w:rsid w:val="00E45C84"/>
    <w:rsid w:val="00E504E5"/>
    <w:rsid w:val="00EB7A3E"/>
    <w:rsid w:val="00EC401A"/>
    <w:rsid w:val="00ED3191"/>
    <w:rsid w:val="00EE230B"/>
    <w:rsid w:val="00EF530A"/>
    <w:rsid w:val="00EF6622"/>
    <w:rsid w:val="00EF78A9"/>
    <w:rsid w:val="00F202EF"/>
    <w:rsid w:val="00F505F9"/>
    <w:rsid w:val="00F55408"/>
    <w:rsid w:val="00F66152"/>
    <w:rsid w:val="00F80845"/>
    <w:rsid w:val="00F84474"/>
    <w:rsid w:val="00FA0F0D"/>
    <w:rsid w:val="00FC0667"/>
    <w:rsid w:val="00FD59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980DB7"/>
    <w:pPr>
      <w:ind w:left="720"/>
      <w:contextualSpacing/>
    </w:pPr>
    <w:rPr>
      <w:lang w:val="en-US"/>
    </w:rPr>
  </w:style>
  <w:style w:type="character" w:customStyle="1" w:styleId="Heading2Char">
    <w:name w:val="Heading 2 Char"/>
    <w:basedOn w:val="DefaultParagraphFont"/>
    <w:link w:val="Heading2"/>
    <w:rsid w:val="00980DB7"/>
    <w:rPr>
      <w:rFonts w:ascii="Arial" w:eastAsia="SimSun" w:hAnsi="Arial" w:cs="Arial"/>
      <w:bCs/>
      <w:iCs/>
      <w:caps/>
      <w:sz w:val="22"/>
      <w:szCs w:val="28"/>
      <w:lang w:val="es-ES" w:eastAsia="zh-CN"/>
    </w:rPr>
  </w:style>
  <w:style w:type="table" w:styleId="TableGrid">
    <w:name w:val="Table Grid"/>
    <w:basedOn w:val="TableNormal"/>
    <w:rsid w:val="003C0A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980DB7"/>
    <w:pPr>
      <w:ind w:left="720"/>
      <w:contextualSpacing/>
    </w:pPr>
    <w:rPr>
      <w:lang w:val="en-US"/>
    </w:rPr>
  </w:style>
  <w:style w:type="character" w:customStyle="1" w:styleId="Heading2Char">
    <w:name w:val="Heading 2 Char"/>
    <w:basedOn w:val="DefaultParagraphFont"/>
    <w:link w:val="Heading2"/>
    <w:rsid w:val="00980DB7"/>
    <w:rPr>
      <w:rFonts w:ascii="Arial" w:eastAsia="SimSun" w:hAnsi="Arial" w:cs="Arial"/>
      <w:bCs/>
      <w:iCs/>
      <w:caps/>
      <w:sz w:val="22"/>
      <w:szCs w:val="28"/>
      <w:lang w:val="es-ES" w:eastAsia="zh-CN"/>
    </w:rPr>
  </w:style>
  <w:style w:type="table" w:styleId="TableGrid">
    <w:name w:val="Table Grid"/>
    <w:basedOn w:val="TableNormal"/>
    <w:rsid w:val="003C0AB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21 (S).dotm</Template>
  <TotalTime>47</TotalTime>
  <Pages>34</Pages>
  <Words>12197</Words>
  <Characters>80476</Characters>
  <Application>Microsoft Office Word</Application>
  <DocSecurity>0</DocSecurity>
  <Lines>2235</Lines>
  <Paragraphs>535</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92138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MATEOS CLERIGUÉ Roberto</dc:creator>
  <cp:lastModifiedBy>CEVALLOS DUQUE Nilo</cp:lastModifiedBy>
  <cp:revision>12</cp:revision>
  <cp:lastPrinted>2018-03-07T10:43:00Z</cp:lastPrinted>
  <dcterms:created xsi:type="dcterms:W3CDTF">2018-03-07T10:47:00Z</dcterms:created>
  <dcterms:modified xsi:type="dcterms:W3CDTF">2018-04-11T15:07:00Z</dcterms:modified>
</cp:coreProperties>
</file>