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70D86" w:rsidRPr="008B2CC1" w:rsidTr="00670D86">
        <w:tc>
          <w:tcPr>
            <w:tcW w:w="4513" w:type="dxa"/>
            <w:tcBorders>
              <w:bottom w:val="single" w:sz="4" w:space="0" w:color="auto"/>
            </w:tcBorders>
            <w:tcMar>
              <w:bottom w:w="170" w:type="dxa"/>
            </w:tcMar>
          </w:tcPr>
          <w:p w:rsidR="00670D86" w:rsidRPr="008B2CC1" w:rsidRDefault="00670D86" w:rsidP="002853A7"/>
        </w:tc>
        <w:tc>
          <w:tcPr>
            <w:tcW w:w="4337" w:type="dxa"/>
            <w:tcBorders>
              <w:bottom w:val="single" w:sz="4" w:space="0" w:color="auto"/>
            </w:tcBorders>
            <w:tcMar>
              <w:left w:w="0" w:type="dxa"/>
              <w:right w:w="0" w:type="dxa"/>
            </w:tcMar>
          </w:tcPr>
          <w:p w:rsidR="00670D86" w:rsidRPr="008B2CC1" w:rsidRDefault="00670D86" w:rsidP="002853A7">
            <w:r>
              <w:rPr>
                <w:noProof/>
                <w:lang w:eastAsia="en-US"/>
              </w:rPr>
              <w:drawing>
                <wp:inline distT="0" distB="0" distL="0" distR="0" wp14:anchorId="645C3099" wp14:editId="3FC1541E">
                  <wp:extent cx="1863583" cy="1328400"/>
                  <wp:effectExtent l="0" t="0" r="3810" b="571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3583" cy="13284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70D86" w:rsidRPr="008B2CC1" w:rsidRDefault="00670D86" w:rsidP="002853A7">
            <w:pPr>
              <w:jc w:val="right"/>
            </w:pPr>
            <w:r>
              <w:rPr>
                <w:b/>
                <w:sz w:val="40"/>
                <w:szCs w:val="40"/>
              </w:rPr>
              <w:t>S</w:t>
            </w:r>
          </w:p>
        </w:tc>
      </w:tr>
      <w:tr w:rsidR="00670D86" w:rsidRPr="001832A6" w:rsidTr="002853A7">
        <w:trPr>
          <w:trHeight w:hRule="exact" w:val="357"/>
        </w:trPr>
        <w:tc>
          <w:tcPr>
            <w:tcW w:w="9356" w:type="dxa"/>
            <w:gridSpan w:val="3"/>
            <w:tcBorders>
              <w:top w:val="single" w:sz="4" w:space="0" w:color="auto"/>
            </w:tcBorders>
            <w:tcMar>
              <w:top w:w="170" w:type="dxa"/>
              <w:left w:w="0" w:type="dxa"/>
              <w:right w:w="0" w:type="dxa"/>
            </w:tcMar>
            <w:vAlign w:val="bottom"/>
          </w:tcPr>
          <w:p w:rsidR="00670D86" w:rsidRPr="0090731E" w:rsidRDefault="00670D86" w:rsidP="00670D86">
            <w:pPr>
              <w:jc w:val="right"/>
              <w:rPr>
                <w:rFonts w:ascii="Arial Black" w:hAnsi="Arial Black"/>
                <w:caps/>
                <w:sz w:val="15"/>
              </w:rPr>
            </w:pPr>
            <w:r>
              <w:rPr>
                <w:rFonts w:ascii="Arial Black" w:hAnsi="Arial Black"/>
                <w:caps/>
                <w:sz w:val="15"/>
              </w:rPr>
              <w:t>CDIP/20/5</w:t>
            </w:r>
          </w:p>
        </w:tc>
      </w:tr>
      <w:tr w:rsidR="00670D86" w:rsidRPr="001832A6" w:rsidTr="002853A7">
        <w:trPr>
          <w:trHeight w:hRule="exact" w:val="170"/>
        </w:trPr>
        <w:tc>
          <w:tcPr>
            <w:tcW w:w="9356" w:type="dxa"/>
            <w:gridSpan w:val="3"/>
            <w:noWrap/>
            <w:tcMar>
              <w:left w:w="0" w:type="dxa"/>
              <w:right w:w="0" w:type="dxa"/>
            </w:tcMar>
            <w:vAlign w:val="bottom"/>
          </w:tcPr>
          <w:p w:rsidR="00670D86" w:rsidRPr="0090731E" w:rsidRDefault="00670D86" w:rsidP="002853A7">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 xml:space="preserve"> INGLÉS</w:t>
            </w:r>
          </w:p>
        </w:tc>
      </w:tr>
      <w:tr w:rsidR="00670D86" w:rsidRPr="001832A6" w:rsidTr="002853A7">
        <w:trPr>
          <w:trHeight w:hRule="exact" w:val="198"/>
        </w:trPr>
        <w:tc>
          <w:tcPr>
            <w:tcW w:w="9356" w:type="dxa"/>
            <w:gridSpan w:val="3"/>
            <w:tcMar>
              <w:left w:w="0" w:type="dxa"/>
              <w:right w:w="0" w:type="dxa"/>
            </w:tcMar>
            <w:vAlign w:val="bottom"/>
          </w:tcPr>
          <w:p w:rsidR="00670D86" w:rsidRPr="0090731E" w:rsidRDefault="00670D86" w:rsidP="00670D86">
            <w:pPr>
              <w:jc w:val="right"/>
              <w:rPr>
                <w:rFonts w:ascii="Arial Black" w:hAnsi="Arial Black"/>
                <w:caps/>
                <w:sz w:val="15"/>
              </w:rPr>
            </w:pPr>
            <w:r>
              <w:rPr>
                <w:rFonts w:ascii="Arial Black" w:hAnsi="Arial Black"/>
                <w:caps/>
                <w:sz w:val="15"/>
              </w:rPr>
              <w:t>FECHA</w:t>
            </w:r>
            <w:r w:rsidRPr="0090731E">
              <w:rPr>
                <w:rFonts w:ascii="Arial Black" w:hAnsi="Arial Black"/>
                <w:caps/>
                <w:sz w:val="15"/>
              </w:rPr>
              <w:t xml:space="preserve">: </w:t>
            </w:r>
            <w:r>
              <w:rPr>
                <w:rFonts w:ascii="Arial Black" w:hAnsi="Arial Black"/>
                <w:caps/>
                <w:sz w:val="15"/>
              </w:rPr>
              <w:t xml:space="preserve"> 5 de octubre DE 2017</w:t>
            </w:r>
          </w:p>
        </w:tc>
      </w:tr>
    </w:tbl>
    <w:p w:rsidR="008B2CC1" w:rsidRPr="00460CAE" w:rsidRDefault="008B2CC1" w:rsidP="008B2CC1">
      <w:pPr>
        <w:rPr>
          <w:lang w:val="es-ES_tradnl"/>
        </w:rPr>
      </w:pPr>
    </w:p>
    <w:p w:rsidR="008B2CC1" w:rsidRPr="00460CAE" w:rsidRDefault="008B2CC1" w:rsidP="008B2CC1">
      <w:pPr>
        <w:rPr>
          <w:lang w:val="es-ES_tradnl"/>
        </w:rPr>
      </w:pPr>
    </w:p>
    <w:p w:rsidR="008B2CC1" w:rsidRPr="00460CAE" w:rsidRDefault="008B2CC1" w:rsidP="008B2CC1">
      <w:pPr>
        <w:rPr>
          <w:lang w:val="es-ES_tradnl"/>
        </w:rPr>
      </w:pPr>
    </w:p>
    <w:p w:rsidR="008B2CC1" w:rsidRPr="00460CAE" w:rsidRDefault="008B2CC1" w:rsidP="008B2CC1">
      <w:pPr>
        <w:rPr>
          <w:lang w:val="es-ES_tradnl"/>
        </w:rPr>
      </w:pPr>
    </w:p>
    <w:p w:rsidR="008B2CC1" w:rsidRPr="00460CAE" w:rsidRDefault="00B24523" w:rsidP="008B2CC1">
      <w:pPr>
        <w:rPr>
          <w:b/>
          <w:sz w:val="28"/>
          <w:szCs w:val="28"/>
          <w:lang w:val="es-ES_tradnl"/>
        </w:rPr>
      </w:pPr>
      <w:r w:rsidRPr="00460CAE">
        <w:rPr>
          <w:b/>
          <w:sz w:val="28"/>
          <w:szCs w:val="28"/>
          <w:lang w:val="es-ES_tradnl"/>
        </w:rPr>
        <w:t>Comité de Desarrollo y Propiedad Intelectual</w:t>
      </w:r>
      <w:r w:rsidR="000366EA" w:rsidRPr="00460CAE">
        <w:rPr>
          <w:b/>
          <w:sz w:val="28"/>
          <w:szCs w:val="28"/>
          <w:lang w:val="es-ES_tradnl"/>
        </w:rPr>
        <w:t xml:space="preserve"> (CDIP)</w:t>
      </w:r>
    </w:p>
    <w:p w:rsidR="003845C1" w:rsidRPr="00460CAE" w:rsidRDefault="003845C1" w:rsidP="003845C1">
      <w:pPr>
        <w:rPr>
          <w:lang w:val="es-ES_tradnl"/>
        </w:rPr>
      </w:pPr>
    </w:p>
    <w:p w:rsidR="003845C1" w:rsidRPr="00460CAE" w:rsidRDefault="003845C1" w:rsidP="003845C1">
      <w:pPr>
        <w:rPr>
          <w:lang w:val="es-ES_tradnl"/>
        </w:rPr>
      </w:pPr>
    </w:p>
    <w:p w:rsidR="008B2CC1" w:rsidRPr="00460CAE" w:rsidRDefault="00D12CC4" w:rsidP="008B2CC1">
      <w:pPr>
        <w:rPr>
          <w:b/>
          <w:sz w:val="24"/>
          <w:szCs w:val="24"/>
          <w:lang w:val="es-ES_tradnl"/>
        </w:rPr>
      </w:pPr>
      <w:r w:rsidRPr="00460CAE">
        <w:rPr>
          <w:b/>
          <w:sz w:val="24"/>
          <w:szCs w:val="24"/>
          <w:lang w:val="es-ES_tradnl"/>
        </w:rPr>
        <w:t>Vigésima sesión</w:t>
      </w:r>
    </w:p>
    <w:p w:rsidR="008B2CC1" w:rsidRPr="00460CAE" w:rsidRDefault="00D12CC4" w:rsidP="008B2CC1">
      <w:pPr>
        <w:rPr>
          <w:b/>
          <w:sz w:val="24"/>
          <w:szCs w:val="24"/>
          <w:lang w:val="es-ES_tradnl"/>
        </w:rPr>
      </w:pPr>
      <w:r w:rsidRPr="00460CAE">
        <w:rPr>
          <w:b/>
          <w:sz w:val="24"/>
          <w:szCs w:val="24"/>
          <w:lang w:val="es-ES_tradnl"/>
        </w:rPr>
        <w:t>Gi</w:t>
      </w:r>
      <w:r w:rsidR="00D93BCC" w:rsidRPr="00460CAE">
        <w:rPr>
          <w:b/>
          <w:sz w:val="24"/>
          <w:szCs w:val="24"/>
          <w:lang w:val="es-ES_tradnl"/>
        </w:rPr>
        <w:t>ne</w:t>
      </w:r>
      <w:r w:rsidRPr="00460CAE">
        <w:rPr>
          <w:b/>
          <w:sz w:val="24"/>
          <w:szCs w:val="24"/>
          <w:lang w:val="es-ES_tradnl"/>
        </w:rPr>
        <w:t>br</w:t>
      </w:r>
      <w:r w:rsidR="00D93BCC" w:rsidRPr="00460CAE">
        <w:rPr>
          <w:b/>
          <w:sz w:val="24"/>
          <w:szCs w:val="24"/>
          <w:lang w:val="es-ES_tradnl"/>
        </w:rPr>
        <w:t xml:space="preserve">a, </w:t>
      </w:r>
      <w:r w:rsidRPr="00460CAE">
        <w:rPr>
          <w:b/>
          <w:sz w:val="24"/>
          <w:szCs w:val="24"/>
          <w:lang w:val="es-ES_tradnl"/>
        </w:rPr>
        <w:t>27 de n</w:t>
      </w:r>
      <w:r w:rsidR="00D93BCC" w:rsidRPr="00460CAE">
        <w:rPr>
          <w:b/>
          <w:sz w:val="24"/>
          <w:szCs w:val="24"/>
          <w:lang w:val="es-ES_tradnl"/>
        </w:rPr>
        <w:t>ov</w:t>
      </w:r>
      <w:r w:rsidRPr="00460CAE">
        <w:rPr>
          <w:b/>
          <w:sz w:val="24"/>
          <w:szCs w:val="24"/>
          <w:lang w:val="es-ES_tradnl"/>
        </w:rPr>
        <w:t>i</w:t>
      </w:r>
      <w:r w:rsidR="00D93BCC" w:rsidRPr="00460CAE">
        <w:rPr>
          <w:b/>
          <w:sz w:val="24"/>
          <w:szCs w:val="24"/>
          <w:lang w:val="es-ES_tradnl"/>
        </w:rPr>
        <w:t>emb</w:t>
      </w:r>
      <w:r w:rsidRPr="00460CAE">
        <w:rPr>
          <w:b/>
          <w:sz w:val="24"/>
          <w:szCs w:val="24"/>
          <w:lang w:val="es-ES_tradnl"/>
        </w:rPr>
        <w:t>r</w:t>
      </w:r>
      <w:r w:rsidR="00D93BCC" w:rsidRPr="00460CAE">
        <w:rPr>
          <w:b/>
          <w:sz w:val="24"/>
          <w:szCs w:val="24"/>
          <w:lang w:val="es-ES_tradnl"/>
        </w:rPr>
        <w:t>e</w:t>
      </w:r>
      <w:r w:rsidRPr="00460CAE">
        <w:rPr>
          <w:b/>
          <w:sz w:val="24"/>
          <w:szCs w:val="24"/>
          <w:lang w:val="es-ES_tradnl"/>
        </w:rPr>
        <w:t xml:space="preserve"> a 1</w:t>
      </w:r>
      <w:r w:rsidR="00D93BCC" w:rsidRPr="00460CAE">
        <w:rPr>
          <w:b/>
          <w:sz w:val="24"/>
          <w:szCs w:val="24"/>
          <w:lang w:val="es-ES_tradnl"/>
        </w:rPr>
        <w:t xml:space="preserve"> </w:t>
      </w:r>
      <w:r w:rsidRPr="00460CAE">
        <w:rPr>
          <w:b/>
          <w:sz w:val="24"/>
          <w:szCs w:val="24"/>
          <w:lang w:val="es-ES_tradnl"/>
        </w:rPr>
        <w:t>de di</w:t>
      </w:r>
      <w:r w:rsidR="00D93BCC" w:rsidRPr="00460CAE">
        <w:rPr>
          <w:b/>
          <w:sz w:val="24"/>
          <w:szCs w:val="24"/>
          <w:lang w:val="es-ES_tradnl"/>
        </w:rPr>
        <w:t>c</w:t>
      </w:r>
      <w:r w:rsidRPr="00460CAE">
        <w:rPr>
          <w:b/>
          <w:sz w:val="24"/>
          <w:szCs w:val="24"/>
          <w:lang w:val="es-ES_tradnl"/>
        </w:rPr>
        <w:t>i</w:t>
      </w:r>
      <w:r w:rsidR="00D93BCC" w:rsidRPr="00460CAE">
        <w:rPr>
          <w:b/>
          <w:sz w:val="24"/>
          <w:szCs w:val="24"/>
          <w:lang w:val="es-ES_tradnl"/>
        </w:rPr>
        <w:t>emb</w:t>
      </w:r>
      <w:r w:rsidRPr="00460CAE">
        <w:rPr>
          <w:b/>
          <w:sz w:val="24"/>
          <w:szCs w:val="24"/>
          <w:lang w:val="es-ES_tradnl"/>
        </w:rPr>
        <w:t>r</w:t>
      </w:r>
      <w:r w:rsidR="00D93BCC" w:rsidRPr="00460CAE">
        <w:rPr>
          <w:b/>
          <w:sz w:val="24"/>
          <w:szCs w:val="24"/>
          <w:lang w:val="es-ES_tradnl"/>
        </w:rPr>
        <w:t xml:space="preserve">e </w:t>
      </w:r>
      <w:r w:rsidRPr="00460CAE">
        <w:rPr>
          <w:b/>
          <w:sz w:val="24"/>
          <w:szCs w:val="24"/>
          <w:lang w:val="es-ES_tradnl"/>
        </w:rPr>
        <w:t xml:space="preserve">de </w:t>
      </w:r>
      <w:r w:rsidR="00D93BCC" w:rsidRPr="00460CAE">
        <w:rPr>
          <w:b/>
          <w:sz w:val="24"/>
          <w:szCs w:val="24"/>
          <w:lang w:val="es-ES_tradnl"/>
        </w:rPr>
        <w:t>2017</w:t>
      </w:r>
    </w:p>
    <w:p w:rsidR="00C46E3C" w:rsidRPr="00460CAE" w:rsidRDefault="00C46E3C" w:rsidP="002444DB">
      <w:pPr>
        <w:rPr>
          <w:caps/>
          <w:sz w:val="24"/>
          <w:lang w:val="es-ES_tradnl"/>
        </w:rPr>
      </w:pPr>
    </w:p>
    <w:p w:rsidR="00035DDA" w:rsidRPr="00460CAE" w:rsidRDefault="00C83160" w:rsidP="002444DB">
      <w:pPr>
        <w:rPr>
          <w:caps/>
          <w:sz w:val="24"/>
          <w:lang w:val="es-ES_tradnl"/>
        </w:rPr>
      </w:pPr>
      <w:r w:rsidRPr="00460CAE">
        <w:rPr>
          <w:sz w:val="24"/>
          <w:lang w:val="es-ES_tradnl"/>
        </w:rPr>
        <w:t>ME</w:t>
      </w:r>
      <w:r w:rsidR="004A7723" w:rsidRPr="00460CAE">
        <w:rPr>
          <w:sz w:val="24"/>
          <w:lang w:val="es-ES_tradnl"/>
        </w:rPr>
        <w:t>DIDAS ADOPTADAS PARA DIFUNDIR LA INFORMACIÓN CONTENIDA EN LA BASE DE DATOS SOBRE FLEXIBILIDADES</w:t>
      </w:r>
    </w:p>
    <w:p w:rsidR="00061712" w:rsidRPr="00460CAE" w:rsidRDefault="00061712" w:rsidP="00061712">
      <w:pPr>
        <w:rPr>
          <w:lang w:val="es-ES_tradnl"/>
        </w:rPr>
      </w:pPr>
    </w:p>
    <w:p w:rsidR="00827F61" w:rsidRPr="00460CAE" w:rsidRDefault="004A7723" w:rsidP="00324388">
      <w:pPr>
        <w:rPr>
          <w:i/>
          <w:lang w:val="es-ES_tradnl"/>
        </w:rPr>
      </w:pPr>
      <w:bookmarkStart w:id="0" w:name="Prepared"/>
      <w:bookmarkEnd w:id="0"/>
      <w:r w:rsidRPr="00460CAE">
        <w:rPr>
          <w:i/>
          <w:lang w:val="es-ES_tradnl"/>
        </w:rPr>
        <w:t>Documento prepara</w:t>
      </w:r>
      <w:r w:rsidR="00827F61" w:rsidRPr="00460CAE">
        <w:rPr>
          <w:i/>
          <w:lang w:val="es-ES_tradnl"/>
        </w:rPr>
        <w:t>d</w:t>
      </w:r>
      <w:r w:rsidRPr="00460CAE">
        <w:rPr>
          <w:i/>
          <w:lang w:val="es-ES_tradnl"/>
        </w:rPr>
        <w:t>o</w:t>
      </w:r>
      <w:r w:rsidR="00827F61" w:rsidRPr="00460CAE">
        <w:rPr>
          <w:i/>
          <w:lang w:val="es-ES_tradnl"/>
        </w:rPr>
        <w:t xml:space="preserve"> </w:t>
      </w:r>
      <w:r w:rsidRPr="00460CAE">
        <w:rPr>
          <w:i/>
          <w:lang w:val="es-ES_tradnl"/>
        </w:rPr>
        <w:t xml:space="preserve">por la </w:t>
      </w:r>
      <w:r w:rsidR="00D602A1" w:rsidRPr="00460CAE">
        <w:rPr>
          <w:i/>
          <w:lang w:val="es-ES_tradnl"/>
        </w:rPr>
        <w:t>Secretar</w:t>
      </w:r>
      <w:r w:rsidRPr="00460CAE">
        <w:rPr>
          <w:i/>
          <w:lang w:val="es-ES_tradnl"/>
        </w:rPr>
        <w:t>í</w:t>
      </w:r>
      <w:r w:rsidR="00D602A1" w:rsidRPr="00460CAE">
        <w:rPr>
          <w:i/>
          <w:lang w:val="es-ES_tradnl"/>
        </w:rPr>
        <w:t>a</w:t>
      </w:r>
    </w:p>
    <w:p w:rsidR="00827F61" w:rsidRPr="00460CAE" w:rsidRDefault="00827F61" w:rsidP="00827F61">
      <w:pPr>
        <w:rPr>
          <w:i/>
          <w:lang w:val="es-ES_tradnl"/>
        </w:rPr>
      </w:pPr>
    </w:p>
    <w:p w:rsidR="00827F61" w:rsidRPr="00460CAE" w:rsidRDefault="00827F61" w:rsidP="00827F61">
      <w:pPr>
        <w:rPr>
          <w:lang w:val="es-ES_tradnl"/>
        </w:rPr>
      </w:pPr>
    </w:p>
    <w:p w:rsidR="00827F61" w:rsidRPr="00460CAE" w:rsidRDefault="00827F61" w:rsidP="00827F61">
      <w:pPr>
        <w:rPr>
          <w:lang w:val="es-ES_tradnl"/>
        </w:rPr>
      </w:pPr>
    </w:p>
    <w:p w:rsidR="00D93BCC" w:rsidRPr="00460CAE" w:rsidRDefault="00687972" w:rsidP="00D93BCC">
      <w:pPr>
        <w:rPr>
          <w:lang w:val="es-ES_tradnl"/>
        </w:rPr>
      </w:pPr>
      <w:r w:rsidRPr="00460CAE">
        <w:rPr>
          <w:lang w:val="es-ES_tradnl"/>
        </w:rPr>
        <w:t>1.</w:t>
      </w:r>
      <w:r w:rsidR="001C5066" w:rsidRPr="00460CAE">
        <w:rPr>
          <w:lang w:val="es-ES_tradnl"/>
        </w:rPr>
        <w:tab/>
      </w:r>
      <w:r w:rsidRPr="00460CAE">
        <w:rPr>
          <w:lang w:val="es-ES_tradnl"/>
        </w:rPr>
        <w:t>Se recuerda que, durante el examen de la</w:t>
      </w:r>
      <w:r w:rsidR="00D93BCC" w:rsidRPr="00460CAE">
        <w:rPr>
          <w:lang w:val="es-ES_tradnl"/>
        </w:rPr>
        <w:t xml:space="preserve"> </w:t>
      </w:r>
      <w:r w:rsidRPr="00460CAE">
        <w:rPr>
          <w:lang w:val="es-ES_tradnl"/>
        </w:rPr>
        <w:t>Propuesta revisada de procedimiento para actualizar la base de datos sobre flexibilidades</w:t>
      </w:r>
      <w:r w:rsidR="00D93BCC" w:rsidRPr="00460CAE">
        <w:rPr>
          <w:lang w:val="es-ES_tradnl"/>
        </w:rPr>
        <w:t xml:space="preserve"> (document</w:t>
      </w:r>
      <w:r w:rsidRPr="00460CAE">
        <w:rPr>
          <w:lang w:val="es-ES_tradnl"/>
        </w:rPr>
        <w:t>o</w:t>
      </w:r>
      <w:r w:rsidR="00D93BCC" w:rsidRPr="00460CAE">
        <w:rPr>
          <w:lang w:val="es-ES_tradnl"/>
        </w:rPr>
        <w:t xml:space="preserve"> CDIP/18/5), </w:t>
      </w:r>
      <w:r w:rsidRPr="00460CAE">
        <w:rPr>
          <w:lang w:val="es-ES_tradnl"/>
        </w:rPr>
        <w:t>el Comité de Desarrollo y Propiedad Intelectual (CDIP)</w:t>
      </w:r>
      <w:r w:rsidR="00DC4645" w:rsidRPr="00460CAE">
        <w:rPr>
          <w:lang w:val="es-ES_tradnl"/>
        </w:rPr>
        <w:t>, en su</w:t>
      </w:r>
      <w:r w:rsidRPr="00460CAE">
        <w:rPr>
          <w:lang w:val="es-ES_tradnl"/>
        </w:rPr>
        <w:t xml:space="preserve"> </w:t>
      </w:r>
      <w:r w:rsidR="000523EB" w:rsidRPr="00460CAE">
        <w:rPr>
          <w:lang w:val="es-ES_tradnl"/>
        </w:rPr>
        <w:t>decimo</w:t>
      </w:r>
      <w:r w:rsidR="000523EB">
        <w:rPr>
          <w:lang w:val="es-ES_tradnl"/>
        </w:rPr>
        <w:t>ctava</w:t>
      </w:r>
      <w:bookmarkStart w:id="1" w:name="_GoBack"/>
      <w:bookmarkEnd w:id="1"/>
      <w:r w:rsidR="000523EB">
        <w:rPr>
          <w:lang w:val="es-ES_tradnl"/>
        </w:rPr>
        <w:t xml:space="preserve"> </w:t>
      </w:r>
      <w:r w:rsidR="00DC4645" w:rsidRPr="00460CAE">
        <w:rPr>
          <w:lang w:val="es-ES_tradnl"/>
        </w:rPr>
        <w:t>sesión</w:t>
      </w:r>
      <w:r w:rsidR="00EB0A62" w:rsidRPr="00460CAE">
        <w:rPr>
          <w:lang w:val="es-ES_tradnl"/>
        </w:rPr>
        <w:t xml:space="preserve">, </w:t>
      </w:r>
      <w:r w:rsidR="00DC4645" w:rsidRPr="00460CAE">
        <w:rPr>
          <w:lang w:val="es-ES_tradnl"/>
        </w:rPr>
        <w:t xml:space="preserve">pidió a la Secretaría entre otras cosas que </w:t>
      </w:r>
      <w:r w:rsidR="00B377C2" w:rsidRPr="00460CAE">
        <w:rPr>
          <w:lang w:val="es-ES_tradnl"/>
        </w:rPr>
        <w:t>“</w:t>
      </w:r>
      <w:r w:rsidRPr="00460CAE">
        <w:rPr>
          <w:lang w:val="es-ES_tradnl"/>
        </w:rPr>
        <w:t>emprenda medidas para velar por que se difunda más adecuadamente la información contenida en la base de datos</w:t>
      </w:r>
      <w:r w:rsidR="00DC4645" w:rsidRPr="00460CAE">
        <w:rPr>
          <w:lang w:val="es-ES_tradnl"/>
        </w:rPr>
        <w:t xml:space="preserve"> e inform</w:t>
      </w:r>
      <w:r w:rsidR="00B377C2" w:rsidRPr="00460CAE">
        <w:rPr>
          <w:lang w:val="es-ES_tradnl"/>
        </w:rPr>
        <w:t xml:space="preserve">e </w:t>
      </w:r>
      <w:r w:rsidRPr="00460CAE">
        <w:rPr>
          <w:lang w:val="es-ES_tradnl"/>
        </w:rPr>
        <w:t>al Comité sobre esas medidas en una sesión futura</w:t>
      </w:r>
      <w:r w:rsidR="00D93BCC" w:rsidRPr="00460CAE">
        <w:rPr>
          <w:lang w:val="es-ES_tradnl"/>
        </w:rPr>
        <w:t>”</w:t>
      </w:r>
      <w:r w:rsidR="001C5066" w:rsidRPr="00460CAE">
        <w:rPr>
          <w:lang w:val="es-ES_tradnl"/>
        </w:rPr>
        <w:t xml:space="preserve"> (</w:t>
      </w:r>
      <w:r w:rsidR="00DC4645" w:rsidRPr="00460CAE">
        <w:rPr>
          <w:lang w:val="es-ES_tradnl"/>
        </w:rPr>
        <w:t>pár</w:t>
      </w:r>
      <w:r w:rsidR="001C5066" w:rsidRPr="00460CAE">
        <w:rPr>
          <w:lang w:val="es-ES_tradnl"/>
        </w:rPr>
        <w:t>ra</w:t>
      </w:r>
      <w:r w:rsidR="00DC4645" w:rsidRPr="00460CAE">
        <w:rPr>
          <w:lang w:val="es-ES_tradnl"/>
        </w:rPr>
        <w:t>fo</w:t>
      </w:r>
      <w:r w:rsidR="001C5066" w:rsidRPr="00460CAE">
        <w:rPr>
          <w:lang w:val="es-ES_tradnl"/>
        </w:rPr>
        <w:t xml:space="preserve"> 7.2 </w:t>
      </w:r>
      <w:r w:rsidR="00DC4645" w:rsidRPr="00460CAE">
        <w:rPr>
          <w:lang w:val="es-ES_tradnl"/>
        </w:rPr>
        <w:t xml:space="preserve">del Resumen de la Presidencia de lo decimoctava sesión del </w:t>
      </w:r>
      <w:r w:rsidR="001C5066" w:rsidRPr="00460CAE">
        <w:rPr>
          <w:lang w:val="es-ES_tradnl"/>
        </w:rPr>
        <w:t>CDIP)</w:t>
      </w:r>
      <w:r w:rsidRPr="00460CAE">
        <w:rPr>
          <w:lang w:val="es-ES_tradnl"/>
        </w:rPr>
        <w:t>.</w:t>
      </w:r>
    </w:p>
    <w:p w:rsidR="00004F6A" w:rsidRPr="00460CAE" w:rsidRDefault="00004F6A" w:rsidP="00E96ADE">
      <w:pPr>
        <w:rPr>
          <w:lang w:val="es-ES_tradnl"/>
        </w:rPr>
      </w:pPr>
    </w:p>
    <w:p w:rsidR="00D93BCC" w:rsidRPr="00460CAE" w:rsidRDefault="000C68D2" w:rsidP="00D93BCC">
      <w:pPr>
        <w:rPr>
          <w:caps/>
          <w:sz w:val="24"/>
          <w:lang w:val="es-ES_tradnl"/>
        </w:rPr>
      </w:pPr>
      <w:r w:rsidRPr="00460CAE">
        <w:rPr>
          <w:lang w:val="es-ES_tradnl"/>
        </w:rPr>
        <w:t>2.</w:t>
      </w:r>
      <w:r w:rsidRPr="00460CAE">
        <w:rPr>
          <w:lang w:val="es-ES_tradnl"/>
        </w:rPr>
        <w:tab/>
      </w:r>
      <w:r w:rsidR="00623B61" w:rsidRPr="00460CAE">
        <w:rPr>
          <w:lang w:val="es-ES_tradnl"/>
        </w:rPr>
        <w:t>Por consiguiente, en los anexos del presente documento figura un informe en respuesta a la decisión mencionada.</w:t>
      </w:r>
    </w:p>
    <w:p w:rsidR="00E96ADE" w:rsidRPr="00460CAE" w:rsidRDefault="00E96ADE" w:rsidP="00827F61">
      <w:pPr>
        <w:rPr>
          <w:szCs w:val="22"/>
          <w:lang w:val="es-ES_tradnl"/>
        </w:rPr>
      </w:pPr>
    </w:p>
    <w:p w:rsidR="00827F61" w:rsidRPr="00460CAE" w:rsidRDefault="00653CDB" w:rsidP="00222FB1">
      <w:pPr>
        <w:pStyle w:val="Endofdocument-Annex"/>
        <w:tabs>
          <w:tab w:val="left" w:pos="567"/>
        </w:tabs>
        <w:ind w:left="5533"/>
        <w:rPr>
          <w:i/>
          <w:iCs/>
          <w:szCs w:val="22"/>
          <w:lang w:val="es-ES_tradnl"/>
        </w:rPr>
      </w:pPr>
      <w:r w:rsidRPr="00460CAE">
        <w:rPr>
          <w:i/>
          <w:iCs/>
          <w:szCs w:val="22"/>
          <w:lang w:val="es-ES_tradnl"/>
        </w:rPr>
        <w:t>3.</w:t>
      </w:r>
      <w:r w:rsidRPr="00460CAE">
        <w:rPr>
          <w:i/>
          <w:iCs/>
          <w:szCs w:val="22"/>
          <w:lang w:val="es-ES_tradnl"/>
        </w:rPr>
        <w:tab/>
      </w:r>
      <w:r w:rsidR="00623B61" w:rsidRPr="00460CAE">
        <w:rPr>
          <w:i/>
          <w:iCs/>
          <w:szCs w:val="22"/>
          <w:lang w:val="es-ES_tradnl"/>
        </w:rPr>
        <w:t xml:space="preserve">Se invita al </w:t>
      </w:r>
      <w:r w:rsidR="00827F61" w:rsidRPr="00460CAE">
        <w:rPr>
          <w:i/>
          <w:iCs/>
          <w:szCs w:val="22"/>
          <w:lang w:val="es-ES_tradnl"/>
        </w:rPr>
        <w:t xml:space="preserve">CDIP </w:t>
      </w:r>
      <w:r w:rsidR="00623B61" w:rsidRPr="00460CAE">
        <w:rPr>
          <w:i/>
          <w:iCs/>
          <w:szCs w:val="22"/>
          <w:lang w:val="es-ES_tradnl"/>
        </w:rPr>
        <w:t>a examinar la información contenida en los Anexos del presente documento.</w:t>
      </w:r>
    </w:p>
    <w:p w:rsidR="00827F61" w:rsidRPr="00460CAE" w:rsidRDefault="00827F61" w:rsidP="00222FB1">
      <w:pPr>
        <w:ind w:left="5533"/>
        <w:rPr>
          <w:i/>
          <w:lang w:val="es-ES_tradnl"/>
        </w:rPr>
      </w:pPr>
    </w:p>
    <w:p w:rsidR="0068452E" w:rsidRPr="00460CAE" w:rsidRDefault="0068452E" w:rsidP="00827F61">
      <w:pPr>
        <w:rPr>
          <w:lang w:val="es-ES_tradnl"/>
        </w:rPr>
      </w:pPr>
    </w:p>
    <w:p w:rsidR="00827F61" w:rsidRPr="00460CAE" w:rsidRDefault="00827F61" w:rsidP="00827F61">
      <w:pPr>
        <w:rPr>
          <w:lang w:val="es-ES_tradnl"/>
        </w:rPr>
      </w:pPr>
    </w:p>
    <w:p w:rsidR="00291A49" w:rsidRPr="00460CAE" w:rsidRDefault="00827F61" w:rsidP="00222FB1">
      <w:pPr>
        <w:pStyle w:val="Endofdocument-Annex"/>
        <w:rPr>
          <w:lang w:val="es-ES_tradnl"/>
        </w:rPr>
        <w:sectPr w:rsidR="00291A49" w:rsidRPr="00460CAE" w:rsidSect="00364C15">
          <w:headerReference w:type="default" r:id="rId10"/>
          <w:type w:val="continuous"/>
          <w:pgSz w:w="11907" w:h="16840" w:code="9"/>
          <w:pgMar w:top="567" w:right="1134" w:bottom="1418" w:left="1418" w:header="510" w:footer="1021" w:gutter="0"/>
          <w:pgNumType w:start="1"/>
          <w:cols w:space="720"/>
          <w:titlePg/>
        </w:sectPr>
      </w:pPr>
      <w:r w:rsidRPr="00460CAE">
        <w:rPr>
          <w:lang w:val="es-ES_tradnl"/>
        </w:rPr>
        <w:t>[</w:t>
      </w:r>
      <w:r w:rsidR="00623B61" w:rsidRPr="00460CAE">
        <w:rPr>
          <w:lang w:val="es-ES_tradnl"/>
        </w:rPr>
        <w:t xml:space="preserve">Siguen los </w:t>
      </w:r>
      <w:r w:rsidRPr="00460CAE">
        <w:rPr>
          <w:rStyle w:val="Endofdocument-AnnexChar"/>
          <w:lang w:val="es-ES_tradnl"/>
        </w:rPr>
        <w:t>Anex</w:t>
      </w:r>
      <w:r w:rsidR="00623B61" w:rsidRPr="00460CAE">
        <w:rPr>
          <w:rStyle w:val="Endofdocument-AnnexChar"/>
          <w:lang w:val="es-ES_tradnl"/>
        </w:rPr>
        <w:t>o</w:t>
      </w:r>
      <w:r w:rsidR="00A5052C" w:rsidRPr="00460CAE">
        <w:rPr>
          <w:rStyle w:val="Endofdocument-AnnexChar"/>
          <w:lang w:val="es-ES_tradnl"/>
        </w:rPr>
        <w:t>s</w:t>
      </w:r>
      <w:r w:rsidRPr="00460CAE">
        <w:rPr>
          <w:lang w:val="es-ES_tradnl"/>
        </w:rPr>
        <w:t>]</w:t>
      </w:r>
    </w:p>
    <w:p w:rsidR="0053407C" w:rsidRPr="00460CAE" w:rsidRDefault="0099048F" w:rsidP="009458A4">
      <w:pPr>
        <w:pStyle w:val="NormalWeb"/>
        <w:numPr>
          <w:ilvl w:val="0"/>
          <w:numId w:val="12"/>
        </w:numPr>
        <w:kinsoku w:val="0"/>
        <w:overflowPunct w:val="0"/>
        <w:spacing w:before="96"/>
        <w:textAlignment w:val="baseline"/>
        <w:rPr>
          <w:rFonts w:ascii="Arial" w:eastAsiaTheme="minorEastAsia" w:hAnsi="Arial" w:cs="Arial"/>
          <w:b/>
          <w:color w:val="000000" w:themeColor="text1"/>
          <w:sz w:val="22"/>
          <w:szCs w:val="22"/>
          <w:lang w:val="es-ES_tradnl"/>
        </w:rPr>
      </w:pPr>
      <w:r w:rsidRPr="00460CAE">
        <w:rPr>
          <w:rFonts w:ascii="Arial" w:eastAsiaTheme="minorEastAsia" w:hAnsi="Arial" w:cs="Arial"/>
          <w:b/>
          <w:color w:val="000000" w:themeColor="text1"/>
          <w:sz w:val="22"/>
          <w:szCs w:val="22"/>
          <w:lang w:val="es-ES_tradnl"/>
        </w:rPr>
        <w:lastRenderedPageBreak/>
        <w:t>ANTECEDENTES</w:t>
      </w:r>
    </w:p>
    <w:p w:rsidR="00D40D6E" w:rsidRPr="00460CAE" w:rsidRDefault="00D40D6E" w:rsidP="0053407C">
      <w:pPr>
        <w:pStyle w:val="NormalWeb"/>
        <w:kinsoku w:val="0"/>
        <w:overflowPunct w:val="0"/>
        <w:spacing w:before="96"/>
        <w:textAlignment w:val="baseline"/>
        <w:rPr>
          <w:rFonts w:ascii="Arial" w:eastAsiaTheme="minorEastAsia" w:hAnsi="Arial" w:cs="Arial"/>
          <w:color w:val="000000" w:themeColor="text1"/>
          <w:sz w:val="22"/>
          <w:szCs w:val="22"/>
          <w:lang w:val="es-ES_tradnl"/>
        </w:rPr>
      </w:pPr>
    </w:p>
    <w:p w:rsidR="00B568B8" w:rsidRPr="00460CAE" w:rsidRDefault="007204B5" w:rsidP="0012610D">
      <w:pPr>
        <w:rPr>
          <w:lang w:val="es-ES_tradnl"/>
        </w:rPr>
      </w:pPr>
      <w:r w:rsidRPr="00460CAE">
        <w:rPr>
          <w:lang w:val="es-ES_tradnl"/>
        </w:rPr>
        <w:fldChar w:fldCharType="begin"/>
      </w:r>
      <w:r w:rsidRPr="00460CAE">
        <w:rPr>
          <w:lang w:val="es-ES_tradnl"/>
        </w:rPr>
        <w:instrText xml:space="preserve"> AUTONUM  </w:instrText>
      </w:r>
      <w:r w:rsidRPr="00460CAE">
        <w:rPr>
          <w:lang w:val="es-ES_tradnl"/>
        </w:rPr>
        <w:fldChar w:fldCharType="end"/>
      </w:r>
      <w:r w:rsidRPr="00460CAE">
        <w:rPr>
          <w:lang w:val="es-ES_tradnl"/>
        </w:rPr>
        <w:tab/>
      </w:r>
      <w:r w:rsidR="004068BB" w:rsidRPr="00460CAE">
        <w:rPr>
          <w:lang w:val="es-ES_tradnl"/>
        </w:rPr>
        <w:t xml:space="preserve">La base de datos sobre flexibilidades en el sistema de Propiedad Intelectual </w:t>
      </w:r>
      <w:r w:rsidR="00046235" w:rsidRPr="00460CAE">
        <w:rPr>
          <w:szCs w:val="22"/>
          <w:lang w:val="es-ES_tradnl"/>
        </w:rPr>
        <w:t>(</w:t>
      </w:r>
      <w:r w:rsidR="000E20CB" w:rsidRPr="00460CAE">
        <w:rPr>
          <w:szCs w:val="22"/>
          <w:lang w:val="es-ES_tradnl"/>
        </w:rPr>
        <w:t>en lo sucesivo, “la base de datos”</w:t>
      </w:r>
      <w:r w:rsidR="00046235" w:rsidRPr="00460CAE">
        <w:rPr>
          <w:szCs w:val="22"/>
          <w:lang w:val="es-ES_tradnl"/>
        </w:rPr>
        <w:t xml:space="preserve">) </w:t>
      </w:r>
      <w:r w:rsidR="000E20CB" w:rsidRPr="00460CAE">
        <w:rPr>
          <w:lang w:val="es-ES_tradnl"/>
        </w:rPr>
        <w:t>se creó en junio de 2013, tal como convino el Comité en su sexta sesión</w:t>
      </w:r>
      <w:r w:rsidR="00061712" w:rsidRPr="00460CAE">
        <w:rPr>
          <w:lang w:val="es-ES_tradnl"/>
        </w:rPr>
        <w:t xml:space="preserve">: </w:t>
      </w:r>
      <w:r w:rsidRPr="00460CAE">
        <w:rPr>
          <w:lang w:val="es-ES_tradnl"/>
        </w:rPr>
        <w:t xml:space="preserve"> </w:t>
      </w:r>
      <w:hyperlink r:id="rId11" w:history="1">
        <w:r w:rsidR="000E20CB" w:rsidRPr="00CC4DBF">
          <w:rPr>
            <w:rStyle w:val="Hyperlink"/>
            <w:color w:val="auto"/>
            <w:u w:val="none"/>
            <w:lang w:val="es-ES_tradnl"/>
          </w:rPr>
          <w:t>http://www.wipo.int/ip-development/es/agenda/flexibilities/database.html</w:t>
        </w:r>
      </w:hyperlink>
      <w:r w:rsidR="00463A28" w:rsidRPr="00460CAE">
        <w:rPr>
          <w:lang w:val="es-ES_tradnl"/>
        </w:rPr>
        <w:t>.</w:t>
      </w:r>
    </w:p>
    <w:p w:rsidR="007204B5" w:rsidRPr="00460CAE" w:rsidRDefault="007204B5" w:rsidP="0012610D">
      <w:pPr>
        <w:rPr>
          <w:lang w:val="es-ES_tradnl"/>
        </w:rPr>
      </w:pPr>
    </w:p>
    <w:p w:rsidR="00D93BCC" w:rsidRPr="00460CAE" w:rsidRDefault="00E96ADE" w:rsidP="00222FB1">
      <w:pPr>
        <w:rPr>
          <w:lang w:val="es-ES_tradnl"/>
        </w:rPr>
      </w:pPr>
      <w:r w:rsidRPr="00460CAE">
        <w:rPr>
          <w:lang w:val="es-ES_tradnl"/>
        </w:rPr>
        <w:fldChar w:fldCharType="begin"/>
      </w:r>
      <w:r w:rsidRPr="00460CAE">
        <w:rPr>
          <w:lang w:val="es-ES_tradnl"/>
        </w:rPr>
        <w:instrText xml:space="preserve"> AUTONUM  </w:instrText>
      </w:r>
      <w:r w:rsidRPr="00460CAE">
        <w:rPr>
          <w:lang w:val="es-ES_tradnl"/>
        </w:rPr>
        <w:fldChar w:fldCharType="end"/>
      </w:r>
      <w:r w:rsidRPr="00460CAE">
        <w:rPr>
          <w:lang w:val="es-ES_tradnl"/>
        </w:rPr>
        <w:tab/>
      </w:r>
      <w:r w:rsidR="00272D27" w:rsidRPr="00460CAE">
        <w:rPr>
          <w:lang w:val="es-ES_tradnl"/>
        </w:rPr>
        <w:t xml:space="preserve">A raíz de una petición </w:t>
      </w:r>
      <w:r w:rsidR="00B43FEE" w:rsidRPr="00460CAE">
        <w:rPr>
          <w:lang w:val="es-ES_tradnl"/>
        </w:rPr>
        <w:t xml:space="preserve">formulada por </w:t>
      </w:r>
      <w:r w:rsidR="00272D27" w:rsidRPr="00460CAE">
        <w:rPr>
          <w:lang w:val="es-ES_tradnl"/>
        </w:rPr>
        <w:t>el Comité en su decimoquinta sesión</w:t>
      </w:r>
      <w:r w:rsidR="00D93BCC" w:rsidRPr="00460CAE">
        <w:rPr>
          <w:lang w:val="es-ES_tradnl"/>
        </w:rPr>
        <w:t xml:space="preserve">, </w:t>
      </w:r>
      <w:r w:rsidR="00272D27" w:rsidRPr="00460CAE">
        <w:rPr>
          <w:lang w:val="es-ES_tradnl"/>
        </w:rPr>
        <w:t>en 2015 se actualizó la base de datos, que actualmente contiene 1.371 disposiciones de 202 jurisdicciones seleccionadas, extraídas de los documentos CDIP/5/4 Rev., CDIP/7/3 Add., CDIP/13/10 Rev. y CDIP/15/6 Corr., sobre flexibilidades en materia de patentes en el marco jurídico multilateral y su aplicación legislativa en los planos nacional y regional.</w:t>
      </w:r>
      <w:r w:rsidR="00EF06C5" w:rsidRPr="00460CAE">
        <w:rPr>
          <w:rStyle w:val="FootnoteReference"/>
          <w:color w:val="000000"/>
          <w:szCs w:val="22"/>
          <w:lang w:val="es-ES_tradnl"/>
        </w:rPr>
        <w:footnoteReference w:id="2"/>
      </w:r>
    </w:p>
    <w:p w:rsidR="00D93BCC" w:rsidRPr="00460CAE" w:rsidRDefault="00D93BCC" w:rsidP="00222FB1">
      <w:pPr>
        <w:rPr>
          <w:lang w:val="es-ES_tradnl"/>
        </w:rPr>
      </w:pPr>
    </w:p>
    <w:p w:rsidR="00433875" w:rsidRPr="00460CAE" w:rsidRDefault="00C54239" w:rsidP="00433875">
      <w:pPr>
        <w:rPr>
          <w:lang w:val="es-ES_tradnl"/>
        </w:rPr>
      </w:pPr>
      <w:r w:rsidRPr="00460CAE">
        <w:rPr>
          <w:lang w:val="es-ES_tradnl"/>
        </w:rPr>
        <w:fldChar w:fldCharType="begin"/>
      </w:r>
      <w:r w:rsidRPr="00460CAE">
        <w:rPr>
          <w:lang w:val="es-ES_tradnl"/>
        </w:rPr>
        <w:instrText xml:space="preserve"> AUTONUM  </w:instrText>
      </w:r>
      <w:r w:rsidRPr="00460CAE">
        <w:rPr>
          <w:lang w:val="es-ES_tradnl"/>
        </w:rPr>
        <w:fldChar w:fldCharType="end"/>
      </w:r>
      <w:r w:rsidRPr="00460CAE">
        <w:rPr>
          <w:lang w:val="es-ES_tradnl"/>
        </w:rPr>
        <w:tab/>
      </w:r>
      <w:r w:rsidR="00272D27" w:rsidRPr="00460CAE">
        <w:rPr>
          <w:lang w:val="es-ES_tradnl"/>
        </w:rPr>
        <w:t>En su decimoctava sesión</w:t>
      </w:r>
      <w:r w:rsidR="00932F48" w:rsidRPr="00460CAE">
        <w:rPr>
          <w:lang w:val="es-ES_tradnl"/>
        </w:rPr>
        <w:t xml:space="preserve">, </w:t>
      </w:r>
      <w:r w:rsidR="00B377C2" w:rsidRPr="00460CAE">
        <w:rPr>
          <w:lang w:val="es-ES_tradnl"/>
        </w:rPr>
        <w:t>en el debate destinado a acordar un procedimiento para actualizar periódicamente la base de datos</w:t>
      </w:r>
      <w:r w:rsidR="00272D27" w:rsidRPr="00460CAE">
        <w:rPr>
          <w:lang w:val="es-ES_tradnl"/>
        </w:rPr>
        <w:t>,</w:t>
      </w:r>
      <w:r w:rsidR="002B4C3B" w:rsidRPr="00460CAE">
        <w:rPr>
          <w:rStyle w:val="FootnoteReference"/>
          <w:lang w:val="es-ES_tradnl"/>
        </w:rPr>
        <w:footnoteReference w:id="3"/>
      </w:r>
      <w:r w:rsidR="00932F48" w:rsidRPr="00460CAE">
        <w:rPr>
          <w:lang w:val="es-ES_tradnl"/>
        </w:rPr>
        <w:t xml:space="preserve"> </w:t>
      </w:r>
      <w:r w:rsidR="00272D27" w:rsidRPr="00460CAE">
        <w:rPr>
          <w:lang w:val="es-ES_tradnl"/>
        </w:rPr>
        <w:t>el Comité decidió que la Secretaría emprenda medidas para velar por que se difunda más adecuadamente la información conteni</w:t>
      </w:r>
      <w:r w:rsidR="00B377C2" w:rsidRPr="00460CAE">
        <w:rPr>
          <w:lang w:val="es-ES_tradnl"/>
        </w:rPr>
        <w:t>da en la base de datos</w:t>
      </w:r>
      <w:r w:rsidR="002221BB" w:rsidRPr="00460CAE">
        <w:rPr>
          <w:lang w:val="es-ES_tradnl"/>
        </w:rPr>
        <w:t>,</w:t>
      </w:r>
      <w:r w:rsidR="00B377C2" w:rsidRPr="00460CAE">
        <w:rPr>
          <w:lang w:val="es-ES_tradnl"/>
        </w:rPr>
        <w:t xml:space="preserve"> e informe</w:t>
      </w:r>
      <w:r w:rsidR="00272D27" w:rsidRPr="00460CAE">
        <w:rPr>
          <w:lang w:val="es-ES_tradnl"/>
        </w:rPr>
        <w:t xml:space="preserve"> al Comité sobre esas medidas en una sesión futura</w:t>
      </w:r>
      <w:r w:rsidR="0098048D" w:rsidRPr="00460CAE">
        <w:rPr>
          <w:lang w:val="es-ES_tradnl"/>
        </w:rPr>
        <w:t xml:space="preserve">, </w:t>
      </w:r>
      <w:r w:rsidR="00B377C2" w:rsidRPr="00460CAE">
        <w:rPr>
          <w:lang w:val="es-ES_tradnl"/>
        </w:rPr>
        <w:t>tal como se refleja en el párrafo</w:t>
      </w:r>
      <w:r w:rsidR="00893ED4" w:rsidRPr="00460CAE">
        <w:rPr>
          <w:lang w:val="es-ES_tradnl"/>
        </w:rPr>
        <w:t xml:space="preserve"> </w:t>
      </w:r>
      <w:r w:rsidR="004727C1" w:rsidRPr="00460CAE">
        <w:rPr>
          <w:lang w:val="es-ES_tradnl"/>
        </w:rPr>
        <w:t>7</w:t>
      </w:r>
      <w:r w:rsidR="00893ED4" w:rsidRPr="00460CAE">
        <w:rPr>
          <w:lang w:val="es-ES_tradnl"/>
        </w:rPr>
        <w:t xml:space="preserve">.2 </w:t>
      </w:r>
      <w:r w:rsidR="00B377C2" w:rsidRPr="00460CAE">
        <w:rPr>
          <w:lang w:val="es-ES_tradnl"/>
        </w:rPr>
        <w:t>del Resumen de la Presidencia de l</w:t>
      </w:r>
      <w:r w:rsidR="002221BB" w:rsidRPr="00460CAE">
        <w:rPr>
          <w:lang w:val="es-ES_tradnl"/>
        </w:rPr>
        <w:t>a</w:t>
      </w:r>
      <w:r w:rsidR="00B377C2" w:rsidRPr="00460CAE">
        <w:rPr>
          <w:lang w:val="es-ES_tradnl"/>
        </w:rPr>
        <w:t xml:space="preserve"> decimoctava sesión</w:t>
      </w:r>
      <w:r w:rsidR="00D93BCC" w:rsidRPr="00460CAE">
        <w:rPr>
          <w:lang w:val="es-ES_tradnl"/>
        </w:rPr>
        <w:t>.</w:t>
      </w:r>
    </w:p>
    <w:p w:rsidR="00EF06C5" w:rsidRPr="00460CAE" w:rsidRDefault="00EF06C5" w:rsidP="004E2FA3">
      <w:pPr>
        <w:rPr>
          <w:lang w:val="es-ES_tradnl"/>
        </w:rPr>
      </w:pPr>
    </w:p>
    <w:p w:rsidR="007C4398" w:rsidRPr="00460CAE" w:rsidRDefault="00A65D9A" w:rsidP="007C4398">
      <w:pPr>
        <w:pStyle w:val="NormalWeb"/>
        <w:numPr>
          <w:ilvl w:val="0"/>
          <w:numId w:val="12"/>
        </w:numPr>
        <w:kinsoku w:val="0"/>
        <w:overflowPunct w:val="0"/>
        <w:spacing w:before="96"/>
        <w:textAlignment w:val="baseline"/>
        <w:rPr>
          <w:lang w:val="es-ES_tradnl"/>
        </w:rPr>
      </w:pPr>
      <w:r w:rsidRPr="00460CAE">
        <w:rPr>
          <w:rFonts w:ascii="Arial" w:eastAsiaTheme="minorEastAsia" w:hAnsi="Arial" w:cs="Arial"/>
          <w:b/>
          <w:color w:val="000000" w:themeColor="text1"/>
          <w:sz w:val="22"/>
          <w:szCs w:val="22"/>
          <w:lang w:val="es-ES_tradnl"/>
        </w:rPr>
        <w:t>MEDIDAS ADOPTADAS PARA DIFUNDIR LA INFORMACIÓN CONTENIDA EN LA BASE DE DATOS</w:t>
      </w:r>
    </w:p>
    <w:p w:rsidR="001934CC" w:rsidRPr="00460CAE" w:rsidRDefault="001934CC" w:rsidP="009D5E7C">
      <w:pPr>
        <w:rPr>
          <w:lang w:val="es-ES_tradnl"/>
        </w:rPr>
      </w:pPr>
    </w:p>
    <w:p w:rsidR="009D5E7C" w:rsidRPr="00460CAE" w:rsidRDefault="007C4398" w:rsidP="009D5E7C">
      <w:pPr>
        <w:rPr>
          <w:lang w:val="es-ES_tradnl"/>
        </w:rPr>
      </w:pPr>
      <w:r w:rsidRPr="00460CAE">
        <w:rPr>
          <w:lang w:val="es-ES_tradnl"/>
        </w:rPr>
        <w:fldChar w:fldCharType="begin"/>
      </w:r>
      <w:r w:rsidRPr="00460CAE">
        <w:rPr>
          <w:lang w:val="es-ES_tradnl"/>
        </w:rPr>
        <w:instrText xml:space="preserve"> AUTONUM  </w:instrText>
      </w:r>
      <w:r w:rsidRPr="00460CAE">
        <w:rPr>
          <w:lang w:val="es-ES_tradnl"/>
        </w:rPr>
        <w:fldChar w:fldCharType="end"/>
      </w:r>
      <w:r w:rsidRPr="00460CAE">
        <w:rPr>
          <w:lang w:val="es-ES_tradnl"/>
        </w:rPr>
        <w:tab/>
      </w:r>
      <w:r w:rsidR="0049159D" w:rsidRPr="00460CAE">
        <w:rPr>
          <w:lang w:val="es-ES_tradnl"/>
        </w:rPr>
        <w:t>De conformidad con la decisión del Comité, la Secretaría adoptó las medidas siguientes al objeto de velar por mejorar la difusión del contenido de la base de datos</w:t>
      </w:r>
      <w:r w:rsidR="009D5E7C" w:rsidRPr="00460CAE">
        <w:rPr>
          <w:lang w:val="es-ES_tradnl"/>
        </w:rPr>
        <w:t>:</w:t>
      </w:r>
    </w:p>
    <w:p w:rsidR="009D5E7C" w:rsidRPr="00460CAE" w:rsidRDefault="009D5E7C" w:rsidP="009D5E7C">
      <w:pPr>
        <w:rPr>
          <w:lang w:val="es-ES_tradnl"/>
        </w:rPr>
      </w:pPr>
    </w:p>
    <w:p w:rsidR="00236404" w:rsidRPr="00460CAE" w:rsidRDefault="00704E30" w:rsidP="00344F53">
      <w:pPr>
        <w:pStyle w:val="ListParagraph"/>
        <w:numPr>
          <w:ilvl w:val="0"/>
          <w:numId w:val="47"/>
        </w:numPr>
        <w:ind w:left="567" w:firstLine="0"/>
        <w:rPr>
          <w:lang w:val="es-ES_tradnl"/>
        </w:rPr>
      </w:pPr>
      <w:r w:rsidRPr="00460CAE">
        <w:rPr>
          <w:lang w:val="es-ES_tradnl"/>
        </w:rPr>
        <w:t>E</w:t>
      </w:r>
      <w:r w:rsidR="001C5066" w:rsidRPr="00460CAE">
        <w:rPr>
          <w:lang w:val="es-ES_tradnl"/>
        </w:rPr>
        <w:t xml:space="preserve">n </w:t>
      </w:r>
      <w:r w:rsidRPr="00460CAE">
        <w:rPr>
          <w:lang w:val="es-ES_tradnl"/>
        </w:rPr>
        <w:t xml:space="preserve">noviembre de </w:t>
      </w:r>
      <w:r w:rsidR="007C4398" w:rsidRPr="00460CAE">
        <w:rPr>
          <w:lang w:val="es-ES_tradnl"/>
        </w:rPr>
        <w:t xml:space="preserve">2016 </w:t>
      </w:r>
      <w:r w:rsidRPr="00460CAE">
        <w:rPr>
          <w:lang w:val="es-ES_tradnl"/>
        </w:rPr>
        <w:t>se celebró una reunión interna con la participación de las divisiones pertinentes, en la que se les informó de la decisión del Comité y se les invitó a aumentar la difusión de la información contenida en la base de datos</w:t>
      </w:r>
      <w:r w:rsidR="00E60AAF" w:rsidRPr="00460CAE">
        <w:rPr>
          <w:lang w:val="es-ES_tradnl"/>
        </w:rPr>
        <w:t>.</w:t>
      </w:r>
    </w:p>
    <w:p w:rsidR="00236404" w:rsidRPr="00460CAE" w:rsidRDefault="00236404" w:rsidP="00344F53">
      <w:pPr>
        <w:ind w:left="567"/>
        <w:rPr>
          <w:lang w:val="es-ES_tradnl"/>
        </w:rPr>
      </w:pPr>
    </w:p>
    <w:p w:rsidR="009C30CC" w:rsidRPr="00460CAE" w:rsidRDefault="00704E30" w:rsidP="00EA189A">
      <w:pPr>
        <w:pStyle w:val="ListParagraph"/>
        <w:numPr>
          <w:ilvl w:val="0"/>
          <w:numId w:val="47"/>
        </w:numPr>
        <w:ind w:left="567" w:firstLine="0"/>
        <w:rPr>
          <w:lang w:val="es-ES_tradnl"/>
        </w:rPr>
      </w:pPr>
      <w:r w:rsidRPr="00460CAE">
        <w:rPr>
          <w:lang w:val="es-ES_tradnl"/>
        </w:rPr>
        <w:t xml:space="preserve">Con el fin de facilitar esta labor, la División de Coordinación de la Agenda para el Desarrollo </w:t>
      </w:r>
      <w:r w:rsidR="00A5052C" w:rsidRPr="00460CAE">
        <w:rPr>
          <w:lang w:val="es-ES_tradnl"/>
        </w:rPr>
        <w:t>elabor</w:t>
      </w:r>
      <w:r w:rsidRPr="00460CAE">
        <w:rPr>
          <w:lang w:val="es-ES_tradnl"/>
        </w:rPr>
        <w:t>ó un folleto en el que se describen los elementos principales de la base de datos, es decir, la inform</w:t>
      </w:r>
      <w:r w:rsidR="00A5052C" w:rsidRPr="00460CAE">
        <w:rPr>
          <w:lang w:val="es-ES_tradnl"/>
        </w:rPr>
        <w:t>a</w:t>
      </w:r>
      <w:r w:rsidRPr="00460CAE">
        <w:rPr>
          <w:lang w:val="es-ES_tradnl"/>
        </w:rPr>
        <w:t xml:space="preserve">ción que contiene, su estructura y </w:t>
      </w:r>
      <w:r w:rsidR="00EA189A" w:rsidRPr="00460CAE">
        <w:rPr>
          <w:lang w:val="es-ES_tradnl"/>
        </w:rPr>
        <w:t>características</w:t>
      </w:r>
      <w:r w:rsidR="00EF75CC" w:rsidRPr="00460CAE">
        <w:rPr>
          <w:lang w:val="es-ES_tradnl"/>
        </w:rPr>
        <w:t xml:space="preserve">, </w:t>
      </w:r>
      <w:r w:rsidR="00EA189A" w:rsidRPr="00460CAE">
        <w:rPr>
          <w:lang w:val="es-ES_tradnl"/>
        </w:rPr>
        <w:t>las categorías de búsqueda</w:t>
      </w:r>
      <w:r w:rsidR="001934CC" w:rsidRPr="00460CAE">
        <w:rPr>
          <w:lang w:val="es-ES_tradnl"/>
        </w:rPr>
        <w:t>,</w:t>
      </w:r>
      <w:r w:rsidR="00236404" w:rsidRPr="00460CAE">
        <w:rPr>
          <w:lang w:val="es-ES_tradnl"/>
        </w:rPr>
        <w:t xml:space="preserve"> </w:t>
      </w:r>
      <w:r w:rsidR="00EA189A" w:rsidRPr="00460CAE">
        <w:rPr>
          <w:lang w:val="es-ES_tradnl"/>
        </w:rPr>
        <w:t>los beneficiarios</w:t>
      </w:r>
      <w:r w:rsidR="00E60AAF" w:rsidRPr="00460CAE">
        <w:rPr>
          <w:lang w:val="es-ES_tradnl"/>
        </w:rPr>
        <w:t xml:space="preserve"> </w:t>
      </w:r>
      <w:r w:rsidR="00EA189A" w:rsidRPr="00460CAE">
        <w:rPr>
          <w:lang w:val="es-ES_tradnl"/>
        </w:rPr>
        <w:t xml:space="preserve">y el </w:t>
      </w:r>
      <w:r w:rsidR="00486B5A" w:rsidRPr="00460CAE">
        <w:rPr>
          <w:lang w:val="es-ES_tradnl"/>
        </w:rPr>
        <w:t>procedimient</w:t>
      </w:r>
      <w:r w:rsidR="00EA189A" w:rsidRPr="00460CAE">
        <w:rPr>
          <w:lang w:val="es-ES_tradnl"/>
        </w:rPr>
        <w:t xml:space="preserve">o acordado para que los Estados miembros </w:t>
      </w:r>
      <w:r w:rsidRPr="00460CAE">
        <w:rPr>
          <w:lang w:val="es-ES_tradnl"/>
        </w:rPr>
        <w:t xml:space="preserve">proporcionen a la Secretaría información actualizada sobre las disposiciones nacionales relativas a las flexibilidades </w:t>
      </w:r>
      <w:r w:rsidR="001934CC" w:rsidRPr="00460CAE">
        <w:rPr>
          <w:lang w:val="es-ES_tradnl"/>
        </w:rPr>
        <w:t>(</w:t>
      </w:r>
      <w:r w:rsidR="00EA189A" w:rsidRPr="00460CAE">
        <w:rPr>
          <w:lang w:val="es-ES_tradnl"/>
        </w:rPr>
        <w:t xml:space="preserve">de acuerdo con la decisión del Comité mencionada en </w:t>
      </w:r>
      <w:r w:rsidR="00581B72" w:rsidRPr="00460CAE">
        <w:rPr>
          <w:lang w:val="es-ES_tradnl"/>
        </w:rPr>
        <w:t>e</w:t>
      </w:r>
      <w:r w:rsidR="00EA189A" w:rsidRPr="00460CAE">
        <w:rPr>
          <w:lang w:val="es-ES_tradnl"/>
        </w:rPr>
        <w:t>l párrafo</w:t>
      </w:r>
      <w:r w:rsidR="001934CC" w:rsidRPr="00460CAE">
        <w:rPr>
          <w:lang w:val="es-ES_tradnl"/>
        </w:rPr>
        <w:t xml:space="preserve"> 3).</w:t>
      </w:r>
    </w:p>
    <w:p w:rsidR="009C30CC" w:rsidRPr="00460CAE" w:rsidRDefault="009C30CC" w:rsidP="00344F53">
      <w:pPr>
        <w:ind w:left="567"/>
        <w:rPr>
          <w:lang w:val="es-ES_tradnl"/>
        </w:rPr>
      </w:pPr>
    </w:p>
    <w:p w:rsidR="00FC6D1D" w:rsidRPr="00460CAE" w:rsidRDefault="00A50319" w:rsidP="00A50319">
      <w:pPr>
        <w:pStyle w:val="ListParagraph"/>
        <w:numPr>
          <w:ilvl w:val="0"/>
          <w:numId w:val="47"/>
        </w:numPr>
        <w:ind w:left="567" w:firstLine="0"/>
        <w:rPr>
          <w:lang w:val="es-ES_tradnl"/>
        </w:rPr>
      </w:pPr>
      <w:r w:rsidRPr="00460CAE">
        <w:rPr>
          <w:lang w:val="es-ES_tradnl"/>
        </w:rPr>
        <w:t>En febrero de 2017</w:t>
      </w:r>
      <w:r w:rsidR="001934CC" w:rsidRPr="00460CAE">
        <w:rPr>
          <w:lang w:val="es-ES_tradnl"/>
        </w:rPr>
        <w:t xml:space="preserve"> </w:t>
      </w:r>
      <w:r w:rsidRPr="00460CAE">
        <w:rPr>
          <w:lang w:val="es-ES_tradnl"/>
        </w:rPr>
        <w:t>se insertó un enlace directo a la base de datos en el sitio web de la Agenda para el Desarrollo</w:t>
      </w:r>
      <w:r w:rsidR="00A5052C" w:rsidRPr="00460CAE">
        <w:rPr>
          <w:lang w:val="es-ES_tradnl"/>
        </w:rPr>
        <w:t xml:space="preserve">: </w:t>
      </w:r>
      <w:r w:rsidRPr="00460CAE">
        <w:rPr>
          <w:lang w:val="es-ES_tradnl"/>
        </w:rPr>
        <w:t xml:space="preserve"> </w:t>
      </w:r>
      <w:hyperlink r:id="rId12" w:history="1">
        <w:r w:rsidRPr="00CC4DBF">
          <w:rPr>
            <w:rStyle w:val="Hyperlink"/>
            <w:color w:val="auto"/>
            <w:u w:val="none"/>
            <w:lang w:val="es-ES_tradnl"/>
          </w:rPr>
          <w:t>http://www.wipo.int/ip-development/es/agenda/index.html</w:t>
        </w:r>
      </w:hyperlink>
      <w:r w:rsidR="001934CC" w:rsidRPr="00460CAE">
        <w:rPr>
          <w:lang w:val="es-ES_tradnl"/>
        </w:rPr>
        <w:t xml:space="preserve">, </w:t>
      </w:r>
      <w:r w:rsidRPr="00460CAE">
        <w:rPr>
          <w:lang w:val="es-ES_tradnl"/>
        </w:rPr>
        <w:t>mejorando así su accesibilidad</w:t>
      </w:r>
      <w:r w:rsidR="001934CC" w:rsidRPr="00460CAE">
        <w:rPr>
          <w:lang w:val="es-ES_tradnl"/>
        </w:rPr>
        <w:t>.</w:t>
      </w:r>
    </w:p>
    <w:p w:rsidR="00A5052C" w:rsidRPr="00460CAE" w:rsidRDefault="00A5052C" w:rsidP="00344F53">
      <w:pPr>
        <w:pStyle w:val="ListParagraph"/>
        <w:ind w:left="567"/>
        <w:rPr>
          <w:lang w:val="es-ES_tradnl"/>
        </w:rPr>
      </w:pPr>
    </w:p>
    <w:p w:rsidR="00E60AAF" w:rsidRPr="00460CAE" w:rsidRDefault="00486B5A" w:rsidP="00344F53">
      <w:pPr>
        <w:pStyle w:val="ListParagraph"/>
        <w:numPr>
          <w:ilvl w:val="0"/>
          <w:numId w:val="47"/>
        </w:numPr>
        <w:ind w:left="567" w:firstLine="0"/>
        <w:rPr>
          <w:lang w:val="es-ES_tradnl"/>
        </w:rPr>
      </w:pPr>
      <w:r w:rsidRPr="00460CAE">
        <w:rPr>
          <w:lang w:val="es-ES_tradnl"/>
        </w:rPr>
        <w:lastRenderedPageBreak/>
        <w:t>En marzo de</w:t>
      </w:r>
      <w:r w:rsidR="00A5052C" w:rsidRPr="00460CAE">
        <w:rPr>
          <w:lang w:val="es-ES_tradnl"/>
        </w:rPr>
        <w:t xml:space="preserve"> 2017</w:t>
      </w:r>
      <w:r w:rsidRPr="00460CAE">
        <w:rPr>
          <w:lang w:val="es-ES_tradnl"/>
        </w:rPr>
        <w:t xml:space="preserve"> se transfirió la base de datos a una plataforma nueva que incorpora mecanismos de búsqueda nuevos y que incluye información sobre su procedimiento de actualización.</w:t>
      </w:r>
    </w:p>
    <w:p w:rsidR="009D5E7C" w:rsidRPr="00460CAE" w:rsidRDefault="009D5E7C" w:rsidP="00344F53">
      <w:pPr>
        <w:pStyle w:val="ListParagraph"/>
        <w:ind w:left="567"/>
        <w:rPr>
          <w:lang w:val="es-ES_tradnl"/>
        </w:rPr>
      </w:pPr>
    </w:p>
    <w:p w:rsidR="009D5E7C" w:rsidRPr="00460CAE" w:rsidRDefault="00001832" w:rsidP="00F46949">
      <w:pPr>
        <w:pStyle w:val="ListParagraph"/>
        <w:numPr>
          <w:ilvl w:val="0"/>
          <w:numId w:val="47"/>
        </w:numPr>
        <w:ind w:left="567" w:firstLine="0"/>
        <w:rPr>
          <w:lang w:val="es-ES_tradnl"/>
        </w:rPr>
      </w:pPr>
      <w:r w:rsidRPr="00460CAE">
        <w:rPr>
          <w:lang w:val="es-ES_tradnl"/>
        </w:rPr>
        <w:t>La información contenida en la base de datos, así como su disponibilidad, se difundió en las actividades que se enumeran en el cuadro que figura en el Anexo II del presente documento.</w:t>
      </w:r>
      <w:r w:rsidR="009D5E7C" w:rsidRPr="00460CAE">
        <w:rPr>
          <w:lang w:val="es-ES_tradnl"/>
        </w:rPr>
        <w:t xml:space="preserve">  </w:t>
      </w:r>
      <w:r w:rsidRPr="00460CAE">
        <w:rPr>
          <w:lang w:val="es-ES_tradnl"/>
        </w:rPr>
        <w:t>Entre otras actividades, se realizaron conferencias y talleres internacionales y reuniones conexas, además de actividades de difusión a través de las redes sociales.  En el cuadro se muestra información relativa a las fechas</w:t>
      </w:r>
      <w:r w:rsidR="00182D0B" w:rsidRPr="00460CAE">
        <w:rPr>
          <w:lang w:val="es-ES_tradnl"/>
        </w:rPr>
        <w:t xml:space="preserve"> de las actividades</w:t>
      </w:r>
      <w:r w:rsidRPr="00460CAE">
        <w:rPr>
          <w:lang w:val="es-ES_tradnl"/>
        </w:rPr>
        <w:t xml:space="preserve">, </w:t>
      </w:r>
      <w:r w:rsidR="00182D0B" w:rsidRPr="00460CAE">
        <w:rPr>
          <w:lang w:val="es-ES_tradnl"/>
        </w:rPr>
        <w:t xml:space="preserve">así como </w:t>
      </w:r>
      <w:r w:rsidRPr="00460CAE">
        <w:rPr>
          <w:lang w:val="es-ES_tradnl"/>
        </w:rPr>
        <w:t>los emplazamientos, los destinatarios</w:t>
      </w:r>
      <w:r w:rsidR="00182D0B" w:rsidRPr="00460CAE">
        <w:rPr>
          <w:lang w:val="es-ES_tradnl"/>
        </w:rPr>
        <w:t>, el número de participantes o de seguidores por Internet y el idioma en el que se realizaron (cuando proceda</w:t>
      </w:r>
      <w:r w:rsidR="00C46E3C" w:rsidRPr="00460CAE">
        <w:rPr>
          <w:lang w:val="es-ES_tradnl"/>
        </w:rPr>
        <w:t>)</w:t>
      </w:r>
      <w:r w:rsidR="009D5E7C" w:rsidRPr="00460CAE">
        <w:rPr>
          <w:lang w:val="es-ES_tradnl"/>
        </w:rPr>
        <w:t>.</w:t>
      </w:r>
    </w:p>
    <w:p w:rsidR="00FC6D1D" w:rsidRPr="00460CAE" w:rsidRDefault="00FC6D1D" w:rsidP="00E60AAF">
      <w:pPr>
        <w:rPr>
          <w:lang w:val="es-ES_tradnl"/>
        </w:rPr>
      </w:pPr>
    </w:p>
    <w:p w:rsidR="004310F3" w:rsidRPr="00460CAE" w:rsidRDefault="00FC6D1D" w:rsidP="00E60AAF">
      <w:pPr>
        <w:rPr>
          <w:lang w:val="es-ES_tradnl"/>
        </w:rPr>
      </w:pPr>
      <w:r w:rsidRPr="00460CAE">
        <w:rPr>
          <w:lang w:val="es-ES_tradnl"/>
        </w:rPr>
        <w:fldChar w:fldCharType="begin"/>
      </w:r>
      <w:r w:rsidRPr="00460CAE">
        <w:rPr>
          <w:lang w:val="es-ES_tradnl"/>
        </w:rPr>
        <w:instrText xml:space="preserve"> AUTONUM  </w:instrText>
      </w:r>
      <w:r w:rsidRPr="00460CAE">
        <w:rPr>
          <w:lang w:val="es-ES_tradnl"/>
        </w:rPr>
        <w:fldChar w:fldCharType="end"/>
      </w:r>
      <w:r w:rsidRPr="00460CAE">
        <w:rPr>
          <w:lang w:val="es-ES_tradnl"/>
        </w:rPr>
        <w:tab/>
      </w:r>
      <w:r w:rsidR="000E2467" w:rsidRPr="00460CAE">
        <w:rPr>
          <w:lang w:val="es-ES_tradnl"/>
        </w:rPr>
        <w:t>De acuerdo con las estadísticas que se presentan a continuación, facilitadas por la Sección de Comunicaciones Web</w:t>
      </w:r>
      <w:r w:rsidRPr="00460CAE">
        <w:rPr>
          <w:lang w:val="es-ES_tradnl"/>
        </w:rPr>
        <w:t xml:space="preserve">, </w:t>
      </w:r>
      <w:r w:rsidR="006E1326" w:rsidRPr="00460CAE">
        <w:rPr>
          <w:lang w:val="es-ES_tradnl"/>
        </w:rPr>
        <w:t xml:space="preserve">entre septiembre de </w:t>
      </w:r>
      <w:r w:rsidR="00AF23A2" w:rsidRPr="00460CAE">
        <w:rPr>
          <w:lang w:val="es-ES_tradnl"/>
        </w:rPr>
        <w:t xml:space="preserve">2016 </w:t>
      </w:r>
      <w:r w:rsidR="006E1326" w:rsidRPr="00460CAE">
        <w:rPr>
          <w:lang w:val="es-ES_tradnl"/>
        </w:rPr>
        <w:t>y agosto de</w:t>
      </w:r>
      <w:r w:rsidR="00AF23A2" w:rsidRPr="00460CAE">
        <w:rPr>
          <w:lang w:val="es-ES_tradnl"/>
        </w:rPr>
        <w:t xml:space="preserve"> 2017 </w:t>
      </w:r>
      <w:r w:rsidR="006E1326" w:rsidRPr="00460CAE">
        <w:rPr>
          <w:lang w:val="es-ES_tradnl"/>
        </w:rPr>
        <w:t xml:space="preserve">se registró un aumento notable del número de visitas a la página web en comparación con el año anterior, alcanzándose los </w:t>
      </w:r>
      <w:r w:rsidR="008646C3" w:rsidRPr="00460CAE">
        <w:rPr>
          <w:lang w:val="es-ES_tradnl"/>
        </w:rPr>
        <w:t>2</w:t>
      </w:r>
      <w:r w:rsidR="006E1326" w:rsidRPr="00460CAE">
        <w:rPr>
          <w:lang w:val="es-ES_tradnl"/>
        </w:rPr>
        <w:t>.</w:t>
      </w:r>
      <w:r w:rsidR="008646C3" w:rsidRPr="00460CAE">
        <w:rPr>
          <w:lang w:val="es-ES_tradnl"/>
        </w:rPr>
        <w:t>207 vi</w:t>
      </w:r>
      <w:r w:rsidR="006E1326" w:rsidRPr="00460CAE">
        <w:rPr>
          <w:lang w:val="es-ES_tradnl"/>
        </w:rPr>
        <w:t xml:space="preserve">sitantes, de los que </w:t>
      </w:r>
      <w:r w:rsidR="00AF23A2" w:rsidRPr="00460CAE">
        <w:rPr>
          <w:lang w:val="es-ES_tradnl"/>
        </w:rPr>
        <w:t>1</w:t>
      </w:r>
      <w:r w:rsidR="006E1326" w:rsidRPr="00460CAE">
        <w:rPr>
          <w:lang w:val="es-ES_tradnl"/>
        </w:rPr>
        <w:t>.</w:t>
      </w:r>
      <w:r w:rsidR="00AF23A2" w:rsidRPr="00460CAE">
        <w:rPr>
          <w:lang w:val="es-ES_tradnl"/>
        </w:rPr>
        <w:t xml:space="preserve">359 </w:t>
      </w:r>
      <w:r w:rsidR="006E1326" w:rsidRPr="00460CAE">
        <w:rPr>
          <w:lang w:val="es-ES_tradnl"/>
        </w:rPr>
        <w:t>fueron visitantes únicos o que visitaban la página por primera vez.  Estas estadísticas dejan bien a las claras la eficacia de las medidas de difusión que ha adoptado la Secretaría en distintos foros.</w:t>
      </w:r>
    </w:p>
    <w:p w:rsidR="004310F3" w:rsidRPr="00460CAE" w:rsidRDefault="004310F3" w:rsidP="00E60AAF">
      <w:pPr>
        <w:rPr>
          <w:lang w:val="es-ES_tradnl"/>
        </w:rPr>
      </w:pPr>
    </w:p>
    <w:tbl>
      <w:tblPr>
        <w:tblStyle w:val="TableGrid"/>
        <w:tblW w:w="0" w:type="auto"/>
        <w:tblInd w:w="108" w:type="dxa"/>
        <w:tblLook w:val="04A0" w:firstRow="1" w:lastRow="0" w:firstColumn="1" w:lastColumn="0" w:noHBand="0" w:noVBand="1"/>
      </w:tblPr>
      <w:tblGrid>
        <w:gridCol w:w="1985"/>
        <w:gridCol w:w="3706"/>
        <w:gridCol w:w="3576"/>
      </w:tblGrid>
      <w:tr w:rsidR="004310F3" w:rsidRPr="00460CAE" w:rsidTr="005B0393">
        <w:trPr>
          <w:trHeight w:val="258"/>
        </w:trPr>
        <w:tc>
          <w:tcPr>
            <w:tcW w:w="1985" w:type="dxa"/>
          </w:tcPr>
          <w:p w:rsidR="004310F3" w:rsidRPr="00460CAE" w:rsidRDefault="00CB1FF0" w:rsidP="004310F3">
            <w:pPr>
              <w:jc w:val="center"/>
              <w:rPr>
                <w:b/>
                <w:lang w:val="es-ES_tradnl"/>
              </w:rPr>
            </w:pPr>
            <w:r w:rsidRPr="00460CAE">
              <w:rPr>
                <w:b/>
                <w:lang w:val="es-ES_tradnl"/>
              </w:rPr>
              <w:t>Visitas a la base de datos</w:t>
            </w:r>
          </w:p>
        </w:tc>
        <w:tc>
          <w:tcPr>
            <w:tcW w:w="3706" w:type="dxa"/>
          </w:tcPr>
          <w:p w:rsidR="004310F3" w:rsidRPr="00460CAE" w:rsidRDefault="004310F3" w:rsidP="00CB1FF0">
            <w:pPr>
              <w:jc w:val="center"/>
              <w:rPr>
                <w:b/>
                <w:lang w:val="es-ES_tradnl"/>
              </w:rPr>
            </w:pPr>
            <w:r w:rsidRPr="00460CAE">
              <w:rPr>
                <w:b/>
                <w:lang w:val="es-ES_tradnl"/>
              </w:rPr>
              <w:t>Sept</w:t>
            </w:r>
            <w:r w:rsidR="00CB1FF0" w:rsidRPr="00460CAE">
              <w:rPr>
                <w:b/>
                <w:lang w:val="es-ES_tradnl"/>
              </w:rPr>
              <w:t>i</w:t>
            </w:r>
            <w:r w:rsidRPr="00460CAE">
              <w:rPr>
                <w:b/>
                <w:lang w:val="es-ES_tradnl"/>
              </w:rPr>
              <w:t>emb</w:t>
            </w:r>
            <w:r w:rsidR="00CB1FF0" w:rsidRPr="00460CAE">
              <w:rPr>
                <w:b/>
                <w:lang w:val="es-ES_tradnl"/>
              </w:rPr>
              <w:t>r</w:t>
            </w:r>
            <w:r w:rsidRPr="00460CAE">
              <w:rPr>
                <w:b/>
                <w:lang w:val="es-ES_tradnl"/>
              </w:rPr>
              <w:t xml:space="preserve">e </w:t>
            </w:r>
            <w:r w:rsidR="00CB1FF0" w:rsidRPr="00460CAE">
              <w:rPr>
                <w:b/>
                <w:lang w:val="es-ES_tradnl"/>
              </w:rPr>
              <w:t xml:space="preserve">de </w:t>
            </w:r>
            <w:r w:rsidRPr="00460CAE">
              <w:rPr>
                <w:b/>
                <w:lang w:val="es-ES_tradnl"/>
              </w:rPr>
              <w:t xml:space="preserve">2015 </w:t>
            </w:r>
            <w:r w:rsidR="00CB1FF0" w:rsidRPr="00460CAE">
              <w:rPr>
                <w:b/>
                <w:lang w:val="es-ES_tradnl"/>
              </w:rPr>
              <w:t>–</w:t>
            </w:r>
            <w:r w:rsidRPr="00460CAE">
              <w:rPr>
                <w:b/>
                <w:lang w:val="es-ES_tradnl"/>
              </w:rPr>
              <w:t xml:space="preserve"> </w:t>
            </w:r>
            <w:r w:rsidR="00CB1FF0" w:rsidRPr="00460CAE">
              <w:rPr>
                <w:b/>
                <w:lang w:val="es-ES_tradnl"/>
              </w:rPr>
              <w:t>agosto de</w:t>
            </w:r>
            <w:r w:rsidRPr="00460CAE">
              <w:rPr>
                <w:b/>
                <w:lang w:val="es-ES_tradnl"/>
              </w:rPr>
              <w:t xml:space="preserve"> 2016</w:t>
            </w:r>
          </w:p>
        </w:tc>
        <w:tc>
          <w:tcPr>
            <w:tcW w:w="3576" w:type="dxa"/>
          </w:tcPr>
          <w:p w:rsidR="004310F3" w:rsidRPr="00460CAE" w:rsidRDefault="00CB1FF0" w:rsidP="00CB1FF0">
            <w:pPr>
              <w:jc w:val="center"/>
              <w:rPr>
                <w:b/>
                <w:lang w:val="es-ES_tradnl"/>
              </w:rPr>
            </w:pPr>
            <w:r w:rsidRPr="00460CAE">
              <w:rPr>
                <w:b/>
                <w:lang w:val="es-ES_tradnl"/>
              </w:rPr>
              <w:t>Septiembre de 2016 – agosto de 2017</w:t>
            </w:r>
          </w:p>
        </w:tc>
      </w:tr>
      <w:tr w:rsidR="004310F3" w:rsidRPr="00460CAE" w:rsidTr="005B0393">
        <w:trPr>
          <w:trHeight w:val="275"/>
        </w:trPr>
        <w:tc>
          <w:tcPr>
            <w:tcW w:w="1985" w:type="dxa"/>
          </w:tcPr>
          <w:p w:rsidR="004310F3" w:rsidRPr="00460CAE" w:rsidRDefault="00CB1FF0" w:rsidP="00E60AAF">
            <w:pPr>
              <w:rPr>
                <w:lang w:val="es-ES_tradnl"/>
              </w:rPr>
            </w:pPr>
            <w:r w:rsidRPr="00460CAE">
              <w:rPr>
                <w:lang w:val="es-ES_tradnl"/>
              </w:rPr>
              <w:t>Visitas a la página</w:t>
            </w:r>
          </w:p>
        </w:tc>
        <w:tc>
          <w:tcPr>
            <w:tcW w:w="3706" w:type="dxa"/>
          </w:tcPr>
          <w:p w:rsidR="004310F3" w:rsidRPr="00460CAE" w:rsidRDefault="004310F3" w:rsidP="004310F3">
            <w:pPr>
              <w:jc w:val="center"/>
              <w:rPr>
                <w:lang w:val="es-ES_tradnl"/>
              </w:rPr>
            </w:pPr>
            <w:r w:rsidRPr="00460CAE">
              <w:rPr>
                <w:lang w:val="es-ES_tradnl"/>
              </w:rPr>
              <w:t>310</w:t>
            </w:r>
          </w:p>
        </w:tc>
        <w:tc>
          <w:tcPr>
            <w:tcW w:w="3576" w:type="dxa"/>
          </w:tcPr>
          <w:p w:rsidR="004310F3" w:rsidRPr="00460CAE" w:rsidRDefault="004310F3" w:rsidP="004310F3">
            <w:pPr>
              <w:jc w:val="center"/>
              <w:rPr>
                <w:lang w:val="es-ES_tradnl"/>
              </w:rPr>
            </w:pPr>
            <w:r w:rsidRPr="00460CAE">
              <w:rPr>
                <w:lang w:val="es-ES_tradnl"/>
              </w:rPr>
              <w:t>2</w:t>
            </w:r>
            <w:r w:rsidR="00CB1FF0" w:rsidRPr="00460CAE">
              <w:rPr>
                <w:lang w:val="es-ES_tradnl"/>
              </w:rPr>
              <w:t>.</w:t>
            </w:r>
            <w:r w:rsidRPr="00460CAE">
              <w:rPr>
                <w:lang w:val="es-ES_tradnl"/>
              </w:rPr>
              <w:t>207</w:t>
            </w:r>
          </w:p>
        </w:tc>
      </w:tr>
      <w:tr w:rsidR="004310F3" w:rsidRPr="00460CAE" w:rsidTr="005B0393">
        <w:trPr>
          <w:trHeight w:val="275"/>
        </w:trPr>
        <w:tc>
          <w:tcPr>
            <w:tcW w:w="1985" w:type="dxa"/>
          </w:tcPr>
          <w:p w:rsidR="004310F3" w:rsidRPr="00460CAE" w:rsidRDefault="00CB1FF0" w:rsidP="00E60AAF">
            <w:pPr>
              <w:rPr>
                <w:lang w:val="es-ES_tradnl"/>
              </w:rPr>
            </w:pPr>
            <w:r w:rsidRPr="00460CAE">
              <w:rPr>
                <w:lang w:val="es-ES_tradnl"/>
              </w:rPr>
              <w:t>Visitantes únicos</w:t>
            </w:r>
          </w:p>
        </w:tc>
        <w:tc>
          <w:tcPr>
            <w:tcW w:w="3706" w:type="dxa"/>
          </w:tcPr>
          <w:p w:rsidR="004310F3" w:rsidRPr="00460CAE" w:rsidRDefault="004310F3" w:rsidP="004310F3">
            <w:pPr>
              <w:jc w:val="center"/>
              <w:rPr>
                <w:lang w:val="es-ES_tradnl"/>
              </w:rPr>
            </w:pPr>
            <w:r w:rsidRPr="00460CAE">
              <w:rPr>
                <w:lang w:val="es-ES_tradnl"/>
              </w:rPr>
              <w:t>151</w:t>
            </w:r>
          </w:p>
        </w:tc>
        <w:tc>
          <w:tcPr>
            <w:tcW w:w="3576" w:type="dxa"/>
          </w:tcPr>
          <w:p w:rsidR="004310F3" w:rsidRPr="00460CAE" w:rsidRDefault="004310F3" w:rsidP="004310F3">
            <w:pPr>
              <w:jc w:val="center"/>
              <w:rPr>
                <w:lang w:val="es-ES_tradnl"/>
              </w:rPr>
            </w:pPr>
            <w:r w:rsidRPr="00460CAE">
              <w:rPr>
                <w:lang w:val="es-ES_tradnl"/>
              </w:rPr>
              <w:t>1</w:t>
            </w:r>
            <w:r w:rsidR="00CB1FF0" w:rsidRPr="00460CAE">
              <w:rPr>
                <w:lang w:val="es-ES_tradnl"/>
              </w:rPr>
              <w:t>.</w:t>
            </w:r>
            <w:r w:rsidRPr="00460CAE">
              <w:rPr>
                <w:lang w:val="es-ES_tradnl"/>
              </w:rPr>
              <w:t>359</w:t>
            </w:r>
          </w:p>
        </w:tc>
      </w:tr>
    </w:tbl>
    <w:p w:rsidR="000E5226" w:rsidRPr="00460CAE" w:rsidRDefault="000E5226" w:rsidP="00C2621C">
      <w:pPr>
        <w:rPr>
          <w:lang w:val="es-ES_tradnl"/>
        </w:rPr>
      </w:pPr>
    </w:p>
    <w:p w:rsidR="00EF6925" w:rsidRPr="00460CAE" w:rsidRDefault="001C5066" w:rsidP="001C5066">
      <w:pPr>
        <w:rPr>
          <w:lang w:val="es-ES_tradnl"/>
        </w:rPr>
      </w:pPr>
      <w:r w:rsidRPr="00460CAE">
        <w:rPr>
          <w:lang w:val="es-ES_tradnl"/>
        </w:rPr>
        <w:fldChar w:fldCharType="begin"/>
      </w:r>
      <w:r w:rsidRPr="00460CAE">
        <w:rPr>
          <w:lang w:val="es-ES_tradnl"/>
        </w:rPr>
        <w:instrText xml:space="preserve"> AUTONUM  </w:instrText>
      </w:r>
      <w:r w:rsidRPr="00460CAE">
        <w:rPr>
          <w:lang w:val="es-ES_tradnl"/>
        </w:rPr>
        <w:fldChar w:fldCharType="end"/>
      </w:r>
      <w:r w:rsidRPr="00460CAE">
        <w:rPr>
          <w:lang w:val="es-ES_tradnl"/>
        </w:rPr>
        <w:tab/>
      </w:r>
      <w:r w:rsidR="00C550AA" w:rsidRPr="00460CAE">
        <w:rPr>
          <w:lang w:val="es-ES_tradnl"/>
        </w:rPr>
        <w:t>La Secretaría seguirá trabajando a fin de promocionar el contenido de la base de datos como fuente de información para que los encargados de formular políticas, los legisladores, los expertos en PI, el sector académico y los investigadores sepan cómo se pueden aplicar las flexibilidades en las legislaciones nacionales y regionales.</w:t>
      </w:r>
    </w:p>
    <w:p w:rsidR="006B4B4E" w:rsidRPr="00460CAE" w:rsidRDefault="006B4B4E" w:rsidP="001C5066">
      <w:pPr>
        <w:rPr>
          <w:lang w:val="es-ES_tradnl"/>
        </w:rPr>
      </w:pPr>
    </w:p>
    <w:p w:rsidR="001A329D" w:rsidRPr="00460CAE" w:rsidRDefault="001A329D" w:rsidP="001C5066">
      <w:pPr>
        <w:rPr>
          <w:lang w:val="es-ES_tradnl"/>
        </w:rPr>
      </w:pPr>
    </w:p>
    <w:p w:rsidR="001A329D" w:rsidRPr="00460CAE" w:rsidRDefault="001A329D" w:rsidP="001C5066">
      <w:pPr>
        <w:rPr>
          <w:lang w:val="es-ES_tradnl"/>
        </w:rPr>
      </w:pPr>
    </w:p>
    <w:p w:rsidR="006B4B4E" w:rsidRPr="00460CAE" w:rsidRDefault="006B4B4E" w:rsidP="006B4B4E">
      <w:pPr>
        <w:pStyle w:val="Endofdocument-Annex"/>
        <w:rPr>
          <w:lang w:val="es-ES_tradnl"/>
        </w:rPr>
      </w:pPr>
      <w:r w:rsidRPr="00460CAE">
        <w:rPr>
          <w:lang w:val="es-ES_tradnl"/>
        </w:rPr>
        <w:t>[</w:t>
      </w:r>
      <w:r w:rsidR="00C550AA" w:rsidRPr="00460CAE">
        <w:rPr>
          <w:lang w:val="es-ES_tradnl"/>
        </w:rPr>
        <w:t xml:space="preserve">Sigue el </w:t>
      </w:r>
      <w:r w:rsidRPr="00460CAE">
        <w:rPr>
          <w:lang w:val="es-ES_tradnl"/>
        </w:rPr>
        <w:t>Anex</w:t>
      </w:r>
      <w:r w:rsidR="00C550AA" w:rsidRPr="00460CAE">
        <w:rPr>
          <w:lang w:val="es-ES_tradnl"/>
        </w:rPr>
        <w:t>o</w:t>
      </w:r>
      <w:r w:rsidRPr="00460CAE">
        <w:rPr>
          <w:lang w:val="es-ES_tradnl"/>
        </w:rPr>
        <w:t xml:space="preserve"> II]</w:t>
      </w:r>
    </w:p>
    <w:p w:rsidR="006B4B4E" w:rsidRPr="00460CAE" w:rsidRDefault="006B4B4E" w:rsidP="006B4B4E">
      <w:pPr>
        <w:pStyle w:val="Endofdocument-Annex"/>
        <w:rPr>
          <w:lang w:val="es-ES_tradnl"/>
        </w:rPr>
      </w:pPr>
    </w:p>
    <w:p w:rsidR="006B4B4E" w:rsidRPr="00460CAE" w:rsidRDefault="006B4B4E" w:rsidP="001C5066">
      <w:pPr>
        <w:rPr>
          <w:szCs w:val="22"/>
          <w:lang w:val="es-ES_tradnl"/>
        </w:rPr>
      </w:pPr>
    </w:p>
    <w:p w:rsidR="00602DD2" w:rsidRPr="00460CAE" w:rsidRDefault="00602DD2" w:rsidP="0053407C">
      <w:pPr>
        <w:pStyle w:val="Endofdocument-Annex"/>
        <w:rPr>
          <w:lang w:val="es-ES_tradnl"/>
        </w:rPr>
        <w:sectPr w:rsidR="00602DD2" w:rsidRPr="00460CAE" w:rsidSect="00291A49">
          <w:headerReference w:type="default" r:id="rId13"/>
          <w:footerReference w:type="default" r:id="rId14"/>
          <w:headerReference w:type="first" r:id="rId15"/>
          <w:footerReference w:type="first" r:id="rId16"/>
          <w:pgSz w:w="11907" w:h="16840" w:code="9"/>
          <w:pgMar w:top="567" w:right="1134" w:bottom="1418" w:left="1418" w:header="510" w:footer="1021" w:gutter="0"/>
          <w:pgNumType w:start="1"/>
          <w:cols w:space="720"/>
          <w:titlePg/>
        </w:sectPr>
      </w:pPr>
    </w:p>
    <w:p w:rsidR="00602DD2" w:rsidRPr="00460CAE" w:rsidRDefault="00A5052C" w:rsidP="00602DD2">
      <w:pPr>
        <w:rPr>
          <w:b/>
          <w:szCs w:val="22"/>
          <w:u w:val="single"/>
          <w:lang w:val="es-ES_tradnl"/>
        </w:rPr>
      </w:pPr>
      <w:r w:rsidRPr="00460CAE">
        <w:rPr>
          <w:b/>
          <w:szCs w:val="22"/>
          <w:u w:val="single"/>
          <w:lang w:val="es-ES_tradnl"/>
        </w:rPr>
        <w:lastRenderedPageBreak/>
        <w:t>Activi</w:t>
      </w:r>
      <w:r w:rsidR="00E4695A" w:rsidRPr="00460CAE">
        <w:rPr>
          <w:b/>
          <w:szCs w:val="22"/>
          <w:u w:val="single"/>
          <w:lang w:val="es-ES_tradnl"/>
        </w:rPr>
        <w:t>dades</w:t>
      </w:r>
      <w:r w:rsidRPr="00460CAE">
        <w:rPr>
          <w:b/>
          <w:szCs w:val="22"/>
          <w:u w:val="single"/>
          <w:lang w:val="es-ES_tradnl"/>
        </w:rPr>
        <w:t xml:space="preserve"> </w:t>
      </w:r>
      <w:r w:rsidR="00E4695A" w:rsidRPr="00460CAE">
        <w:rPr>
          <w:b/>
          <w:szCs w:val="22"/>
          <w:u w:val="single"/>
          <w:lang w:val="es-ES_tradnl"/>
        </w:rPr>
        <w:t>con las que se difundió el contenido de la base de datos</w:t>
      </w:r>
    </w:p>
    <w:p w:rsidR="00A5052C" w:rsidRPr="00460CAE" w:rsidRDefault="00A5052C" w:rsidP="00602DD2">
      <w:pPr>
        <w:rPr>
          <w:szCs w:val="22"/>
          <w:lang w:val="es-ES_tradnl"/>
        </w:rPr>
      </w:pPr>
    </w:p>
    <w:tbl>
      <w:tblPr>
        <w:tblStyle w:val="TableGrid1"/>
        <w:tblW w:w="14542" w:type="dxa"/>
        <w:tblLayout w:type="fixed"/>
        <w:tblLook w:val="04A0" w:firstRow="1" w:lastRow="0" w:firstColumn="1" w:lastColumn="0" w:noHBand="0" w:noVBand="1"/>
      </w:tblPr>
      <w:tblGrid>
        <w:gridCol w:w="3954"/>
        <w:gridCol w:w="1650"/>
        <w:gridCol w:w="1875"/>
        <w:gridCol w:w="2694"/>
        <w:gridCol w:w="3118"/>
        <w:gridCol w:w="1251"/>
      </w:tblGrid>
      <w:tr w:rsidR="00A5052C" w:rsidRPr="00460CAE" w:rsidTr="00670D86">
        <w:trPr>
          <w:trHeight w:val="142"/>
          <w:tblHeader/>
        </w:trPr>
        <w:tc>
          <w:tcPr>
            <w:tcW w:w="3954" w:type="dxa"/>
          </w:tcPr>
          <w:p w:rsidR="00A5052C" w:rsidRPr="00460CAE" w:rsidRDefault="00A5052C" w:rsidP="00650679">
            <w:pPr>
              <w:jc w:val="center"/>
              <w:rPr>
                <w:b/>
                <w:lang w:val="es-ES_tradnl"/>
              </w:rPr>
            </w:pPr>
            <w:r w:rsidRPr="00460CAE">
              <w:rPr>
                <w:b/>
                <w:lang w:val="es-ES_tradnl"/>
              </w:rPr>
              <w:t>Activi</w:t>
            </w:r>
            <w:r w:rsidR="00650679" w:rsidRPr="00460CAE">
              <w:rPr>
                <w:b/>
                <w:lang w:val="es-ES_tradnl"/>
              </w:rPr>
              <w:t>dad</w:t>
            </w:r>
          </w:p>
        </w:tc>
        <w:tc>
          <w:tcPr>
            <w:tcW w:w="1650" w:type="dxa"/>
          </w:tcPr>
          <w:p w:rsidR="00A5052C" w:rsidRPr="00460CAE" w:rsidRDefault="00650679" w:rsidP="00E4695A">
            <w:pPr>
              <w:jc w:val="center"/>
              <w:rPr>
                <w:b/>
                <w:lang w:val="es-ES_tradnl"/>
              </w:rPr>
            </w:pPr>
            <w:r w:rsidRPr="00460CAE">
              <w:rPr>
                <w:b/>
                <w:lang w:val="es-ES_tradnl"/>
              </w:rPr>
              <w:t>Fecha</w:t>
            </w:r>
          </w:p>
        </w:tc>
        <w:tc>
          <w:tcPr>
            <w:tcW w:w="1875" w:type="dxa"/>
          </w:tcPr>
          <w:p w:rsidR="00A5052C" w:rsidRPr="00460CAE" w:rsidRDefault="00650679" w:rsidP="00E4695A">
            <w:pPr>
              <w:jc w:val="center"/>
              <w:rPr>
                <w:b/>
                <w:lang w:val="es-ES_tradnl"/>
              </w:rPr>
            </w:pPr>
            <w:r w:rsidRPr="00460CAE">
              <w:rPr>
                <w:b/>
                <w:lang w:val="es-ES_tradnl"/>
              </w:rPr>
              <w:t>Emplazamiento</w:t>
            </w:r>
          </w:p>
          <w:p w:rsidR="00A5052C" w:rsidRPr="00460CAE" w:rsidRDefault="00A5052C" w:rsidP="00650679">
            <w:pPr>
              <w:jc w:val="center"/>
              <w:rPr>
                <w:b/>
                <w:lang w:val="es-ES_tradnl"/>
              </w:rPr>
            </w:pPr>
            <w:r w:rsidRPr="00460CAE">
              <w:rPr>
                <w:b/>
                <w:lang w:val="es-ES_tradnl"/>
              </w:rPr>
              <w:t xml:space="preserve"> (</w:t>
            </w:r>
            <w:r w:rsidR="00650679" w:rsidRPr="00460CAE">
              <w:rPr>
                <w:b/>
                <w:lang w:val="es-ES_tradnl"/>
              </w:rPr>
              <w:t>si procede</w:t>
            </w:r>
            <w:r w:rsidRPr="00460CAE">
              <w:rPr>
                <w:b/>
                <w:lang w:val="es-ES_tradnl"/>
              </w:rPr>
              <w:t>)</w:t>
            </w:r>
          </w:p>
        </w:tc>
        <w:tc>
          <w:tcPr>
            <w:tcW w:w="2694" w:type="dxa"/>
          </w:tcPr>
          <w:p w:rsidR="00A5052C" w:rsidRPr="00460CAE" w:rsidRDefault="00650679" w:rsidP="00E4695A">
            <w:pPr>
              <w:jc w:val="center"/>
              <w:rPr>
                <w:b/>
                <w:lang w:val="es-ES_tradnl"/>
              </w:rPr>
            </w:pPr>
            <w:r w:rsidRPr="00460CAE">
              <w:rPr>
                <w:b/>
                <w:lang w:val="es-ES_tradnl"/>
              </w:rPr>
              <w:t>Destinatarios</w:t>
            </w:r>
          </w:p>
        </w:tc>
        <w:tc>
          <w:tcPr>
            <w:tcW w:w="3118" w:type="dxa"/>
          </w:tcPr>
          <w:p w:rsidR="00A5052C" w:rsidRPr="00460CAE" w:rsidRDefault="00650679" w:rsidP="00E4695A">
            <w:pPr>
              <w:jc w:val="center"/>
              <w:rPr>
                <w:b/>
                <w:lang w:val="es-ES_tradnl"/>
              </w:rPr>
            </w:pPr>
            <w:r w:rsidRPr="00460CAE">
              <w:rPr>
                <w:b/>
                <w:lang w:val="es-ES_tradnl"/>
              </w:rPr>
              <w:t>Número de participantes</w:t>
            </w:r>
          </w:p>
          <w:p w:rsidR="00A5052C" w:rsidRPr="00460CAE" w:rsidRDefault="00A5052C" w:rsidP="00650679">
            <w:pPr>
              <w:jc w:val="center"/>
              <w:rPr>
                <w:b/>
                <w:lang w:val="es-ES_tradnl"/>
              </w:rPr>
            </w:pPr>
            <w:r w:rsidRPr="00460CAE">
              <w:rPr>
                <w:b/>
                <w:lang w:val="es-ES_tradnl"/>
              </w:rPr>
              <w:t>(</w:t>
            </w:r>
            <w:r w:rsidR="00650679" w:rsidRPr="00460CAE">
              <w:rPr>
                <w:b/>
                <w:lang w:val="es-ES_tradnl"/>
              </w:rPr>
              <w:t>actividades presenciales</w:t>
            </w:r>
            <w:r w:rsidRPr="00460CAE">
              <w:rPr>
                <w:b/>
                <w:lang w:val="es-ES_tradnl"/>
              </w:rPr>
              <w:t xml:space="preserve">) / </w:t>
            </w:r>
            <w:r w:rsidR="00650679" w:rsidRPr="00460CAE">
              <w:rPr>
                <w:b/>
                <w:lang w:val="es-ES_tradnl"/>
              </w:rPr>
              <w:t>seguidores (actividades por Internet</w:t>
            </w:r>
            <w:r w:rsidRPr="00460CAE">
              <w:rPr>
                <w:b/>
                <w:lang w:val="es-ES_tradnl"/>
              </w:rPr>
              <w:t>)</w:t>
            </w:r>
          </w:p>
        </w:tc>
        <w:tc>
          <w:tcPr>
            <w:tcW w:w="1251" w:type="dxa"/>
          </w:tcPr>
          <w:p w:rsidR="00A5052C" w:rsidRPr="00460CAE" w:rsidRDefault="00650679" w:rsidP="00E4695A">
            <w:pPr>
              <w:jc w:val="center"/>
              <w:rPr>
                <w:b/>
                <w:lang w:val="es-ES_tradnl"/>
              </w:rPr>
            </w:pPr>
            <w:r w:rsidRPr="00460CAE">
              <w:rPr>
                <w:b/>
                <w:lang w:val="es-ES_tradnl"/>
              </w:rPr>
              <w:t>Idioma</w:t>
            </w:r>
          </w:p>
        </w:tc>
      </w:tr>
      <w:tr w:rsidR="00BB3FF5" w:rsidRPr="00460CAE" w:rsidTr="00670D86">
        <w:trPr>
          <w:trHeight w:val="142"/>
        </w:trPr>
        <w:tc>
          <w:tcPr>
            <w:tcW w:w="3954" w:type="dxa"/>
          </w:tcPr>
          <w:p w:rsidR="00BB3FF5" w:rsidRPr="00460CAE" w:rsidRDefault="00BB3FF5" w:rsidP="00E4695A">
            <w:pPr>
              <w:rPr>
                <w:szCs w:val="22"/>
                <w:highlight w:val="yellow"/>
                <w:lang w:val="es-ES_tradnl"/>
              </w:rPr>
            </w:pPr>
            <w:r w:rsidRPr="00460CAE">
              <w:rPr>
                <w:szCs w:val="22"/>
                <w:lang w:val="es-ES_tradnl"/>
              </w:rPr>
              <w:t xml:space="preserve">“Jornadas Expo Ingenio” </w:t>
            </w:r>
            <w:r w:rsidR="00650679" w:rsidRPr="00460CAE">
              <w:rPr>
                <w:szCs w:val="22"/>
                <w:lang w:val="es-ES_tradnl"/>
              </w:rPr>
              <w:t xml:space="preserve">organizadas por el Instituto Mexicano de la Propiedad Industrial </w:t>
            </w:r>
            <w:r w:rsidRPr="00460CAE">
              <w:rPr>
                <w:szCs w:val="22"/>
                <w:lang w:val="es-ES_tradnl"/>
              </w:rPr>
              <w:t xml:space="preserve">(IMPI) </w:t>
            </w:r>
          </w:p>
        </w:tc>
        <w:tc>
          <w:tcPr>
            <w:tcW w:w="1650" w:type="dxa"/>
          </w:tcPr>
          <w:p w:rsidR="00BB3FF5" w:rsidRPr="00460CAE" w:rsidRDefault="00650679" w:rsidP="00650679">
            <w:pPr>
              <w:rPr>
                <w:szCs w:val="22"/>
                <w:highlight w:val="yellow"/>
                <w:lang w:val="es-ES_tradnl"/>
              </w:rPr>
            </w:pPr>
            <w:r w:rsidRPr="00460CAE">
              <w:rPr>
                <w:szCs w:val="22"/>
                <w:lang w:val="es-ES_tradnl"/>
              </w:rPr>
              <w:t xml:space="preserve">20 y 21 de septiembre de </w:t>
            </w:r>
            <w:r w:rsidR="00BB3FF5" w:rsidRPr="00460CAE">
              <w:rPr>
                <w:szCs w:val="22"/>
                <w:lang w:val="es-ES_tradnl"/>
              </w:rPr>
              <w:t>2017</w:t>
            </w:r>
          </w:p>
        </w:tc>
        <w:tc>
          <w:tcPr>
            <w:tcW w:w="1875" w:type="dxa"/>
          </w:tcPr>
          <w:p w:rsidR="00BB3FF5" w:rsidRPr="00460CAE" w:rsidRDefault="00650679" w:rsidP="00E4695A">
            <w:pPr>
              <w:rPr>
                <w:szCs w:val="22"/>
                <w:highlight w:val="yellow"/>
                <w:lang w:val="es-ES_tradnl"/>
              </w:rPr>
            </w:pPr>
            <w:r w:rsidRPr="00460CAE">
              <w:rPr>
                <w:szCs w:val="22"/>
                <w:lang w:val="es-ES_tradnl"/>
              </w:rPr>
              <w:t>Tijuana, Baja California (México)</w:t>
            </w:r>
          </w:p>
        </w:tc>
        <w:tc>
          <w:tcPr>
            <w:tcW w:w="2694" w:type="dxa"/>
          </w:tcPr>
          <w:p w:rsidR="00BB3FF5" w:rsidRPr="00460CAE" w:rsidRDefault="00650679" w:rsidP="0021307F">
            <w:pPr>
              <w:rPr>
                <w:szCs w:val="22"/>
                <w:highlight w:val="yellow"/>
                <w:lang w:val="es-ES_tradnl"/>
              </w:rPr>
            </w:pPr>
            <w:r w:rsidRPr="00460CAE">
              <w:rPr>
                <w:szCs w:val="22"/>
                <w:lang w:val="es-ES_tradnl"/>
              </w:rPr>
              <w:t>Investigadores</w:t>
            </w:r>
            <w:r w:rsidR="00BB3FF5" w:rsidRPr="00460CAE">
              <w:rPr>
                <w:szCs w:val="22"/>
                <w:lang w:val="es-ES_tradnl"/>
              </w:rPr>
              <w:t xml:space="preserve">, </w:t>
            </w:r>
            <w:r w:rsidRPr="00460CAE">
              <w:rPr>
                <w:szCs w:val="22"/>
                <w:lang w:val="es-ES_tradnl"/>
              </w:rPr>
              <w:t>estudia</w:t>
            </w:r>
            <w:r w:rsidR="00BB3FF5" w:rsidRPr="00460CAE">
              <w:rPr>
                <w:szCs w:val="22"/>
                <w:lang w:val="es-ES_tradnl"/>
              </w:rPr>
              <w:t>nt</w:t>
            </w:r>
            <w:r w:rsidRPr="00460CAE">
              <w:rPr>
                <w:szCs w:val="22"/>
                <w:lang w:val="es-ES_tradnl"/>
              </w:rPr>
              <w:t>e</w:t>
            </w:r>
            <w:r w:rsidR="00BB3FF5" w:rsidRPr="00460CAE">
              <w:rPr>
                <w:szCs w:val="22"/>
                <w:lang w:val="es-ES_tradnl"/>
              </w:rPr>
              <w:t xml:space="preserve">s, </w:t>
            </w:r>
            <w:r w:rsidRPr="00460CAE">
              <w:rPr>
                <w:szCs w:val="22"/>
                <w:lang w:val="es-ES_tradnl"/>
              </w:rPr>
              <w:t>pyme</w:t>
            </w:r>
            <w:r w:rsidR="00BB3FF5" w:rsidRPr="00460CAE">
              <w:rPr>
                <w:szCs w:val="22"/>
                <w:lang w:val="es-ES_tradnl"/>
              </w:rPr>
              <w:t xml:space="preserve">s, </w:t>
            </w:r>
            <w:r w:rsidRPr="00460CAE">
              <w:rPr>
                <w:szCs w:val="22"/>
                <w:lang w:val="es-ES_tradnl"/>
              </w:rPr>
              <w:t>func</w:t>
            </w:r>
            <w:r w:rsidR="00F6053B" w:rsidRPr="00460CAE">
              <w:rPr>
                <w:szCs w:val="22"/>
                <w:lang w:val="es-ES_tradnl"/>
              </w:rPr>
              <w:t xml:space="preserve">ionarios de organismos públicos y </w:t>
            </w:r>
            <w:r w:rsidR="0021307F" w:rsidRPr="00460CAE">
              <w:rPr>
                <w:szCs w:val="22"/>
                <w:lang w:val="es-ES_tradnl"/>
              </w:rPr>
              <w:t xml:space="preserve">el </w:t>
            </w:r>
            <w:r w:rsidR="00F6053B" w:rsidRPr="00460CAE">
              <w:rPr>
                <w:szCs w:val="22"/>
                <w:lang w:val="es-ES_tradnl"/>
              </w:rPr>
              <w:t>sector privado</w:t>
            </w:r>
          </w:p>
        </w:tc>
        <w:tc>
          <w:tcPr>
            <w:tcW w:w="3118" w:type="dxa"/>
          </w:tcPr>
          <w:p w:rsidR="00BB3FF5" w:rsidRPr="00460CAE" w:rsidRDefault="00BB3FF5" w:rsidP="00E4695A">
            <w:pPr>
              <w:rPr>
                <w:szCs w:val="22"/>
                <w:highlight w:val="yellow"/>
                <w:lang w:val="es-ES_tradnl"/>
              </w:rPr>
            </w:pPr>
            <w:r w:rsidRPr="00460CAE">
              <w:rPr>
                <w:szCs w:val="22"/>
                <w:lang w:val="es-ES_tradnl"/>
              </w:rPr>
              <w:t>500 participant</w:t>
            </w:r>
            <w:r w:rsidR="0021307F" w:rsidRPr="00460CAE">
              <w:rPr>
                <w:szCs w:val="22"/>
                <w:lang w:val="es-ES_tradnl"/>
              </w:rPr>
              <w:t>e</w:t>
            </w:r>
            <w:r w:rsidRPr="00460CAE">
              <w:rPr>
                <w:szCs w:val="22"/>
                <w:lang w:val="es-ES_tradnl"/>
              </w:rPr>
              <w:t>s</w:t>
            </w:r>
            <w:r w:rsidR="0021307F" w:rsidRPr="00460CAE">
              <w:rPr>
                <w:szCs w:val="22"/>
                <w:lang w:val="es-ES_tradnl"/>
              </w:rPr>
              <w:t xml:space="preserve"> aproximadamente</w:t>
            </w:r>
          </w:p>
        </w:tc>
        <w:tc>
          <w:tcPr>
            <w:tcW w:w="1251" w:type="dxa"/>
          </w:tcPr>
          <w:p w:rsidR="00BB3FF5" w:rsidRPr="00460CAE" w:rsidRDefault="00BB3FF5" w:rsidP="00E4695A">
            <w:pPr>
              <w:rPr>
                <w:szCs w:val="22"/>
                <w:highlight w:val="yellow"/>
                <w:lang w:val="es-ES_tradnl"/>
              </w:rPr>
            </w:pPr>
            <w:r w:rsidRPr="00460CAE">
              <w:rPr>
                <w:szCs w:val="22"/>
                <w:lang w:val="es-ES_tradnl"/>
              </w:rPr>
              <w:t>ES</w:t>
            </w:r>
          </w:p>
        </w:tc>
      </w:tr>
      <w:tr w:rsidR="00BB3FF5" w:rsidRPr="00460CAE" w:rsidTr="00670D86">
        <w:trPr>
          <w:trHeight w:val="1670"/>
        </w:trPr>
        <w:tc>
          <w:tcPr>
            <w:tcW w:w="3954" w:type="dxa"/>
          </w:tcPr>
          <w:p w:rsidR="00BB3FF5" w:rsidRPr="00460CAE" w:rsidRDefault="005D7BAA" w:rsidP="00653B42">
            <w:pPr>
              <w:rPr>
                <w:szCs w:val="22"/>
                <w:lang w:val="es-ES_tradnl"/>
              </w:rPr>
            </w:pPr>
            <w:r w:rsidRPr="00460CAE">
              <w:rPr>
                <w:bCs/>
                <w:lang w:val="es-ES_tradnl"/>
              </w:rPr>
              <w:t>Seminario s</w:t>
            </w:r>
            <w:r w:rsidR="00653B42" w:rsidRPr="00460CAE">
              <w:rPr>
                <w:bCs/>
                <w:lang w:val="es-ES_tradnl"/>
              </w:rPr>
              <w:t>ubregional sobre propiedad intelectual y transferencia de tecnología:  oportunidades, desafíos y alianzas estratégicas entre el sector público, la academia y el sector privado</w:t>
            </w:r>
            <w:r w:rsidR="00BB3FF5" w:rsidRPr="00460CAE">
              <w:rPr>
                <w:szCs w:val="22"/>
                <w:lang w:val="es-ES_tradnl"/>
              </w:rPr>
              <w:t xml:space="preserve">, </w:t>
            </w:r>
            <w:r w:rsidR="00653B42" w:rsidRPr="00460CAE">
              <w:rPr>
                <w:szCs w:val="22"/>
                <w:lang w:val="es-ES_tradnl"/>
              </w:rPr>
              <w:t>organizado conjuntamente por la OMPI y el Registro Nacional de</w:t>
            </w:r>
            <w:r w:rsidR="00BB3FF5" w:rsidRPr="00460CAE">
              <w:rPr>
                <w:szCs w:val="22"/>
                <w:lang w:val="es-ES_tradnl"/>
              </w:rPr>
              <w:t xml:space="preserve"> Costa Rica</w:t>
            </w:r>
          </w:p>
        </w:tc>
        <w:tc>
          <w:tcPr>
            <w:tcW w:w="1650" w:type="dxa"/>
          </w:tcPr>
          <w:p w:rsidR="00BB3FF5" w:rsidRPr="00460CAE" w:rsidRDefault="00653B42" w:rsidP="00E4695A">
            <w:pPr>
              <w:rPr>
                <w:szCs w:val="22"/>
                <w:lang w:val="es-ES_tradnl"/>
              </w:rPr>
            </w:pPr>
            <w:r w:rsidRPr="00460CAE">
              <w:rPr>
                <w:szCs w:val="22"/>
                <w:lang w:val="es-ES_tradnl"/>
              </w:rPr>
              <w:t>22 de agosto de</w:t>
            </w:r>
            <w:r w:rsidR="00BB3FF5" w:rsidRPr="00460CAE">
              <w:rPr>
                <w:szCs w:val="22"/>
                <w:lang w:val="es-ES_tradnl"/>
              </w:rPr>
              <w:t xml:space="preserve"> 2017</w:t>
            </w:r>
          </w:p>
        </w:tc>
        <w:tc>
          <w:tcPr>
            <w:tcW w:w="1875" w:type="dxa"/>
          </w:tcPr>
          <w:p w:rsidR="00BB3FF5" w:rsidRPr="00460CAE" w:rsidRDefault="00653B42" w:rsidP="00E4695A">
            <w:pPr>
              <w:rPr>
                <w:szCs w:val="22"/>
                <w:lang w:val="es-ES_tradnl"/>
              </w:rPr>
            </w:pPr>
            <w:r w:rsidRPr="00460CAE">
              <w:rPr>
                <w:szCs w:val="22"/>
                <w:lang w:val="es-ES_tradnl"/>
              </w:rPr>
              <w:t>San José</w:t>
            </w:r>
            <w:r w:rsidR="00BB3FF5" w:rsidRPr="00460CAE">
              <w:rPr>
                <w:szCs w:val="22"/>
                <w:lang w:val="es-ES_tradnl"/>
              </w:rPr>
              <w:t xml:space="preserve"> </w:t>
            </w:r>
            <w:r w:rsidRPr="00460CAE">
              <w:rPr>
                <w:szCs w:val="22"/>
                <w:lang w:val="es-ES_tradnl"/>
              </w:rPr>
              <w:t>(</w:t>
            </w:r>
            <w:r w:rsidR="00BB3FF5" w:rsidRPr="00460CAE">
              <w:rPr>
                <w:szCs w:val="22"/>
                <w:lang w:val="es-ES_tradnl"/>
              </w:rPr>
              <w:t>Costa Rica</w:t>
            </w:r>
            <w:r w:rsidRPr="00460CAE">
              <w:rPr>
                <w:szCs w:val="22"/>
                <w:lang w:val="es-ES_tradnl"/>
              </w:rPr>
              <w:t>)</w:t>
            </w:r>
          </w:p>
          <w:p w:rsidR="00BB3FF5" w:rsidRPr="00460CAE" w:rsidRDefault="00BB3FF5" w:rsidP="00E4695A">
            <w:pPr>
              <w:rPr>
                <w:szCs w:val="22"/>
                <w:lang w:val="es-ES_tradnl"/>
              </w:rPr>
            </w:pPr>
          </w:p>
        </w:tc>
        <w:tc>
          <w:tcPr>
            <w:tcW w:w="2694" w:type="dxa"/>
          </w:tcPr>
          <w:p w:rsidR="00BB3FF5" w:rsidRPr="00460CAE" w:rsidRDefault="00762545" w:rsidP="00E4695A">
            <w:pPr>
              <w:rPr>
                <w:rFonts w:eastAsiaTheme="minorHAnsi"/>
                <w:szCs w:val="22"/>
                <w:lang w:val="es-ES_tradnl"/>
              </w:rPr>
            </w:pPr>
            <w:r w:rsidRPr="00460CAE">
              <w:rPr>
                <w:szCs w:val="22"/>
                <w:lang w:val="es-ES_tradnl"/>
              </w:rPr>
              <w:t xml:space="preserve">Foro de alto nivel para representantes del sector público, </w:t>
            </w:r>
            <w:r w:rsidR="00324DBE" w:rsidRPr="00460CAE">
              <w:rPr>
                <w:szCs w:val="22"/>
                <w:lang w:val="es-ES_tradnl"/>
              </w:rPr>
              <w:t>el mundo académico</w:t>
            </w:r>
            <w:r w:rsidRPr="00460CAE">
              <w:rPr>
                <w:szCs w:val="22"/>
                <w:lang w:val="es-ES_tradnl"/>
              </w:rPr>
              <w:t xml:space="preserve"> </w:t>
            </w:r>
            <w:r w:rsidRPr="00460CAE">
              <w:rPr>
                <w:bCs/>
                <w:lang w:val="es-ES_tradnl"/>
              </w:rPr>
              <w:t>y el sector privado</w:t>
            </w:r>
          </w:p>
          <w:p w:rsidR="00BB3FF5" w:rsidRPr="00460CAE" w:rsidRDefault="00BB3FF5" w:rsidP="00E4695A">
            <w:pPr>
              <w:rPr>
                <w:szCs w:val="22"/>
                <w:lang w:val="es-ES_tradnl"/>
              </w:rPr>
            </w:pPr>
          </w:p>
        </w:tc>
        <w:tc>
          <w:tcPr>
            <w:tcW w:w="3118" w:type="dxa"/>
          </w:tcPr>
          <w:p w:rsidR="00BB3FF5" w:rsidRPr="00460CAE" w:rsidRDefault="00BB3FF5" w:rsidP="00E4695A">
            <w:pPr>
              <w:rPr>
                <w:rFonts w:eastAsiaTheme="minorHAnsi"/>
                <w:szCs w:val="22"/>
                <w:lang w:val="es-ES_tradnl"/>
              </w:rPr>
            </w:pPr>
            <w:r w:rsidRPr="00460CAE">
              <w:rPr>
                <w:szCs w:val="22"/>
                <w:lang w:val="es-ES_tradnl"/>
              </w:rPr>
              <w:t xml:space="preserve">10 </w:t>
            </w:r>
            <w:r w:rsidR="0021307F" w:rsidRPr="00460CAE">
              <w:rPr>
                <w:szCs w:val="22"/>
                <w:lang w:val="es-ES_tradnl"/>
              </w:rPr>
              <w:t>participantes aproximadamente</w:t>
            </w:r>
          </w:p>
          <w:p w:rsidR="00BB3FF5" w:rsidRPr="00460CAE" w:rsidRDefault="00BB3FF5" w:rsidP="00E4695A">
            <w:pPr>
              <w:rPr>
                <w:szCs w:val="22"/>
                <w:lang w:val="es-ES_tradnl"/>
              </w:rPr>
            </w:pPr>
          </w:p>
        </w:tc>
        <w:tc>
          <w:tcPr>
            <w:tcW w:w="1251" w:type="dxa"/>
          </w:tcPr>
          <w:p w:rsidR="00BB3FF5" w:rsidRPr="00460CAE" w:rsidRDefault="00BB3FF5" w:rsidP="00E4695A">
            <w:pPr>
              <w:rPr>
                <w:szCs w:val="22"/>
                <w:lang w:val="es-ES_tradnl"/>
              </w:rPr>
            </w:pPr>
            <w:r w:rsidRPr="00460CAE">
              <w:rPr>
                <w:szCs w:val="22"/>
                <w:lang w:val="es-ES_tradnl"/>
              </w:rPr>
              <w:t>ES</w:t>
            </w:r>
          </w:p>
        </w:tc>
      </w:tr>
      <w:tr w:rsidR="00BB3FF5" w:rsidRPr="00460CAE" w:rsidTr="00670D86">
        <w:trPr>
          <w:trHeight w:val="1670"/>
        </w:trPr>
        <w:tc>
          <w:tcPr>
            <w:tcW w:w="3954" w:type="dxa"/>
          </w:tcPr>
          <w:p w:rsidR="00BB3FF5" w:rsidRPr="00460CAE" w:rsidRDefault="001906EC" w:rsidP="00E4695A">
            <w:pPr>
              <w:rPr>
                <w:lang w:val="es-ES_tradnl"/>
              </w:rPr>
            </w:pPr>
            <w:r w:rsidRPr="00460CAE">
              <w:rPr>
                <w:lang w:val="es-ES_tradnl"/>
              </w:rPr>
              <w:t>Taller nacional de la OMC sobre propiedad intelectual y salud pública</w:t>
            </w:r>
          </w:p>
          <w:p w:rsidR="00BB3FF5" w:rsidRPr="00460CAE" w:rsidRDefault="00BB3FF5" w:rsidP="00E4695A">
            <w:pPr>
              <w:rPr>
                <w:szCs w:val="22"/>
                <w:lang w:val="es-ES_tradnl"/>
              </w:rPr>
            </w:pPr>
          </w:p>
        </w:tc>
        <w:tc>
          <w:tcPr>
            <w:tcW w:w="1650" w:type="dxa"/>
          </w:tcPr>
          <w:p w:rsidR="00BB3FF5" w:rsidRPr="00460CAE" w:rsidRDefault="001906EC" w:rsidP="001906EC">
            <w:pPr>
              <w:rPr>
                <w:rFonts w:eastAsiaTheme="minorHAnsi"/>
                <w:szCs w:val="22"/>
                <w:lang w:val="es-ES_tradnl"/>
              </w:rPr>
            </w:pPr>
            <w:r w:rsidRPr="00460CAE">
              <w:rPr>
                <w:lang w:val="es-ES_tradnl"/>
              </w:rPr>
              <w:t xml:space="preserve">18 y 19 de julio de </w:t>
            </w:r>
            <w:r w:rsidR="00BB3FF5" w:rsidRPr="00460CAE">
              <w:rPr>
                <w:lang w:val="es-ES_tradnl"/>
              </w:rPr>
              <w:t>2017</w:t>
            </w:r>
          </w:p>
        </w:tc>
        <w:tc>
          <w:tcPr>
            <w:tcW w:w="1875" w:type="dxa"/>
          </w:tcPr>
          <w:p w:rsidR="00BB3FF5" w:rsidRPr="00460CAE" w:rsidRDefault="001906EC" w:rsidP="00E4695A">
            <w:pPr>
              <w:rPr>
                <w:szCs w:val="22"/>
                <w:lang w:val="es-ES_tradnl"/>
              </w:rPr>
            </w:pPr>
            <w:r w:rsidRPr="00460CAE">
              <w:rPr>
                <w:szCs w:val="22"/>
                <w:lang w:val="es-ES_tradnl"/>
              </w:rPr>
              <w:t>Lomé (</w:t>
            </w:r>
            <w:r w:rsidR="00BB3FF5" w:rsidRPr="00460CAE">
              <w:rPr>
                <w:szCs w:val="22"/>
                <w:lang w:val="es-ES_tradnl"/>
              </w:rPr>
              <w:t>Togo</w:t>
            </w:r>
            <w:r w:rsidRPr="00460CAE">
              <w:rPr>
                <w:szCs w:val="22"/>
                <w:lang w:val="es-ES_tradnl"/>
              </w:rPr>
              <w:t>)</w:t>
            </w:r>
          </w:p>
        </w:tc>
        <w:tc>
          <w:tcPr>
            <w:tcW w:w="2694" w:type="dxa"/>
          </w:tcPr>
          <w:p w:rsidR="00BB3FF5" w:rsidRPr="00460CAE" w:rsidRDefault="001906EC" w:rsidP="001906EC">
            <w:pPr>
              <w:rPr>
                <w:rFonts w:eastAsiaTheme="minorHAnsi"/>
                <w:szCs w:val="22"/>
                <w:lang w:val="es-ES_tradnl"/>
              </w:rPr>
            </w:pPr>
            <w:r w:rsidRPr="00460CAE">
              <w:rPr>
                <w:szCs w:val="22"/>
                <w:lang w:val="es-ES_tradnl"/>
              </w:rPr>
              <w:t>Funcionarios públicos, profesionales privados y representantes de empresas o asociaciones nacionales</w:t>
            </w:r>
          </w:p>
        </w:tc>
        <w:tc>
          <w:tcPr>
            <w:tcW w:w="3118" w:type="dxa"/>
          </w:tcPr>
          <w:p w:rsidR="00BB3FF5" w:rsidRPr="00460CAE" w:rsidRDefault="00BB3FF5" w:rsidP="0021307F">
            <w:pPr>
              <w:rPr>
                <w:rFonts w:eastAsiaTheme="minorHAnsi"/>
                <w:szCs w:val="22"/>
                <w:lang w:val="es-ES_tradnl"/>
              </w:rPr>
            </w:pPr>
            <w:r w:rsidRPr="00460CAE">
              <w:rPr>
                <w:szCs w:val="22"/>
                <w:lang w:val="es-ES_tradnl"/>
              </w:rPr>
              <w:t xml:space="preserve">40 </w:t>
            </w:r>
            <w:r w:rsidR="0021307F" w:rsidRPr="00460CAE">
              <w:rPr>
                <w:szCs w:val="22"/>
                <w:lang w:val="es-ES_tradnl"/>
              </w:rPr>
              <w:t>participantes aproximadamente</w:t>
            </w:r>
          </w:p>
        </w:tc>
        <w:tc>
          <w:tcPr>
            <w:tcW w:w="1251" w:type="dxa"/>
          </w:tcPr>
          <w:p w:rsidR="00BB3FF5" w:rsidRPr="00460CAE" w:rsidRDefault="00BB3FF5" w:rsidP="00E4695A">
            <w:pPr>
              <w:rPr>
                <w:rFonts w:eastAsiaTheme="minorHAnsi"/>
                <w:szCs w:val="22"/>
                <w:lang w:val="es-ES_tradnl"/>
              </w:rPr>
            </w:pPr>
            <w:r w:rsidRPr="00460CAE">
              <w:rPr>
                <w:szCs w:val="22"/>
                <w:lang w:val="es-ES_tradnl"/>
              </w:rPr>
              <w:t>EN</w:t>
            </w:r>
          </w:p>
        </w:tc>
      </w:tr>
      <w:tr w:rsidR="00BB3FF5" w:rsidRPr="00460CAE" w:rsidTr="00670D86">
        <w:trPr>
          <w:trHeight w:val="1670"/>
        </w:trPr>
        <w:tc>
          <w:tcPr>
            <w:tcW w:w="3954" w:type="dxa"/>
          </w:tcPr>
          <w:p w:rsidR="00BB3FF5" w:rsidRPr="00460CAE" w:rsidRDefault="00CD08DE" w:rsidP="00E4695A">
            <w:pPr>
              <w:rPr>
                <w:szCs w:val="22"/>
                <w:highlight w:val="yellow"/>
                <w:lang w:val="es-ES_tradnl"/>
              </w:rPr>
            </w:pPr>
            <w:r w:rsidRPr="00460CAE">
              <w:rPr>
                <w:szCs w:val="22"/>
                <w:lang w:val="es-ES_tradnl"/>
              </w:rPr>
              <w:t>Promoción en las redes sociales</w:t>
            </w:r>
            <w:r w:rsidR="00BB3FF5" w:rsidRPr="00460CAE">
              <w:rPr>
                <w:szCs w:val="22"/>
                <w:lang w:val="es-ES_tradnl"/>
              </w:rPr>
              <w:t xml:space="preserve"> (twitter)</w:t>
            </w:r>
          </w:p>
        </w:tc>
        <w:tc>
          <w:tcPr>
            <w:tcW w:w="1650" w:type="dxa"/>
          </w:tcPr>
          <w:p w:rsidR="00BB3FF5" w:rsidRPr="00460CAE" w:rsidRDefault="00CD08DE" w:rsidP="006B4B4E">
            <w:pPr>
              <w:rPr>
                <w:szCs w:val="22"/>
                <w:highlight w:val="yellow"/>
                <w:lang w:val="es-ES_tradnl"/>
              </w:rPr>
            </w:pPr>
            <w:r w:rsidRPr="00460CAE">
              <w:rPr>
                <w:szCs w:val="22"/>
                <w:lang w:val="es-ES_tradnl"/>
              </w:rPr>
              <w:t>25</w:t>
            </w:r>
            <w:r w:rsidR="00BB3FF5" w:rsidRPr="00460CAE">
              <w:rPr>
                <w:szCs w:val="22"/>
                <w:lang w:val="es-ES_tradnl"/>
              </w:rPr>
              <w:t xml:space="preserve"> </w:t>
            </w:r>
            <w:r w:rsidRPr="00460CAE">
              <w:rPr>
                <w:szCs w:val="22"/>
                <w:lang w:val="es-ES_tradnl"/>
              </w:rPr>
              <w:t xml:space="preserve">de mayo de </w:t>
            </w:r>
            <w:r w:rsidR="00BB3FF5" w:rsidRPr="00460CAE">
              <w:rPr>
                <w:szCs w:val="22"/>
                <w:lang w:val="es-ES_tradnl"/>
              </w:rPr>
              <w:t>2017</w:t>
            </w:r>
          </w:p>
        </w:tc>
        <w:tc>
          <w:tcPr>
            <w:tcW w:w="1875" w:type="dxa"/>
          </w:tcPr>
          <w:p w:rsidR="00BB3FF5" w:rsidRPr="00460CAE" w:rsidRDefault="00BB3FF5" w:rsidP="00E4695A">
            <w:pPr>
              <w:rPr>
                <w:szCs w:val="22"/>
                <w:lang w:val="es-ES_tradnl"/>
              </w:rPr>
            </w:pPr>
          </w:p>
          <w:p w:rsidR="00BB3FF5" w:rsidRPr="00460CAE" w:rsidRDefault="00BB3FF5" w:rsidP="00E4695A">
            <w:pPr>
              <w:rPr>
                <w:szCs w:val="22"/>
                <w:highlight w:val="yellow"/>
                <w:lang w:val="es-ES_tradnl"/>
              </w:rPr>
            </w:pPr>
            <w:r w:rsidRPr="00460CAE">
              <w:rPr>
                <w:szCs w:val="22"/>
                <w:lang w:val="es-ES_tradnl"/>
              </w:rPr>
              <w:t>-</w:t>
            </w:r>
          </w:p>
        </w:tc>
        <w:tc>
          <w:tcPr>
            <w:tcW w:w="2694" w:type="dxa"/>
          </w:tcPr>
          <w:p w:rsidR="00BB3FF5" w:rsidRPr="00460CAE" w:rsidRDefault="00BB3FF5" w:rsidP="00CD08DE">
            <w:pPr>
              <w:rPr>
                <w:szCs w:val="22"/>
                <w:highlight w:val="yellow"/>
                <w:lang w:val="es-ES_tradnl"/>
              </w:rPr>
            </w:pPr>
            <w:r w:rsidRPr="00460CAE">
              <w:rPr>
                <w:szCs w:val="22"/>
                <w:lang w:val="es-ES_tradnl"/>
              </w:rPr>
              <w:t>P</w:t>
            </w:r>
            <w:r w:rsidR="00CD08DE" w:rsidRPr="00460CAE">
              <w:rPr>
                <w:szCs w:val="22"/>
                <w:lang w:val="es-ES_tradnl"/>
              </w:rPr>
              <w:t>ú</w:t>
            </w:r>
            <w:r w:rsidRPr="00460CAE">
              <w:rPr>
                <w:szCs w:val="22"/>
                <w:lang w:val="es-ES_tradnl"/>
              </w:rPr>
              <w:t>blic</w:t>
            </w:r>
            <w:r w:rsidR="00CD08DE" w:rsidRPr="00460CAE">
              <w:rPr>
                <w:szCs w:val="22"/>
                <w:lang w:val="es-ES_tradnl"/>
              </w:rPr>
              <w:t>o e</w:t>
            </w:r>
            <w:r w:rsidRPr="00460CAE">
              <w:rPr>
                <w:szCs w:val="22"/>
                <w:lang w:val="es-ES_tradnl"/>
              </w:rPr>
              <w:t>n general</w:t>
            </w:r>
          </w:p>
        </w:tc>
        <w:tc>
          <w:tcPr>
            <w:tcW w:w="3118" w:type="dxa"/>
          </w:tcPr>
          <w:p w:rsidR="00BB3FF5" w:rsidRPr="00460CAE" w:rsidRDefault="00CD08DE" w:rsidP="00CD08DE">
            <w:pPr>
              <w:rPr>
                <w:szCs w:val="22"/>
                <w:highlight w:val="yellow"/>
                <w:lang w:val="es-ES_tradnl"/>
              </w:rPr>
            </w:pPr>
            <w:r w:rsidRPr="00460CAE">
              <w:rPr>
                <w:szCs w:val="22"/>
                <w:lang w:val="es-ES_tradnl"/>
              </w:rPr>
              <w:t>6.</w:t>
            </w:r>
            <w:r w:rsidR="00BB3FF5" w:rsidRPr="00460CAE">
              <w:rPr>
                <w:szCs w:val="22"/>
                <w:lang w:val="es-ES_tradnl"/>
              </w:rPr>
              <w:t xml:space="preserve">802 </w:t>
            </w:r>
            <w:r w:rsidRPr="00460CAE">
              <w:rPr>
                <w:szCs w:val="22"/>
                <w:lang w:val="es-ES_tradnl"/>
              </w:rPr>
              <w:t>visitantes</w:t>
            </w:r>
            <w:r w:rsidR="00BB3FF5" w:rsidRPr="00460CAE">
              <w:rPr>
                <w:szCs w:val="22"/>
                <w:lang w:val="es-ES_tradnl"/>
              </w:rPr>
              <w:t xml:space="preserve"> / 125 interac</w:t>
            </w:r>
            <w:r w:rsidRPr="00460CAE">
              <w:rPr>
                <w:szCs w:val="22"/>
                <w:lang w:val="es-ES_tradnl"/>
              </w:rPr>
              <w:t>ciones con los contenidos publicados</w:t>
            </w:r>
          </w:p>
        </w:tc>
        <w:tc>
          <w:tcPr>
            <w:tcW w:w="1251" w:type="dxa"/>
          </w:tcPr>
          <w:p w:rsidR="00BB3FF5" w:rsidRPr="00460CAE" w:rsidRDefault="00BB3FF5" w:rsidP="00E4695A">
            <w:pPr>
              <w:rPr>
                <w:szCs w:val="22"/>
                <w:highlight w:val="yellow"/>
                <w:lang w:val="es-ES_tradnl"/>
              </w:rPr>
            </w:pPr>
            <w:r w:rsidRPr="00460CAE">
              <w:rPr>
                <w:szCs w:val="22"/>
                <w:lang w:val="es-ES_tradnl"/>
              </w:rPr>
              <w:t>EN</w:t>
            </w:r>
          </w:p>
        </w:tc>
      </w:tr>
      <w:tr w:rsidR="00BB3FF5" w:rsidRPr="00460CAE" w:rsidTr="00670D86">
        <w:trPr>
          <w:trHeight w:val="1670"/>
        </w:trPr>
        <w:tc>
          <w:tcPr>
            <w:tcW w:w="3954" w:type="dxa"/>
          </w:tcPr>
          <w:p w:rsidR="00BB3FF5" w:rsidRPr="00460CAE" w:rsidRDefault="003C58F5" w:rsidP="00324DBE">
            <w:pPr>
              <w:rPr>
                <w:szCs w:val="22"/>
                <w:lang w:val="es-ES_tradnl"/>
              </w:rPr>
            </w:pPr>
            <w:r w:rsidRPr="00460CAE">
              <w:rPr>
                <w:lang w:val="es-ES_tradnl"/>
              </w:rPr>
              <w:lastRenderedPageBreak/>
              <w:t>Taller r</w:t>
            </w:r>
            <w:r w:rsidR="00BB3FF5" w:rsidRPr="00460CAE">
              <w:rPr>
                <w:lang w:val="es-ES_tradnl"/>
              </w:rPr>
              <w:t xml:space="preserve">egional </w:t>
            </w:r>
            <w:r w:rsidRPr="00460CAE">
              <w:rPr>
                <w:lang w:val="es-ES_tradnl"/>
              </w:rPr>
              <w:t xml:space="preserve">sobre </w:t>
            </w:r>
            <w:r w:rsidR="00324DBE" w:rsidRPr="00460CAE">
              <w:rPr>
                <w:lang w:val="es-ES_tradnl"/>
              </w:rPr>
              <w:t xml:space="preserve">las </w:t>
            </w:r>
            <w:r w:rsidRPr="00460CAE">
              <w:rPr>
                <w:lang w:val="es-ES_tradnl"/>
              </w:rPr>
              <w:t xml:space="preserve">patentes y </w:t>
            </w:r>
            <w:r w:rsidR="00324DBE" w:rsidRPr="00460CAE">
              <w:rPr>
                <w:lang w:val="es-ES_tradnl"/>
              </w:rPr>
              <w:t xml:space="preserve">los sistemas de </w:t>
            </w:r>
            <w:r w:rsidRPr="00460CAE">
              <w:rPr>
                <w:lang w:val="es-ES_tradnl"/>
              </w:rPr>
              <w:t>presentación electrónica</w:t>
            </w:r>
            <w:r w:rsidR="00BB3FF5" w:rsidRPr="00460CAE">
              <w:rPr>
                <w:lang w:val="es-ES_tradnl"/>
              </w:rPr>
              <w:t>, organiz</w:t>
            </w:r>
            <w:r w:rsidR="00324DBE" w:rsidRPr="00460CAE">
              <w:rPr>
                <w:lang w:val="es-ES_tradnl"/>
              </w:rPr>
              <w:t>a</w:t>
            </w:r>
            <w:r w:rsidR="00BB3FF5" w:rsidRPr="00460CAE">
              <w:rPr>
                <w:lang w:val="es-ES_tradnl"/>
              </w:rPr>
              <w:t>d</w:t>
            </w:r>
            <w:r w:rsidR="00324DBE" w:rsidRPr="00460CAE">
              <w:rPr>
                <w:lang w:val="es-ES_tradnl"/>
              </w:rPr>
              <w:t>o por la Administración de Propiedad Intelectual de la República de Uzbekistán</w:t>
            </w:r>
            <w:r w:rsidR="00BB3FF5" w:rsidRPr="00460CAE">
              <w:rPr>
                <w:lang w:val="es-ES_tradnl"/>
              </w:rPr>
              <w:t xml:space="preserve"> </w:t>
            </w:r>
            <w:r w:rsidR="00324DBE" w:rsidRPr="00460CAE">
              <w:rPr>
                <w:lang w:val="es-ES_tradnl"/>
              </w:rPr>
              <w:t>en cooperació</w:t>
            </w:r>
            <w:r w:rsidR="00BB3FF5" w:rsidRPr="00460CAE">
              <w:rPr>
                <w:lang w:val="es-ES_tradnl"/>
              </w:rPr>
              <w:t xml:space="preserve">n </w:t>
            </w:r>
            <w:r w:rsidR="00324DBE" w:rsidRPr="00460CAE">
              <w:rPr>
                <w:lang w:val="es-ES_tradnl"/>
              </w:rPr>
              <w:t>con la OMPI</w:t>
            </w:r>
          </w:p>
        </w:tc>
        <w:tc>
          <w:tcPr>
            <w:tcW w:w="1650" w:type="dxa"/>
          </w:tcPr>
          <w:p w:rsidR="00BB3FF5" w:rsidRPr="00460CAE" w:rsidRDefault="00324DBE" w:rsidP="00E4695A">
            <w:pPr>
              <w:rPr>
                <w:szCs w:val="22"/>
                <w:lang w:val="es-ES_tradnl"/>
              </w:rPr>
            </w:pPr>
            <w:r w:rsidRPr="00460CAE">
              <w:rPr>
                <w:lang w:val="es-ES_tradnl"/>
              </w:rPr>
              <w:t xml:space="preserve">17 y 18 de mayo de </w:t>
            </w:r>
            <w:r w:rsidR="00BB3FF5" w:rsidRPr="00460CAE">
              <w:rPr>
                <w:lang w:val="es-ES_tradnl"/>
              </w:rPr>
              <w:t>2017</w:t>
            </w:r>
          </w:p>
        </w:tc>
        <w:tc>
          <w:tcPr>
            <w:tcW w:w="1875" w:type="dxa"/>
          </w:tcPr>
          <w:p w:rsidR="00BB3FF5" w:rsidRPr="00460CAE" w:rsidRDefault="00324DBE" w:rsidP="00E4695A">
            <w:pPr>
              <w:rPr>
                <w:szCs w:val="22"/>
                <w:lang w:val="es-ES_tradnl"/>
              </w:rPr>
            </w:pPr>
            <w:r w:rsidRPr="00460CAE">
              <w:rPr>
                <w:lang w:val="es-ES_tradnl"/>
              </w:rPr>
              <w:t>Taskent (</w:t>
            </w:r>
            <w:r w:rsidR="00BB3FF5" w:rsidRPr="00460CAE">
              <w:rPr>
                <w:lang w:val="es-ES_tradnl"/>
              </w:rPr>
              <w:t>Uz</w:t>
            </w:r>
            <w:r w:rsidRPr="00460CAE">
              <w:rPr>
                <w:lang w:val="es-ES_tradnl"/>
              </w:rPr>
              <w:t>bekistá</w:t>
            </w:r>
            <w:r w:rsidR="00BB3FF5" w:rsidRPr="00460CAE">
              <w:rPr>
                <w:lang w:val="es-ES_tradnl"/>
              </w:rPr>
              <w:t>n</w:t>
            </w:r>
            <w:r w:rsidRPr="00460CAE">
              <w:rPr>
                <w:lang w:val="es-ES_tradnl"/>
              </w:rPr>
              <w:t>)</w:t>
            </w:r>
          </w:p>
        </w:tc>
        <w:tc>
          <w:tcPr>
            <w:tcW w:w="2694" w:type="dxa"/>
          </w:tcPr>
          <w:p w:rsidR="00BB3FF5" w:rsidRPr="00460CAE" w:rsidRDefault="00324DBE" w:rsidP="004A604F">
            <w:pPr>
              <w:rPr>
                <w:szCs w:val="22"/>
                <w:lang w:val="es-ES_tradnl"/>
              </w:rPr>
            </w:pPr>
            <w:r w:rsidRPr="00460CAE">
              <w:rPr>
                <w:szCs w:val="22"/>
                <w:lang w:val="es-ES_tradnl"/>
              </w:rPr>
              <w:t xml:space="preserve">Funcionarios públicos, profesionales </w:t>
            </w:r>
            <w:r w:rsidR="004A604F" w:rsidRPr="00460CAE">
              <w:rPr>
                <w:szCs w:val="22"/>
                <w:lang w:val="es-ES_tradnl"/>
              </w:rPr>
              <w:t>del Derecho</w:t>
            </w:r>
            <w:r w:rsidR="00BB3FF5" w:rsidRPr="00460CAE">
              <w:rPr>
                <w:lang w:val="es-ES_tradnl"/>
              </w:rPr>
              <w:t xml:space="preserve">, </w:t>
            </w:r>
            <w:r w:rsidRPr="00460CAE">
              <w:rPr>
                <w:lang w:val="es-ES_tradnl"/>
              </w:rPr>
              <w:t>empresas</w:t>
            </w:r>
            <w:r w:rsidR="00BB3FF5" w:rsidRPr="00460CAE">
              <w:rPr>
                <w:lang w:val="es-ES_tradnl"/>
              </w:rPr>
              <w:t xml:space="preserve">, </w:t>
            </w:r>
            <w:r w:rsidRPr="00460CAE">
              <w:rPr>
                <w:lang w:val="es-ES_tradnl"/>
              </w:rPr>
              <w:t>el mundo académico</w:t>
            </w:r>
            <w:r w:rsidR="00BB3FF5" w:rsidRPr="00460CAE">
              <w:rPr>
                <w:lang w:val="es-ES_tradnl"/>
              </w:rPr>
              <w:t>, etc</w:t>
            </w:r>
            <w:r w:rsidRPr="00460CAE">
              <w:rPr>
                <w:lang w:val="es-ES_tradnl"/>
              </w:rPr>
              <w:t>étera</w:t>
            </w:r>
          </w:p>
        </w:tc>
        <w:tc>
          <w:tcPr>
            <w:tcW w:w="3118" w:type="dxa"/>
          </w:tcPr>
          <w:p w:rsidR="00BB3FF5" w:rsidRPr="00460CAE" w:rsidRDefault="00BB3FF5" w:rsidP="00E4695A">
            <w:pPr>
              <w:rPr>
                <w:szCs w:val="22"/>
                <w:lang w:val="es-ES_tradnl"/>
              </w:rPr>
            </w:pPr>
            <w:r w:rsidRPr="00460CAE">
              <w:rPr>
                <w:lang w:val="es-ES_tradnl"/>
              </w:rPr>
              <w:t>50</w:t>
            </w:r>
          </w:p>
        </w:tc>
        <w:tc>
          <w:tcPr>
            <w:tcW w:w="1251" w:type="dxa"/>
          </w:tcPr>
          <w:p w:rsidR="00BB3FF5" w:rsidRPr="00460CAE" w:rsidRDefault="00BB3FF5" w:rsidP="00E4695A">
            <w:pPr>
              <w:rPr>
                <w:szCs w:val="22"/>
                <w:lang w:val="es-ES_tradnl"/>
              </w:rPr>
            </w:pPr>
            <w:r w:rsidRPr="00460CAE">
              <w:rPr>
                <w:szCs w:val="22"/>
                <w:lang w:val="es-ES_tradnl"/>
              </w:rPr>
              <w:t>RU / EN</w:t>
            </w:r>
          </w:p>
        </w:tc>
      </w:tr>
      <w:tr w:rsidR="00BB3FF5" w:rsidRPr="00460CAE" w:rsidTr="00670D86">
        <w:trPr>
          <w:trHeight w:val="1670"/>
        </w:trPr>
        <w:tc>
          <w:tcPr>
            <w:tcW w:w="3954" w:type="dxa"/>
          </w:tcPr>
          <w:p w:rsidR="00BB3FF5" w:rsidRPr="00460CAE" w:rsidRDefault="00324DBE" w:rsidP="00E4695A">
            <w:pPr>
              <w:rPr>
                <w:highlight w:val="yellow"/>
                <w:lang w:val="es-ES_tradnl"/>
              </w:rPr>
            </w:pPr>
            <w:r w:rsidRPr="00460CAE">
              <w:rPr>
                <w:szCs w:val="22"/>
                <w:lang w:val="es-ES_tradnl"/>
              </w:rPr>
              <w:t>Promoción en las redes sociales (twitter)</w:t>
            </w:r>
          </w:p>
        </w:tc>
        <w:tc>
          <w:tcPr>
            <w:tcW w:w="1650" w:type="dxa"/>
          </w:tcPr>
          <w:p w:rsidR="00BB3FF5" w:rsidRPr="00460CAE" w:rsidRDefault="00324DBE" w:rsidP="00E4695A">
            <w:pPr>
              <w:rPr>
                <w:highlight w:val="yellow"/>
                <w:lang w:val="es-ES_tradnl"/>
              </w:rPr>
            </w:pPr>
            <w:r w:rsidRPr="00460CAE">
              <w:rPr>
                <w:szCs w:val="22"/>
                <w:lang w:val="es-ES_tradnl"/>
              </w:rPr>
              <w:t>15 de mayo de</w:t>
            </w:r>
            <w:r w:rsidR="00BB3FF5" w:rsidRPr="00460CAE">
              <w:rPr>
                <w:szCs w:val="22"/>
                <w:lang w:val="es-ES_tradnl"/>
              </w:rPr>
              <w:t xml:space="preserve"> 2017</w:t>
            </w:r>
          </w:p>
        </w:tc>
        <w:tc>
          <w:tcPr>
            <w:tcW w:w="1875" w:type="dxa"/>
          </w:tcPr>
          <w:p w:rsidR="00BB3FF5" w:rsidRPr="00460CAE" w:rsidRDefault="00BB3FF5" w:rsidP="00E4695A">
            <w:pPr>
              <w:rPr>
                <w:szCs w:val="22"/>
                <w:lang w:val="es-ES_tradnl"/>
              </w:rPr>
            </w:pPr>
          </w:p>
          <w:p w:rsidR="00BB3FF5" w:rsidRPr="00460CAE" w:rsidRDefault="00BB3FF5" w:rsidP="00E4695A">
            <w:pPr>
              <w:rPr>
                <w:highlight w:val="yellow"/>
                <w:lang w:val="es-ES_tradnl"/>
              </w:rPr>
            </w:pPr>
            <w:r w:rsidRPr="00460CAE">
              <w:rPr>
                <w:szCs w:val="22"/>
                <w:lang w:val="es-ES_tradnl"/>
              </w:rPr>
              <w:t>-</w:t>
            </w:r>
          </w:p>
        </w:tc>
        <w:tc>
          <w:tcPr>
            <w:tcW w:w="2694" w:type="dxa"/>
          </w:tcPr>
          <w:p w:rsidR="00BB3FF5" w:rsidRPr="00460CAE" w:rsidRDefault="00324DBE" w:rsidP="00E4695A">
            <w:pPr>
              <w:rPr>
                <w:highlight w:val="yellow"/>
                <w:lang w:val="es-ES_tradnl"/>
              </w:rPr>
            </w:pPr>
            <w:r w:rsidRPr="00460CAE">
              <w:rPr>
                <w:szCs w:val="22"/>
                <w:lang w:val="es-ES_tradnl"/>
              </w:rPr>
              <w:t>Pú</w:t>
            </w:r>
            <w:r w:rsidR="00BB3FF5" w:rsidRPr="00460CAE">
              <w:rPr>
                <w:szCs w:val="22"/>
                <w:lang w:val="es-ES_tradnl"/>
              </w:rPr>
              <w:t>blic</w:t>
            </w:r>
            <w:r w:rsidRPr="00460CAE">
              <w:rPr>
                <w:szCs w:val="22"/>
                <w:lang w:val="es-ES_tradnl"/>
              </w:rPr>
              <w:t>o e</w:t>
            </w:r>
            <w:r w:rsidR="00BB3FF5" w:rsidRPr="00460CAE">
              <w:rPr>
                <w:szCs w:val="22"/>
                <w:lang w:val="es-ES_tradnl"/>
              </w:rPr>
              <w:t>n general</w:t>
            </w:r>
          </w:p>
        </w:tc>
        <w:tc>
          <w:tcPr>
            <w:tcW w:w="3118" w:type="dxa"/>
          </w:tcPr>
          <w:p w:rsidR="00BB3FF5" w:rsidRPr="00460CAE" w:rsidRDefault="003E6C77" w:rsidP="003E6C77">
            <w:pPr>
              <w:rPr>
                <w:highlight w:val="yellow"/>
                <w:lang w:val="es-ES_tradnl"/>
              </w:rPr>
            </w:pPr>
            <w:r w:rsidRPr="00460CAE">
              <w:rPr>
                <w:szCs w:val="22"/>
                <w:lang w:val="es-ES_tradnl"/>
              </w:rPr>
              <w:t>5.</w:t>
            </w:r>
            <w:r w:rsidR="00BB3FF5" w:rsidRPr="00460CAE">
              <w:rPr>
                <w:szCs w:val="22"/>
                <w:lang w:val="es-ES_tradnl"/>
              </w:rPr>
              <w:t xml:space="preserve">163 </w:t>
            </w:r>
            <w:r w:rsidRPr="00460CAE">
              <w:rPr>
                <w:szCs w:val="22"/>
                <w:lang w:val="es-ES_tradnl"/>
              </w:rPr>
              <w:t>visitantes / 61 interacciones con los contenidos publicados</w:t>
            </w:r>
          </w:p>
        </w:tc>
        <w:tc>
          <w:tcPr>
            <w:tcW w:w="1251" w:type="dxa"/>
          </w:tcPr>
          <w:p w:rsidR="00BB3FF5" w:rsidRPr="00460CAE" w:rsidRDefault="00BB3FF5" w:rsidP="00E4695A">
            <w:pPr>
              <w:rPr>
                <w:highlight w:val="yellow"/>
                <w:lang w:val="es-ES_tradnl"/>
              </w:rPr>
            </w:pPr>
            <w:r w:rsidRPr="00460CAE">
              <w:rPr>
                <w:szCs w:val="22"/>
                <w:lang w:val="es-ES_tradnl"/>
              </w:rPr>
              <w:t>EN</w:t>
            </w:r>
          </w:p>
        </w:tc>
      </w:tr>
      <w:tr w:rsidR="00BB3FF5" w:rsidRPr="00460CAE" w:rsidTr="00670D86">
        <w:trPr>
          <w:trHeight w:val="142"/>
        </w:trPr>
        <w:tc>
          <w:tcPr>
            <w:tcW w:w="3954" w:type="dxa"/>
          </w:tcPr>
          <w:p w:rsidR="00BB3FF5" w:rsidRPr="00460CAE" w:rsidRDefault="005D7BAA" w:rsidP="00E4695A">
            <w:pPr>
              <w:rPr>
                <w:szCs w:val="22"/>
                <w:lang w:val="es-ES_tradnl"/>
              </w:rPr>
            </w:pPr>
            <w:r w:rsidRPr="00460CAE">
              <w:rPr>
                <w:szCs w:val="22"/>
                <w:lang w:val="es-ES_tradnl"/>
              </w:rPr>
              <w:t>Seminario n</w:t>
            </w:r>
            <w:r w:rsidR="00081219" w:rsidRPr="00460CAE">
              <w:rPr>
                <w:szCs w:val="22"/>
                <w:lang w:val="es-ES_tradnl"/>
              </w:rPr>
              <w:t>acional de la OMC sobre comercio, propiedad intelectual y salud pública</w:t>
            </w:r>
          </w:p>
          <w:p w:rsidR="00BB3FF5" w:rsidRPr="00460CAE" w:rsidRDefault="00BB3FF5" w:rsidP="00E4695A">
            <w:pPr>
              <w:rPr>
                <w:szCs w:val="22"/>
                <w:lang w:val="es-ES_tradnl"/>
              </w:rPr>
            </w:pPr>
          </w:p>
          <w:p w:rsidR="00BB3FF5" w:rsidRPr="00460CAE" w:rsidRDefault="00BB3FF5" w:rsidP="00E4695A">
            <w:pPr>
              <w:rPr>
                <w:szCs w:val="22"/>
                <w:lang w:val="es-ES_tradnl"/>
              </w:rPr>
            </w:pPr>
          </w:p>
        </w:tc>
        <w:tc>
          <w:tcPr>
            <w:tcW w:w="1650" w:type="dxa"/>
          </w:tcPr>
          <w:p w:rsidR="00BB3FF5" w:rsidRPr="00460CAE" w:rsidRDefault="00081219" w:rsidP="00E4695A">
            <w:pPr>
              <w:rPr>
                <w:szCs w:val="22"/>
                <w:lang w:val="es-ES_tradnl"/>
              </w:rPr>
            </w:pPr>
            <w:r w:rsidRPr="00460CAE">
              <w:rPr>
                <w:szCs w:val="22"/>
                <w:lang w:val="es-ES_tradnl"/>
              </w:rPr>
              <w:t xml:space="preserve">11 y 12 de mayo de </w:t>
            </w:r>
            <w:r w:rsidR="00BB3FF5" w:rsidRPr="00460CAE">
              <w:rPr>
                <w:szCs w:val="22"/>
                <w:lang w:val="es-ES_tradnl"/>
              </w:rPr>
              <w:t>2017</w:t>
            </w:r>
          </w:p>
        </w:tc>
        <w:tc>
          <w:tcPr>
            <w:tcW w:w="1875" w:type="dxa"/>
          </w:tcPr>
          <w:p w:rsidR="00BB3FF5" w:rsidRPr="00460CAE" w:rsidRDefault="00081219" w:rsidP="00E4695A">
            <w:pPr>
              <w:rPr>
                <w:szCs w:val="22"/>
                <w:lang w:val="es-ES_tradnl"/>
              </w:rPr>
            </w:pPr>
            <w:r w:rsidRPr="00460CAE">
              <w:rPr>
                <w:rStyle w:val="freetext"/>
                <w:lang w:val="es-ES_tradnl"/>
              </w:rPr>
              <w:t>Santiago de Chile</w:t>
            </w:r>
            <w:r w:rsidRPr="00460CAE">
              <w:rPr>
                <w:szCs w:val="22"/>
                <w:lang w:val="es-ES_tradnl"/>
              </w:rPr>
              <w:t xml:space="preserve"> (</w:t>
            </w:r>
            <w:r w:rsidR="00BB3FF5" w:rsidRPr="00460CAE">
              <w:rPr>
                <w:szCs w:val="22"/>
                <w:lang w:val="es-ES_tradnl"/>
              </w:rPr>
              <w:t>Chile</w:t>
            </w:r>
            <w:r w:rsidRPr="00460CAE">
              <w:rPr>
                <w:szCs w:val="22"/>
                <w:lang w:val="es-ES_tradnl"/>
              </w:rPr>
              <w:t>)</w:t>
            </w:r>
          </w:p>
        </w:tc>
        <w:tc>
          <w:tcPr>
            <w:tcW w:w="2694" w:type="dxa"/>
          </w:tcPr>
          <w:p w:rsidR="00BB3FF5" w:rsidRPr="00460CAE" w:rsidRDefault="00081219" w:rsidP="00E56DE1">
            <w:pPr>
              <w:rPr>
                <w:szCs w:val="22"/>
                <w:lang w:val="es-ES_tradnl"/>
              </w:rPr>
            </w:pPr>
            <w:r w:rsidRPr="00460CAE">
              <w:rPr>
                <w:szCs w:val="22"/>
                <w:lang w:val="es-ES_tradnl"/>
              </w:rPr>
              <w:t xml:space="preserve">Funcionarios públicos </w:t>
            </w:r>
            <w:r w:rsidR="00242DB2" w:rsidRPr="00460CAE">
              <w:rPr>
                <w:szCs w:val="22"/>
                <w:lang w:val="es-ES_tradnl"/>
              </w:rPr>
              <w:t xml:space="preserve">que </w:t>
            </w:r>
            <w:r w:rsidR="00E56DE1" w:rsidRPr="00460CAE">
              <w:rPr>
                <w:szCs w:val="22"/>
                <w:lang w:val="es-ES_tradnl"/>
              </w:rPr>
              <w:t>desarrollan su actividad en</w:t>
            </w:r>
            <w:r w:rsidR="00242DB2" w:rsidRPr="00460CAE">
              <w:rPr>
                <w:szCs w:val="22"/>
                <w:lang w:val="es-ES_tradnl"/>
              </w:rPr>
              <w:t xml:space="preserve"> los sistemas de PI y de salud</w:t>
            </w:r>
          </w:p>
        </w:tc>
        <w:tc>
          <w:tcPr>
            <w:tcW w:w="3118" w:type="dxa"/>
          </w:tcPr>
          <w:p w:rsidR="00BB3FF5" w:rsidRPr="00460CAE" w:rsidRDefault="00BB3FF5" w:rsidP="00E4695A">
            <w:pPr>
              <w:rPr>
                <w:szCs w:val="22"/>
                <w:lang w:val="es-ES_tradnl"/>
              </w:rPr>
            </w:pPr>
            <w:r w:rsidRPr="00460CAE">
              <w:rPr>
                <w:szCs w:val="22"/>
                <w:lang w:val="es-ES_tradnl"/>
              </w:rPr>
              <w:t xml:space="preserve">100 </w:t>
            </w:r>
            <w:r w:rsidR="0021307F" w:rsidRPr="00460CAE">
              <w:rPr>
                <w:szCs w:val="22"/>
                <w:lang w:val="es-ES_tradnl"/>
              </w:rPr>
              <w:t>participantes aproximadamente</w:t>
            </w:r>
          </w:p>
        </w:tc>
        <w:tc>
          <w:tcPr>
            <w:tcW w:w="1251" w:type="dxa"/>
          </w:tcPr>
          <w:p w:rsidR="00BB3FF5" w:rsidRPr="00460CAE" w:rsidRDefault="00BB3FF5" w:rsidP="00E4695A">
            <w:pPr>
              <w:rPr>
                <w:szCs w:val="22"/>
                <w:lang w:val="es-ES_tradnl"/>
              </w:rPr>
            </w:pPr>
            <w:r w:rsidRPr="00460CAE">
              <w:rPr>
                <w:szCs w:val="22"/>
                <w:lang w:val="es-ES_tradnl"/>
              </w:rPr>
              <w:t>ES</w:t>
            </w:r>
          </w:p>
        </w:tc>
      </w:tr>
      <w:tr w:rsidR="00BB3FF5" w:rsidRPr="00460CAE" w:rsidTr="00670D86">
        <w:trPr>
          <w:trHeight w:val="142"/>
        </w:trPr>
        <w:tc>
          <w:tcPr>
            <w:tcW w:w="3954" w:type="dxa"/>
          </w:tcPr>
          <w:p w:rsidR="00BB3FF5" w:rsidRPr="00460CAE" w:rsidRDefault="00E56DE1" w:rsidP="00E4695A">
            <w:pPr>
              <w:rPr>
                <w:szCs w:val="22"/>
                <w:lang w:val="es-ES_tradnl"/>
              </w:rPr>
            </w:pPr>
            <w:r w:rsidRPr="00460CAE">
              <w:rPr>
                <w:szCs w:val="22"/>
                <w:lang w:val="es-ES_tradnl"/>
              </w:rPr>
              <w:t>Seminario regional de la OMPI sobre innovación y comercialización de la PI</w:t>
            </w:r>
            <w:r w:rsidR="00B43555">
              <w:rPr>
                <w:szCs w:val="22"/>
                <w:lang w:val="es-ES_tradnl"/>
              </w:rPr>
              <w:t xml:space="preserve">:  </w:t>
            </w:r>
            <w:r w:rsidR="00B43555" w:rsidRPr="008A4622">
              <w:rPr>
                <w:szCs w:val="22"/>
                <w:lang w:val="es-ES_tradnl"/>
              </w:rPr>
              <w:t xml:space="preserve">opciones normativas e instrumentos </w:t>
            </w:r>
            <w:r w:rsidR="008A4622">
              <w:rPr>
                <w:szCs w:val="22"/>
                <w:lang w:val="es-ES_tradnl"/>
              </w:rPr>
              <w:t>práctico</w:t>
            </w:r>
            <w:r w:rsidR="00B43555" w:rsidRPr="008A4622">
              <w:rPr>
                <w:szCs w:val="22"/>
                <w:lang w:val="es-ES_tradnl"/>
              </w:rPr>
              <w:t>s</w:t>
            </w:r>
            <w:r w:rsidR="00BB3FF5" w:rsidRPr="00460CAE">
              <w:rPr>
                <w:szCs w:val="22"/>
                <w:lang w:val="es-ES_tradnl"/>
              </w:rPr>
              <w:t xml:space="preserve"> (25</w:t>
            </w:r>
            <w:r w:rsidR="00F66D08">
              <w:rPr>
                <w:szCs w:val="22"/>
                <w:lang w:val="es-ES_tradnl"/>
              </w:rPr>
              <w:t>.</w:t>
            </w:r>
            <w:r w:rsidRPr="00460CAE">
              <w:rPr>
                <w:szCs w:val="22"/>
                <w:lang w:val="es-ES_tradnl"/>
              </w:rPr>
              <w:t>º a</w:t>
            </w:r>
            <w:r w:rsidR="00BB3FF5" w:rsidRPr="00460CAE">
              <w:rPr>
                <w:szCs w:val="22"/>
                <w:lang w:val="es-ES_tradnl"/>
              </w:rPr>
              <w:t>niversar</w:t>
            </w:r>
            <w:r w:rsidRPr="00460CAE">
              <w:rPr>
                <w:szCs w:val="22"/>
                <w:lang w:val="es-ES_tradnl"/>
              </w:rPr>
              <w:t>io</w:t>
            </w:r>
            <w:r w:rsidR="00BB3FF5" w:rsidRPr="00460CAE">
              <w:rPr>
                <w:szCs w:val="22"/>
                <w:lang w:val="es-ES_tradnl"/>
              </w:rPr>
              <w:t xml:space="preserve"> </w:t>
            </w:r>
            <w:r w:rsidRPr="00460CAE">
              <w:rPr>
                <w:szCs w:val="22"/>
                <w:lang w:val="es-ES_tradnl"/>
              </w:rPr>
              <w:t xml:space="preserve">del sistema nacional de PI de </w:t>
            </w:r>
            <w:r w:rsidR="00BB3FF5" w:rsidRPr="00460CAE">
              <w:rPr>
                <w:szCs w:val="22"/>
                <w:lang w:val="es-ES_tradnl"/>
              </w:rPr>
              <w:t>Belar</w:t>
            </w:r>
            <w:r w:rsidRPr="00460CAE">
              <w:rPr>
                <w:szCs w:val="22"/>
                <w:lang w:val="es-ES_tradnl"/>
              </w:rPr>
              <w:t>ú</w:t>
            </w:r>
            <w:r w:rsidR="00BB3FF5" w:rsidRPr="00460CAE">
              <w:rPr>
                <w:szCs w:val="22"/>
                <w:lang w:val="es-ES_tradnl"/>
              </w:rPr>
              <w:t>s)</w:t>
            </w:r>
          </w:p>
          <w:p w:rsidR="00BB3FF5" w:rsidRPr="00460CAE" w:rsidRDefault="00BB3FF5" w:rsidP="00E4695A">
            <w:pPr>
              <w:rPr>
                <w:lang w:val="es-ES_tradnl"/>
              </w:rPr>
            </w:pPr>
          </w:p>
        </w:tc>
        <w:tc>
          <w:tcPr>
            <w:tcW w:w="1650" w:type="dxa"/>
          </w:tcPr>
          <w:p w:rsidR="00BB3FF5" w:rsidRPr="00460CAE" w:rsidRDefault="00E56DE1" w:rsidP="00E4695A">
            <w:pPr>
              <w:rPr>
                <w:lang w:val="es-ES_tradnl"/>
              </w:rPr>
            </w:pPr>
            <w:r w:rsidRPr="00460CAE">
              <w:rPr>
                <w:szCs w:val="22"/>
                <w:lang w:val="es-ES_tradnl"/>
              </w:rPr>
              <w:t>4 y 5 de mayo de</w:t>
            </w:r>
            <w:r w:rsidR="00BB3FF5" w:rsidRPr="00460CAE">
              <w:rPr>
                <w:szCs w:val="22"/>
                <w:lang w:val="es-ES_tradnl"/>
              </w:rPr>
              <w:t xml:space="preserve"> 2017</w:t>
            </w:r>
          </w:p>
        </w:tc>
        <w:tc>
          <w:tcPr>
            <w:tcW w:w="1875" w:type="dxa"/>
          </w:tcPr>
          <w:p w:rsidR="00BB3FF5" w:rsidRPr="00460CAE" w:rsidRDefault="00081219" w:rsidP="00E4695A">
            <w:pPr>
              <w:rPr>
                <w:lang w:val="es-ES_tradnl"/>
              </w:rPr>
            </w:pPr>
            <w:r w:rsidRPr="00460CAE">
              <w:rPr>
                <w:szCs w:val="22"/>
                <w:lang w:val="es-ES_tradnl"/>
              </w:rPr>
              <w:t>Minsk (Belarú</w:t>
            </w:r>
            <w:r w:rsidR="00BB3FF5" w:rsidRPr="00460CAE">
              <w:rPr>
                <w:szCs w:val="22"/>
                <w:lang w:val="es-ES_tradnl"/>
              </w:rPr>
              <w:t>s</w:t>
            </w:r>
            <w:r w:rsidRPr="00460CAE">
              <w:rPr>
                <w:szCs w:val="22"/>
                <w:lang w:val="es-ES_tradnl"/>
              </w:rPr>
              <w:t>)</w:t>
            </w:r>
          </w:p>
        </w:tc>
        <w:tc>
          <w:tcPr>
            <w:tcW w:w="2694" w:type="dxa"/>
          </w:tcPr>
          <w:p w:rsidR="00BB3FF5" w:rsidRPr="00460CAE" w:rsidRDefault="00E56DE1" w:rsidP="00E56DE1">
            <w:pPr>
              <w:rPr>
                <w:lang w:val="es-ES_tradnl"/>
              </w:rPr>
            </w:pPr>
            <w:r w:rsidRPr="00460CAE">
              <w:rPr>
                <w:szCs w:val="22"/>
                <w:lang w:val="es-ES_tradnl"/>
              </w:rPr>
              <w:t xml:space="preserve">Funcionarios públicos, profesionales </w:t>
            </w:r>
            <w:r w:rsidR="00AB6455" w:rsidRPr="00460CAE">
              <w:rPr>
                <w:szCs w:val="22"/>
                <w:lang w:val="es-ES_tradnl"/>
              </w:rPr>
              <w:t>del Derecho</w:t>
            </w:r>
            <w:r w:rsidRPr="00460CAE">
              <w:rPr>
                <w:lang w:val="es-ES_tradnl"/>
              </w:rPr>
              <w:t>, empresas, el mundo académico, etcétera</w:t>
            </w:r>
          </w:p>
        </w:tc>
        <w:tc>
          <w:tcPr>
            <w:tcW w:w="3118" w:type="dxa"/>
          </w:tcPr>
          <w:p w:rsidR="00BB3FF5" w:rsidRPr="00460CAE" w:rsidRDefault="00BB3FF5" w:rsidP="00E4695A">
            <w:pPr>
              <w:rPr>
                <w:lang w:val="es-ES_tradnl"/>
              </w:rPr>
            </w:pPr>
            <w:r w:rsidRPr="00460CAE">
              <w:rPr>
                <w:szCs w:val="22"/>
                <w:lang w:val="es-ES_tradnl"/>
              </w:rPr>
              <w:t xml:space="preserve">150 </w:t>
            </w:r>
            <w:r w:rsidR="0021307F" w:rsidRPr="00460CAE">
              <w:rPr>
                <w:szCs w:val="22"/>
                <w:lang w:val="es-ES_tradnl"/>
              </w:rPr>
              <w:t>participantes aproximadamente</w:t>
            </w:r>
          </w:p>
        </w:tc>
        <w:tc>
          <w:tcPr>
            <w:tcW w:w="1251" w:type="dxa"/>
          </w:tcPr>
          <w:p w:rsidR="00BB3FF5" w:rsidRPr="00460CAE" w:rsidRDefault="00BB3FF5" w:rsidP="00E4695A">
            <w:pPr>
              <w:rPr>
                <w:sz w:val="16"/>
                <w:szCs w:val="16"/>
                <w:lang w:val="es-ES_tradnl"/>
              </w:rPr>
            </w:pPr>
            <w:r w:rsidRPr="00460CAE">
              <w:rPr>
                <w:szCs w:val="22"/>
                <w:lang w:val="es-ES_tradnl"/>
              </w:rPr>
              <w:t>RU / EN</w:t>
            </w:r>
          </w:p>
        </w:tc>
      </w:tr>
      <w:tr w:rsidR="00BB3FF5" w:rsidRPr="00460CAE" w:rsidTr="00670D86">
        <w:trPr>
          <w:trHeight w:val="142"/>
        </w:trPr>
        <w:tc>
          <w:tcPr>
            <w:tcW w:w="3954" w:type="dxa"/>
          </w:tcPr>
          <w:p w:rsidR="00BB3FF5" w:rsidRPr="00460CAE" w:rsidRDefault="00B43555" w:rsidP="00E4695A">
            <w:pPr>
              <w:rPr>
                <w:szCs w:val="22"/>
                <w:lang w:val="es-ES_tradnl"/>
              </w:rPr>
            </w:pPr>
            <w:r>
              <w:rPr>
                <w:szCs w:val="22"/>
                <w:lang w:val="es-ES_tradnl"/>
              </w:rPr>
              <w:t>Conferencia</w:t>
            </w:r>
            <w:r w:rsidR="009E5343" w:rsidRPr="00460CAE">
              <w:rPr>
                <w:szCs w:val="22"/>
                <w:lang w:val="es-ES_tradnl"/>
              </w:rPr>
              <w:t xml:space="preserve"> regional </w:t>
            </w:r>
            <w:r>
              <w:rPr>
                <w:szCs w:val="22"/>
                <w:lang w:val="es-ES_tradnl"/>
              </w:rPr>
              <w:t>sobre PI</w:t>
            </w:r>
            <w:r w:rsidR="009E5343" w:rsidRPr="00460CAE">
              <w:rPr>
                <w:szCs w:val="22"/>
                <w:lang w:val="es-ES_tradnl"/>
              </w:rPr>
              <w:t xml:space="preserve"> organizad</w:t>
            </w:r>
            <w:r>
              <w:rPr>
                <w:szCs w:val="22"/>
                <w:lang w:val="es-ES_tradnl"/>
              </w:rPr>
              <w:t>a</w:t>
            </w:r>
            <w:r w:rsidR="009E5343" w:rsidRPr="00460CAE">
              <w:rPr>
                <w:szCs w:val="22"/>
                <w:lang w:val="es-ES_tradnl"/>
              </w:rPr>
              <w:t xml:space="preserve"> y </w:t>
            </w:r>
            <w:r>
              <w:rPr>
                <w:szCs w:val="22"/>
                <w:lang w:val="es-ES_tradnl"/>
              </w:rPr>
              <w:t>acogida</w:t>
            </w:r>
            <w:r w:rsidR="00896CCF" w:rsidRPr="00460CAE">
              <w:rPr>
                <w:szCs w:val="22"/>
                <w:lang w:val="es-ES_tradnl"/>
              </w:rPr>
              <w:t xml:space="preserve"> por la</w:t>
            </w:r>
            <w:r w:rsidR="00BB3FF5" w:rsidRPr="00460CAE">
              <w:rPr>
                <w:szCs w:val="22"/>
                <w:lang w:val="es-ES_tradnl"/>
              </w:rPr>
              <w:t xml:space="preserve"> </w:t>
            </w:r>
            <w:r w:rsidR="00896CCF" w:rsidRPr="00460CAE">
              <w:rPr>
                <w:szCs w:val="22"/>
                <w:lang w:val="es-ES_tradnl"/>
              </w:rPr>
              <w:t>Liga de los Estados Árabes</w:t>
            </w:r>
            <w:r w:rsidR="00BB3FF5" w:rsidRPr="00460CAE">
              <w:rPr>
                <w:szCs w:val="22"/>
                <w:lang w:val="es-ES_tradnl"/>
              </w:rPr>
              <w:t xml:space="preserve"> </w:t>
            </w:r>
            <w:r w:rsidR="00896CCF" w:rsidRPr="00460CAE">
              <w:rPr>
                <w:szCs w:val="22"/>
                <w:lang w:val="es-ES_tradnl"/>
              </w:rPr>
              <w:t>con ocasión del Día Mundial de la PI</w:t>
            </w:r>
          </w:p>
          <w:p w:rsidR="00BB3FF5" w:rsidRPr="00460CAE" w:rsidRDefault="00BB3FF5" w:rsidP="00E4695A">
            <w:pPr>
              <w:rPr>
                <w:szCs w:val="22"/>
                <w:lang w:val="es-ES_tradnl"/>
              </w:rPr>
            </w:pPr>
          </w:p>
        </w:tc>
        <w:tc>
          <w:tcPr>
            <w:tcW w:w="1650" w:type="dxa"/>
          </w:tcPr>
          <w:p w:rsidR="00BB3FF5" w:rsidRPr="00460CAE" w:rsidRDefault="00E56DE1" w:rsidP="00E4695A">
            <w:pPr>
              <w:rPr>
                <w:szCs w:val="22"/>
                <w:lang w:val="es-ES_tradnl"/>
              </w:rPr>
            </w:pPr>
            <w:r w:rsidRPr="00460CAE">
              <w:rPr>
                <w:szCs w:val="22"/>
                <w:lang w:val="es-ES_tradnl"/>
              </w:rPr>
              <w:t>26 de abril de</w:t>
            </w:r>
            <w:r w:rsidR="00BB3FF5" w:rsidRPr="00460CAE">
              <w:rPr>
                <w:szCs w:val="22"/>
                <w:lang w:val="es-ES_tradnl"/>
              </w:rPr>
              <w:t xml:space="preserve"> 2017</w:t>
            </w:r>
          </w:p>
        </w:tc>
        <w:tc>
          <w:tcPr>
            <w:tcW w:w="1875" w:type="dxa"/>
          </w:tcPr>
          <w:p w:rsidR="00BB3FF5" w:rsidRPr="00460CAE" w:rsidRDefault="00E56DE1" w:rsidP="00E56DE1">
            <w:pPr>
              <w:rPr>
                <w:szCs w:val="22"/>
                <w:lang w:val="es-ES_tradnl"/>
              </w:rPr>
            </w:pPr>
            <w:r w:rsidRPr="00460CAE">
              <w:rPr>
                <w:szCs w:val="22"/>
                <w:lang w:val="es-ES_tradnl"/>
              </w:rPr>
              <w:t xml:space="preserve">El </w:t>
            </w:r>
            <w:r w:rsidR="00984B41" w:rsidRPr="00460CAE">
              <w:rPr>
                <w:szCs w:val="22"/>
                <w:lang w:val="es-ES_tradnl"/>
              </w:rPr>
              <w:t>Cairo</w:t>
            </w:r>
            <w:r w:rsidRPr="00460CAE">
              <w:rPr>
                <w:szCs w:val="22"/>
                <w:lang w:val="es-ES_tradnl"/>
              </w:rPr>
              <w:t xml:space="preserve"> (Egipto)</w:t>
            </w:r>
          </w:p>
        </w:tc>
        <w:tc>
          <w:tcPr>
            <w:tcW w:w="2694" w:type="dxa"/>
          </w:tcPr>
          <w:p w:rsidR="00984B41" w:rsidRPr="00460CAE" w:rsidRDefault="00896CCF" w:rsidP="00E4695A">
            <w:pPr>
              <w:rPr>
                <w:szCs w:val="22"/>
                <w:lang w:val="es-ES_tradnl"/>
              </w:rPr>
            </w:pPr>
            <w:r w:rsidRPr="00460CAE">
              <w:rPr>
                <w:szCs w:val="22"/>
                <w:lang w:val="es-ES_tradnl"/>
              </w:rPr>
              <w:t>Algunas oficinas nacionales de PI</w:t>
            </w:r>
            <w:r w:rsidR="00BB3FF5" w:rsidRPr="00460CAE">
              <w:rPr>
                <w:szCs w:val="22"/>
                <w:lang w:val="es-ES_tradnl"/>
              </w:rPr>
              <w:t xml:space="preserve">, </w:t>
            </w:r>
            <w:r w:rsidRPr="00460CAE">
              <w:rPr>
                <w:szCs w:val="22"/>
                <w:lang w:val="es-ES_tradnl"/>
              </w:rPr>
              <w:t>representantes de algunas misiones permanentes acreditadas ante la</w:t>
            </w:r>
            <w:r w:rsidR="00BB3FF5" w:rsidRPr="00460CAE">
              <w:rPr>
                <w:szCs w:val="22"/>
                <w:lang w:val="es-ES_tradnl"/>
              </w:rPr>
              <w:t xml:space="preserve"> </w:t>
            </w:r>
            <w:r w:rsidRPr="00460CAE">
              <w:rPr>
                <w:szCs w:val="22"/>
                <w:lang w:val="es-ES_tradnl"/>
              </w:rPr>
              <w:t>LEA</w:t>
            </w:r>
            <w:r w:rsidR="00BB3FF5" w:rsidRPr="00460CAE">
              <w:rPr>
                <w:szCs w:val="22"/>
                <w:lang w:val="es-ES_tradnl"/>
              </w:rPr>
              <w:t xml:space="preserve">, </w:t>
            </w:r>
            <w:r w:rsidRPr="00460CAE">
              <w:rPr>
                <w:szCs w:val="22"/>
                <w:lang w:val="es-ES_tradnl"/>
              </w:rPr>
              <w:lastRenderedPageBreak/>
              <w:t>director del Consejo de Cooperación de los Estados Árabes del Golfo</w:t>
            </w:r>
            <w:r w:rsidR="00BB3FF5" w:rsidRPr="00460CAE">
              <w:rPr>
                <w:szCs w:val="22"/>
                <w:lang w:val="es-ES_tradnl"/>
              </w:rPr>
              <w:t xml:space="preserve">, </w:t>
            </w:r>
            <w:r w:rsidRPr="00460CAE">
              <w:rPr>
                <w:szCs w:val="22"/>
                <w:lang w:val="es-ES_tradnl"/>
              </w:rPr>
              <w:t>centro de formación en PI</w:t>
            </w:r>
            <w:r w:rsidR="00BB3FF5" w:rsidRPr="00460CAE">
              <w:rPr>
                <w:szCs w:val="22"/>
                <w:lang w:val="es-ES_tradnl"/>
              </w:rPr>
              <w:t xml:space="preserve">, </w:t>
            </w:r>
            <w:r w:rsidRPr="00460CAE">
              <w:rPr>
                <w:szCs w:val="22"/>
                <w:lang w:val="es-ES_tradnl"/>
              </w:rPr>
              <w:t>algunas partes interesadas pertinentes de la región, incluidos representantes de universidades, instituciones de investigación, el sector privado y ONG</w:t>
            </w:r>
          </w:p>
          <w:p w:rsidR="00BB3FF5" w:rsidRPr="00460CAE" w:rsidRDefault="00BB3FF5" w:rsidP="00E4695A">
            <w:pPr>
              <w:rPr>
                <w:szCs w:val="22"/>
                <w:lang w:val="es-ES_tradnl"/>
              </w:rPr>
            </w:pPr>
          </w:p>
        </w:tc>
        <w:tc>
          <w:tcPr>
            <w:tcW w:w="3118" w:type="dxa"/>
          </w:tcPr>
          <w:p w:rsidR="00BB3FF5" w:rsidRPr="00460CAE" w:rsidRDefault="00BB3FF5" w:rsidP="00E4695A">
            <w:pPr>
              <w:rPr>
                <w:szCs w:val="22"/>
                <w:lang w:val="es-ES_tradnl"/>
              </w:rPr>
            </w:pPr>
            <w:r w:rsidRPr="00460CAE">
              <w:rPr>
                <w:szCs w:val="22"/>
                <w:lang w:val="es-ES_tradnl"/>
              </w:rPr>
              <w:lastRenderedPageBreak/>
              <w:t xml:space="preserve">100 </w:t>
            </w:r>
            <w:r w:rsidR="0021307F" w:rsidRPr="00460CAE">
              <w:rPr>
                <w:szCs w:val="22"/>
                <w:lang w:val="es-ES_tradnl"/>
              </w:rPr>
              <w:t>participantes aproximadamente</w:t>
            </w:r>
          </w:p>
        </w:tc>
        <w:tc>
          <w:tcPr>
            <w:tcW w:w="1251" w:type="dxa"/>
          </w:tcPr>
          <w:p w:rsidR="00BB3FF5" w:rsidRPr="00460CAE" w:rsidRDefault="00BB3FF5" w:rsidP="00E4695A">
            <w:pPr>
              <w:rPr>
                <w:szCs w:val="22"/>
                <w:lang w:val="es-ES_tradnl"/>
              </w:rPr>
            </w:pPr>
            <w:r w:rsidRPr="00460CAE">
              <w:rPr>
                <w:szCs w:val="22"/>
                <w:lang w:val="es-ES_tradnl"/>
              </w:rPr>
              <w:t>AR</w:t>
            </w:r>
          </w:p>
        </w:tc>
      </w:tr>
      <w:tr w:rsidR="00BB3FF5" w:rsidRPr="00460CAE" w:rsidTr="00670D86">
        <w:trPr>
          <w:trHeight w:val="142"/>
        </w:trPr>
        <w:tc>
          <w:tcPr>
            <w:tcW w:w="3954" w:type="dxa"/>
          </w:tcPr>
          <w:p w:rsidR="00BB3FF5" w:rsidRPr="00460CAE" w:rsidRDefault="008D766A" w:rsidP="00E4695A">
            <w:pPr>
              <w:rPr>
                <w:szCs w:val="22"/>
                <w:lang w:val="es-ES_tradnl"/>
              </w:rPr>
            </w:pPr>
            <w:r w:rsidRPr="00460CAE">
              <w:rPr>
                <w:szCs w:val="22"/>
                <w:lang w:val="es-ES_tradnl"/>
              </w:rPr>
              <w:lastRenderedPageBreak/>
              <w:t xml:space="preserve">Promoción en las redes sociales </w:t>
            </w:r>
            <w:r w:rsidR="00BB3FF5" w:rsidRPr="00460CAE">
              <w:rPr>
                <w:szCs w:val="22"/>
                <w:lang w:val="es-ES_tradnl"/>
              </w:rPr>
              <w:t>(twitter)</w:t>
            </w:r>
          </w:p>
        </w:tc>
        <w:tc>
          <w:tcPr>
            <w:tcW w:w="1650" w:type="dxa"/>
          </w:tcPr>
          <w:p w:rsidR="00BB3FF5" w:rsidRPr="00460CAE" w:rsidRDefault="00E56DE1" w:rsidP="001E1102">
            <w:pPr>
              <w:rPr>
                <w:szCs w:val="22"/>
                <w:lang w:val="es-ES_tradnl"/>
              </w:rPr>
            </w:pPr>
            <w:r w:rsidRPr="00460CAE">
              <w:rPr>
                <w:szCs w:val="22"/>
                <w:lang w:val="es-ES_tradnl"/>
              </w:rPr>
              <w:t>11 de abril de</w:t>
            </w:r>
            <w:r w:rsidR="00BB3FF5" w:rsidRPr="00460CAE">
              <w:rPr>
                <w:szCs w:val="22"/>
                <w:lang w:val="es-ES_tradnl"/>
              </w:rPr>
              <w:t xml:space="preserve"> 2017</w:t>
            </w:r>
          </w:p>
        </w:tc>
        <w:tc>
          <w:tcPr>
            <w:tcW w:w="1875" w:type="dxa"/>
          </w:tcPr>
          <w:p w:rsidR="00BB3FF5" w:rsidRPr="00460CAE" w:rsidRDefault="00BB3FF5" w:rsidP="00E4695A">
            <w:pPr>
              <w:rPr>
                <w:szCs w:val="22"/>
                <w:lang w:val="es-ES_tradnl"/>
              </w:rPr>
            </w:pPr>
          </w:p>
          <w:p w:rsidR="00BB3FF5" w:rsidRPr="00460CAE" w:rsidRDefault="00BB3FF5" w:rsidP="00E4695A">
            <w:pPr>
              <w:rPr>
                <w:szCs w:val="22"/>
                <w:lang w:val="es-ES_tradnl"/>
              </w:rPr>
            </w:pPr>
            <w:r w:rsidRPr="00460CAE">
              <w:rPr>
                <w:szCs w:val="22"/>
                <w:lang w:val="es-ES_tradnl"/>
              </w:rPr>
              <w:t>-</w:t>
            </w:r>
          </w:p>
        </w:tc>
        <w:tc>
          <w:tcPr>
            <w:tcW w:w="2694" w:type="dxa"/>
          </w:tcPr>
          <w:p w:rsidR="00BB3FF5" w:rsidRPr="00460CAE" w:rsidRDefault="00E56DE1" w:rsidP="00E4695A">
            <w:pPr>
              <w:rPr>
                <w:szCs w:val="22"/>
                <w:lang w:val="es-ES_tradnl"/>
              </w:rPr>
            </w:pPr>
            <w:r w:rsidRPr="00460CAE">
              <w:rPr>
                <w:szCs w:val="22"/>
                <w:lang w:val="es-ES_tradnl"/>
              </w:rPr>
              <w:t>Público en general</w:t>
            </w:r>
          </w:p>
        </w:tc>
        <w:tc>
          <w:tcPr>
            <w:tcW w:w="3118" w:type="dxa"/>
          </w:tcPr>
          <w:p w:rsidR="00BB3FF5" w:rsidRPr="00460CAE" w:rsidRDefault="00BB3FF5" w:rsidP="00896CCF">
            <w:pPr>
              <w:rPr>
                <w:szCs w:val="22"/>
                <w:lang w:val="es-ES_tradnl"/>
              </w:rPr>
            </w:pPr>
            <w:r w:rsidRPr="00460CAE">
              <w:rPr>
                <w:szCs w:val="22"/>
                <w:lang w:val="es-ES_tradnl"/>
              </w:rPr>
              <w:t xml:space="preserve">4,697 </w:t>
            </w:r>
            <w:r w:rsidR="00896CCF" w:rsidRPr="00460CAE">
              <w:rPr>
                <w:szCs w:val="22"/>
                <w:lang w:val="es-ES_tradnl"/>
              </w:rPr>
              <w:t>visitantes / 95 interacciones con los contenidos publicados</w:t>
            </w:r>
          </w:p>
        </w:tc>
        <w:tc>
          <w:tcPr>
            <w:tcW w:w="1251" w:type="dxa"/>
          </w:tcPr>
          <w:p w:rsidR="00BB3FF5" w:rsidRPr="00460CAE" w:rsidRDefault="00BB3FF5" w:rsidP="00E4695A">
            <w:pPr>
              <w:rPr>
                <w:szCs w:val="22"/>
                <w:lang w:val="es-ES_tradnl"/>
              </w:rPr>
            </w:pPr>
            <w:r w:rsidRPr="00460CAE">
              <w:rPr>
                <w:szCs w:val="22"/>
                <w:lang w:val="es-ES_tradnl"/>
              </w:rPr>
              <w:t>EN</w:t>
            </w:r>
          </w:p>
        </w:tc>
      </w:tr>
      <w:tr w:rsidR="00BB3FF5" w:rsidRPr="00460CAE" w:rsidTr="00670D86">
        <w:trPr>
          <w:trHeight w:val="142"/>
        </w:trPr>
        <w:tc>
          <w:tcPr>
            <w:tcW w:w="3954" w:type="dxa"/>
          </w:tcPr>
          <w:p w:rsidR="00BB3FF5" w:rsidRPr="00460CAE" w:rsidRDefault="00631E4D" w:rsidP="00631E4D">
            <w:pPr>
              <w:rPr>
                <w:szCs w:val="22"/>
                <w:lang w:val="es-ES_tradnl"/>
              </w:rPr>
            </w:pPr>
            <w:r w:rsidRPr="00460CAE">
              <w:rPr>
                <w:szCs w:val="22"/>
                <w:lang w:val="es-ES_tradnl"/>
              </w:rPr>
              <w:t xml:space="preserve">Sesión informativa de la OMPI sobre </w:t>
            </w:r>
            <w:r w:rsidR="00B43555">
              <w:rPr>
                <w:szCs w:val="22"/>
                <w:lang w:val="es-ES_tradnl"/>
              </w:rPr>
              <w:t>f</w:t>
            </w:r>
            <w:r w:rsidR="00B43555" w:rsidRPr="00B43555">
              <w:rPr>
                <w:szCs w:val="22"/>
                <w:lang w:val="es-ES_tradnl"/>
              </w:rPr>
              <w:t>lexibilidades en materia de patentes en el marco jurídico multilateral y su aplicación legislativa en los planos nacional y regional</w:t>
            </w:r>
          </w:p>
        </w:tc>
        <w:tc>
          <w:tcPr>
            <w:tcW w:w="1650" w:type="dxa"/>
          </w:tcPr>
          <w:p w:rsidR="00BB3FF5" w:rsidRPr="00460CAE" w:rsidRDefault="00E56DE1" w:rsidP="00E4695A">
            <w:pPr>
              <w:rPr>
                <w:szCs w:val="22"/>
                <w:lang w:val="es-ES_tradnl"/>
              </w:rPr>
            </w:pPr>
            <w:r w:rsidRPr="00460CAE">
              <w:rPr>
                <w:szCs w:val="22"/>
                <w:lang w:val="es-ES_tradnl"/>
              </w:rPr>
              <w:t>16 de marzo de</w:t>
            </w:r>
            <w:r w:rsidR="00BB3FF5" w:rsidRPr="00460CAE">
              <w:rPr>
                <w:szCs w:val="22"/>
                <w:lang w:val="es-ES_tradnl"/>
              </w:rPr>
              <w:t xml:space="preserve"> 2017</w:t>
            </w:r>
          </w:p>
        </w:tc>
        <w:tc>
          <w:tcPr>
            <w:tcW w:w="1875" w:type="dxa"/>
          </w:tcPr>
          <w:p w:rsidR="00BB3FF5" w:rsidRPr="00460CAE" w:rsidRDefault="00E56DE1" w:rsidP="00E56DE1">
            <w:pPr>
              <w:rPr>
                <w:szCs w:val="22"/>
                <w:lang w:val="es-ES_tradnl"/>
              </w:rPr>
            </w:pPr>
            <w:r w:rsidRPr="00460CAE">
              <w:rPr>
                <w:szCs w:val="22"/>
                <w:lang w:val="es-ES_tradnl"/>
              </w:rPr>
              <w:t>Sede de la OMPI</w:t>
            </w:r>
          </w:p>
        </w:tc>
        <w:tc>
          <w:tcPr>
            <w:tcW w:w="2694" w:type="dxa"/>
          </w:tcPr>
          <w:p w:rsidR="00BB3FF5" w:rsidRPr="00460CAE" w:rsidRDefault="00631E4D" w:rsidP="00E4695A">
            <w:pPr>
              <w:rPr>
                <w:szCs w:val="22"/>
                <w:lang w:val="es-ES_tradnl"/>
              </w:rPr>
            </w:pPr>
            <w:r w:rsidRPr="00460CAE">
              <w:rPr>
                <w:szCs w:val="22"/>
                <w:lang w:val="es-ES_tradnl"/>
              </w:rPr>
              <w:t>Consejero económico de la Misión Permanente de las Comoras en</w:t>
            </w:r>
            <w:r w:rsidR="00BB3FF5" w:rsidRPr="00460CAE">
              <w:rPr>
                <w:szCs w:val="22"/>
                <w:lang w:val="es-ES_tradnl"/>
              </w:rPr>
              <w:t xml:space="preserve"> G</w:t>
            </w:r>
            <w:r w:rsidRPr="00460CAE">
              <w:rPr>
                <w:szCs w:val="22"/>
                <w:lang w:val="es-ES_tradnl"/>
              </w:rPr>
              <w:t>i</w:t>
            </w:r>
            <w:r w:rsidR="00BB3FF5" w:rsidRPr="00460CAE">
              <w:rPr>
                <w:szCs w:val="22"/>
                <w:lang w:val="es-ES_tradnl"/>
              </w:rPr>
              <w:t>ne</w:t>
            </w:r>
            <w:r w:rsidRPr="00460CAE">
              <w:rPr>
                <w:szCs w:val="22"/>
                <w:lang w:val="es-ES_tradnl"/>
              </w:rPr>
              <w:t>bra</w:t>
            </w:r>
          </w:p>
          <w:p w:rsidR="00984B41" w:rsidRPr="00460CAE" w:rsidRDefault="00984B41" w:rsidP="00E4695A">
            <w:pPr>
              <w:rPr>
                <w:szCs w:val="22"/>
                <w:lang w:val="es-ES_tradnl"/>
              </w:rPr>
            </w:pPr>
          </w:p>
        </w:tc>
        <w:tc>
          <w:tcPr>
            <w:tcW w:w="3118" w:type="dxa"/>
          </w:tcPr>
          <w:p w:rsidR="00BB3FF5" w:rsidRPr="00460CAE" w:rsidRDefault="006552F4" w:rsidP="00E4695A">
            <w:pPr>
              <w:rPr>
                <w:szCs w:val="22"/>
                <w:lang w:val="es-ES_tradnl"/>
              </w:rPr>
            </w:pPr>
            <w:r w:rsidRPr="00460CAE">
              <w:rPr>
                <w:szCs w:val="22"/>
                <w:lang w:val="es-ES_tradnl"/>
              </w:rPr>
              <w:t>n.a.</w:t>
            </w:r>
            <w:r w:rsidR="00BB3FF5" w:rsidRPr="00460CAE">
              <w:rPr>
                <w:szCs w:val="22"/>
                <w:lang w:val="es-ES_tradnl"/>
              </w:rPr>
              <w:t xml:space="preserve"> </w:t>
            </w:r>
          </w:p>
        </w:tc>
        <w:tc>
          <w:tcPr>
            <w:tcW w:w="1251" w:type="dxa"/>
          </w:tcPr>
          <w:p w:rsidR="00BB3FF5" w:rsidRPr="00460CAE" w:rsidRDefault="00BB3FF5" w:rsidP="00E4695A">
            <w:pPr>
              <w:rPr>
                <w:szCs w:val="22"/>
                <w:lang w:val="es-ES_tradnl"/>
              </w:rPr>
            </w:pPr>
            <w:r w:rsidRPr="00460CAE">
              <w:rPr>
                <w:szCs w:val="22"/>
                <w:lang w:val="es-ES_tradnl"/>
              </w:rPr>
              <w:t>FR</w:t>
            </w:r>
          </w:p>
        </w:tc>
      </w:tr>
      <w:tr w:rsidR="00BB3FF5" w:rsidRPr="00460CAE" w:rsidTr="00670D86">
        <w:trPr>
          <w:trHeight w:val="142"/>
        </w:trPr>
        <w:tc>
          <w:tcPr>
            <w:tcW w:w="3954" w:type="dxa"/>
          </w:tcPr>
          <w:p w:rsidR="00BB3FF5" w:rsidRPr="00460CAE" w:rsidRDefault="005D7BAA" w:rsidP="005D7BAA">
            <w:pPr>
              <w:rPr>
                <w:szCs w:val="22"/>
                <w:lang w:val="es-ES_tradnl"/>
              </w:rPr>
            </w:pPr>
            <w:r w:rsidRPr="00460CAE">
              <w:rPr>
                <w:szCs w:val="22"/>
                <w:lang w:val="es-ES_tradnl"/>
              </w:rPr>
              <w:t>Taller de la OMPI sobre el Derecho de patentes:  el marco jurídico multilateral y su aplicación nacional</w:t>
            </w:r>
          </w:p>
        </w:tc>
        <w:tc>
          <w:tcPr>
            <w:tcW w:w="1650" w:type="dxa"/>
          </w:tcPr>
          <w:p w:rsidR="00BB3FF5" w:rsidRPr="00460CAE" w:rsidRDefault="00E56DE1" w:rsidP="00E4695A">
            <w:pPr>
              <w:rPr>
                <w:szCs w:val="22"/>
                <w:lang w:val="es-ES_tradnl"/>
              </w:rPr>
            </w:pPr>
            <w:r w:rsidRPr="00460CAE">
              <w:rPr>
                <w:szCs w:val="22"/>
                <w:lang w:val="es-ES_tradnl"/>
              </w:rPr>
              <w:t>21 de febrero de</w:t>
            </w:r>
            <w:r w:rsidR="00BB3FF5" w:rsidRPr="00460CAE">
              <w:rPr>
                <w:szCs w:val="22"/>
                <w:lang w:val="es-ES_tradnl"/>
              </w:rPr>
              <w:t xml:space="preserve"> 2017</w:t>
            </w:r>
          </w:p>
        </w:tc>
        <w:tc>
          <w:tcPr>
            <w:tcW w:w="1875" w:type="dxa"/>
          </w:tcPr>
          <w:p w:rsidR="00BB3FF5" w:rsidRPr="00460CAE" w:rsidRDefault="00BB3FF5" w:rsidP="00306082">
            <w:pPr>
              <w:rPr>
                <w:szCs w:val="22"/>
                <w:lang w:val="es-ES_tradnl"/>
              </w:rPr>
            </w:pPr>
            <w:r w:rsidRPr="00460CAE">
              <w:rPr>
                <w:szCs w:val="22"/>
                <w:lang w:val="es-ES_tradnl"/>
              </w:rPr>
              <w:t>Ulaanbaatar</w:t>
            </w:r>
            <w:r w:rsidR="00306082" w:rsidRPr="00460CAE">
              <w:rPr>
                <w:szCs w:val="22"/>
                <w:lang w:val="es-ES_tradnl"/>
              </w:rPr>
              <w:t xml:space="preserve"> (</w:t>
            </w:r>
            <w:r w:rsidRPr="00460CAE">
              <w:rPr>
                <w:szCs w:val="22"/>
                <w:lang w:val="es-ES_tradnl"/>
              </w:rPr>
              <w:t>Mongolia</w:t>
            </w:r>
            <w:r w:rsidR="00306082" w:rsidRPr="00460CAE">
              <w:rPr>
                <w:szCs w:val="22"/>
                <w:lang w:val="es-ES_tradnl"/>
              </w:rPr>
              <w:t>)</w:t>
            </w:r>
          </w:p>
        </w:tc>
        <w:tc>
          <w:tcPr>
            <w:tcW w:w="2694" w:type="dxa"/>
          </w:tcPr>
          <w:p w:rsidR="00BB3FF5" w:rsidRPr="00460CAE" w:rsidRDefault="00E56DE1" w:rsidP="00E4695A">
            <w:pPr>
              <w:rPr>
                <w:szCs w:val="22"/>
                <w:lang w:val="es-ES_tradnl"/>
              </w:rPr>
            </w:pPr>
            <w:r w:rsidRPr="00460CAE">
              <w:rPr>
                <w:szCs w:val="22"/>
                <w:lang w:val="es-ES_tradnl"/>
              </w:rPr>
              <w:t>Funcionarios públicos, profesionales privados y representantes de empresas o asociaciones nacionales</w:t>
            </w:r>
          </w:p>
          <w:p w:rsidR="00B849E5" w:rsidRPr="00460CAE" w:rsidRDefault="00B849E5" w:rsidP="00E4695A">
            <w:pPr>
              <w:rPr>
                <w:szCs w:val="22"/>
                <w:lang w:val="es-ES_tradnl"/>
              </w:rPr>
            </w:pPr>
          </w:p>
        </w:tc>
        <w:tc>
          <w:tcPr>
            <w:tcW w:w="3118" w:type="dxa"/>
          </w:tcPr>
          <w:p w:rsidR="00BB3FF5" w:rsidRPr="00460CAE" w:rsidRDefault="00BB3FF5" w:rsidP="00E4695A">
            <w:pPr>
              <w:rPr>
                <w:szCs w:val="22"/>
                <w:lang w:val="es-ES_tradnl"/>
              </w:rPr>
            </w:pPr>
            <w:r w:rsidRPr="00460CAE">
              <w:rPr>
                <w:szCs w:val="22"/>
                <w:lang w:val="es-ES_tradnl"/>
              </w:rPr>
              <w:t xml:space="preserve">20 </w:t>
            </w:r>
            <w:r w:rsidR="0021307F" w:rsidRPr="00460CAE">
              <w:rPr>
                <w:szCs w:val="22"/>
                <w:lang w:val="es-ES_tradnl"/>
              </w:rPr>
              <w:t>participantes aproximadamente</w:t>
            </w:r>
          </w:p>
        </w:tc>
        <w:tc>
          <w:tcPr>
            <w:tcW w:w="1251" w:type="dxa"/>
          </w:tcPr>
          <w:p w:rsidR="00BB3FF5" w:rsidRPr="00460CAE" w:rsidRDefault="00BB3FF5" w:rsidP="00E4695A">
            <w:pPr>
              <w:rPr>
                <w:szCs w:val="22"/>
                <w:lang w:val="es-ES_tradnl"/>
              </w:rPr>
            </w:pPr>
            <w:r w:rsidRPr="00460CAE">
              <w:rPr>
                <w:szCs w:val="22"/>
                <w:lang w:val="es-ES_tradnl"/>
              </w:rPr>
              <w:t>EN</w:t>
            </w:r>
          </w:p>
        </w:tc>
      </w:tr>
      <w:tr w:rsidR="00374120" w:rsidRPr="00374120" w:rsidTr="00670D86">
        <w:trPr>
          <w:trHeight w:val="142"/>
        </w:trPr>
        <w:tc>
          <w:tcPr>
            <w:tcW w:w="3954" w:type="dxa"/>
          </w:tcPr>
          <w:p w:rsidR="00374120" w:rsidRPr="00460CAE" w:rsidRDefault="00374120" w:rsidP="00E4695A">
            <w:pPr>
              <w:rPr>
                <w:szCs w:val="22"/>
                <w:lang w:val="es-ES_tradnl"/>
              </w:rPr>
            </w:pPr>
            <w:r w:rsidRPr="00374120">
              <w:rPr>
                <w:szCs w:val="22"/>
                <w:lang w:val="es-ES_tradnl"/>
              </w:rPr>
              <w:t>Seminario nacional de la OMC relativo al Acuerdo sobre los ADPIC</w:t>
            </w:r>
          </w:p>
        </w:tc>
        <w:tc>
          <w:tcPr>
            <w:tcW w:w="1650" w:type="dxa"/>
          </w:tcPr>
          <w:p w:rsidR="00374120" w:rsidRPr="00460CAE" w:rsidRDefault="00374120" w:rsidP="00374120">
            <w:pPr>
              <w:rPr>
                <w:szCs w:val="22"/>
                <w:lang w:val="es-ES_tradnl"/>
              </w:rPr>
            </w:pPr>
            <w:r w:rsidRPr="00374120">
              <w:rPr>
                <w:szCs w:val="22"/>
                <w:lang w:val="es-ES_tradnl"/>
              </w:rPr>
              <w:t>Del 7 al 9 de febrero de 2017</w:t>
            </w:r>
          </w:p>
        </w:tc>
        <w:tc>
          <w:tcPr>
            <w:tcW w:w="1875" w:type="dxa"/>
          </w:tcPr>
          <w:p w:rsidR="00374120" w:rsidRPr="00460CAE" w:rsidRDefault="00374120" w:rsidP="00306082">
            <w:pPr>
              <w:rPr>
                <w:szCs w:val="22"/>
                <w:lang w:val="es-ES_tradnl"/>
              </w:rPr>
            </w:pPr>
            <w:r w:rsidRPr="00460CAE">
              <w:rPr>
                <w:szCs w:val="22"/>
                <w:lang w:val="es-ES_tradnl"/>
              </w:rPr>
              <w:t>Kingstown (</w:t>
            </w:r>
            <w:r w:rsidRPr="00460CAE">
              <w:rPr>
                <w:bCs/>
                <w:szCs w:val="22"/>
                <w:lang w:val="es-ES_tradnl"/>
              </w:rPr>
              <w:t>San Vicente y las Granadinas)</w:t>
            </w:r>
          </w:p>
        </w:tc>
        <w:tc>
          <w:tcPr>
            <w:tcW w:w="2694" w:type="dxa"/>
          </w:tcPr>
          <w:p w:rsidR="00374120" w:rsidRPr="00460CAE" w:rsidRDefault="00374120" w:rsidP="00374120">
            <w:pPr>
              <w:rPr>
                <w:szCs w:val="22"/>
                <w:lang w:val="es-ES_tradnl"/>
              </w:rPr>
            </w:pPr>
            <w:r w:rsidRPr="00460CAE">
              <w:rPr>
                <w:szCs w:val="22"/>
                <w:lang w:val="es-ES_tradnl"/>
              </w:rPr>
              <w:t xml:space="preserve">Funcionarios públicos, profesionales privados y representantes de empresas o </w:t>
            </w:r>
            <w:r w:rsidRPr="00460CAE">
              <w:rPr>
                <w:szCs w:val="22"/>
                <w:lang w:val="es-ES_tradnl"/>
              </w:rPr>
              <w:lastRenderedPageBreak/>
              <w:t>asociaciones nacionales</w:t>
            </w:r>
          </w:p>
          <w:p w:rsidR="00374120" w:rsidRPr="00460CAE" w:rsidRDefault="00374120" w:rsidP="00006CE7">
            <w:pPr>
              <w:rPr>
                <w:szCs w:val="22"/>
                <w:lang w:val="es-ES_tradnl"/>
              </w:rPr>
            </w:pPr>
          </w:p>
        </w:tc>
        <w:tc>
          <w:tcPr>
            <w:tcW w:w="3118" w:type="dxa"/>
          </w:tcPr>
          <w:p w:rsidR="00374120" w:rsidRPr="00460CAE" w:rsidRDefault="00374120" w:rsidP="00E4695A">
            <w:pPr>
              <w:rPr>
                <w:szCs w:val="22"/>
                <w:lang w:val="es-ES_tradnl"/>
              </w:rPr>
            </w:pPr>
            <w:r w:rsidRPr="00460CAE">
              <w:rPr>
                <w:szCs w:val="22"/>
                <w:lang w:val="es-ES_tradnl"/>
              </w:rPr>
              <w:lastRenderedPageBreak/>
              <w:t>30 participantes</w:t>
            </w:r>
          </w:p>
        </w:tc>
        <w:tc>
          <w:tcPr>
            <w:tcW w:w="1251" w:type="dxa"/>
          </w:tcPr>
          <w:p w:rsidR="00374120" w:rsidRPr="00460CAE" w:rsidRDefault="00374120" w:rsidP="00E4695A">
            <w:pPr>
              <w:rPr>
                <w:rStyle w:val="freetext"/>
                <w:lang w:val="es-ES_tradnl"/>
              </w:rPr>
            </w:pPr>
            <w:r w:rsidRPr="00460CAE">
              <w:rPr>
                <w:szCs w:val="22"/>
                <w:lang w:val="es-ES_tradnl"/>
              </w:rPr>
              <w:t>EN</w:t>
            </w:r>
          </w:p>
        </w:tc>
      </w:tr>
      <w:tr w:rsidR="00BB3FF5" w:rsidRPr="00460CAE" w:rsidTr="00670D86">
        <w:trPr>
          <w:trHeight w:val="142"/>
        </w:trPr>
        <w:tc>
          <w:tcPr>
            <w:tcW w:w="3954" w:type="dxa"/>
          </w:tcPr>
          <w:p w:rsidR="00BB3FF5" w:rsidRPr="00460CAE" w:rsidRDefault="00BB3FF5" w:rsidP="00E4695A">
            <w:pPr>
              <w:rPr>
                <w:szCs w:val="22"/>
                <w:lang w:val="es-ES_tradnl"/>
              </w:rPr>
            </w:pPr>
            <w:r w:rsidRPr="00460CAE">
              <w:rPr>
                <w:szCs w:val="22"/>
                <w:lang w:val="es-ES_tradnl"/>
              </w:rPr>
              <w:lastRenderedPageBreak/>
              <w:t>Conferen</w:t>
            </w:r>
            <w:r w:rsidR="00823947" w:rsidRPr="00460CAE">
              <w:rPr>
                <w:szCs w:val="22"/>
                <w:lang w:val="es-ES_tradnl"/>
              </w:rPr>
              <w:t>cia sobre la propiedad intelectual en la biomedicina, organizada por</w:t>
            </w:r>
            <w:r w:rsidR="00B43555" w:rsidRPr="00B43555">
              <w:rPr>
                <w:lang w:val="es-ES_tradnl"/>
              </w:rPr>
              <w:t xml:space="preserve"> </w:t>
            </w:r>
            <w:r w:rsidR="00B43555">
              <w:rPr>
                <w:szCs w:val="22"/>
                <w:lang w:val="es-ES_tradnl"/>
              </w:rPr>
              <w:t>la Oficina</w:t>
            </w:r>
            <w:r w:rsidR="00B43555" w:rsidRPr="00B43555">
              <w:rPr>
                <w:szCs w:val="22"/>
                <w:lang w:val="es-ES_tradnl"/>
              </w:rPr>
              <w:t xml:space="preserve"> Estatal de Patentes de </w:t>
            </w:r>
            <w:r w:rsidR="00B43555">
              <w:rPr>
                <w:szCs w:val="22"/>
                <w:lang w:val="es-ES_tradnl"/>
              </w:rPr>
              <w:t xml:space="preserve">la República de </w:t>
            </w:r>
            <w:r w:rsidR="00B43555" w:rsidRPr="00B43555">
              <w:rPr>
                <w:szCs w:val="22"/>
                <w:lang w:val="es-ES_tradnl"/>
              </w:rPr>
              <w:t>Lituania</w:t>
            </w:r>
            <w:r w:rsidR="00823947" w:rsidRPr="00460CAE">
              <w:rPr>
                <w:szCs w:val="22"/>
                <w:lang w:val="es-ES_tradnl"/>
              </w:rPr>
              <w:t xml:space="preserve"> </w:t>
            </w:r>
            <w:r w:rsidR="00B43555">
              <w:rPr>
                <w:szCs w:val="22"/>
                <w:lang w:val="es-ES_tradnl"/>
              </w:rPr>
              <w:t xml:space="preserve">en colaboración con </w:t>
            </w:r>
            <w:r w:rsidR="00823947" w:rsidRPr="00460CAE">
              <w:rPr>
                <w:szCs w:val="22"/>
                <w:lang w:val="es-ES_tradnl"/>
              </w:rPr>
              <w:t>la Oficina Europea de Patentes</w:t>
            </w:r>
            <w:r w:rsidR="00B43555">
              <w:rPr>
                <w:szCs w:val="22"/>
                <w:lang w:val="es-ES_tradnl"/>
              </w:rPr>
              <w:t>,</w:t>
            </w:r>
            <w:r w:rsidR="00823947" w:rsidRPr="00460CAE">
              <w:rPr>
                <w:szCs w:val="22"/>
                <w:lang w:val="es-ES_tradnl"/>
              </w:rPr>
              <w:t xml:space="preserve"> la </w:t>
            </w:r>
            <w:r w:rsidR="00823947" w:rsidRPr="00460CAE">
              <w:rPr>
                <w:rStyle w:val="Emphasis"/>
                <w:i w:val="0"/>
                <w:lang w:val="es-ES_tradnl"/>
              </w:rPr>
              <w:t>Universidad Lituana</w:t>
            </w:r>
            <w:r w:rsidR="00823947" w:rsidRPr="00460CAE">
              <w:rPr>
                <w:rStyle w:val="st"/>
                <w:i/>
                <w:lang w:val="es-ES_tradnl"/>
              </w:rPr>
              <w:t xml:space="preserve"> </w:t>
            </w:r>
            <w:r w:rsidR="00823947" w:rsidRPr="00460CAE">
              <w:rPr>
                <w:rStyle w:val="st"/>
                <w:lang w:val="es-ES_tradnl"/>
              </w:rPr>
              <w:t xml:space="preserve">de </w:t>
            </w:r>
            <w:r w:rsidR="00823947" w:rsidRPr="00460CAE">
              <w:rPr>
                <w:rStyle w:val="Emphasis"/>
                <w:i w:val="0"/>
                <w:lang w:val="es-ES_tradnl"/>
              </w:rPr>
              <w:t>Ciencias de la Salud</w:t>
            </w:r>
            <w:r w:rsidR="00B43555">
              <w:rPr>
                <w:rStyle w:val="Emphasis"/>
                <w:i w:val="0"/>
                <w:lang w:val="es-ES_tradnl"/>
              </w:rPr>
              <w:t xml:space="preserve"> y el Hospital de </w:t>
            </w:r>
            <w:r w:rsidR="00B43555" w:rsidRPr="00B43555">
              <w:rPr>
                <w:rStyle w:val="Emphasis"/>
                <w:i w:val="0"/>
                <w:lang w:val="es-ES_tradnl"/>
              </w:rPr>
              <w:t>la Universidad Lituana de Ciencias de la Salud</w:t>
            </w:r>
            <w:r w:rsidR="00B43555">
              <w:rPr>
                <w:rStyle w:val="Emphasis"/>
                <w:i w:val="0"/>
                <w:lang w:val="es-ES_tradnl"/>
              </w:rPr>
              <w:t xml:space="preserve"> Kauno klinikos</w:t>
            </w:r>
          </w:p>
          <w:p w:rsidR="00B849E5" w:rsidRPr="00460CAE" w:rsidRDefault="00B849E5" w:rsidP="00E4695A">
            <w:pPr>
              <w:rPr>
                <w:szCs w:val="22"/>
                <w:lang w:val="es-ES_tradnl"/>
              </w:rPr>
            </w:pPr>
          </w:p>
        </w:tc>
        <w:tc>
          <w:tcPr>
            <w:tcW w:w="1650" w:type="dxa"/>
          </w:tcPr>
          <w:p w:rsidR="00BB3FF5" w:rsidRPr="00460CAE" w:rsidRDefault="00323D6C" w:rsidP="00E4695A">
            <w:pPr>
              <w:rPr>
                <w:szCs w:val="22"/>
                <w:lang w:val="es-ES_tradnl"/>
              </w:rPr>
            </w:pPr>
            <w:r w:rsidRPr="00460CAE">
              <w:rPr>
                <w:szCs w:val="22"/>
                <w:lang w:val="es-ES_tradnl"/>
              </w:rPr>
              <w:t>10 de noviembre de</w:t>
            </w:r>
            <w:r w:rsidR="00BB3FF5" w:rsidRPr="00460CAE">
              <w:rPr>
                <w:szCs w:val="22"/>
                <w:lang w:val="es-ES_tradnl"/>
              </w:rPr>
              <w:t xml:space="preserve"> 2016</w:t>
            </w:r>
          </w:p>
        </w:tc>
        <w:tc>
          <w:tcPr>
            <w:tcW w:w="1875" w:type="dxa"/>
          </w:tcPr>
          <w:p w:rsidR="00BB3FF5" w:rsidRPr="00460CAE" w:rsidRDefault="00BB3FF5" w:rsidP="00306082">
            <w:pPr>
              <w:rPr>
                <w:szCs w:val="22"/>
                <w:lang w:val="es-ES_tradnl"/>
              </w:rPr>
            </w:pPr>
            <w:r w:rsidRPr="00460CAE">
              <w:rPr>
                <w:szCs w:val="22"/>
                <w:lang w:val="es-ES_tradnl"/>
              </w:rPr>
              <w:t xml:space="preserve">Kaunas </w:t>
            </w:r>
            <w:r w:rsidR="00306082" w:rsidRPr="00460CAE">
              <w:rPr>
                <w:szCs w:val="22"/>
                <w:lang w:val="es-ES_tradnl"/>
              </w:rPr>
              <w:t>(</w:t>
            </w:r>
            <w:r w:rsidRPr="00460CAE">
              <w:rPr>
                <w:szCs w:val="22"/>
                <w:lang w:val="es-ES_tradnl"/>
              </w:rPr>
              <w:t>Lituania</w:t>
            </w:r>
            <w:r w:rsidR="00306082" w:rsidRPr="00460CAE">
              <w:rPr>
                <w:szCs w:val="22"/>
                <w:lang w:val="es-ES_tradnl"/>
              </w:rPr>
              <w:t>)</w:t>
            </w:r>
          </w:p>
        </w:tc>
        <w:tc>
          <w:tcPr>
            <w:tcW w:w="2694" w:type="dxa"/>
          </w:tcPr>
          <w:p w:rsidR="00BB3FF5" w:rsidRPr="00460CAE" w:rsidRDefault="00823947" w:rsidP="00006CE7">
            <w:pPr>
              <w:rPr>
                <w:szCs w:val="22"/>
                <w:lang w:val="es-ES_tradnl"/>
              </w:rPr>
            </w:pPr>
            <w:r w:rsidRPr="00460CAE">
              <w:rPr>
                <w:szCs w:val="22"/>
                <w:lang w:val="es-ES_tradnl"/>
              </w:rPr>
              <w:t>Funcionarios públicos</w:t>
            </w:r>
            <w:r w:rsidR="00BB3FF5" w:rsidRPr="00460CAE">
              <w:rPr>
                <w:szCs w:val="22"/>
                <w:lang w:val="es-ES_tradnl"/>
              </w:rPr>
              <w:t>, profesional</w:t>
            </w:r>
            <w:r w:rsidRPr="00460CAE">
              <w:rPr>
                <w:szCs w:val="22"/>
                <w:lang w:val="es-ES_tradnl"/>
              </w:rPr>
              <w:t>e</w:t>
            </w:r>
            <w:r w:rsidR="00BB3FF5" w:rsidRPr="00460CAE">
              <w:rPr>
                <w:szCs w:val="22"/>
                <w:lang w:val="es-ES_tradnl"/>
              </w:rPr>
              <w:t xml:space="preserve">s </w:t>
            </w:r>
            <w:r w:rsidRPr="00460CAE">
              <w:rPr>
                <w:szCs w:val="22"/>
                <w:lang w:val="es-ES_tradnl"/>
              </w:rPr>
              <w:t>de los ámbitos de la medicina y la bioquímica, del sector farmacéutico</w:t>
            </w:r>
            <w:r w:rsidR="00006CE7" w:rsidRPr="00460CAE">
              <w:rPr>
                <w:szCs w:val="22"/>
                <w:lang w:val="es-ES_tradnl"/>
              </w:rPr>
              <w:t>, el mundo académico y estudiantes</w:t>
            </w:r>
          </w:p>
        </w:tc>
        <w:tc>
          <w:tcPr>
            <w:tcW w:w="3118" w:type="dxa"/>
          </w:tcPr>
          <w:p w:rsidR="00BB3FF5" w:rsidRPr="00460CAE" w:rsidRDefault="00BB3FF5" w:rsidP="00E4695A">
            <w:pPr>
              <w:rPr>
                <w:szCs w:val="22"/>
                <w:lang w:val="es-ES_tradnl"/>
              </w:rPr>
            </w:pPr>
            <w:r w:rsidRPr="00460CAE">
              <w:rPr>
                <w:szCs w:val="22"/>
                <w:lang w:val="es-ES_tradnl"/>
              </w:rPr>
              <w:t xml:space="preserve">100 </w:t>
            </w:r>
            <w:r w:rsidR="0021307F" w:rsidRPr="00460CAE">
              <w:rPr>
                <w:szCs w:val="22"/>
                <w:lang w:val="es-ES_tradnl"/>
              </w:rPr>
              <w:t>participantes aproximadamente</w:t>
            </w:r>
          </w:p>
        </w:tc>
        <w:tc>
          <w:tcPr>
            <w:tcW w:w="1251" w:type="dxa"/>
          </w:tcPr>
          <w:p w:rsidR="00BB3FF5" w:rsidRPr="00460CAE" w:rsidRDefault="0040031D" w:rsidP="00E4695A">
            <w:pPr>
              <w:rPr>
                <w:szCs w:val="22"/>
                <w:lang w:val="es-ES_tradnl"/>
              </w:rPr>
            </w:pPr>
            <w:r w:rsidRPr="00460CAE">
              <w:rPr>
                <w:rStyle w:val="freetext"/>
                <w:lang w:val="es-ES_tradnl"/>
              </w:rPr>
              <w:t>Lituano</w:t>
            </w:r>
            <w:r w:rsidRPr="00460CAE">
              <w:rPr>
                <w:szCs w:val="22"/>
                <w:lang w:val="es-ES_tradnl"/>
              </w:rPr>
              <w:t xml:space="preserve"> / EN</w:t>
            </w:r>
          </w:p>
        </w:tc>
      </w:tr>
      <w:tr w:rsidR="00BB3FF5" w:rsidRPr="00460CAE" w:rsidTr="00670D86">
        <w:trPr>
          <w:cantSplit/>
          <w:trHeight w:val="75"/>
        </w:trPr>
        <w:tc>
          <w:tcPr>
            <w:tcW w:w="3954" w:type="dxa"/>
          </w:tcPr>
          <w:p w:rsidR="00BB3FF5" w:rsidRPr="00460CAE" w:rsidRDefault="00006CE7" w:rsidP="00E4695A">
            <w:pPr>
              <w:rPr>
                <w:bCs/>
                <w:szCs w:val="22"/>
                <w:lang w:val="es-ES_tradnl"/>
              </w:rPr>
            </w:pPr>
            <w:r w:rsidRPr="00460CAE">
              <w:rPr>
                <w:bCs/>
                <w:szCs w:val="22"/>
                <w:lang w:val="es-ES_tradnl"/>
              </w:rPr>
              <w:t xml:space="preserve">Primer Foro </w:t>
            </w:r>
            <w:r w:rsidR="00B43555">
              <w:rPr>
                <w:bCs/>
                <w:szCs w:val="22"/>
                <w:lang w:val="es-ES_tradnl"/>
              </w:rPr>
              <w:t>Regio</w:t>
            </w:r>
            <w:r w:rsidRPr="00460CAE">
              <w:rPr>
                <w:bCs/>
                <w:szCs w:val="22"/>
                <w:lang w:val="es-ES_tradnl"/>
              </w:rPr>
              <w:t xml:space="preserve">nal </w:t>
            </w:r>
            <w:r w:rsidR="00F349DC">
              <w:rPr>
                <w:bCs/>
                <w:szCs w:val="22"/>
                <w:lang w:val="es-ES_tradnl"/>
              </w:rPr>
              <w:t>sobre</w:t>
            </w:r>
            <w:r w:rsidRPr="00460CAE">
              <w:rPr>
                <w:bCs/>
                <w:szCs w:val="22"/>
                <w:lang w:val="es-ES_tradnl"/>
              </w:rPr>
              <w:t xml:space="preserve"> Tribunales y Salas Especializadas en Materia de PI de</w:t>
            </w:r>
            <w:r w:rsidR="00BB3FF5" w:rsidRPr="00460CAE">
              <w:rPr>
                <w:szCs w:val="22"/>
                <w:lang w:val="es-ES_tradnl"/>
              </w:rPr>
              <w:t xml:space="preserve"> </w:t>
            </w:r>
            <w:r w:rsidRPr="00460CAE">
              <w:rPr>
                <w:szCs w:val="22"/>
                <w:lang w:val="es-ES_tradnl"/>
              </w:rPr>
              <w:t>Amé</w:t>
            </w:r>
            <w:r w:rsidR="00BB3FF5" w:rsidRPr="00460CAE">
              <w:rPr>
                <w:szCs w:val="22"/>
                <w:lang w:val="es-ES_tradnl"/>
              </w:rPr>
              <w:t>rica</w:t>
            </w:r>
            <w:r w:rsidRPr="00460CAE">
              <w:rPr>
                <w:szCs w:val="22"/>
                <w:lang w:val="es-ES_tradnl"/>
              </w:rPr>
              <w:t xml:space="preserve"> Latina</w:t>
            </w:r>
            <w:r w:rsidR="00BB3FF5" w:rsidRPr="00460CAE">
              <w:rPr>
                <w:szCs w:val="22"/>
                <w:lang w:val="es-ES_tradnl"/>
              </w:rPr>
              <w:t>, organiz</w:t>
            </w:r>
            <w:r w:rsidRPr="00460CAE">
              <w:rPr>
                <w:szCs w:val="22"/>
                <w:lang w:val="es-ES_tradnl"/>
              </w:rPr>
              <w:t>a</w:t>
            </w:r>
            <w:r w:rsidR="00BB3FF5" w:rsidRPr="00460CAE">
              <w:rPr>
                <w:szCs w:val="22"/>
                <w:lang w:val="es-ES_tradnl"/>
              </w:rPr>
              <w:t>d</w:t>
            </w:r>
            <w:r w:rsidRPr="00460CAE">
              <w:rPr>
                <w:szCs w:val="22"/>
                <w:lang w:val="es-ES_tradnl"/>
              </w:rPr>
              <w:t xml:space="preserve">o por la OMPI, </w:t>
            </w:r>
            <w:r w:rsidR="00F349DC">
              <w:rPr>
                <w:szCs w:val="22"/>
                <w:lang w:val="es-ES_tradnl"/>
              </w:rPr>
              <w:t xml:space="preserve">en colaboración con </w:t>
            </w:r>
            <w:r w:rsidRPr="00460CAE">
              <w:rPr>
                <w:szCs w:val="22"/>
                <w:lang w:val="es-ES_tradnl"/>
              </w:rPr>
              <w:t>el Tribunal de Propiedad Industrial de Chile y el Tribunal Registral Administrativo de Costa Rica</w:t>
            </w:r>
          </w:p>
          <w:p w:rsidR="00BB3FF5" w:rsidRPr="00460CAE" w:rsidRDefault="00BB3FF5" w:rsidP="00E4695A">
            <w:pPr>
              <w:rPr>
                <w:szCs w:val="22"/>
                <w:highlight w:val="yellow"/>
                <w:lang w:val="es-ES_tradnl"/>
              </w:rPr>
            </w:pPr>
          </w:p>
        </w:tc>
        <w:tc>
          <w:tcPr>
            <w:tcW w:w="1650" w:type="dxa"/>
          </w:tcPr>
          <w:p w:rsidR="00BB3FF5" w:rsidRPr="00460CAE" w:rsidRDefault="00323D6C" w:rsidP="00323D6C">
            <w:pPr>
              <w:rPr>
                <w:szCs w:val="22"/>
                <w:highlight w:val="yellow"/>
                <w:lang w:val="es-ES_tradnl"/>
              </w:rPr>
            </w:pPr>
            <w:r w:rsidRPr="00460CAE">
              <w:rPr>
                <w:szCs w:val="22"/>
                <w:lang w:val="es-ES_tradnl"/>
              </w:rPr>
              <w:t>D</w:t>
            </w:r>
            <w:r w:rsidR="00006CE7" w:rsidRPr="00460CAE">
              <w:rPr>
                <w:szCs w:val="22"/>
                <w:lang w:val="es-ES_tradnl"/>
              </w:rPr>
              <w:t>e</w:t>
            </w:r>
            <w:r w:rsidRPr="00460CAE">
              <w:rPr>
                <w:szCs w:val="22"/>
                <w:lang w:val="es-ES_tradnl"/>
              </w:rPr>
              <w:t>l 9 al 11 de noviembre de</w:t>
            </w:r>
            <w:r w:rsidR="00BB3FF5" w:rsidRPr="00460CAE">
              <w:rPr>
                <w:szCs w:val="22"/>
                <w:lang w:val="es-ES_tradnl"/>
              </w:rPr>
              <w:t xml:space="preserve"> 2016</w:t>
            </w:r>
          </w:p>
        </w:tc>
        <w:tc>
          <w:tcPr>
            <w:tcW w:w="1875" w:type="dxa"/>
          </w:tcPr>
          <w:p w:rsidR="00BB3FF5" w:rsidRPr="00460CAE" w:rsidRDefault="00E56DE1" w:rsidP="00E4695A">
            <w:pPr>
              <w:rPr>
                <w:szCs w:val="22"/>
                <w:highlight w:val="yellow"/>
                <w:lang w:val="es-ES_tradnl"/>
              </w:rPr>
            </w:pPr>
            <w:r w:rsidRPr="00460CAE">
              <w:rPr>
                <w:rStyle w:val="freetext"/>
                <w:lang w:val="es-ES_tradnl"/>
              </w:rPr>
              <w:t>Santiago de Chile</w:t>
            </w:r>
            <w:r w:rsidRPr="00460CAE">
              <w:rPr>
                <w:szCs w:val="22"/>
                <w:lang w:val="es-ES_tradnl"/>
              </w:rPr>
              <w:t xml:space="preserve"> (Chile)</w:t>
            </w:r>
          </w:p>
        </w:tc>
        <w:tc>
          <w:tcPr>
            <w:tcW w:w="2694" w:type="dxa"/>
          </w:tcPr>
          <w:p w:rsidR="00BB3FF5" w:rsidRPr="00460CAE" w:rsidRDefault="00006CE7" w:rsidP="00006CE7">
            <w:pPr>
              <w:rPr>
                <w:szCs w:val="22"/>
                <w:highlight w:val="yellow"/>
                <w:lang w:val="es-ES_tradnl"/>
              </w:rPr>
            </w:pPr>
            <w:r w:rsidRPr="00460CAE">
              <w:rPr>
                <w:szCs w:val="22"/>
                <w:lang w:val="es-ES_tradnl"/>
              </w:rPr>
              <w:t xml:space="preserve">Jueces de </w:t>
            </w:r>
            <w:r w:rsidRPr="00460CAE">
              <w:rPr>
                <w:bCs/>
                <w:szCs w:val="22"/>
                <w:lang w:val="es-ES_tradnl"/>
              </w:rPr>
              <w:t>Tribunales y Salas Especializadas en Materia de Propiedad Intelectual de países de</w:t>
            </w:r>
            <w:r w:rsidRPr="00460CAE">
              <w:rPr>
                <w:szCs w:val="22"/>
                <w:lang w:val="es-ES_tradnl"/>
              </w:rPr>
              <w:t xml:space="preserve"> América Latina</w:t>
            </w:r>
          </w:p>
        </w:tc>
        <w:tc>
          <w:tcPr>
            <w:tcW w:w="3118" w:type="dxa"/>
          </w:tcPr>
          <w:p w:rsidR="00BB3FF5" w:rsidRPr="00460CAE" w:rsidRDefault="00BB3FF5" w:rsidP="00E4695A">
            <w:pPr>
              <w:rPr>
                <w:szCs w:val="22"/>
                <w:highlight w:val="yellow"/>
                <w:lang w:val="es-ES_tradnl"/>
              </w:rPr>
            </w:pPr>
            <w:r w:rsidRPr="00460CAE">
              <w:rPr>
                <w:szCs w:val="22"/>
                <w:lang w:val="es-ES_tradnl"/>
              </w:rPr>
              <w:t xml:space="preserve">30 </w:t>
            </w:r>
            <w:r w:rsidR="0021307F" w:rsidRPr="00460CAE">
              <w:rPr>
                <w:szCs w:val="22"/>
                <w:lang w:val="es-ES_tradnl"/>
              </w:rPr>
              <w:t>participantes aproximadamente</w:t>
            </w:r>
            <w:r w:rsidRPr="00460CAE">
              <w:rPr>
                <w:szCs w:val="22"/>
                <w:lang w:val="es-ES_tradnl"/>
              </w:rPr>
              <w:t>.</w:t>
            </w:r>
          </w:p>
        </w:tc>
        <w:tc>
          <w:tcPr>
            <w:tcW w:w="1251" w:type="dxa"/>
          </w:tcPr>
          <w:p w:rsidR="00BB3FF5" w:rsidRPr="00460CAE" w:rsidRDefault="00BB3FF5" w:rsidP="00E4695A">
            <w:pPr>
              <w:rPr>
                <w:szCs w:val="22"/>
                <w:highlight w:val="yellow"/>
                <w:lang w:val="es-ES_tradnl"/>
              </w:rPr>
            </w:pPr>
            <w:r w:rsidRPr="00460CAE">
              <w:rPr>
                <w:szCs w:val="22"/>
                <w:lang w:val="es-ES_tradnl"/>
              </w:rPr>
              <w:t>ES</w:t>
            </w:r>
          </w:p>
        </w:tc>
      </w:tr>
      <w:tr w:rsidR="00BB3FF5" w:rsidRPr="00460CAE" w:rsidTr="00670D86">
        <w:trPr>
          <w:trHeight w:val="142"/>
        </w:trPr>
        <w:tc>
          <w:tcPr>
            <w:tcW w:w="3954" w:type="dxa"/>
          </w:tcPr>
          <w:p w:rsidR="00B849E5" w:rsidRPr="00460CAE" w:rsidRDefault="00006CE7" w:rsidP="00E4695A">
            <w:pPr>
              <w:rPr>
                <w:szCs w:val="22"/>
                <w:lang w:val="es-ES_tradnl"/>
              </w:rPr>
            </w:pPr>
            <w:r w:rsidRPr="00460CAE">
              <w:rPr>
                <w:szCs w:val="22"/>
                <w:lang w:val="es-ES_tradnl"/>
              </w:rPr>
              <w:t>Seminario regional sobre las tendencias actuales en el Derecho de patentes, organizado conjuntamente por la OMPI y la Organización Eurasiática de Patentes</w:t>
            </w:r>
            <w:r w:rsidR="00BB3FF5" w:rsidRPr="00460CAE">
              <w:rPr>
                <w:szCs w:val="22"/>
                <w:lang w:val="es-ES_tradnl"/>
              </w:rPr>
              <w:t xml:space="preserve"> (EAPO)</w:t>
            </w:r>
          </w:p>
        </w:tc>
        <w:tc>
          <w:tcPr>
            <w:tcW w:w="1650" w:type="dxa"/>
          </w:tcPr>
          <w:p w:rsidR="00BB3FF5" w:rsidRPr="00460CAE" w:rsidRDefault="00323D6C" w:rsidP="00E4695A">
            <w:pPr>
              <w:rPr>
                <w:szCs w:val="22"/>
                <w:lang w:val="es-ES_tradnl"/>
              </w:rPr>
            </w:pPr>
            <w:r w:rsidRPr="00460CAE">
              <w:rPr>
                <w:szCs w:val="22"/>
                <w:lang w:val="es-ES_tradnl"/>
              </w:rPr>
              <w:t>25 y 26 de octubre de</w:t>
            </w:r>
            <w:r w:rsidR="00BB3FF5" w:rsidRPr="00460CAE">
              <w:rPr>
                <w:szCs w:val="22"/>
                <w:lang w:val="es-ES_tradnl"/>
              </w:rPr>
              <w:t xml:space="preserve"> 2016</w:t>
            </w:r>
          </w:p>
        </w:tc>
        <w:tc>
          <w:tcPr>
            <w:tcW w:w="1875" w:type="dxa"/>
          </w:tcPr>
          <w:p w:rsidR="00BB3FF5" w:rsidRPr="00460CAE" w:rsidRDefault="007B47DA" w:rsidP="007B47DA">
            <w:pPr>
              <w:rPr>
                <w:szCs w:val="22"/>
                <w:lang w:val="es-ES_tradnl"/>
              </w:rPr>
            </w:pPr>
            <w:r w:rsidRPr="00460CAE">
              <w:rPr>
                <w:szCs w:val="22"/>
                <w:lang w:val="es-ES_tradnl"/>
              </w:rPr>
              <w:t>Bakú (</w:t>
            </w:r>
            <w:r w:rsidRPr="00460CAE">
              <w:rPr>
                <w:rStyle w:val="es"/>
                <w:bCs/>
                <w:lang w:val="es-ES_tradnl"/>
              </w:rPr>
              <w:t>Azerbaiyán)</w:t>
            </w:r>
          </w:p>
        </w:tc>
        <w:tc>
          <w:tcPr>
            <w:tcW w:w="2694" w:type="dxa"/>
          </w:tcPr>
          <w:p w:rsidR="00BB3FF5" w:rsidRPr="00460CAE" w:rsidRDefault="00E56DE1" w:rsidP="00E4695A">
            <w:pPr>
              <w:rPr>
                <w:szCs w:val="22"/>
                <w:lang w:val="es-ES_tradnl"/>
              </w:rPr>
            </w:pPr>
            <w:r w:rsidRPr="00460CAE">
              <w:rPr>
                <w:szCs w:val="22"/>
                <w:lang w:val="es-ES_tradnl"/>
              </w:rPr>
              <w:t xml:space="preserve">Funcionarios públicos, profesionales </w:t>
            </w:r>
            <w:r w:rsidR="00AB6455" w:rsidRPr="00460CAE">
              <w:rPr>
                <w:szCs w:val="22"/>
                <w:lang w:val="es-ES_tradnl"/>
              </w:rPr>
              <w:t>del Derecho</w:t>
            </w:r>
            <w:r w:rsidRPr="00460CAE">
              <w:rPr>
                <w:lang w:val="es-ES_tradnl"/>
              </w:rPr>
              <w:t>, empresas, el mundo académico, etcétera</w:t>
            </w:r>
          </w:p>
        </w:tc>
        <w:tc>
          <w:tcPr>
            <w:tcW w:w="3118" w:type="dxa"/>
          </w:tcPr>
          <w:p w:rsidR="00BB3FF5" w:rsidRPr="00460CAE" w:rsidRDefault="00BB3FF5" w:rsidP="00E4695A">
            <w:pPr>
              <w:rPr>
                <w:szCs w:val="22"/>
                <w:lang w:val="es-ES_tradnl"/>
              </w:rPr>
            </w:pPr>
            <w:r w:rsidRPr="00460CAE">
              <w:rPr>
                <w:szCs w:val="22"/>
                <w:lang w:val="es-ES_tradnl"/>
              </w:rPr>
              <w:t>60 participant</w:t>
            </w:r>
            <w:r w:rsidR="0021307F" w:rsidRPr="00460CAE">
              <w:rPr>
                <w:szCs w:val="22"/>
                <w:lang w:val="es-ES_tradnl"/>
              </w:rPr>
              <w:t>e</w:t>
            </w:r>
            <w:r w:rsidRPr="00460CAE">
              <w:rPr>
                <w:szCs w:val="22"/>
                <w:lang w:val="es-ES_tradnl"/>
              </w:rPr>
              <w:t>s</w:t>
            </w:r>
          </w:p>
        </w:tc>
        <w:tc>
          <w:tcPr>
            <w:tcW w:w="1251" w:type="dxa"/>
          </w:tcPr>
          <w:p w:rsidR="00BB3FF5" w:rsidRPr="00460CAE" w:rsidRDefault="00BB3FF5" w:rsidP="00E4695A">
            <w:pPr>
              <w:rPr>
                <w:szCs w:val="22"/>
                <w:lang w:val="es-ES_tradnl"/>
              </w:rPr>
            </w:pPr>
            <w:r w:rsidRPr="00460CAE">
              <w:rPr>
                <w:szCs w:val="22"/>
                <w:lang w:val="es-ES_tradnl"/>
              </w:rPr>
              <w:t>RU / EN</w:t>
            </w:r>
          </w:p>
        </w:tc>
      </w:tr>
    </w:tbl>
    <w:p w:rsidR="00602DD2" w:rsidRPr="00460CAE" w:rsidRDefault="00602DD2" w:rsidP="00670D86">
      <w:pPr>
        <w:tabs>
          <w:tab w:val="left" w:pos="6615"/>
        </w:tabs>
        <w:spacing w:before="120"/>
        <w:jc w:val="right"/>
        <w:rPr>
          <w:szCs w:val="22"/>
          <w:lang w:val="es-ES_tradnl"/>
        </w:rPr>
      </w:pPr>
      <w:r w:rsidRPr="00460CAE">
        <w:rPr>
          <w:szCs w:val="22"/>
          <w:lang w:val="es-ES_tradnl"/>
        </w:rPr>
        <w:t>[</w:t>
      </w:r>
      <w:r w:rsidR="00EB1046" w:rsidRPr="00460CAE">
        <w:rPr>
          <w:szCs w:val="22"/>
          <w:lang w:val="es-ES_tradnl"/>
        </w:rPr>
        <w:t>Fin del Anexo</w:t>
      </w:r>
      <w:r w:rsidRPr="00460CAE">
        <w:rPr>
          <w:szCs w:val="22"/>
          <w:lang w:val="es-ES_tradnl"/>
        </w:rPr>
        <w:t xml:space="preserve"> </w:t>
      </w:r>
      <w:r w:rsidR="006C0925" w:rsidRPr="00460CAE">
        <w:rPr>
          <w:szCs w:val="22"/>
          <w:lang w:val="es-ES_tradnl"/>
        </w:rPr>
        <w:t xml:space="preserve">II </w:t>
      </w:r>
      <w:r w:rsidR="00EB1046" w:rsidRPr="00460CAE">
        <w:rPr>
          <w:szCs w:val="22"/>
          <w:lang w:val="es-ES_tradnl"/>
        </w:rPr>
        <w:t xml:space="preserve">y del </w:t>
      </w:r>
      <w:r w:rsidRPr="00460CAE">
        <w:rPr>
          <w:szCs w:val="22"/>
          <w:lang w:val="es-ES_tradnl"/>
        </w:rPr>
        <w:t>document</w:t>
      </w:r>
      <w:r w:rsidR="00EB1046" w:rsidRPr="00460CAE">
        <w:rPr>
          <w:szCs w:val="22"/>
          <w:lang w:val="es-ES_tradnl"/>
        </w:rPr>
        <w:t>o</w:t>
      </w:r>
      <w:r w:rsidRPr="00460CAE">
        <w:rPr>
          <w:szCs w:val="22"/>
          <w:lang w:val="es-ES_tradnl"/>
        </w:rPr>
        <w:t>]</w:t>
      </w:r>
    </w:p>
    <w:sectPr w:rsidR="00602DD2" w:rsidRPr="00460CAE" w:rsidSect="00602DD2">
      <w:headerReference w:type="default" r:id="rId17"/>
      <w:footerReference w:type="default" r:id="rId18"/>
      <w:headerReference w:type="first" r:id="rId19"/>
      <w:footerReference w:type="first" r:id="rId20"/>
      <w:pgSz w:w="16840" w:h="11907" w:orient="landscape" w:code="9"/>
      <w:pgMar w:top="1418" w:right="567" w:bottom="1134"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5A" w:rsidRDefault="00E4695A">
      <w:r>
        <w:separator/>
      </w:r>
    </w:p>
  </w:endnote>
  <w:endnote w:type="continuationSeparator" w:id="0">
    <w:p w:rsidR="00E4695A" w:rsidRDefault="00E4695A" w:rsidP="003B38C1">
      <w:r>
        <w:separator/>
      </w:r>
    </w:p>
    <w:p w:rsidR="00E4695A" w:rsidRPr="003B38C1" w:rsidRDefault="00E4695A" w:rsidP="003B38C1">
      <w:pPr>
        <w:spacing w:after="60"/>
        <w:rPr>
          <w:sz w:val="17"/>
        </w:rPr>
      </w:pPr>
      <w:r>
        <w:rPr>
          <w:sz w:val="17"/>
        </w:rPr>
        <w:t>[Endnote continued from previous page]</w:t>
      </w:r>
    </w:p>
  </w:endnote>
  <w:endnote w:type="continuationNotice" w:id="1">
    <w:p w:rsidR="00E4695A" w:rsidRPr="003B38C1" w:rsidRDefault="00E4695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5A" w:rsidRDefault="00E46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5A" w:rsidRDefault="00E46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5A" w:rsidRDefault="00E469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5A" w:rsidRDefault="00E46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5A" w:rsidRDefault="00E4695A">
      <w:r>
        <w:separator/>
      </w:r>
    </w:p>
  </w:footnote>
  <w:footnote w:type="continuationSeparator" w:id="0">
    <w:p w:rsidR="00E4695A" w:rsidRDefault="00E4695A" w:rsidP="008B60B2">
      <w:r>
        <w:separator/>
      </w:r>
    </w:p>
    <w:p w:rsidR="00E4695A" w:rsidRPr="00ED77FB" w:rsidRDefault="00E4695A" w:rsidP="008B60B2">
      <w:pPr>
        <w:spacing w:after="60"/>
        <w:rPr>
          <w:sz w:val="17"/>
          <w:szCs w:val="17"/>
        </w:rPr>
      </w:pPr>
      <w:r w:rsidRPr="00ED77FB">
        <w:rPr>
          <w:sz w:val="17"/>
          <w:szCs w:val="17"/>
        </w:rPr>
        <w:t>[Footnote continued from previous page]</w:t>
      </w:r>
    </w:p>
  </w:footnote>
  <w:footnote w:type="continuationNotice" w:id="1">
    <w:p w:rsidR="00E4695A" w:rsidRPr="00ED77FB" w:rsidRDefault="00E4695A" w:rsidP="008B60B2">
      <w:pPr>
        <w:spacing w:before="60"/>
        <w:jc w:val="right"/>
        <w:rPr>
          <w:sz w:val="17"/>
          <w:szCs w:val="17"/>
        </w:rPr>
      </w:pPr>
      <w:r w:rsidRPr="00ED77FB">
        <w:rPr>
          <w:sz w:val="17"/>
          <w:szCs w:val="17"/>
        </w:rPr>
        <w:t>[Footnote continued on next page]</w:t>
      </w:r>
    </w:p>
  </w:footnote>
  <w:footnote w:id="2">
    <w:p w:rsidR="00E4695A" w:rsidRPr="00C07ECB" w:rsidRDefault="00E4695A" w:rsidP="00344F53">
      <w:pPr>
        <w:pStyle w:val="FootnoteText"/>
        <w:rPr>
          <w:lang w:val="es-ES_tradnl"/>
        </w:rPr>
      </w:pPr>
      <w:r>
        <w:rPr>
          <w:rStyle w:val="FootnoteReference"/>
        </w:rPr>
        <w:footnoteRef/>
      </w:r>
      <w:r w:rsidRPr="00C07ECB">
        <w:rPr>
          <w:lang w:val="es-ES_tradnl"/>
        </w:rPr>
        <w:t xml:space="preserve"> En dichas disposiciones se tratan las 14 flexibilidades siguientes:  i) licencias obligatorias y uso por el gobierno;  ii) agotamiento de los derechos;  iii) excepción relativa al examen reglamentario;  iv) exención con fines de investigación;  v) exclusiones respecto de la protección como modelo de utilidad;  vi) períodos de transición;  vii) patentabilidad de sustancias existentes en la naturaleza;  viii) flexibilidades relativas a la divulgación;  ix) examen sustantivo;  x) verificac</w:t>
      </w:r>
      <w:r>
        <w:rPr>
          <w:lang w:val="es-ES_tradnl"/>
        </w:rPr>
        <w:t>ión de oficio por parte de las O</w:t>
      </w:r>
      <w:r w:rsidRPr="00C07ECB">
        <w:rPr>
          <w:lang w:val="es-ES_tradnl"/>
        </w:rPr>
        <w:t xml:space="preserve">ficinas de </w:t>
      </w:r>
      <w:r>
        <w:rPr>
          <w:lang w:val="es-ES_tradnl"/>
        </w:rPr>
        <w:t>PI</w:t>
      </w:r>
      <w:r w:rsidRPr="00C07ECB">
        <w:rPr>
          <w:lang w:val="es-ES_tradnl"/>
        </w:rPr>
        <w:t xml:space="preserve"> de cláusulas anticompetitivas contenidas en contratos en licencia;  xi) alcance de la exclusión de la patentabilidad de plantas;  xii) patentabilidad, o exclusión de la patentabilidad, de las invenciones relacionadas con programas informáticos;  xiii) flexibilidad para aplicar o no sanciones penales en la observancia de las patentes;  </w:t>
      </w:r>
      <w:r>
        <w:rPr>
          <w:lang w:val="es-ES_tradnl"/>
        </w:rPr>
        <w:t>y</w:t>
      </w:r>
      <w:r w:rsidRPr="00C07ECB">
        <w:rPr>
          <w:lang w:val="es-ES_tradnl"/>
        </w:rPr>
        <w:t xml:space="preserve"> xiv) medidas relativas a la seguridad nacional (las llamadas “excepciones relativas a la seguridad”)</w:t>
      </w:r>
      <w:r>
        <w:rPr>
          <w:lang w:val="es-ES_tradnl"/>
        </w:rPr>
        <w:t>.</w:t>
      </w:r>
    </w:p>
  </w:footnote>
  <w:footnote w:id="3">
    <w:p w:rsidR="00E4695A" w:rsidRPr="00A11E28" w:rsidRDefault="00E4695A">
      <w:pPr>
        <w:pStyle w:val="FootnoteText"/>
        <w:rPr>
          <w:lang w:val="es-ES_tradnl"/>
        </w:rPr>
      </w:pPr>
      <w:r>
        <w:rPr>
          <w:rStyle w:val="FootnoteReference"/>
        </w:rPr>
        <w:footnoteRef/>
      </w:r>
      <w:r w:rsidRPr="00A11E28">
        <w:rPr>
          <w:lang w:val="es-ES_tradnl"/>
        </w:rPr>
        <w:t xml:space="preserve"> </w:t>
      </w:r>
      <w:r>
        <w:rPr>
          <w:lang w:val="es-ES_tradnl"/>
        </w:rPr>
        <w:t>A raíz de una solicitud formulada por el Comité en su decimosexta sesión</w:t>
      </w:r>
      <w:r w:rsidRPr="00A11E28">
        <w:rPr>
          <w:lang w:val="es-ES_tradnl"/>
        </w:rPr>
        <w:t xml:space="preserve">, las propuestas relativas a un procedimiento para actualizar </w:t>
      </w:r>
      <w:r w:rsidR="006D1B83">
        <w:rPr>
          <w:lang w:val="es-ES_tradnl"/>
        </w:rPr>
        <w:t>periódicamente la base de datos</w:t>
      </w:r>
      <w:r w:rsidRPr="00A11E28">
        <w:rPr>
          <w:lang w:val="es-ES_tradnl"/>
        </w:rPr>
        <w:t xml:space="preserve"> que figuran en los d</w:t>
      </w:r>
      <w:r w:rsidR="006D1B83">
        <w:rPr>
          <w:lang w:val="es-ES_tradnl"/>
        </w:rPr>
        <w:t>ocumentos CDIP/17/5 y CDIP/18/5</w:t>
      </w:r>
      <w:r w:rsidRPr="00A11E28">
        <w:rPr>
          <w:lang w:val="es-ES_tradnl"/>
        </w:rPr>
        <w:t xml:space="preserve"> </w:t>
      </w:r>
      <w:r>
        <w:rPr>
          <w:lang w:val="es-ES_tradnl"/>
        </w:rPr>
        <w:t>se examinaron respectivamente en las sesiones decimoséptima y decimoctava del CDIP.</w:t>
      </w:r>
    </w:p>
    <w:p w:rsidR="00E4695A" w:rsidRPr="00A11E28" w:rsidRDefault="00E4695A">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5A" w:rsidRDefault="00E4695A" w:rsidP="00BA0CE1">
    <w:pPr>
      <w:pStyle w:val="Header"/>
      <w:jc w:val="right"/>
      <w:rPr>
        <w:lang w:val="fr-CH"/>
      </w:rPr>
    </w:pPr>
    <w:r>
      <w:rPr>
        <w:lang w:val="fr-CH"/>
      </w:rPr>
      <w:t>CDIP/18/5</w:t>
    </w:r>
  </w:p>
  <w:p w:rsidR="00E4695A" w:rsidRDefault="00E4695A" w:rsidP="00BA0CE1">
    <w:pPr>
      <w:pStyle w:val="Header"/>
      <w:jc w:val="right"/>
      <w:rPr>
        <w:lang w:val="fr-CH"/>
      </w:rPr>
    </w:pPr>
    <w:r>
      <w:rPr>
        <w:lang w:val="fr-CH"/>
      </w:rPr>
      <w:t>Annex, page X</w:t>
    </w:r>
  </w:p>
  <w:p w:rsidR="00E4695A" w:rsidRDefault="00E4695A" w:rsidP="00BA0CE1">
    <w:pPr>
      <w:pStyle w:val="Header"/>
      <w:jc w:val="right"/>
      <w:rPr>
        <w:lang w:val="fr-CH"/>
      </w:rPr>
    </w:pPr>
  </w:p>
  <w:p w:rsidR="00E4695A" w:rsidRPr="00DD4C78" w:rsidRDefault="00E4695A" w:rsidP="00BA0CE1">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5A" w:rsidRDefault="00E4695A" w:rsidP="00BA0CE1">
    <w:pPr>
      <w:pStyle w:val="Header"/>
      <w:jc w:val="right"/>
      <w:rPr>
        <w:lang w:val="fr-CH"/>
      </w:rPr>
    </w:pPr>
    <w:r>
      <w:rPr>
        <w:lang w:val="fr-CH"/>
      </w:rPr>
      <w:t>CDIP/20/5</w:t>
    </w:r>
  </w:p>
  <w:p w:rsidR="00E4695A" w:rsidRDefault="00D41290" w:rsidP="00291A49">
    <w:pPr>
      <w:pStyle w:val="Header"/>
      <w:jc w:val="right"/>
      <w:rPr>
        <w:lang w:val="fr-CH"/>
      </w:rPr>
    </w:pPr>
    <w:r>
      <w:rPr>
        <w:lang w:val="fr-CH"/>
      </w:rPr>
      <w:t>An</w:t>
    </w:r>
    <w:r w:rsidR="00E4695A">
      <w:rPr>
        <w:lang w:val="fr-CH"/>
      </w:rPr>
      <w:t>ex</w:t>
    </w:r>
    <w:r>
      <w:rPr>
        <w:lang w:val="fr-CH"/>
      </w:rPr>
      <w:t>o I, pá</w:t>
    </w:r>
    <w:r w:rsidR="00E4695A">
      <w:rPr>
        <w:lang w:val="fr-CH"/>
      </w:rPr>
      <w:t>g</w:t>
    </w:r>
    <w:r>
      <w:rPr>
        <w:lang w:val="fr-CH"/>
      </w:rPr>
      <w:t>ina</w:t>
    </w:r>
    <w:r w:rsidR="00E4695A">
      <w:rPr>
        <w:lang w:val="fr-CH"/>
      </w:rPr>
      <w:t xml:space="preserve"> </w:t>
    </w:r>
    <w:r w:rsidR="00E4695A" w:rsidRPr="00291A49">
      <w:rPr>
        <w:lang w:val="fr-CH"/>
      </w:rPr>
      <w:fldChar w:fldCharType="begin"/>
    </w:r>
    <w:r w:rsidR="00E4695A" w:rsidRPr="00291A49">
      <w:rPr>
        <w:lang w:val="fr-CH"/>
      </w:rPr>
      <w:instrText xml:space="preserve"> PAGE   \* MERGEFORMAT </w:instrText>
    </w:r>
    <w:r w:rsidR="00E4695A" w:rsidRPr="00291A49">
      <w:rPr>
        <w:lang w:val="fr-CH"/>
      </w:rPr>
      <w:fldChar w:fldCharType="separate"/>
    </w:r>
    <w:r w:rsidR="00B16E89">
      <w:rPr>
        <w:noProof/>
        <w:lang w:val="fr-CH"/>
      </w:rPr>
      <w:t>2</w:t>
    </w:r>
    <w:r w:rsidR="00E4695A" w:rsidRPr="00291A49">
      <w:rPr>
        <w:noProof/>
        <w:lang w:val="fr-CH"/>
      </w:rPr>
      <w:fldChar w:fldCharType="end"/>
    </w:r>
  </w:p>
  <w:p w:rsidR="00E4695A" w:rsidRDefault="00E4695A" w:rsidP="00BA0CE1">
    <w:pPr>
      <w:pStyle w:val="Header"/>
      <w:jc w:val="right"/>
      <w:rPr>
        <w:lang w:val="fr-CH"/>
      </w:rPr>
    </w:pPr>
  </w:p>
  <w:p w:rsidR="00E4695A" w:rsidRPr="00DD4C78" w:rsidRDefault="00E4695A" w:rsidP="00BA0CE1">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5A" w:rsidRDefault="00E4695A" w:rsidP="00F975C5">
    <w:pPr>
      <w:pStyle w:val="Header"/>
      <w:jc w:val="right"/>
    </w:pPr>
    <w:r>
      <w:t>CDIP/20/5</w:t>
    </w:r>
  </w:p>
  <w:p w:rsidR="00E4695A" w:rsidRDefault="00E4695A" w:rsidP="006B4B4E">
    <w:pPr>
      <w:pStyle w:val="Header"/>
      <w:jc w:val="right"/>
    </w:pPr>
    <w:r>
      <w:t>ANEXO I</w:t>
    </w:r>
  </w:p>
  <w:p w:rsidR="00E4695A" w:rsidRDefault="00E4695A" w:rsidP="00790748">
    <w:pPr>
      <w:pStyle w:val="Header"/>
      <w:jc w:val="right"/>
    </w:pPr>
  </w:p>
  <w:p w:rsidR="00E4695A" w:rsidRDefault="00E469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5A" w:rsidRDefault="00E4695A" w:rsidP="00BA0CE1">
    <w:pPr>
      <w:pStyle w:val="Header"/>
      <w:jc w:val="right"/>
      <w:rPr>
        <w:lang w:val="fr-CH"/>
      </w:rPr>
    </w:pPr>
    <w:r>
      <w:rPr>
        <w:lang w:val="fr-CH"/>
      </w:rPr>
      <w:t>CDIP/20/5</w:t>
    </w:r>
  </w:p>
  <w:p w:rsidR="00E4695A" w:rsidRDefault="001A240E" w:rsidP="00291A49">
    <w:pPr>
      <w:pStyle w:val="Header"/>
      <w:jc w:val="right"/>
      <w:rPr>
        <w:lang w:val="fr-CH"/>
      </w:rPr>
    </w:pPr>
    <w:r>
      <w:t>An</w:t>
    </w:r>
    <w:r w:rsidR="00E4695A" w:rsidRPr="00B849E5">
      <w:t>ex</w:t>
    </w:r>
    <w:r>
      <w:t>o</w:t>
    </w:r>
    <w:r>
      <w:rPr>
        <w:lang w:val="fr-CH"/>
      </w:rPr>
      <w:t xml:space="preserve"> II, pá</w:t>
    </w:r>
    <w:r w:rsidR="00E4695A">
      <w:rPr>
        <w:lang w:val="fr-CH"/>
      </w:rPr>
      <w:t>g</w:t>
    </w:r>
    <w:r>
      <w:rPr>
        <w:lang w:val="fr-CH"/>
      </w:rPr>
      <w:t>ina</w:t>
    </w:r>
    <w:r w:rsidR="00E4695A">
      <w:rPr>
        <w:lang w:val="fr-CH"/>
      </w:rPr>
      <w:t xml:space="preserve"> </w:t>
    </w:r>
    <w:r w:rsidR="00E4695A" w:rsidRPr="00291A49">
      <w:rPr>
        <w:lang w:val="fr-CH"/>
      </w:rPr>
      <w:fldChar w:fldCharType="begin"/>
    </w:r>
    <w:r w:rsidR="00E4695A" w:rsidRPr="00291A49">
      <w:rPr>
        <w:lang w:val="fr-CH"/>
      </w:rPr>
      <w:instrText xml:space="preserve"> PAGE   \* MERGEFORMAT </w:instrText>
    </w:r>
    <w:r w:rsidR="00E4695A" w:rsidRPr="00291A49">
      <w:rPr>
        <w:lang w:val="fr-CH"/>
      </w:rPr>
      <w:fldChar w:fldCharType="separate"/>
    </w:r>
    <w:r w:rsidR="00B16E89">
      <w:rPr>
        <w:noProof/>
        <w:lang w:val="fr-CH"/>
      </w:rPr>
      <w:t>4</w:t>
    </w:r>
    <w:r w:rsidR="00E4695A" w:rsidRPr="00291A49">
      <w:rPr>
        <w:noProof/>
        <w:lang w:val="fr-CH"/>
      </w:rPr>
      <w:fldChar w:fldCharType="end"/>
    </w:r>
  </w:p>
  <w:p w:rsidR="00E4695A" w:rsidRDefault="00E4695A" w:rsidP="00BA0CE1">
    <w:pPr>
      <w:pStyle w:val="Header"/>
      <w:jc w:val="right"/>
      <w:rPr>
        <w:lang w:val="fr-CH"/>
      </w:rPr>
    </w:pPr>
  </w:p>
  <w:p w:rsidR="00E4695A" w:rsidRPr="00DD4C78" w:rsidRDefault="00E4695A" w:rsidP="00BA0CE1">
    <w:pPr>
      <w:pStyle w:val="Heade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5A" w:rsidRDefault="00E4695A" w:rsidP="00F975C5">
    <w:pPr>
      <w:pStyle w:val="Header"/>
      <w:jc w:val="right"/>
    </w:pPr>
    <w:r>
      <w:t>CDIP/20/5</w:t>
    </w:r>
  </w:p>
  <w:p w:rsidR="00E4695A" w:rsidRDefault="00010025" w:rsidP="00790748">
    <w:pPr>
      <w:pStyle w:val="Header"/>
      <w:jc w:val="right"/>
    </w:pPr>
    <w:r>
      <w:t>AN</w:t>
    </w:r>
    <w:r w:rsidR="00E4695A">
      <w:t>EX</w:t>
    </w:r>
    <w:r>
      <w:t>O</w:t>
    </w:r>
    <w:r w:rsidR="00E4695A">
      <w:t xml:space="preserve"> II</w:t>
    </w:r>
  </w:p>
  <w:p w:rsidR="00E4695A" w:rsidRDefault="00E4695A" w:rsidP="00790748">
    <w:pPr>
      <w:pStyle w:val="Header"/>
      <w:jc w:val="right"/>
    </w:pPr>
  </w:p>
  <w:p w:rsidR="00E4695A" w:rsidRDefault="00E46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7592040E"/>
    <w:lvl w:ilvl="0">
      <w:start w:val="7"/>
      <w:numFmt w:val="decimal"/>
      <w:pStyle w:val="ONUME"/>
      <w:lvlText w:val="%1."/>
      <w:lvlJc w:val="left"/>
      <w:pPr>
        <w:tabs>
          <w:tab w:val="num" w:pos="567"/>
        </w:tabs>
        <w:ind w:left="0" w:firstLine="0"/>
      </w:pPr>
      <w:rPr>
        <w:rFonts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0BE807BF"/>
    <w:multiLevelType w:val="hybridMultilevel"/>
    <w:tmpl w:val="525AB3CA"/>
    <w:lvl w:ilvl="0" w:tplc="8C56543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53044"/>
    <w:multiLevelType w:val="hybridMultilevel"/>
    <w:tmpl w:val="9E0A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F7C82"/>
    <w:multiLevelType w:val="hybridMultilevel"/>
    <w:tmpl w:val="FA74DE98"/>
    <w:lvl w:ilvl="0" w:tplc="50CCF344">
      <w:start w:val="1"/>
      <w:numFmt w:val="lowerRoman"/>
      <w:lvlText w:val="%1)"/>
      <w:lvlJc w:val="left"/>
      <w:pPr>
        <w:ind w:left="1884" w:hanging="75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6565F2B"/>
    <w:multiLevelType w:val="hybridMultilevel"/>
    <w:tmpl w:val="76F6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130A3"/>
    <w:multiLevelType w:val="multilevel"/>
    <w:tmpl w:val="8AF66484"/>
    <w:lvl w:ilvl="0">
      <w:start w:val="1"/>
      <w:numFmt w:val="decimal"/>
      <w:lvlRestart w:val="0"/>
      <w:lvlText w:val="%1."/>
      <w:lvlJc w:val="left"/>
      <w:pPr>
        <w:tabs>
          <w:tab w:val="num" w:pos="1134"/>
        </w:tabs>
        <w:ind w:left="567" w:firstLine="0"/>
      </w:pPr>
      <w:rPr>
        <w:rFonts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29DC076F"/>
    <w:multiLevelType w:val="hybridMultilevel"/>
    <w:tmpl w:val="0458D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6B56D3"/>
    <w:multiLevelType w:val="hybridMultilevel"/>
    <w:tmpl w:val="4426D0C0"/>
    <w:lvl w:ilvl="0" w:tplc="CB5E8BE0">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AF7B6E"/>
    <w:multiLevelType w:val="hybridMultilevel"/>
    <w:tmpl w:val="F7503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25D12"/>
    <w:multiLevelType w:val="hybridMultilevel"/>
    <w:tmpl w:val="0018FF64"/>
    <w:lvl w:ilvl="0" w:tplc="97D2CEE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8209B4"/>
    <w:multiLevelType w:val="multilevel"/>
    <w:tmpl w:val="03C043D6"/>
    <w:lvl w:ilvl="0">
      <w:start w:val="1"/>
      <w:numFmt w:val="bullet"/>
      <w:lvlText w:val=""/>
      <w:lvlJc w:val="left"/>
      <w:pPr>
        <w:tabs>
          <w:tab w:val="num" w:pos="567"/>
        </w:tabs>
        <w:ind w:left="0" w:firstLine="0"/>
      </w:pPr>
      <w:rPr>
        <w:rFonts w:ascii="Symbol" w:hAnsi="Symbol"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3E2A241F"/>
    <w:multiLevelType w:val="hybridMultilevel"/>
    <w:tmpl w:val="DD0CA400"/>
    <w:lvl w:ilvl="0" w:tplc="2E8C2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2A903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380362F"/>
    <w:multiLevelType w:val="hybridMultilevel"/>
    <w:tmpl w:val="B418B46C"/>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38C0729"/>
    <w:multiLevelType w:val="hybridMultilevel"/>
    <w:tmpl w:val="BD5E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930DE"/>
    <w:multiLevelType w:val="hybridMultilevel"/>
    <w:tmpl w:val="08FC0712"/>
    <w:lvl w:ilvl="0" w:tplc="A60CAD62">
      <w:start w:val="1"/>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42A84"/>
    <w:multiLevelType w:val="multilevel"/>
    <w:tmpl w:val="03C043D6"/>
    <w:lvl w:ilvl="0">
      <w:start w:val="1"/>
      <w:numFmt w:val="bullet"/>
      <w:lvlText w:val=""/>
      <w:lvlJc w:val="left"/>
      <w:pPr>
        <w:tabs>
          <w:tab w:val="num" w:pos="1134"/>
        </w:tabs>
        <w:ind w:left="567" w:firstLine="0"/>
      </w:pPr>
      <w:rPr>
        <w:rFonts w:ascii="Symbol" w:hAnsi="Symbol"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3B2135"/>
    <w:multiLevelType w:val="hybridMultilevel"/>
    <w:tmpl w:val="C7301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7970EE"/>
    <w:multiLevelType w:val="hybridMultilevel"/>
    <w:tmpl w:val="65B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24EB4"/>
    <w:multiLevelType w:val="hybridMultilevel"/>
    <w:tmpl w:val="D61EBE5A"/>
    <w:lvl w:ilvl="0" w:tplc="B8984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9810FB"/>
    <w:multiLevelType w:val="hybridMultilevel"/>
    <w:tmpl w:val="4E348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C75C93"/>
    <w:multiLevelType w:val="hybridMultilevel"/>
    <w:tmpl w:val="5FBC18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64944A59"/>
    <w:multiLevelType w:val="hybridMultilevel"/>
    <w:tmpl w:val="51F46786"/>
    <w:lvl w:ilvl="0" w:tplc="3EA46E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6C7A60F5"/>
    <w:multiLevelType w:val="hybridMultilevel"/>
    <w:tmpl w:val="261EB6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283CE9"/>
    <w:multiLevelType w:val="multilevel"/>
    <w:tmpl w:val="7542046C"/>
    <w:lvl w:ilvl="0">
      <w:start w:val="1"/>
      <w:numFmt w:val="lowerRoman"/>
      <w:lvlRestart w:val="0"/>
      <w:lvlText w:val="(%1)"/>
      <w:lvlJc w:val="left"/>
      <w:pPr>
        <w:tabs>
          <w:tab w:val="num" w:pos="1134"/>
        </w:tabs>
        <w:ind w:left="1134" w:firstLine="0"/>
      </w:pPr>
      <w:rPr>
        <w:rFonts w:ascii="Arial" w:eastAsia="SimSun" w:hAnsi="Arial" w:cs="Arial" w:hint="default"/>
        <w:color w:val="auto"/>
      </w:rPr>
    </w:lvl>
    <w:lvl w:ilvl="1">
      <w:start w:val="1"/>
      <w:numFmt w:val="lowerRoman"/>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28">
    <w:nsid w:val="73DD2976"/>
    <w:multiLevelType w:val="hybridMultilevel"/>
    <w:tmpl w:val="AECA0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8"/>
  </w:num>
  <w:num w:numId="2">
    <w:abstractNumId w:val="0"/>
  </w:num>
  <w:num w:numId="3">
    <w:abstractNumId w:val="4"/>
  </w:num>
  <w:num w:numId="4">
    <w:abstractNumId w:val="21"/>
  </w:num>
  <w:num w:numId="5">
    <w:abstractNumId w:val="20"/>
  </w:num>
  <w:num w:numId="6">
    <w:abstractNumId w:val="5"/>
  </w:num>
  <w:num w:numId="7">
    <w:abstractNumId w:val="7"/>
  </w:num>
  <w:num w:numId="8">
    <w:abstractNumId w:val="26"/>
  </w:num>
  <w:num w:numId="9">
    <w:abstractNumId w:val="14"/>
  </w:num>
  <w:num w:numId="10">
    <w:abstractNumId w:val="15"/>
  </w:num>
  <w:num w:numId="11">
    <w:abstractNumId w:val="8"/>
  </w:num>
  <w:num w:numId="12">
    <w:abstractNumId w:val="16"/>
  </w:num>
  <w:num w:numId="13">
    <w:abstractNumId w:val="2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2"/>
  </w:num>
  <w:num w:numId="18">
    <w:abstractNumId w:val="0"/>
  </w:num>
  <w:num w:numId="19">
    <w:abstractNumId w:val="0"/>
  </w:num>
  <w:num w:numId="20">
    <w:abstractNumId w:val="3"/>
  </w:num>
  <w:num w:numId="21">
    <w:abstractNumId w:val="0"/>
  </w:num>
  <w:num w:numId="22">
    <w:abstractNumId w:val="0"/>
  </w:num>
  <w:num w:numId="23">
    <w:abstractNumId w:val="27"/>
  </w:num>
  <w:num w:numId="24">
    <w:abstractNumId w:val="0"/>
  </w:num>
  <w:num w:numId="25">
    <w:abstractNumId w:val="0"/>
  </w:num>
  <w:num w:numId="26">
    <w:abstractNumId w:val="0"/>
  </w:num>
  <w:num w:numId="27">
    <w:abstractNumId w:val="0"/>
  </w:num>
  <w:num w:numId="28">
    <w:abstractNumId w:val="0"/>
  </w:num>
  <w:num w:numId="29">
    <w:abstractNumId w:val="12"/>
  </w:num>
  <w:num w:numId="30">
    <w:abstractNumId w:val="0"/>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1"/>
  </w:num>
  <w:num w:numId="36">
    <w:abstractNumId w:val="19"/>
  </w:num>
  <w:num w:numId="37">
    <w:abstractNumId w:val="4"/>
  </w:num>
  <w:num w:numId="38">
    <w:abstractNumId w:val="23"/>
  </w:num>
  <w:num w:numId="39">
    <w:abstractNumId w:val="17"/>
  </w:num>
  <w:num w:numId="40">
    <w:abstractNumId w:val="29"/>
  </w:num>
  <w:num w:numId="41">
    <w:abstractNumId w:val="25"/>
  </w:num>
  <w:num w:numId="42">
    <w:abstractNumId w:val="22"/>
  </w:num>
  <w:num w:numId="43">
    <w:abstractNumId w:val="24"/>
  </w:num>
  <w:num w:numId="44">
    <w:abstractNumId w:val="9"/>
  </w:num>
  <w:num w:numId="45">
    <w:abstractNumId w:val="10"/>
  </w:num>
  <w:num w:numId="46">
    <w:abstractNumId w:val="13"/>
  </w:num>
  <w:num w:numId="4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61"/>
    <w:rsid w:val="00001832"/>
    <w:rsid w:val="00003627"/>
    <w:rsid w:val="00003BE6"/>
    <w:rsid w:val="00004F6A"/>
    <w:rsid w:val="00006CE7"/>
    <w:rsid w:val="00010025"/>
    <w:rsid w:val="00010A81"/>
    <w:rsid w:val="00011F41"/>
    <w:rsid w:val="00016741"/>
    <w:rsid w:val="000179B2"/>
    <w:rsid w:val="00027C1B"/>
    <w:rsid w:val="00035C6E"/>
    <w:rsid w:val="00035DDA"/>
    <w:rsid w:val="000366EA"/>
    <w:rsid w:val="0004361E"/>
    <w:rsid w:val="00043CAA"/>
    <w:rsid w:val="00045F9F"/>
    <w:rsid w:val="00046235"/>
    <w:rsid w:val="00051F65"/>
    <w:rsid w:val="000523EB"/>
    <w:rsid w:val="00052D3F"/>
    <w:rsid w:val="00055D8B"/>
    <w:rsid w:val="00057475"/>
    <w:rsid w:val="000606AB"/>
    <w:rsid w:val="00061712"/>
    <w:rsid w:val="000630BF"/>
    <w:rsid w:val="00067EB7"/>
    <w:rsid w:val="0007477A"/>
    <w:rsid w:val="00075432"/>
    <w:rsid w:val="00077885"/>
    <w:rsid w:val="00081219"/>
    <w:rsid w:val="00081EE4"/>
    <w:rsid w:val="000835E5"/>
    <w:rsid w:val="00090291"/>
    <w:rsid w:val="00092EEA"/>
    <w:rsid w:val="00094EE8"/>
    <w:rsid w:val="000968ED"/>
    <w:rsid w:val="000A023B"/>
    <w:rsid w:val="000A0DE2"/>
    <w:rsid w:val="000A2ABC"/>
    <w:rsid w:val="000A4597"/>
    <w:rsid w:val="000A7840"/>
    <w:rsid w:val="000B0626"/>
    <w:rsid w:val="000B2AD3"/>
    <w:rsid w:val="000C2DB1"/>
    <w:rsid w:val="000C3CE8"/>
    <w:rsid w:val="000C511C"/>
    <w:rsid w:val="000C51E3"/>
    <w:rsid w:val="000C68D2"/>
    <w:rsid w:val="000D20BA"/>
    <w:rsid w:val="000D23C2"/>
    <w:rsid w:val="000D24B5"/>
    <w:rsid w:val="000D7C2F"/>
    <w:rsid w:val="000D7F01"/>
    <w:rsid w:val="000E001A"/>
    <w:rsid w:val="000E0813"/>
    <w:rsid w:val="000E20CB"/>
    <w:rsid w:val="000E2467"/>
    <w:rsid w:val="000E2879"/>
    <w:rsid w:val="000E2A5D"/>
    <w:rsid w:val="000E5226"/>
    <w:rsid w:val="000E6CBC"/>
    <w:rsid w:val="000F3EC6"/>
    <w:rsid w:val="000F45DD"/>
    <w:rsid w:val="000F4927"/>
    <w:rsid w:val="000F5E56"/>
    <w:rsid w:val="001000E6"/>
    <w:rsid w:val="00111B45"/>
    <w:rsid w:val="00116436"/>
    <w:rsid w:val="00117F8A"/>
    <w:rsid w:val="001223C8"/>
    <w:rsid w:val="00122517"/>
    <w:rsid w:val="00123099"/>
    <w:rsid w:val="0012610D"/>
    <w:rsid w:val="001320D5"/>
    <w:rsid w:val="001362EE"/>
    <w:rsid w:val="0014558C"/>
    <w:rsid w:val="00152195"/>
    <w:rsid w:val="00155C06"/>
    <w:rsid w:val="00165216"/>
    <w:rsid w:val="001746A6"/>
    <w:rsid w:val="001755E3"/>
    <w:rsid w:val="00182D0B"/>
    <w:rsid w:val="001832A6"/>
    <w:rsid w:val="001906EC"/>
    <w:rsid w:val="00191A29"/>
    <w:rsid w:val="0019236A"/>
    <w:rsid w:val="001934CC"/>
    <w:rsid w:val="001A1822"/>
    <w:rsid w:val="001A240E"/>
    <w:rsid w:val="001A3236"/>
    <w:rsid w:val="001A329D"/>
    <w:rsid w:val="001C0A44"/>
    <w:rsid w:val="001C0CA0"/>
    <w:rsid w:val="001C10DE"/>
    <w:rsid w:val="001C3683"/>
    <w:rsid w:val="001C44B1"/>
    <w:rsid w:val="001C5066"/>
    <w:rsid w:val="001C5579"/>
    <w:rsid w:val="001D0517"/>
    <w:rsid w:val="001D0CBF"/>
    <w:rsid w:val="001D7D82"/>
    <w:rsid w:val="001E1102"/>
    <w:rsid w:val="001E255A"/>
    <w:rsid w:val="001E3C7A"/>
    <w:rsid w:val="001F1CB2"/>
    <w:rsid w:val="001F1E46"/>
    <w:rsid w:val="001F2782"/>
    <w:rsid w:val="002008AD"/>
    <w:rsid w:val="0020165C"/>
    <w:rsid w:val="002019D3"/>
    <w:rsid w:val="00207A08"/>
    <w:rsid w:val="00207AC8"/>
    <w:rsid w:val="00207AE6"/>
    <w:rsid w:val="0021307F"/>
    <w:rsid w:val="002221BB"/>
    <w:rsid w:val="00222FB1"/>
    <w:rsid w:val="00226EEE"/>
    <w:rsid w:val="002353DB"/>
    <w:rsid w:val="00236404"/>
    <w:rsid w:val="002419ED"/>
    <w:rsid w:val="00242DB2"/>
    <w:rsid w:val="00242EC5"/>
    <w:rsid w:val="002444DB"/>
    <w:rsid w:val="0025304C"/>
    <w:rsid w:val="0026101E"/>
    <w:rsid w:val="0026227E"/>
    <w:rsid w:val="002634C4"/>
    <w:rsid w:val="00266395"/>
    <w:rsid w:val="002679A5"/>
    <w:rsid w:val="00272D27"/>
    <w:rsid w:val="00273B43"/>
    <w:rsid w:val="00274A02"/>
    <w:rsid w:val="0027556F"/>
    <w:rsid w:val="00275B59"/>
    <w:rsid w:val="00275C5C"/>
    <w:rsid w:val="00282572"/>
    <w:rsid w:val="00283E6B"/>
    <w:rsid w:val="00284DFA"/>
    <w:rsid w:val="002911FC"/>
    <w:rsid w:val="00291A49"/>
    <w:rsid w:val="002928D3"/>
    <w:rsid w:val="00292A49"/>
    <w:rsid w:val="002937F1"/>
    <w:rsid w:val="002A2FF8"/>
    <w:rsid w:val="002A53D6"/>
    <w:rsid w:val="002B14D8"/>
    <w:rsid w:val="002B2297"/>
    <w:rsid w:val="002B4C3B"/>
    <w:rsid w:val="002B4E42"/>
    <w:rsid w:val="002C263F"/>
    <w:rsid w:val="002C2C9C"/>
    <w:rsid w:val="002D236D"/>
    <w:rsid w:val="002D657B"/>
    <w:rsid w:val="002E1C0A"/>
    <w:rsid w:val="002E2787"/>
    <w:rsid w:val="002E2F01"/>
    <w:rsid w:val="002E591E"/>
    <w:rsid w:val="002F1AFB"/>
    <w:rsid w:val="002F1FE6"/>
    <w:rsid w:val="002F2E47"/>
    <w:rsid w:val="002F3C79"/>
    <w:rsid w:val="002F4CFD"/>
    <w:rsid w:val="002F4E68"/>
    <w:rsid w:val="002F772F"/>
    <w:rsid w:val="00304E10"/>
    <w:rsid w:val="00306082"/>
    <w:rsid w:val="00306A7C"/>
    <w:rsid w:val="00307B7B"/>
    <w:rsid w:val="003106AA"/>
    <w:rsid w:val="003112CE"/>
    <w:rsid w:val="00312F7F"/>
    <w:rsid w:val="00314672"/>
    <w:rsid w:val="00314764"/>
    <w:rsid w:val="00314DFF"/>
    <w:rsid w:val="003154F3"/>
    <w:rsid w:val="00317A35"/>
    <w:rsid w:val="00320831"/>
    <w:rsid w:val="00320BA4"/>
    <w:rsid w:val="00322772"/>
    <w:rsid w:val="00323D6C"/>
    <w:rsid w:val="00324388"/>
    <w:rsid w:val="00324DBE"/>
    <w:rsid w:val="00324E38"/>
    <w:rsid w:val="00331BEE"/>
    <w:rsid w:val="00337076"/>
    <w:rsid w:val="00340AF9"/>
    <w:rsid w:val="00340E6D"/>
    <w:rsid w:val="00344216"/>
    <w:rsid w:val="00344F53"/>
    <w:rsid w:val="00353310"/>
    <w:rsid w:val="0035396C"/>
    <w:rsid w:val="00353C48"/>
    <w:rsid w:val="00354EC2"/>
    <w:rsid w:val="00356E98"/>
    <w:rsid w:val="00360E3D"/>
    <w:rsid w:val="00361450"/>
    <w:rsid w:val="00362E2C"/>
    <w:rsid w:val="0036302B"/>
    <w:rsid w:val="003635AF"/>
    <w:rsid w:val="00364C15"/>
    <w:rsid w:val="003673CF"/>
    <w:rsid w:val="00372449"/>
    <w:rsid w:val="00374120"/>
    <w:rsid w:val="003769D7"/>
    <w:rsid w:val="003837AE"/>
    <w:rsid w:val="003845C1"/>
    <w:rsid w:val="00385D93"/>
    <w:rsid w:val="003875F6"/>
    <w:rsid w:val="00394C94"/>
    <w:rsid w:val="003A0D96"/>
    <w:rsid w:val="003A253B"/>
    <w:rsid w:val="003A5543"/>
    <w:rsid w:val="003A6F89"/>
    <w:rsid w:val="003B0B71"/>
    <w:rsid w:val="003B38C1"/>
    <w:rsid w:val="003C06C1"/>
    <w:rsid w:val="003C0AD1"/>
    <w:rsid w:val="003C0F85"/>
    <w:rsid w:val="003C3E71"/>
    <w:rsid w:val="003C5725"/>
    <w:rsid w:val="003C58F5"/>
    <w:rsid w:val="003C7030"/>
    <w:rsid w:val="003D606B"/>
    <w:rsid w:val="003D6138"/>
    <w:rsid w:val="003D67A2"/>
    <w:rsid w:val="003D79D9"/>
    <w:rsid w:val="003E350C"/>
    <w:rsid w:val="003E3594"/>
    <w:rsid w:val="003E6C77"/>
    <w:rsid w:val="003F2159"/>
    <w:rsid w:val="003F3AA3"/>
    <w:rsid w:val="003F5B3E"/>
    <w:rsid w:val="003F6D0E"/>
    <w:rsid w:val="0040031D"/>
    <w:rsid w:val="0040350C"/>
    <w:rsid w:val="004068BB"/>
    <w:rsid w:val="00406CDE"/>
    <w:rsid w:val="00410A3B"/>
    <w:rsid w:val="00412717"/>
    <w:rsid w:val="00420183"/>
    <w:rsid w:val="00420C0A"/>
    <w:rsid w:val="00420D52"/>
    <w:rsid w:val="00420DE1"/>
    <w:rsid w:val="0042351D"/>
    <w:rsid w:val="00423E3E"/>
    <w:rsid w:val="00425C7C"/>
    <w:rsid w:val="00426465"/>
    <w:rsid w:val="00427AF4"/>
    <w:rsid w:val="00427DAE"/>
    <w:rsid w:val="004310F3"/>
    <w:rsid w:val="00431F89"/>
    <w:rsid w:val="00433582"/>
    <w:rsid w:val="00433875"/>
    <w:rsid w:val="004345D5"/>
    <w:rsid w:val="00441BF3"/>
    <w:rsid w:val="004516CD"/>
    <w:rsid w:val="004557A8"/>
    <w:rsid w:val="00455C6D"/>
    <w:rsid w:val="00457C76"/>
    <w:rsid w:val="00460CAE"/>
    <w:rsid w:val="00461E1F"/>
    <w:rsid w:val="00463A28"/>
    <w:rsid w:val="004647DA"/>
    <w:rsid w:val="004727C1"/>
    <w:rsid w:val="00474062"/>
    <w:rsid w:val="00477D6B"/>
    <w:rsid w:val="004823F6"/>
    <w:rsid w:val="004851D2"/>
    <w:rsid w:val="00486B5A"/>
    <w:rsid w:val="0049159D"/>
    <w:rsid w:val="00492127"/>
    <w:rsid w:val="0049620F"/>
    <w:rsid w:val="00496D2F"/>
    <w:rsid w:val="004A3695"/>
    <w:rsid w:val="004A37AA"/>
    <w:rsid w:val="004A604F"/>
    <w:rsid w:val="004A7723"/>
    <w:rsid w:val="004B6F61"/>
    <w:rsid w:val="004C1D02"/>
    <w:rsid w:val="004D1FF3"/>
    <w:rsid w:val="004D60B2"/>
    <w:rsid w:val="004E2FA3"/>
    <w:rsid w:val="004E3036"/>
    <w:rsid w:val="004E339B"/>
    <w:rsid w:val="004E5A16"/>
    <w:rsid w:val="004E67E2"/>
    <w:rsid w:val="004E6B66"/>
    <w:rsid w:val="004F232F"/>
    <w:rsid w:val="004F2FA7"/>
    <w:rsid w:val="004F54D9"/>
    <w:rsid w:val="005019FF"/>
    <w:rsid w:val="00507532"/>
    <w:rsid w:val="00513783"/>
    <w:rsid w:val="00514ABF"/>
    <w:rsid w:val="00520C62"/>
    <w:rsid w:val="00522009"/>
    <w:rsid w:val="00524FCE"/>
    <w:rsid w:val="00526F4B"/>
    <w:rsid w:val="0052796B"/>
    <w:rsid w:val="0053057A"/>
    <w:rsid w:val="00530E4E"/>
    <w:rsid w:val="005318E2"/>
    <w:rsid w:val="0053407C"/>
    <w:rsid w:val="00543C2F"/>
    <w:rsid w:val="005456BF"/>
    <w:rsid w:val="00546151"/>
    <w:rsid w:val="00550AC3"/>
    <w:rsid w:val="00550AEE"/>
    <w:rsid w:val="00552572"/>
    <w:rsid w:val="00560A29"/>
    <w:rsid w:val="00564EEE"/>
    <w:rsid w:val="00565AAC"/>
    <w:rsid w:val="005771DF"/>
    <w:rsid w:val="00580E86"/>
    <w:rsid w:val="00581B72"/>
    <w:rsid w:val="00595516"/>
    <w:rsid w:val="005A0DF4"/>
    <w:rsid w:val="005A19ED"/>
    <w:rsid w:val="005A4679"/>
    <w:rsid w:val="005A4946"/>
    <w:rsid w:val="005B0393"/>
    <w:rsid w:val="005B2639"/>
    <w:rsid w:val="005B2C59"/>
    <w:rsid w:val="005B42EE"/>
    <w:rsid w:val="005B50FA"/>
    <w:rsid w:val="005C0700"/>
    <w:rsid w:val="005C6649"/>
    <w:rsid w:val="005D54C3"/>
    <w:rsid w:val="005D65B9"/>
    <w:rsid w:val="005D71A4"/>
    <w:rsid w:val="005D7BAA"/>
    <w:rsid w:val="005E0C34"/>
    <w:rsid w:val="005E3F12"/>
    <w:rsid w:val="005E4812"/>
    <w:rsid w:val="005E4A3B"/>
    <w:rsid w:val="005E4AE2"/>
    <w:rsid w:val="005E4D4F"/>
    <w:rsid w:val="005E5F50"/>
    <w:rsid w:val="005F33A1"/>
    <w:rsid w:val="005F4794"/>
    <w:rsid w:val="00602C21"/>
    <w:rsid w:val="00602DD2"/>
    <w:rsid w:val="00603C41"/>
    <w:rsid w:val="00605827"/>
    <w:rsid w:val="0061439B"/>
    <w:rsid w:val="00615306"/>
    <w:rsid w:val="006155D1"/>
    <w:rsid w:val="00623B61"/>
    <w:rsid w:val="006258FC"/>
    <w:rsid w:val="0063096E"/>
    <w:rsid w:val="0063142C"/>
    <w:rsid w:val="00631E4D"/>
    <w:rsid w:val="006349FE"/>
    <w:rsid w:val="006402CE"/>
    <w:rsid w:val="0064332F"/>
    <w:rsid w:val="00646050"/>
    <w:rsid w:val="00650679"/>
    <w:rsid w:val="006524CF"/>
    <w:rsid w:val="006534E9"/>
    <w:rsid w:val="00653B42"/>
    <w:rsid w:val="00653CDB"/>
    <w:rsid w:val="006552F4"/>
    <w:rsid w:val="006621E1"/>
    <w:rsid w:val="00663023"/>
    <w:rsid w:val="0066643E"/>
    <w:rsid w:val="00670D86"/>
    <w:rsid w:val="006713CA"/>
    <w:rsid w:val="00675CFC"/>
    <w:rsid w:val="0067644E"/>
    <w:rsid w:val="00676644"/>
    <w:rsid w:val="00676C5C"/>
    <w:rsid w:val="0068148C"/>
    <w:rsid w:val="0068452E"/>
    <w:rsid w:val="0068627B"/>
    <w:rsid w:val="00687972"/>
    <w:rsid w:val="00690085"/>
    <w:rsid w:val="00693BCA"/>
    <w:rsid w:val="00697956"/>
    <w:rsid w:val="006A10BE"/>
    <w:rsid w:val="006A7ADC"/>
    <w:rsid w:val="006B0378"/>
    <w:rsid w:val="006B1694"/>
    <w:rsid w:val="006B4B4E"/>
    <w:rsid w:val="006B6D7D"/>
    <w:rsid w:val="006C0925"/>
    <w:rsid w:val="006C56AB"/>
    <w:rsid w:val="006D1B83"/>
    <w:rsid w:val="006D4DC9"/>
    <w:rsid w:val="006E052C"/>
    <w:rsid w:val="006E1326"/>
    <w:rsid w:val="006E407E"/>
    <w:rsid w:val="006E4A37"/>
    <w:rsid w:val="006F029F"/>
    <w:rsid w:val="006F16D0"/>
    <w:rsid w:val="0070070D"/>
    <w:rsid w:val="0070151F"/>
    <w:rsid w:val="00704E30"/>
    <w:rsid w:val="00712679"/>
    <w:rsid w:val="007127C2"/>
    <w:rsid w:val="007204B5"/>
    <w:rsid w:val="00720A5B"/>
    <w:rsid w:val="00721303"/>
    <w:rsid w:val="00723020"/>
    <w:rsid w:val="00727563"/>
    <w:rsid w:val="0073082A"/>
    <w:rsid w:val="007315FF"/>
    <w:rsid w:val="007341D0"/>
    <w:rsid w:val="00736EF3"/>
    <w:rsid w:val="00741BA7"/>
    <w:rsid w:val="007423A2"/>
    <w:rsid w:val="007452F1"/>
    <w:rsid w:val="00746C6D"/>
    <w:rsid w:val="00751D1C"/>
    <w:rsid w:val="007525B2"/>
    <w:rsid w:val="0075338C"/>
    <w:rsid w:val="00755538"/>
    <w:rsid w:val="00761A95"/>
    <w:rsid w:val="0076218A"/>
    <w:rsid w:val="00762545"/>
    <w:rsid w:val="00762C8A"/>
    <w:rsid w:val="00764174"/>
    <w:rsid w:val="0077259B"/>
    <w:rsid w:val="00773F6F"/>
    <w:rsid w:val="00774B99"/>
    <w:rsid w:val="00775162"/>
    <w:rsid w:val="00775190"/>
    <w:rsid w:val="007764D0"/>
    <w:rsid w:val="00780843"/>
    <w:rsid w:val="007878BF"/>
    <w:rsid w:val="00790748"/>
    <w:rsid w:val="007948AB"/>
    <w:rsid w:val="00795449"/>
    <w:rsid w:val="007A182C"/>
    <w:rsid w:val="007A48BB"/>
    <w:rsid w:val="007B0A0A"/>
    <w:rsid w:val="007B19B7"/>
    <w:rsid w:val="007B45D6"/>
    <w:rsid w:val="007B47DA"/>
    <w:rsid w:val="007B5F9A"/>
    <w:rsid w:val="007B6D74"/>
    <w:rsid w:val="007B70A3"/>
    <w:rsid w:val="007C4398"/>
    <w:rsid w:val="007C5846"/>
    <w:rsid w:val="007C5C69"/>
    <w:rsid w:val="007C6BFC"/>
    <w:rsid w:val="007D0D0C"/>
    <w:rsid w:val="007D1613"/>
    <w:rsid w:val="007D3F1A"/>
    <w:rsid w:val="007E1AE3"/>
    <w:rsid w:val="007F11AC"/>
    <w:rsid w:val="007F4932"/>
    <w:rsid w:val="007F72A9"/>
    <w:rsid w:val="00802964"/>
    <w:rsid w:val="008146CB"/>
    <w:rsid w:val="00816CAB"/>
    <w:rsid w:val="00817B91"/>
    <w:rsid w:val="00823713"/>
    <w:rsid w:val="00823947"/>
    <w:rsid w:val="00827F61"/>
    <w:rsid w:val="00830524"/>
    <w:rsid w:val="0083798A"/>
    <w:rsid w:val="00842E77"/>
    <w:rsid w:val="00847320"/>
    <w:rsid w:val="00850633"/>
    <w:rsid w:val="00850915"/>
    <w:rsid w:val="008550B5"/>
    <w:rsid w:val="008646C3"/>
    <w:rsid w:val="00865DA5"/>
    <w:rsid w:val="00867249"/>
    <w:rsid w:val="00872CC7"/>
    <w:rsid w:val="00873BE9"/>
    <w:rsid w:val="00874699"/>
    <w:rsid w:val="00875B16"/>
    <w:rsid w:val="00890F74"/>
    <w:rsid w:val="00893ED4"/>
    <w:rsid w:val="0089640E"/>
    <w:rsid w:val="00896CCF"/>
    <w:rsid w:val="008A195F"/>
    <w:rsid w:val="008A43CE"/>
    <w:rsid w:val="008A4622"/>
    <w:rsid w:val="008A64B1"/>
    <w:rsid w:val="008B2CC1"/>
    <w:rsid w:val="008B3863"/>
    <w:rsid w:val="008B60B2"/>
    <w:rsid w:val="008C0498"/>
    <w:rsid w:val="008C1F2B"/>
    <w:rsid w:val="008C57E2"/>
    <w:rsid w:val="008D0634"/>
    <w:rsid w:val="008D43AF"/>
    <w:rsid w:val="008D766A"/>
    <w:rsid w:val="008E415C"/>
    <w:rsid w:val="008E4D82"/>
    <w:rsid w:val="008F34EA"/>
    <w:rsid w:val="008F4EA9"/>
    <w:rsid w:val="008F7BC2"/>
    <w:rsid w:val="009011D9"/>
    <w:rsid w:val="00903FDA"/>
    <w:rsid w:val="0090731E"/>
    <w:rsid w:val="00910CF6"/>
    <w:rsid w:val="009122C4"/>
    <w:rsid w:val="00916EE2"/>
    <w:rsid w:val="00920B26"/>
    <w:rsid w:val="00923EA1"/>
    <w:rsid w:val="00932704"/>
    <w:rsid w:val="00932F48"/>
    <w:rsid w:val="00937ACE"/>
    <w:rsid w:val="00937B99"/>
    <w:rsid w:val="009435B1"/>
    <w:rsid w:val="009458A4"/>
    <w:rsid w:val="00947172"/>
    <w:rsid w:val="00950414"/>
    <w:rsid w:val="00952DBB"/>
    <w:rsid w:val="00953DE9"/>
    <w:rsid w:val="0095678B"/>
    <w:rsid w:val="009570F9"/>
    <w:rsid w:val="0096181D"/>
    <w:rsid w:val="00966A22"/>
    <w:rsid w:val="0096722F"/>
    <w:rsid w:val="00970C28"/>
    <w:rsid w:val="00972A22"/>
    <w:rsid w:val="00976EB0"/>
    <w:rsid w:val="00977BB9"/>
    <w:rsid w:val="0098048D"/>
    <w:rsid w:val="00980843"/>
    <w:rsid w:val="00984B41"/>
    <w:rsid w:val="0098507A"/>
    <w:rsid w:val="0099048F"/>
    <w:rsid w:val="0099343F"/>
    <w:rsid w:val="0099358E"/>
    <w:rsid w:val="009A5468"/>
    <w:rsid w:val="009A65A2"/>
    <w:rsid w:val="009B129F"/>
    <w:rsid w:val="009B1D2B"/>
    <w:rsid w:val="009B749B"/>
    <w:rsid w:val="009C00C2"/>
    <w:rsid w:val="009C30CC"/>
    <w:rsid w:val="009D2738"/>
    <w:rsid w:val="009D47F8"/>
    <w:rsid w:val="009D5E7C"/>
    <w:rsid w:val="009E2791"/>
    <w:rsid w:val="009E289D"/>
    <w:rsid w:val="009E3F6F"/>
    <w:rsid w:val="009E5343"/>
    <w:rsid w:val="009E73AA"/>
    <w:rsid w:val="009F2975"/>
    <w:rsid w:val="009F499F"/>
    <w:rsid w:val="009F6187"/>
    <w:rsid w:val="009F6D44"/>
    <w:rsid w:val="009F7616"/>
    <w:rsid w:val="00A00234"/>
    <w:rsid w:val="00A110A4"/>
    <w:rsid w:val="00A11B38"/>
    <w:rsid w:val="00A11E28"/>
    <w:rsid w:val="00A12CD0"/>
    <w:rsid w:val="00A14814"/>
    <w:rsid w:val="00A17E51"/>
    <w:rsid w:val="00A21C52"/>
    <w:rsid w:val="00A252A7"/>
    <w:rsid w:val="00A26BFB"/>
    <w:rsid w:val="00A350AB"/>
    <w:rsid w:val="00A37E3D"/>
    <w:rsid w:val="00A42DAF"/>
    <w:rsid w:val="00A45BD8"/>
    <w:rsid w:val="00A50319"/>
    <w:rsid w:val="00A5052C"/>
    <w:rsid w:val="00A5124A"/>
    <w:rsid w:val="00A5470E"/>
    <w:rsid w:val="00A61F0D"/>
    <w:rsid w:val="00A64259"/>
    <w:rsid w:val="00A65D9A"/>
    <w:rsid w:val="00A674A0"/>
    <w:rsid w:val="00A750A0"/>
    <w:rsid w:val="00A849FC"/>
    <w:rsid w:val="00A865B4"/>
    <w:rsid w:val="00A869B7"/>
    <w:rsid w:val="00A87281"/>
    <w:rsid w:val="00A87E0B"/>
    <w:rsid w:val="00A92914"/>
    <w:rsid w:val="00AA157D"/>
    <w:rsid w:val="00AA7931"/>
    <w:rsid w:val="00AB6455"/>
    <w:rsid w:val="00AB6794"/>
    <w:rsid w:val="00AC0C8D"/>
    <w:rsid w:val="00AC205C"/>
    <w:rsid w:val="00AC230E"/>
    <w:rsid w:val="00AC2D65"/>
    <w:rsid w:val="00AC3336"/>
    <w:rsid w:val="00AC4C9E"/>
    <w:rsid w:val="00AC61B0"/>
    <w:rsid w:val="00AC6ADD"/>
    <w:rsid w:val="00AD1DB6"/>
    <w:rsid w:val="00AE5CAE"/>
    <w:rsid w:val="00AE5DB2"/>
    <w:rsid w:val="00AE61A1"/>
    <w:rsid w:val="00AE7216"/>
    <w:rsid w:val="00AF0A6B"/>
    <w:rsid w:val="00AF23A2"/>
    <w:rsid w:val="00AF6EF2"/>
    <w:rsid w:val="00B040FB"/>
    <w:rsid w:val="00B044DA"/>
    <w:rsid w:val="00B05A69"/>
    <w:rsid w:val="00B07E1E"/>
    <w:rsid w:val="00B10C5F"/>
    <w:rsid w:val="00B134DA"/>
    <w:rsid w:val="00B13B6A"/>
    <w:rsid w:val="00B14E25"/>
    <w:rsid w:val="00B15B66"/>
    <w:rsid w:val="00B16E89"/>
    <w:rsid w:val="00B22A73"/>
    <w:rsid w:val="00B24523"/>
    <w:rsid w:val="00B2489D"/>
    <w:rsid w:val="00B27781"/>
    <w:rsid w:val="00B33173"/>
    <w:rsid w:val="00B350D2"/>
    <w:rsid w:val="00B36CB7"/>
    <w:rsid w:val="00B377C2"/>
    <w:rsid w:val="00B43555"/>
    <w:rsid w:val="00B43FEE"/>
    <w:rsid w:val="00B47429"/>
    <w:rsid w:val="00B47BBC"/>
    <w:rsid w:val="00B55DE0"/>
    <w:rsid w:val="00B568B8"/>
    <w:rsid w:val="00B57FA2"/>
    <w:rsid w:val="00B613F1"/>
    <w:rsid w:val="00B67BB0"/>
    <w:rsid w:val="00B72F70"/>
    <w:rsid w:val="00B77189"/>
    <w:rsid w:val="00B80EFF"/>
    <w:rsid w:val="00B833D8"/>
    <w:rsid w:val="00B849E5"/>
    <w:rsid w:val="00B90F55"/>
    <w:rsid w:val="00B91486"/>
    <w:rsid w:val="00B968A0"/>
    <w:rsid w:val="00B9734B"/>
    <w:rsid w:val="00BA0CE1"/>
    <w:rsid w:val="00BA29A5"/>
    <w:rsid w:val="00BA2BCF"/>
    <w:rsid w:val="00BA6B82"/>
    <w:rsid w:val="00BB0363"/>
    <w:rsid w:val="00BB231F"/>
    <w:rsid w:val="00BB2811"/>
    <w:rsid w:val="00BB3B69"/>
    <w:rsid w:val="00BB3FF5"/>
    <w:rsid w:val="00BB4B28"/>
    <w:rsid w:val="00BC40C6"/>
    <w:rsid w:val="00BD1E5B"/>
    <w:rsid w:val="00BD2C19"/>
    <w:rsid w:val="00BD7C64"/>
    <w:rsid w:val="00BE7815"/>
    <w:rsid w:val="00BF01B3"/>
    <w:rsid w:val="00BF0412"/>
    <w:rsid w:val="00BF2121"/>
    <w:rsid w:val="00BF3E47"/>
    <w:rsid w:val="00C014B3"/>
    <w:rsid w:val="00C07ECB"/>
    <w:rsid w:val="00C11BFE"/>
    <w:rsid w:val="00C1324E"/>
    <w:rsid w:val="00C13343"/>
    <w:rsid w:val="00C16C4E"/>
    <w:rsid w:val="00C17A92"/>
    <w:rsid w:val="00C17E16"/>
    <w:rsid w:val="00C2621C"/>
    <w:rsid w:val="00C275C1"/>
    <w:rsid w:val="00C30116"/>
    <w:rsid w:val="00C41ED5"/>
    <w:rsid w:val="00C43C38"/>
    <w:rsid w:val="00C45A0C"/>
    <w:rsid w:val="00C45A59"/>
    <w:rsid w:val="00C464E8"/>
    <w:rsid w:val="00C46E3C"/>
    <w:rsid w:val="00C51A77"/>
    <w:rsid w:val="00C533B3"/>
    <w:rsid w:val="00C54239"/>
    <w:rsid w:val="00C54D2A"/>
    <w:rsid w:val="00C550AA"/>
    <w:rsid w:val="00C55F0F"/>
    <w:rsid w:val="00C575C2"/>
    <w:rsid w:val="00C57E27"/>
    <w:rsid w:val="00C617F4"/>
    <w:rsid w:val="00C62638"/>
    <w:rsid w:val="00C65E31"/>
    <w:rsid w:val="00C66005"/>
    <w:rsid w:val="00C6648C"/>
    <w:rsid w:val="00C666D1"/>
    <w:rsid w:val="00C70B0A"/>
    <w:rsid w:val="00C70EE3"/>
    <w:rsid w:val="00C719B6"/>
    <w:rsid w:val="00C71CA2"/>
    <w:rsid w:val="00C7433A"/>
    <w:rsid w:val="00C74470"/>
    <w:rsid w:val="00C755D1"/>
    <w:rsid w:val="00C75A8F"/>
    <w:rsid w:val="00C77A76"/>
    <w:rsid w:val="00C82DBF"/>
    <w:rsid w:val="00C83160"/>
    <w:rsid w:val="00C86837"/>
    <w:rsid w:val="00C92786"/>
    <w:rsid w:val="00C9356A"/>
    <w:rsid w:val="00CA13CE"/>
    <w:rsid w:val="00CB109A"/>
    <w:rsid w:val="00CB1FF0"/>
    <w:rsid w:val="00CB50DD"/>
    <w:rsid w:val="00CB6639"/>
    <w:rsid w:val="00CB7B41"/>
    <w:rsid w:val="00CC054D"/>
    <w:rsid w:val="00CC4DBF"/>
    <w:rsid w:val="00CD08DE"/>
    <w:rsid w:val="00CD3A08"/>
    <w:rsid w:val="00CD42AA"/>
    <w:rsid w:val="00CE18E5"/>
    <w:rsid w:val="00CE482F"/>
    <w:rsid w:val="00CE7CC2"/>
    <w:rsid w:val="00CF4AB6"/>
    <w:rsid w:val="00CF4D29"/>
    <w:rsid w:val="00CF4EEB"/>
    <w:rsid w:val="00D049FE"/>
    <w:rsid w:val="00D102E1"/>
    <w:rsid w:val="00D12CC4"/>
    <w:rsid w:val="00D152C5"/>
    <w:rsid w:val="00D1631B"/>
    <w:rsid w:val="00D16BBC"/>
    <w:rsid w:val="00D17EA9"/>
    <w:rsid w:val="00D272AC"/>
    <w:rsid w:val="00D3016B"/>
    <w:rsid w:val="00D30528"/>
    <w:rsid w:val="00D32D41"/>
    <w:rsid w:val="00D36E22"/>
    <w:rsid w:val="00D40D6E"/>
    <w:rsid w:val="00D41290"/>
    <w:rsid w:val="00D43440"/>
    <w:rsid w:val="00D44C50"/>
    <w:rsid w:val="00D44F59"/>
    <w:rsid w:val="00D45252"/>
    <w:rsid w:val="00D47363"/>
    <w:rsid w:val="00D602A1"/>
    <w:rsid w:val="00D63FF2"/>
    <w:rsid w:val="00D71B4D"/>
    <w:rsid w:val="00D72D4E"/>
    <w:rsid w:val="00D74AE7"/>
    <w:rsid w:val="00D76CA6"/>
    <w:rsid w:val="00D802F9"/>
    <w:rsid w:val="00D83368"/>
    <w:rsid w:val="00D844B3"/>
    <w:rsid w:val="00D930A7"/>
    <w:rsid w:val="00D938E3"/>
    <w:rsid w:val="00D93BCC"/>
    <w:rsid w:val="00D93D55"/>
    <w:rsid w:val="00D93D7E"/>
    <w:rsid w:val="00DB09F3"/>
    <w:rsid w:val="00DB1A01"/>
    <w:rsid w:val="00DC2B36"/>
    <w:rsid w:val="00DC3D87"/>
    <w:rsid w:val="00DC4645"/>
    <w:rsid w:val="00DE005B"/>
    <w:rsid w:val="00DE7200"/>
    <w:rsid w:val="00E05113"/>
    <w:rsid w:val="00E05830"/>
    <w:rsid w:val="00E271B0"/>
    <w:rsid w:val="00E335FE"/>
    <w:rsid w:val="00E33FA7"/>
    <w:rsid w:val="00E41A38"/>
    <w:rsid w:val="00E448CB"/>
    <w:rsid w:val="00E45FD6"/>
    <w:rsid w:val="00E4695A"/>
    <w:rsid w:val="00E501F0"/>
    <w:rsid w:val="00E53C0A"/>
    <w:rsid w:val="00E56DE1"/>
    <w:rsid w:val="00E60AAF"/>
    <w:rsid w:val="00E60C64"/>
    <w:rsid w:val="00E7177D"/>
    <w:rsid w:val="00E73F94"/>
    <w:rsid w:val="00E754DB"/>
    <w:rsid w:val="00E8102E"/>
    <w:rsid w:val="00E84B25"/>
    <w:rsid w:val="00E95A6E"/>
    <w:rsid w:val="00E96ADE"/>
    <w:rsid w:val="00E9742B"/>
    <w:rsid w:val="00EA06F5"/>
    <w:rsid w:val="00EA189A"/>
    <w:rsid w:val="00EA75DE"/>
    <w:rsid w:val="00EB0A62"/>
    <w:rsid w:val="00EB0D05"/>
    <w:rsid w:val="00EB1046"/>
    <w:rsid w:val="00EB449E"/>
    <w:rsid w:val="00EB44A3"/>
    <w:rsid w:val="00EB7312"/>
    <w:rsid w:val="00EB7472"/>
    <w:rsid w:val="00EC0298"/>
    <w:rsid w:val="00EC4937"/>
    <w:rsid w:val="00EC4E49"/>
    <w:rsid w:val="00EC746E"/>
    <w:rsid w:val="00EC7C07"/>
    <w:rsid w:val="00ED1E87"/>
    <w:rsid w:val="00ED2898"/>
    <w:rsid w:val="00ED525F"/>
    <w:rsid w:val="00ED77FB"/>
    <w:rsid w:val="00ED7E09"/>
    <w:rsid w:val="00EE0566"/>
    <w:rsid w:val="00EE45FA"/>
    <w:rsid w:val="00EE7CD8"/>
    <w:rsid w:val="00EF06C5"/>
    <w:rsid w:val="00EF6925"/>
    <w:rsid w:val="00EF736E"/>
    <w:rsid w:val="00EF75CC"/>
    <w:rsid w:val="00F0123F"/>
    <w:rsid w:val="00F01A16"/>
    <w:rsid w:val="00F02B8D"/>
    <w:rsid w:val="00F0322A"/>
    <w:rsid w:val="00F0466A"/>
    <w:rsid w:val="00F12FD4"/>
    <w:rsid w:val="00F17777"/>
    <w:rsid w:val="00F264F3"/>
    <w:rsid w:val="00F277BE"/>
    <w:rsid w:val="00F349DC"/>
    <w:rsid w:val="00F34E9A"/>
    <w:rsid w:val="00F46949"/>
    <w:rsid w:val="00F512F7"/>
    <w:rsid w:val="00F522CA"/>
    <w:rsid w:val="00F53802"/>
    <w:rsid w:val="00F54B81"/>
    <w:rsid w:val="00F55542"/>
    <w:rsid w:val="00F6053B"/>
    <w:rsid w:val="00F63A34"/>
    <w:rsid w:val="00F66152"/>
    <w:rsid w:val="00F66D08"/>
    <w:rsid w:val="00F67E3D"/>
    <w:rsid w:val="00F72E06"/>
    <w:rsid w:val="00F74A9F"/>
    <w:rsid w:val="00F77970"/>
    <w:rsid w:val="00F83BAB"/>
    <w:rsid w:val="00F86385"/>
    <w:rsid w:val="00F87165"/>
    <w:rsid w:val="00F87B87"/>
    <w:rsid w:val="00F9013D"/>
    <w:rsid w:val="00F91646"/>
    <w:rsid w:val="00F92124"/>
    <w:rsid w:val="00F92C41"/>
    <w:rsid w:val="00F948D6"/>
    <w:rsid w:val="00F95772"/>
    <w:rsid w:val="00F975C5"/>
    <w:rsid w:val="00FB27BC"/>
    <w:rsid w:val="00FC2BB7"/>
    <w:rsid w:val="00FC60DF"/>
    <w:rsid w:val="00FC6D1D"/>
    <w:rsid w:val="00FD1B11"/>
    <w:rsid w:val="00FD625B"/>
    <w:rsid w:val="00FE25FA"/>
    <w:rsid w:val="00FE68AB"/>
    <w:rsid w:val="00FF163B"/>
    <w:rsid w:val="00FF246F"/>
    <w:rsid w:val="00FF3AD0"/>
    <w:rsid w:val="00FF6530"/>
    <w:rsid w:val="00FF7A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15"/>
      </w:numPr>
      <w:tabs>
        <w:tab w:val="clear" w:pos="567"/>
        <w:tab w:val="num" w:pos="1134"/>
      </w:tabs>
      <w:ind w:left="567"/>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uiPriority w:val="99"/>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aliases w:val="callout"/>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D23C2"/>
    <w:rPr>
      <w:rFonts w:ascii="Arial" w:eastAsia="SimSun" w:hAnsi="Arial" w:cs="Arial"/>
      <w:b/>
      <w:bCs/>
      <w:caps/>
      <w:kern w:val="32"/>
      <w:sz w:val="22"/>
      <w:szCs w:val="32"/>
      <w:lang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53407C"/>
    <w:pPr>
      <w:ind w:left="720"/>
      <w:contextualSpacing/>
    </w:pPr>
  </w:style>
  <w:style w:type="character" w:customStyle="1" w:styleId="tagtrans">
    <w:name w:val="tag_trans"/>
    <w:basedOn w:val="DefaultParagraphFont"/>
    <w:rsid w:val="007F4932"/>
  </w:style>
  <w:style w:type="character" w:customStyle="1" w:styleId="st">
    <w:name w:val="st"/>
    <w:basedOn w:val="DefaultParagraphFont"/>
    <w:rsid w:val="008F7BC2"/>
  </w:style>
  <w:style w:type="table" w:customStyle="1" w:styleId="TableGrid1">
    <w:name w:val="Table Grid1"/>
    <w:basedOn w:val="TableNormal"/>
    <w:next w:val="TableGrid"/>
    <w:rsid w:val="0060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06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E20CB"/>
    <w:rPr>
      <w:color w:val="800080" w:themeColor="followedHyperlink"/>
      <w:u w:val="single"/>
    </w:rPr>
  </w:style>
  <w:style w:type="character" w:customStyle="1" w:styleId="freetext">
    <w:name w:val="freetext"/>
    <w:basedOn w:val="DefaultParagraphFont"/>
    <w:rsid w:val="00081219"/>
  </w:style>
  <w:style w:type="character" w:customStyle="1" w:styleId="es">
    <w:name w:val="es"/>
    <w:basedOn w:val="DefaultParagraphFont"/>
    <w:rsid w:val="007B47DA"/>
  </w:style>
  <w:style w:type="character" w:styleId="Emphasis">
    <w:name w:val="Emphasis"/>
    <w:basedOn w:val="DefaultParagraphFont"/>
    <w:uiPriority w:val="20"/>
    <w:qFormat/>
    <w:rsid w:val="008239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15"/>
      </w:numPr>
      <w:tabs>
        <w:tab w:val="clear" w:pos="567"/>
        <w:tab w:val="num" w:pos="1134"/>
      </w:tabs>
      <w:ind w:left="567"/>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uiPriority w:val="99"/>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aliases w:val="callout"/>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D23C2"/>
    <w:rPr>
      <w:rFonts w:ascii="Arial" w:eastAsia="SimSun" w:hAnsi="Arial" w:cs="Arial"/>
      <w:b/>
      <w:bCs/>
      <w:caps/>
      <w:kern w:val="32"/>
      <w:sz w:val="22"/>
      <w:szCs w:val="32"/>
      <w:lang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53407C"/>
    <w:pPr>
      <w:ind w:left="720"/>
      <w:contextualSpacing/>
    </w:pPr>
  </w:style>
  <w:style w:type="character" w:customStyle="1" w:styleId="tagtrans">
    <w:name w:val="tag_trans"/>
    <w:basedOn w:val="DefaultParagraphFont"/>
    <w:rsid w:val="007F4932"/>
  </w:style>
  <w:style w:type="character" w:customStyle="1" w:styleId="st">
    <w:name w:val="st"/>
    <w:basedOn w:val="DefaultParagraphFont"/>
    <w:rsid w:val="008F7BC2"/>
  </w:style>
  <w:style w:type="table" w:customStyle="1" w:styleId="TableGrid1">
    <w:name w:val="Table Grid1"/>
    <w:basedOn w:val="TableNormal"/>
    <w:next w:val="TableGrid"/>
    <w:rsid w:val="0060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06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E20CB"/>
    <w:rPr>
      <w:color w:val="800080" w:themeColor="followedHyperlink"/>
      <w:u w:val="single"/>
    </w:rPr>
  </w:style>
  <w:style w:type="character" w:customStyle="1" w:styleId="freetext">
    <w:name w:val="freetext"/>
    <w:basedOn w:val="DefaultParagraphFont"/>
    <w:rsid w:val="00081219"/>
  </w:style>
  <w:style w:type="character" w:customStyle="1" w:styleId="es">
    <w:name w:val="es"/>
    <w:basedOn w:val="DefaultParagraphFont"/>
    <w:rsid w:val="007B47DA"/>
  </w:style>
  <w:style w:type="character" w:styleId="Emphasis">
    <w:name w:val="Emphasis"/>
    <w:basedOn w:val="DefaultParagraphFont"/>
    <w:uiPriority w:val="20"/>
    <w:qFormat/>
    <w:rsid w:val="008239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136">
      <w:bodyDiv w:val="1"/>
      <w:marLeft w:val="0"/>
      <w:marRight w:val="0"/>
      <w:marTop w:val="0"/>
      <w:marBottom w:val="0"/>
      <w:divBdr>
        <w:top w:val="none" w:sz="0" w:space="0" w:color="auto"/>
        <w:left w:val="none" w:sz="0" w:space="0" w:color="auto"/>
        <w:bottom w:val="none" w:sz="0" w:space="0" w:color="auto"/>
        <w:right w:val="none" w:sz="0" w:space="0" w:color="auto"/>
      </w:divBdr>
    </w:div>
    <w:div w:id="290139113">
      <w:bodyDiv w:val="1"/>
      <w:marLeft w:val="0"/>
      <w:marRight w:val="0"/>
      <w:marTop w:val="0"/>
      <w:marBottom w:val="0"/>
      <w:divBdr>
        <w:top w:val="none" w:sz="0" w:space="0" w:color="auto"/>
        <w:left w:val="none" w:sz="0" w:space="0" w:color="auto"/>
        <w:bottom w:val="none" w:sz="0" w:space="0" w:color="auto"/>
        <w:right w:val="none" w:sz="0" w:space="0" w:color="auto"/>
      </w:divBdr>
    </w:div>
    <w:div w:id="410200360">
      <w:bodyDiv w:val="1"/>
      <w:marLeft w:val="0"/>
      <w:marRight w:val="0"/>
      <w:marTop w:val="0"/>
      <w:marBottom w:val="0"/>
      <w:divBdr>
        <w:top w:val="none" w:sz="0" w:space="0" w:color="auto"/>
        <w:left w:val="none" w:sz="0" w:space="0" w:color="auto"/>
        <w:bottom w:val="none" w:sz="0" w:space="0" w:color="auto"/>
        <w:right w:val="none" w:sz="0" w:space="0" w:color="auto"/>
      </w:divBdr>
    </w:div>
    <w:div w:id="618994480">
      <w:bodyDiv w:val="1"/>
      <w:marLeft w:val="0"/>
      <w:marRight w:val="0"/>
      <w:marTop w:val="0"/>
      <w:marBottom w:val="0"/>
      <w:divBdr>
        <w:top w:val="none" w:sz="0" w:space="0" w:color="auto"/>
        <w:left w:val="none" w:sz="0" w:space="0" w:color="auto"/>
        <w:bottom w:val="none" w:sz="0" w:space="0" w:color="auto"/>
        <w:right w:val="none" w:sz="0" w:space="0" w:color="auto"/>
      </w:divBdr>
    </w:div>
    <w:div w:id="683047862">
      <w:bodyDiv w:val="1"/>
      <w:marLeft w:val="0"/>
      <w:marRight w:val="0"/>
      <w:marTop w:val="0"/>
      <w:marBottom w:val="0"/>
      <w:divBdr>
        <w:top w:val="none" w:sz="0" w:space="0" w:color="auto"/>
        <w:left w:val="none" w:sz="0" w:space="0" w:color="auto"/>
        <w:bottom w:val="none" w:sz="0" w:space="0" w:color="auto"/>
        <w:right w:val="none" w:sz="0" w:space="0" w:color="auto"/>
      </w:divBdr>
    </w:div>
    <w:div w:id="739522986">
      <w:bodyDiv w:val="1"/>
      <w:marLeft w:val="0"/>
      <w:marRight w:val="0"/>
      <w:marTop w:val="0"/>
      <w:marBottom w:val="0"/>
      <w:divBdr>
        <w:top w:val="none" w:sz="0" w:space="0" w:color="auto"/>
        <w:left w:val="none" w:sz="0" w:space="0" w:color="auto"/>
        <w:bottom w:val="none" w:sz="0" w:space="0" w:color="auto"/>
        <w:right w:val="none" w:sz="0" w:space="0" w:color="auto"/>
      </w:divBdr>
    </w:div>
    <w:div w:id="760296489">
      <w:bodyDiv w:val="1"/>
      <w:marLeft w:val="0"/>
      <w:marRight w:val="0"/>
      <w:marTop w:val="0"/>
      <w:marBottom w:val="0"/>
      <w:divBdr>
        <w:top w:val="none" w:sz="0" w:space="0" w:color="auto"/>
        <w:left w:val="none" w:sz="0" w:space="0" w:color="auto"/>
        <w:bottom w:val="none" w:sz="0" w:space="0" w:color="auto"/>
        <w:right w:val="none" w:sz="0" w:space="0" w:color="auto"/>
      </w:divBdr>
    </w:div>
    <w:div w:id="851837917">
      <w:bodyDiv w:val="1"/>
      <w:marLeft w:val="0"/>
      <w:marRight w:val="0"/>
      <w:marTop w:val="0"/>
      <w:marBottom w:val="0"/>
      <w:divBdr>
        <w:top w:val="none" w:sz="0" w:space="0" w:color="auto"/>
        <w:left w:val="none" w:sz="0" w:space="0" w:color="auto"/>
        <w:bottom w:val="none" w:sz="0" w:space="0" w:color="auto"/>
        <w:right w:val="none" w:sz="0" w:space="0" w:color="auto"/>
      </w:divBdr>
    </w:div>
    <w:div w:id="1031301970">
      <w:bodyDiv w:val="1"/>
      <w:marLeft w:val="0"/>
      <w:marRight w:val="0"/>
      <w:marTop w:val="0"/>
      <w:marBottom w:val="0"/>
      <w:divBdr>
        <w:top w:val="none" w:sz="0" w:space="0" w:color="auto"/>
        <w:left w:val="none" w:sz="0" w:space="0" w:color="auto"/>
        <w:bottom w:val="none" w:sz="0" w:space="0" w:color="auto"/>
        <w:right w:val="none" w:sz="0" w:space="0" w:color="auto"/>
      </w:divBdr>
    </w:div>
    <w:div w:id="1444572476">
      <w:bodyDiv w:val="1"/>
      <w:marLeft w:val="0"/>
      <w:marRight w:val="0"/>
      <w:marTop w:val="0"/>
      <w:marBottom w:val="0"/>
      <w:divBdr>
        <w:top w:val="none" w:sz="0" w:space="0" w:color="auto"/>
        <w:left w:val="none" w:sz="0" w:space="0" w:color="auto"/>
        <w:bottom w:val="none" w:sz="0" w:space="0" w:color="auto"/>
        <w:right w:val="none" w:sz="0" w:space="0" w:color="auto"/>
      </w:divBdr>
    </w:div>
    <w:div w:id="1529296754">
      <w:bodyDiv w:val="1"/>
      <w:marLeft w:val="0"/>
      <w:marRight w:val="0"/>
      <w:marTop w:val="0"/>
      <w:marBottom w:val="0"/>
      <w:divBdr>
        <w:top w:val="none" w:sz="0" w:space="0" w:color="auto"/>
        <w:left w:val="none" w:sz="0" w:space="0" w:color="auto"/>
        <w:bottom w:val="none" w:sz="0" w:space="0" w:color="auto"/>
        <w:right w:val="none" w:sz="0" w:space="0" w:color="auto"/>
      </w:divBdr>
    </w:div>
    <w:div w:id="1614707202">
      <w:bodyDiv w:val="1"/>
      <w:marLeft w:val="0"/>
      <w:marRight w:val="0"/>
      <w:marTop w:val="0"/>
      <w:marBottom w:val="0"/>
      <w:divBdr>
        <w:top w:val="none" w:sz="0" w:space="0" w:color="auto"/>
        <w:left w:val="none" w:sz="0" w:space="0" w:color="auto"/>
        <w:bottom w:val="none" w:sz="0" w:space="0" w:color="auto"/>
        <w:right w:val="none" w:sz="0" w:space="0" w:color="auto"/>
      </w:divBdr>
    </w:div>
    <w:div w:id="18897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ip-development/es/agenda/index.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es/agenda/flexibilities/database.htm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5476-8CDB-4145-A1FB-D0E65D10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2017-10-16T08:45:00Z</dcterms:created>
  <dcterms:modified xsi:type="dcterms:W3CDTF">2017-10-24T14:20:00Z</dcterms:modified>
</cp:coreProperties>
</file>