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15FBC2C8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62C6B62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205D5B" w14:textId="181E5C20" w:rsidR="00EC4E49" w:rsidRPr="008B2CC1" w:rsidRDefault="00141F43" w:rsidP="00916EE2">
            <w:r>
              <w:rPr>
                <w:noProof/>
                <w:lang w:eastAsia="en-US"/>
              </w:rPr>
              <w:drawing>
                <wp:inline distT="0" distB="0" distL="0" distR="0" wp14:anchorId="5FC1065F" wp14:editId="22B25602">
                  <wp:extent cx="1863583" cy="1328400"/>
                  <wp:effectExtent l="0" t="0" r="3810" b="571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583" cy="132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1AA1BDD" w14:textId="2F07FEF1" w:rsidR="00EC4E49" w:rsidRPr="008B2CC1" w:rsidRDefault="00141F43" w:rsidP="00916EE2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14:paraId="2F728757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66C2FCB" w14:textId="1DB4810D" w:rsidR="008B2CC1" w:rsidRPr="0090731E" w:rsidRDefault="00CB1DF6" w:rsidP="00001E2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CDIP/20</w:t>
            </w:r>
            <w:r w:rsidR="00001E2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F75EFB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1832A6" w14:paraId="5391D44A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7BEF38A" w14:textId="5882DD29" w:rsidR="008B2CC1" w:rsidRPr="0090731E" w:rsidRDefault="008B2CC1" w:rsidP="00141F4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2D04E1">
              <w:rPr>
                <w:rFonts w:ascii="Arial Black" w:hAnsi="Arial Black"/>
                <w:caps/>
                <w:sz w:val="15"/>
              </w:rPr>
              <w:t xml:space="preserve"> </w:t>
            </w:r>
            <w:r w:rsidR="00141F43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14:paraId="776C419D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C8A0EF3" w14:textId="25B8BD77" w:rsidR="008B2CC1" w:rsidRPr="0090731E" w:rsidRDefault="00141F43" w:rsidP="00141F4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 xml:space="preserve"> 27 DE SEPTIEMBRE DE </w:t>
            </w:r>
            <w:r w:rsidR="002744B2">
              <w:rPr>
                <w:rFonts w:ascii="Arial Black" w:hAnsi="Arial Black"/>
                <w:caps/>
                <w:sz w:val="15"/>
              </w:rPr>
              <w:t>2017</w:t>
            </w:r>
          </w:p>
        </w:tc>
      </w:tr>
    </w:tbl>
    <w:p w14:paraId="5B2013B2" w14:textId="77777777" w:rsidR="00235074" w:rsidRDefault="00235074" w:rsidP="008B2CC1"/>
    <w:p w14:paraId="78A07824" w14:textId="77777777" w:rsidR="00235074" w:rsidRDefault="00235074" w:rsidP="008B2CC1"/>
    <w:p w14:paraId="3F2DED2C" w14:textId="77777777" w:rsidR="00235074" w:rsidRDefault="00235074" w:rsidP="008B2CC1"/>
    <w:p w14:paraId="5FF080A2" w14:textId="77777777" w:rsidR="00235074" w:rsidRDefault="00235074" w:rsidP="008B2CC1"/>
    <w:p w14:paraId="2883A3EA" w14:textId="77777777" w:rsidR="00235074" w:rsidRDefault="00235074" w:rsidP="008B2CC1"/>
    <w:p w14:paraId="31B32E25" w14:textId="77777777" w:rsidR="00235074" w:rsidRDefault="00141F43" w:rsidP="00141F43">
      <w:pPr>
        <w:outlineLvl w:val="0"/>
        <w:rPr>
          <w:b/>
          <w:sz w:val="28"/>
          <w:szCs w:val="28"/>
          <w:lang w:val="es-ES"/>
        </w:rPr>
      </w:pPr>
      <w:r w:rsidRPr="00141F43">
        <w:rPr>
          <w:b/>
          <w:sz w:val="28"/>
          <w:szCs w:val="28"/>
          <w:lang w:val="es-ES"/>
        </w:rPr>
        <w:t>Comité de Desarrollo y Propiedad Intelectual</w:t>
      </w:r>
      <w:r w:rsidR="00001E20" w:rsidRPr="00141F43">
        <w:rPr>
          <w:b/>
          <w:sz w:val="28"/>
          <w:szCs w:val="28"/>
          <w:lang w:val="es-ES"/>
        </w:rPr>
        <w:t xml:space="preserve"> (CDIP)</w:t>
      </w:r>
    </w:p>
    <w:p w14:paraId="41FE1FC7" w14:textId="77777777" w:rsidR="00235074" w:rsidRDefault="00235074" w:rsidP="003845C1">
      <w:pPr>
        <w:rPr>
          <w:lang w:val="es-ES"/>
        </w:rPr>
      </w:pPr>
    </w:p>
    <w:p w14:paraId="4D15E311" w14:textId="77777777" w:rsidR="00235074" w:rsidRDefault="00235074" w:rsidP="003845C1">
      <w:pPr>
        <w:rPr>
          <w:lang w:val="es-ES"/>
        </w:rPr>
      </w:pPr>
    </w:p>
    <w:p w14:paraId="47AED02C" w14:textId="77777777" w:rsidR="00235074" w:rsidRDefault="00141F43" w:rsidP="00687680">
      <w:pPr>
        <w:outlineLvl w:val="0"/>
        <w:rPr>
          <w:b/>
          <w:sz w:val="24"/>
          <w:szCs w:val="24"/>
          <w:lang w:val="es-ES"/>
        </w:rPr>
      </w:pPr>
      <w:r w:rsidRPr="00141F43">
        <w:rPr>
          <w:b/>
          <w:sz w:val="24"/>
          <w:szCs w:val="24"/>
          <w:lang w:val="es-ES"/>
        </w:rPr>
        <w:t>Vigésima sesión</w:t>
      </w:r>
    </w:p>
    <w:p w14:paraId="5C8BC50C" w14:textId="77777777" w:rsidR="00235074" w:rsidRDefault="00141F43" w:rsidP="00687680">
      <w:pPr>
        <w:outlineLvl w:val="0"/>
        <w:rPr>
          <w:b/>
          <w:sz w:val="24"/>
          <w:szCs w:val="24"/>
          <w:lang w:val="es-ES"/>
        </w:rPr>
      </w:pPr>
      <w:r w:rsidRPr="00141F43">
        <w:rPr>
          <w:b/>
          <w:sz w:val="24"/>
          <w:szCs w:val="24"/>
          <w:lang w:val="es-ES"/>
        </w:rPr>
        <w:t>Ginebra, 27 de noviembre a 1 de diciembre de 2017</w:t>
      </w:r>
    </w:p>
    <w:p w14:paraId="79133B8B" w14:textId="77777777" w:rsidR="00235074" w:rsidRDefault="00235074" w:rsidP="008B2CC1">
      <w:pPr>
        <w:rPr>
          <w:lang w:val="es-ES"/>
        </w:rPr>
      </w:pPr>
    </w:p>
    <w:p w14:paraId="71E029B2" w14:textId="77777777" w:rsidR="00235074" w:rsidRDefault="00235074" w:rsidP="008B2CC1">
      <w:pPr>
        <w:rPr>
          <w:lang w:val="es-ES"/>
        </w:rPr>
      </w:pPr>
    </w:p>
    <w:p w14:paraId="3FAC8893" w14:textId="77777777" w:rsidR="00235074" w:rsidRDefault="00235074" w:rsidP="008B2CC1">
      <w:pPr>
        <w:rPr>
          <w:lang w:val="es-ES"/>
        </w:rPr>
      </w:pPr>
    </w:p>
    <w:p w14:paraId="7C8D8F9B" w14:textId="62BE5F7D" w:rsidR="00235074" w:rsidRDefault="005A07AF" w:rsidP="005A07AF">
      <w:pPr>
        <w:rPr>
          <w:caps/>
          <w:sz w:val="24"/>
          <w:lang w:val="es-ES"/>
        </w:rPr>
      </w:pPr>
      <w:bookmarkStart w:id="4" w:name="TitleOfDoc"/>
      <w:bookmarkEnd w:id="4"/>
      <w:r w:rsidRPr="005A07AF">
        <w:rPr>
          <w:caps/>
          <w:color w:val="000000"/>
          <w:sz w:val="24"/>
          <w:lang w:val="es-ES_tradnl"/>
        </w:rPr>
        <w:t xml:space="preserve">SEGUIMIENTO DEL </w:t>
      </w:r>
      <w:r w:rsidRPr="00FB0A15">
        <w:rPr>
          <w:caps/>
          <w:sz w:val="24"/>
          <w:lang w:val="es-ES_tradnl"/>
        </w:rPr>
        <w:t>PROYECTO PILOTO SOBR</w:t>
      </w:r>
      <w:r w:rsidR="002D04E1">
        <w:rPr>
          <w:caps/>
          <w:sz w:val="24"/>
          <w:lang w:val="es-ES_tradnl"/>
        </w:rPr>
        <w:t>E LA PROPIEDAD INTELECTUAL (PI</w:t>
      </w:r>
      <w:r w:rsidRPr="00FB0A15">
        <w:rPr>
          <w:caps/>
          <w:sz w:val="24"/>
          <w:lang w:val="es-ES_tradnl"/>
        </w:rPr>
        <w:t>) Y LA GESTIÓN DE DISEÑOS PARA FOMENTAR LAS ACTIVIDADES COMERCIALES EN LOS PAÍSES EN DESARROLLO Y LOS PAÍSES MENOS ADELANTADOS (PMA)</w:t>
      </w:r>
    </w:p>
    <w:p w14:paraId="5DCB15AF" w14:textId="77777777" w:rsidR="00235074" w:rsidRDefault="00235074" w:rsidP="008B2CC1">
      <w:pPr>
        <w:rPr>
          <w:lang w:val="es-ES"/>
        </w:rPr>
      </w:pPr>
    </w:p>
    <w:p w14:paraId="033D5660" w14:textId="77777777" w:rsidR="00235074" w:rsidRDefault="005A07AF" w:rsidP="005A07AF">
      <w:pPr>
        <w:rPr>
          <w:i/>
          <w:lang w:val="es-ES"/>
        </w:rPr>
      </w:pPr>
      <w:bookmarkStart w:id="5" w:name="Prepared"/>
      <w:bookmarkEnd w:id="5"/>
      <w:r w:rsidRPr="00FB0A15">
        <w:rPr>
          <w:i/>
          <w:lang w:val="es-ES_tradnl"/>
        </w:rPr>
        <w:t>Documento preparado por la Secretaría</w:t>
      </w:r>
    </w:p>
    <w:p w14:paraId="63274091" w14:textId="77777777" w:rsidR="00235074" w:rsidRDefault="00235074">
      <w:pPr>
        <w:rPr>
          <w:lang w:val="es-ES"/>
        </w:rPr>
      </w:pPr>
    </w:p>
    <w:p w14:paraId="73E4F482" w14:textId="77777777" w:rsidR="00235074" w:rsidRDefault="00235074">
      <w:pPr>
        <w:rPr>
          <w:lang w:val="es-ES"/>
        </w:rPr>
      </w:pPr>
    </w:p>
    <w:p w14:paraId="31851D68" w14:textId="77777777" w:rsidR="00235074" w:rsidRDefault="00235074" w:rsidP="0053057A">
      <w:pPr>
        <w:rPr>
          <w:lang w:val="es-ES"/>
        </w:rPr>
      </w:pPr>
    </w:p>
    <w:p w14:paraId="5AC5F420" w14:textId="77777777" w:rsidR="00235074" w:rsidRDefault="00235074" w:rsidP="0053057A">
      <w:pPr>
        <w:rPr>
          <w:lang w:val="es-ES"/>
        </w:rPr>
      </w:pPr>
    </w:p>
    <w:p w14:paraId="04F25347" w14:textId="77777777" w:rsidR="00235074" w:rsidRDefault="005A07AF" w:rsidP="005A07AF">
      <w:pPr>
        <w:outlineLvl w:val="0"/>
        <w:rPr>
          <w:lang w:val="es-ES"/>
        </w:rPr>
      </w:pPr>
      <w:r w:rsidRPr="00FB0A15">
        <w:rPr>
          <w:lang w:val="es-ES_tradnl"/>
        </w:rPr>
        <w:t>ANTECEDENTES</w:t>
      </w:r>
    </w:p>
    <w:p w14:paraId="5F71829D" w14:textId="77777777" w:rsidR="00235074" w:rsidRDefault="00235074" w:rsidP="007E4D19">
      <w:pPr>
        <w:rPr>
          <w:lang w:val="es-ES"/>
        </w:rPr>
      </w:pPr>
    </w:p>
    <w:p w14:paraId="1A989FB6" w14:textId="02A3197E" w:rsidR="00235074" w:rsidRDefault="000549BC" w:rsidP="00543587">
      <w:pPr>
        <w:rPr>
          <w:lang w:val="es-ES"/>
        </w:rPr>
      </w:pPr>
      <w:r>
        <w:fldChar w:fldCharType="begin"/>
      </w:r>
      <w:r w:rsidRPr="00C60625">
        <w:rPr>
          <w:lang w:val="es-ES"/>
        </w:rPr>
        <w:instrText xml:space="preserve"> AUTONUM  </w:instrText>
      </w:r>
      <w:r>
        <w:fldChar w:fldCharType="end"/>
      </w:r>
      <w:r w:rsidRPr="00C60625">
        <w:rPr>
          <w:lang w:val="es-ES"/>
        </w:rPr>
        <w:tab/>
      </w:r>
      <w:r w:rsidR="00C60625" w:rsidRPr="00C60625">
        <w:rPr>
          <w:color w:val="000000"/>
          <w:lang w:val="es-ES_tradnl"/>
        </w:rPr>
        <w:t>Se recuerda que, a raíz de una propuesta presentada por la República de Corea durante la undécima sesión del C</w:t>
      </w:r>
      <w:r w:rsidR="00543587">
        <w:rPr>
          <w:color w:val="000000"/>
          <w:lang w:val="es-ES_tradnl"/>
        </w:rPr>
        <w:t>D</w:t>
      </w:r>
      <w:r w:rsidR="00C60625" w:rsidRPr="00C60625">
        <w:rPr>
          <w:color w:val="000000"/>
          <w:lang w:val="es-ES_tradnl"/>
        </w:rPr>
        <w:t>IP, celebrada del 13 al 17 de mayo de 2013</w:t>
      </w:r>
      <w:r w:rsidR="00C60625">
        <w:rPr>
          <w:rStyle w:val="FootnoteReference"/>
          <w:color w:val="000000"/>
          <w:lang w:val="es-ES_tradnl"/>
        </w:rPr>
        <w:footnoteReference w:id="2"/>
      </w:r>
      <w:r w:rsidR="00C60625" w:rsidRPr="00C60625">
        <w:rPr>
          <w:color w:val="000000"/>
          <w:lang w:val="es-ES_tradnl"/>
        </w:rPr>
        <w:t>, el Comité, en su duodécima sesión, celebrada del 18 al 21 de noviembre de 2013, aprobó el “Proyecto piloto sobre la PI y la gestión de diseños para fomentar las actividades comerciales en los países en desarrollo y los países menos adelantados (PMA)”</w:t>
      </w:r>
      <w:r w:rsidR="00C60625">
        <w:rPr>
          <w:rStyle w:val="FootnoteReference"/>
          <w:color w:val="000000"/>
          <w:lang w:val="es-ES_tradnl"/>
        </w:rPr>
        <w:footnoteReference w:id="3"/>
      </w:r>
      <w:r w:rsidR="00C60625" w:rsidRPr="00C60625">
        <w:rPr>
          <w:color w:val="000000"/>
          <w:lang w:val="es-ES_tradnl"/>
        </w:rPr>
        <w:t>.</w:t>
      </w:r>
      <w:r w:rsidR="007E4D19" w:rsidRPr="00C60625">
        <w:rPr>
          <w:lang w:val="es-ES"/>
        </w:rPr>
        <w:t xml:space="preserve">  </w:t>
      </w:r>
      <w:r w:rsidR="00C60625" w:rsidRPr="00C60625">
        <w:rPr>
          <w:color w:val="000000"/>
          <w:lang w:val="es-ES_tradnl"/>
        </w:rPr>
        <w:t>El proyecto se inició en enero de 2014 y, tras una fase preparatoria y la celebración de consultas con los Estados miembros, la Argentina y Marruecos fueron seleccionados como países beneficiarios.</w:t>
      </w:r>
      <w:r w:rsidR="007E4D19" w:rsidRPr="00CA6CDE">
        <w:rPr>
          <w:lang w:val="es-ES"/>
        </w:rPr>
        <w:t xml:space="preserve">  </w:t>
      </w:r>
      <w:r w:rsidR="00C60625" w:rsidRPr="00FB0A15">
        <w:rPr>
          <w:lang w:val="es-ES_tradnl"/>
        </w:rPr>
        <w:t xml:space="preserve">La prestación de asistencia técnica a </w:t>
      </w:r>
      <w:r w:rsidR="00C60625" w:rsidRPr="00C60625">
        <w:rPr>
          <w:color w:val="000000"/>
          <w:lang w:val="es-ES_tradnl"/>
        </w:rPr>
        <w:t xml:space="preserve">varias </w:t>
      </w:r>
      <w:r w:rsidR="00C60625" w:rsidRPr="00FB0A15">
        <w:rPr>
          <w:lang w:val="es-ES_tradnl"/>
        </w:rPr>
        <w:t xml:space="preserve">empresas </w:t>
      </w:r>
      <w:r w:rsidR="00C60625" w:rsidRPr="00C60625">
        <w:rPr>
          <w:color w:val="000000"/>
          <w:lang w:val="es-ES_tradnl"/>
        </w:rPr>
        <w:t xml:space="preserve">seleccionadas en ambos países </w:t>
      </w:r>
      <w:r w:rsidR="00C60625" w:rsidRPr="00FB0A15">
        <w:rPr>
          <w:lang w:val="es-ES_tradnl"/>
        </w:rPr>
        <w:t>comenzó a finales de 2014 y terminó en diciembre de 2016.</w:t>
      </w:r>
      <w:r w:rsidR="007E4D19" w:rsidRPr="00CA6CDE">
        <w:rPr>
          <w:lang w:val="es-ES"/>
        </w:rPr>
        <w:t xml:space="preserve">  </w:t>
      </w:r>
    </w:p>
    <w:p w14:paraId="6C33C6B5" w14:textId="77777777" w:rsidR="00235074" w:rsidRDefault="00235074" w:rsidP="007E4D19">
      <w:pPr>
        <w:rPr>
          <w:lang w:val="es-ES"/>
        </w:rPr>
      </w:pPr>
    </w:p>
    <w:p w14:paraId="5139AF88" w14:textId="40909CE6" w:rsidR="00235074" w:rsidRDefault="008621C0" w:rsidP="00880A91">
      <w:pPr>
        <w:rPr>
          <w:lang w:val="es-ES"/>
        </w:rPr>
      </w:pPr>
      <w:r>
        <w:fldChar w:fldCharType="begin"/>
      </w:r>
      <w:r w:rsidRPr="00C60625">
        <w:rPr>
          <w:lang w:val="es-ES"/>
        </w:rPr>
        <w:instrText xml:space="preserve"> AUTONUM  </w:instrText>
      </w:r>
      <w:r>
        <w:fldChar w:fldCharType="end"/>
      </w:r>
      <w:r w:rsidRPr="00C60625">
        <w:rPr>
          <w:lang w:val="es-ES"/>
        </w:rPr>
        <w:tab/>
      </w:r>
      <w:r w:rsidR="00C60625" w:rsidRPr="00C60625">
        <w:rPr>
          <w:color w:val="000000"/>
          <w:lang w:val="es-ES_tradnl"/>
        </w:rPr>
        <w:t>El informe de evaluación del proyecto fue examinado por el CDIP en su decimonovena sesión, celebrada del 15 al 19 de mayo de 2017</w:t>
      </w:r>
      <w:r w:rsidR="00C60625">
        <w:rPr>
          <w:rStyle w:val="FootnoteReference"/>
          <w:color w:val="000000"/>
          <w:lang w:val="es-ES_tradnl"/>
        </w:rPr>
        <w:footnoteReference w:id="4"/>
      </w:r>
      <w:r w:rsidR="00C60625" w:rsidRPr="00C60625">
        <w:rPr>
          <w:color w:val="000000"/>
          <w:lang w:val="es-ES_tradnl"/>
        </w:rPr>
        <w:t>.</w:t>
      </w:r>
      <w:r w:rsidRPr="00C60625">
        <w:rPr>
          <w:lang w:val="es-ES"/>
        </w:rPr>
        <w:t xml:space="preserve">  </w:t>
      </w:r>
      <w:r w:rsidR="00C60625" w:rsidRPr="00C60625">
        <w:rPr>
          <w:color w:val="000000"/>
          <w:lang w:val="es-ES_tradnl"/>
        </w:rPr>
        <w:t xml:space="preserve">Dicha </w:t>
      </w:r>
      <w:r w:rsidR="00543587">
        <w:rPr>
          <w:color w:val="000000"/>
          <w:lang w:val="es-ES_tradnl"/>
        </w:rPr>
        <w:t>evaluación fue efectuada por el </w:t>
      </w:r>
      <w:r w:rsidR="00C60625" w:rsidRPr="00C60625">
        <w:rPr>
          <w:color w:val="000000"/>
          <w:lang w:val="es-ES_tradnl"/>
        </w:rPr>
        <w:t>Sr. Daniel Keller, consultor en EvalCo Sàrl, Leubringen, Suiza.</w:t>
      </w:r>
      <w:r w:rsidRPr="00CA6CDE">
        <w:rPr>
          <w:lang w:val="es-ES"/>
        </w:rPr>
        <w:t xml:space="preserve">  </w:t>
      </w:r>
      <w:r w:rsidR="00880A91" w:rsidRPr="00880A91">
        <w:rPr>
          <w:color w:val="000000"/>
          <w:lang w:val="es-ES_tradnl"/>
        </w:rPr>
        <w:t xml:space="preserve">En el informe se presentaron los resultados y una evaluación sobre los siguientes criterios del proyecto:  a) preparación y dirección del proyecto;  b) pertinencia;  c) eficacia;  d) eficiencia;  e) probabilidad de </w:t>
      </w:r>
      <w:r w:rsidR="00880A91" w:rsidRPr="00880A91">
        <w:rPr>
          <w:color w:val="000000"/>
          <w:lang w:val="es-ES_tradnl"/>
        </w:rPr>
        <w:lastRenderedPageBreak/>
        <w:t>sostenibilidad de los resultados;  y f) género.</w:t>
      </w:r>
      <w:r w:rsidR="00BF35A7" w:rsidRPr="00CA6CDE">
        <w:rPr>
          <w:lang w:val="es-ES"/>
        </w:rPr>
        <w:t xml:space="preserve">  </w:t>
      </w:r>
      <w:r w:rsidR="00880A91" w:rsidRPr="00880A91">
        <w:rPr>
          <w:color w:val="000000"/>
          <w:lang w:val="es-ES_tradnl"/>
        </w:rPr>
        <w:t>Además, en el informe de evaluación se presentaron una serie de conclusiones y recomendaciones.</w:t>
      </w:r>
    </w:p>
    <w:p w14:paraId="2D0FD5D1" w14:textId="77777777" w:rsidR="00235074" w:rsidRDefault="00235074" w:rsidP="007E4D19">
      <w:pPr>
        <w:rPr>
          <w:lang w:val="es-ES"/>
        </w:rPr>
      </w:pPr>
    </w:p>
    <w:p w14:paraId="004AC64D" w14:textId="77777777" w:rsidR="00235074" w:rsidRDefault="000549BC" w:rsidP="00880A91">
      <w:pPr>
        <w:rPr>
          <w:lang w:val="es-ES"/>
        </w:rPr>
      </w:pPr>
      <w:r>
        <w:fldChar w:fldCharType="begin"/>
      </w:r>
      <w:r w:rsidRPr="00CA6CDE">
        <w:rPr>
          <w:lang w:val="es-ES"/>
        </w:rPr>
        <w:instrText xml:space="preserve"> AUTONUM  </w:instrText>
      </w:r>
      <w:r>
        <w:fldChar w:fldCharType="end"/>
      </w:r>
      <w:r w:rsidRPr="00CA6CDE">
        <w:rPr>
          <w:lang w:val="es-ES"/>
        </w:rPr>
        <w:tab/>
      </w:r>
      <w:r w:rsidR="00880A91" w:rsidRPr="00880A91">
        <w:rPr>
          <w:color w:val="000000"/>
          <w:lang w:val="es-ES_tradnl"/>
        </w:rPr>
        <w:t>Tras el examen del informe de evaluación por el CDIP, el presidente del Comité concluyó lo siguiente en su resumen:</w:t>
      </w:r>
    </w:p>
    <w:p w14:paraId="4FA61F4F" w14:textId="77777777" w:rsidR="00235074" w:rsidRDefault="00235074" w:rsidP="007E4D19">
      <w:pPr>
        <w:rPr>
          <w:lang w:val="es-ES"/>
        </w:rPr>
      </w:pPr>
    </w:p>
    <w:p w14:paraId="6E9E9D43" w14:textId="4CCB602F" w:rsidR="00235074" w:rsidRDefault="00880A91" w:rsidP="00880A91">
      <w:pPr>
        <w:ind w:left="567"/>
        <w:rPr>
          <w:lang w:val="es-ES"/>
        </w:rPr>
      </w:pPr>
      <w:r w:rsidRPr="00880A91">
        <w:rPr>
          <w:color w:val="000000"/>
          <w:lang w:val="es-ES_tradnl"/>
        </w:rPr>
        <w:t>“</w:t>
      </w:r>
      <w:r w:rsidRPr="00FB0A15">
        <w:rPr>
          <w:lang w:val="es-ES_tradnl"/>
        </w:rPr>
        <w:t xml:space="preserve">El Comité tomó nota del </w:t>
      </w:r>
      <w:r w:rsidRPr="00880A91">
        <w:rPr>
          <w:color w:val="000000"/>
          <w:lang w:val="es-ES_tradnl"/>
        </w:rPr>
        <w:t>[informe de evaluación]</w:t>
      </w:r>
      <w:r w:rsidRPr="00FB0A15">
        <w:rPr>
          <w:lang w:val="es-ES_tradnl"/>
        </w:rPr>
        <w:t>.</w:t>
      </w:r>
      <w:r w:rsidR="007E4D19" w:rsidRPr="006E7D06">
        <w:rPr>
          <w:lang w:val="es-ES"/>
        </w:rPr>
        <w:t xml:space="preserve">  </w:t>
      </w:r>
      <w:r w:rsidRPr="00FB0A15">
        <w:rPr>
          <w:lang w:val="es-ES_tradnl"/>
        </w:rPr>
        <w:t>El Comité recomendó introducir una fase II del proyecto.</w:t>
      </w:r>
      <w:r w:rsidR="007E4D19" w:rsidRPr="00CA6CDE">
        <w:rPr>
          <w:lang w:val="es-ES"/>
        </w:rPr>
        <w:t xml:space="preserve">  </w:t>
      </w:r>
      <w:r w:rsidRPr="00FB0A15">
        <w:rPr>
          <w:lang w:val="es-ES_tradnl"/>
        </w:rPr>
        <w:t>Se otorgó flexibilidad a la Secretaría para evaluar la viabilidad de la aplicación de las actividades, ya sea como fase II del proyecto o como parte de la labor ordinaria de la Organización.</w:t>
      </w:r>
      <w:r w:rsidR="007E4D19" w:rsidRPr="00CA6CDE">
        <w:rPr>
          <w:lang w:val="es-ES"/>
        </w:rPr>
        <w:t xml:space="preserve">  </w:t>
      </w:r>
      <w:r w:rsidRPr="00FB0A15">
        <w:rPr>
          <w:lang w:val="es-ES_tradnl"/>
        </w:rPr>
        <w:t>El Comité pidió a la Secretaría que informe en la siguiente sesión sobre su decisión acerca de la ejecución de la fase II.</w:t>
      </w:r>
      <w:r w:rsidR="00543587">
        <w:rPr>
          <w:lang w:val="es-ES_tradnl"/>
        </w:rPr>
        <w:t>”</w:t>
      </w:r>
      <w:r>
        <w:rPr>
          <w:rStyle w:val="FootnoteReference"/>
        </w:rPr>
        <w:footnoteReference w:id="5"/>
      </w:r>
    </w:p>
    <w:p w14:paraId="5604132B" w14:textId="77777777" w:rsidR="00235074" w:rsidRDefault="00235074" w:rsidP="007E4D19">
      <w:pPr>
        <w:rPr>
          <w:lang w:val="es-ES"/>
        </w:rPr>
      </w:pPr>
    </w:p>
    <w:p w14:paraId="05CA7290" w14:textId="575BE3A1" w:rsidR="00235074" w:rsidRDefault="000549BC" w:rsidP="006E7D06">
      <w:pPr>
        <w:rPr>
          <w:lang w:val="es-ES"/>
        </w:rPr>
      </w:pPr>
      <w:r>
        <w:fldChar w:fldCharType="begin"/>
      </w:r>
      <w:r w:rsidRPr="00CA6CDE">
        <w:rPr>
          <w:lang w:val="es-ES"/>
        </w:rPr>
        <w:instrText xml:space="preserve"> AUTONUM  </w:instrText>
      </w:r>
      <w:r>
        <w:fldChar w:fldCharType="end"/>
      </w:r>
      <w:r w:rsidRPr="00CA6CDE">
        <w:rPr>
          <w:lang w:val="es-ES"/>
        </w:rPr>
        <w:tab/>
      </w:r>
      <w:r w:rsidR="006E7D06" w:rsidRPr="006E7D06">
        <w:rPr>
          <w:color w:val="000000"/>
          <w:lang w:val="es-ES_tradnl"/>
        </w:rPr>
        <w:t xml:space="preserve">El presente documento constituye el informe de la Secretaría, elaborado a </w:t>
      </w:r>
      <w:r w:rsidR="00543587">
        <w:rPr>
          <w:color w:val="000000"/>
          <w:lang w:val="es-ES_tradnl"/>
        </w:rPr>
        <w:t>petición del </w:t>
      </w:r>
      <w:r w:rsidR="006E7D06" w:rsidRPr="006E7D06">
        <w:rPr>
          <w:color w:val="000000"/>
          <w:lang w:val="es-ES_tradnl"/>
        </w:rPr>
        <w:t>Comité.</w:t>
      </w:r>
    </w:p>
    <w:p w14:paraId="4299A44D" w14:textId="77777777" w:rsidR="00235074" w:rsidRDefault="00235074" w:rsidP="007E4D19">
      <w:pPr>
        <w:rPr>
          <w:lang w:val="es-ES"/>
        </w:rPr>
      </w:pPr>
    </w:p>
    <w:p w14:paraId="1B40FB56" w14:textId="77777777" w:rsidR="00235074" w:rsidRDefault="00235074" w:rsidP="007E4D19">
      <w:pPr>
        <w:rPr>
          <w:lang w:val="es-ES"/>
        </w:rPr>
      </w:pPr>
    </w:p>
    <w:p w14:paraId="65E9200C" w14:textId="77777777" w:rsidR="00235074" w:rsidRDefault="00413CB6" w:rsidP="00413CB6">
      <w:pPr>
        <w:outlineLvl w:val="0"/>
        <w:rPr>
          <w:lang w:val="es-ES"/>
        </w:rPr>
      </w:pPr>
      <w:r w:rsidRPr="00FB0A15">
        <w:rPr>
          <w:lang w:val="es-ES_tradnl"/>
        </w:rPr>
        <w:t>PRINCIPIOS RECTORES</w:t>
      </w:r>
    </w:p>
    <w:p w14:paraId="3B7F4C31" w14:textId="77777777" w:rsidR="00235074" w:rsidRDefault="00235074" w:rsidP="007E4D19">
      <w:pPr>
        <w:rPr>
          <w:lang w:val="es-ES"/>
        </w:rPr>
      </w:pPr>
    </w:p>
    <w:p w14:paraId="58A4692B" w14:textId="69F9649C" w:rsidR="00235074" w:rsidRDefault="000549BC" w:rsidP="00AA1227">
      <w:pPr>
        <w:rPr>
          <w:lang w:val="es-ES"/>
        </w:rPr>
      </w:pPr>
      <w:r>
        <w:fldChar w:fldCharType="begin"/>
      </w:r>
      <w:r w:rsidRPr="00CA6CDE">
        <w:rPr>
          <w:lang w:val="es-ES"/>
        </w:rPr>
        <w:instrText xml:space="preserve"> AUTONUM  </w:instrText>
      </w:r>
      <w:r>
        <w:fldChar w:fldCharType="end"/>
      </w:r>
      <w:r w:rsidRPr="00CA6CDE">
        <w:rPr>
          <w:lang w:val="es-ES"/>
        </w:rPr>
        <w:tab/>
      </w:r>
      <w:r w:rsidR="00B1553A">
        <w:rPr>
          <w:lang w:val="es-ES"/>
        </w:rPr>
        <w:t xml:space="preserve">Para </w:t>
      </w:r>
      <w:r w:rsidR="00AA1227">
        <w:rPr>
          <w:lang w:val="es-ES"/>
        </w:rPr>
        <w:t>trazar el</w:t>
      </w:r>
      <w:r w:rsidR="001342E4" w:rsidRPr="001342E4">
        <w:rPr>
          <w:color w:val="000000"/>
          <w:lang w:val="es-ES_tradnl"/>
        </w:rPr>
        <w:t xml:space="preserve"> seguimiento del proyecto, la Secretaría se ha guiado por los siguientes principios:</w:t>
      </w:r>
    </w:p>
    <w:p w14:paraId="366382D2" w14:textId="77777777" w:rsidR="00235074" w:rsidRDefault="00235074" w:rsidP="007E4D19">
      <w:pPr>
        <w:rPr>
          <w:lang w:val="es-ES"/>
        </w:rPr>
      </w:pPr>
    </w:p>
    <w:p w14:paraId="335C4EBC" w14:textId="77777777" w:rsidR="00235074" w:rsidRDefault="001342E4" w:rsidP="001342E4">
      <w:pPr>
        <w:pStyle w:val="ListParagraph"/>
        <w:numPr>
          <w:ilvl w:val="0"/>
          <w:numId w:val="8"/>
        </w:numPr>
        <w:ind w:left="1137"/>
        <w:rPr>
          <w:lang w:val="es-ES"/>
        </w:rPr>
      </w:pPr>
      <w:r w:rsidRPr="001342E4">
        <w:rPr>
          <w:color w:val="000000"/>
          <w:lang w:val="es-ES_tradnl"/>
        </w:rPr>
        <w:t>la necesidad de seguir atentamente la incidencia del proyecto a largo plazo;</w:t>
      </w:r>
    </w:p>
    <w:p w14:paraId="77455F94" w14:textId="77777777" w:rsidR="00235074" w:rsidRDefault="00235074" w:rsidP="00AA47DC">
      <w:pPr>
        <w:pStyle w:val="ListParagraph"/>
        <w:ind w:left="1137"/>
        <w:rPr>
          <w:lang w:val="es-ES"/>
        </w:rPr>
      </w:pPr>
    </w:p>
    <w:p w14:paraId="6E13C253" w14:textId="77777777" w:rsidR="00235074" w:rsidRDefault="001342E4" w:rsidP="00CA6CDE">
      <w:pPr>
        <w:pStyle w:val="ListParagraph"/>
        <w:numPr>
          <w:ilvl w:val="0"/>
          <w:numId w:val="8"/>
        </w:numPr>
        <w:ind w:left="1137"/>
        <w:rPr>
          <w:lang w:val="es-ES"/>
        </w:rPr>
      </w:pPr>
      <w:r w:rsidRPr="001342E4">
        <w:rPr>
          <w:color w:val="000000"/>
          <w:lang w:val="es-ES_tradnl"/>
        </w:rPr>
        <w:t xml:space="preserve">la necesidad de </w:t>
      </w:r>
      <w:r w:rsidR="00CA6CDE">
        <w:rPr>
          <w:color w:val="000000"/>
          <w:lang w:val="es-ES_tradnl"/>
        </w:rPr>
        <w:t>obtener</w:t>
      </w:r>
      <w:r w:rsidRPr="001342E4">
        <w:rPr>
          <w:color w:val="000000"/>
          <w:lang w:val="es-ES_tradnl"/>
        </w:rPr>
        <w:t xml:space="preserve"> el máximo provecho de la experiencia adquirida en el proyecto;  y</w:t>
      </w:r>
    </w:p>
    <w:p w14:paraId="0712C99D" w14:textId="77777777" w:rsidR="00235074" w:rsidRDefault="00235074" w:rsidP="00AA47DC">
      <w:pPr>
        <w:pStyle w:val="ListParagraph"/>
        <w:ind w:left="1287"/>
        <w:rPr>
          <w:lang w:val="es-ES"/>
        </w:rPr>
      </w:pPr>
    </w:p>
    <w:p w14:paraId="3D65FB1B" w14:textId="08BB4853" w:rsidR="00235074" w:rsidRDefault="001342E4" w:rsidP="00AA1227">
      <w:pPr>
        <w:pStyle w:val="ListParagraph"/>
        <w:numPr>
          <w:ilvl w:val="0"/>
          <w:numId w:val="8"/>
        </w:numPr>
        <w:ind w:left="1137"/>
        <w:rPr>
          <w:lang w:val="es-ES"/>
        </w:rPr>
      </w:pPr>
      <w:r w:rsidRPr="00FB0A15">
        <w:rPr>
          <w:color w:val="000000"/>
          <w:lang w:val="es-ES_tradnl"/>
        </w:rPr>
        <w:t xml:space="preserve">la necesidad de garantizar que </w:t>
      </w:r>
      <w:r w:rsidR="00AA1227">
        <w:rPr>
          <w:color w:val="000000"/>
          <w:lang w:val="es-ES_tradnl"/>
        </w:rPr>
        <w:t>la escala del proyecto pueda adaptarse en caso de que este se expanda</w:t>
      </w:r>
      <w:r w:rsidRPr="001342E4">
        <w:rPr>
          <w:color w:val="000000"/>
          <w:lang w:val="es-ES_tradnl"/>
        </w:rPr>
        <w:t>.</w:t>
      </w:r>
    </w:p>
    <w:p w14:paraId="0C5EFEC6" w14:textId="77777777" w:rsidR="00235074" w:rsidRDefault="00235074" w:rsidP="00AA47DC">
      <w:pPr>
        <w:pStyle w:val="ListParagraph"/>
        <w:rPr>
          <w:lang w:val="es-ES"/>
        </w:rPr>
      </w:pPr>
    </w:p>
    <w:p w14:paraId="1C438923" w14:textId="77777777" w:rsidR="00235074" w:rsidRDefault="001342E4" w:rsidP="001342E4">
      <w:pPr>
        <w:outlineLvl w:val="0"/>
        <w:rPr>
          <w:u w:val="single"/>
          <w:lang w:val="es-ES"/>
        </w:rPr>
      </w:pPr>
      <w:r w:rsidRPr="001342E4">
        <w:rPr>
          <w:color w:val="000000"/>
          <w:u w:val="single"/>
          <w:lang w:val="es-ES_tradnl"/>
        </w:rPr>
        <w:t>Seguimiento de la i</w:t>
      </w:r>
      <w:r w:rsidRPr="00FB0A15">
        <w:rPr>
          <w:u w:val="single"/>
          <w:lang w:val="es-ES_tradnl"/>
        </w:rPr>
        <w:t>ncidencia a largo plazo</w:t>
      </w:r>
    </w:p>
    <w:p w14:paraId="65F0D7A2" w14:textId="77777777" w:rsidR="00235074" w:rsidRDefault="00235074" w:rsidP="007E4D19">
      <w:pPr>
        <w:pStyle w:val="ListParagraph"/>
        <w:ind w:left="930"/>
        <w:rPr>
          <w:lang w:val="es-ES"/>
        </w:rPr>
      </w:pPr>
    </w:p>
    <w:p w14:paraId="3EBBAA01" w14:textId="77777777" w:rsidR="00235074" w:rsidRDefault="000549BC" w:rsidP="001342E4">
      <w:pPr>
        <w:rPr>
          <w:lang w:val="es-ES"/>
        </w:rPr>
      </w:pPr>
      <w:r>
        <w:fldChar w:fldCharType="begin"/>
      </w:r>
      <w:r w:rsidRPr="00CA6CDE">
        <w:rPr>
          <w:lang w:val="es-ES"/>
        </w:rPr>
        <w:instrText xml:space="preserve"> AUTONUM  </w:instrText>
      </w:r>
      <w:r>
        <w:fldChar w:fldCharType="end"/>
      </w:r>
      <w:r w:rsidRPr="00CA6CDE">
        <w:rPr>
          <w:lang w:val="es-ES"/>
        </w:rPr>
        <w:tab/>
      </w:r>
      <w:r w:rsidR="001342E4" w:rsidRPr="001342E4">
        <w:rPr>
          <w:color w:val="000000"/>
          <w:lang w:val="es-ES_tradnl"/>
        </w:rPr>
        <w:t>Respecto de la eficacia, en el informe de evaluación se afirma lo siguiente:</w:t>
      </w:r>
    </w:p>
    <w:p w14:paraId="4075BF5B" w14:textId="77777777" w:rsidR="00235074" w:rsidRDefault="00235074" w:rsidP="007E4D19">
      <w:pPr>
        <w:rPr>
          <w:lang w:val="es-ES"/>
        </w:rPr>
      </w:pPr>
    </w:p>
    <w:p w14:paraId="6D02B3DB" w14:textId="77777777" w:rsidR="00235074" w:rsidRDefault="00E65A77" w:rsidP="00E65A77">
      <w:pPr>
        <w:ind w:left="567"/>
        <w:rPr>
          <w:lang w:val="es-ES"/>
        </w:rPr>
      </w:pPr>
      <w:r w:rsidRPr="00E65A77">
        <w:rPr>
          <w:color w:val="000000"/>
          <w:lang w:val="es-ES_tradnl"/>
        </w:rPr>
        <w:t>“</w:t>
      </w:r>
      <w:r w:rsidRPr="00FB0A15">
        <w:rPr>
          <w:lang w:val="es-ES_tradnl"/>
        </w:rPr>
        <w:t>La experiencia muestra que hace falta tiempo para que el fortalecimiento de capacidad tenga efectos mensurables a través del uso que hagan de ella sus beneficiarios.</w:t>
      </w:r>
      <w:r w:rsidR="00686948" w:rsidRPr="00CA6CDE">
        <w:rPr>
          <w:lang w:val="es-ES"/>
        </w:rPr>
        <w:t xml:space="preserve">  </w:t>
      </w:r>
      <w:r w:rsidRPr="00FB0A15">
        <w:rPr>
          <w:lang w:val="es-ES_tradnl"/>
        </w:rPr>
        <w:t>Por ejemplo, el proceso de registro de un diseño industrial derivado de la asistencia aportada por el proyecto puede llevar más de un año.</w:t>
      </w:r>
      <w:r w:rsidR="00686948" w:rsidRPr="00CA6CDE">
        <w:rPr>
          <w:lang w:val="es-ES"/>
        </w:rPr>
        <w:t xml:space="preserve">  </w:t>
      </w:r>
      <w:r w:rsidRPr="00FB0A15">
        <w:rPr>
          <w:lang w:val="es-ES_tradnl"/>
        </w:rPr>
        <w:t>En consecuencia, todavía no se pueden medir los efectos del registro de diseños sobre el rendimiento de las empresas.</w:t>
      </w:r>
      <w:r w:rsidR="00686948" w:rsidRPr="00CA6CDE">
        <w:rPr>
          <w:lang w:val="es-ES"/>
        </w:rPr>
        <w:t xml:space="preserve">  </w:t>
      </w:r>
      <w:r w:rsidRPr="00FB0A15">
        <w:rPr>
          <w:lang w:val="es-ES_tradnl"/>
        </w:rPr>
        <w:t>Menos plausible aún sería suponer alguna contribución de los resultados del proyecto a cambios socioeconómicos de mayor alcance en los dos países beneficiarios o incluso en otros países.</w:t>
      </w:r>
      <w:r w:rsidR="00686948" w:rsidRPr="00CA6CDE">
        <w:rPr>
          <w:lang w:val="es-ES"/>
        </w:rPr>
        <w:t xml:space="preserve">  </w:t>
      </w:r>
      <w:r w:rsidRPr="00FB0A15">
        <w:rPr>
          <w:lang w:val="es-ES_tradnl"/>
        </w:rPr>
        <w:t>Cualquier intento de evaluar los efectos o siquiera el impacto del proyecto a este nivel sería por tanto prematuro.</w:t>
      </w:r>
      <w:r w:rsidR="00686948" w:rsidRPr="00CA6CDE">
        <w:rPr>
          <w:lang w:val="es-ES"/>
        </w:rPr>
        <w:t xml:space="preserve">  </w:t>
      </w:r>
      <w:r w:rsidRPr="00FB0A15">
        <w:rPr>
          <w:lang w:val="es-ES_tradnl"/>
        </w:rPr>
        <w:t>No obstante, la evaluación sí examinó la contribución del proyecto a efectos de carácter más directo.</w:t>
      </w:r>
      <w:r w:rsidRPr="00E65A77">
        <w:rPr>
          <w:color w:val="000000"/>
          <w:lang w:val="es-ES_tradnl"/>
        </w:rPr>
        <w:t>”</w:t>
      </w:r>
      <w:r>
        <w:rPr>
          <w:rStyle w:val="FootnoteReference"/>
        </w:rPr>
        <w:footnoteReference w:id="6"/>
      </w:r>
    </w:p>
    <w:p w14:paraId="1BBABEEA" w14:textId="77777777" w:rsidR="00235074" w:rsidRDefault="00235074" w:rsidP="00AA47DC">
      <w:pPr>
        <w:rPr>
          <w:lang w:val="es-ES"/>
        </w:rPr>
      </w:pPr>
    </w:p>
    <w:p w14:paraId="7B50E7DE" w14:textId="77777777" w:rsidR="00235074" w:rsidRDefault="000549BC" w:rsidP="002F2E13">
      <w:pPr>
        <w:rPr>
          <w:lang w:val="es-ES"/>
        </w:rPr>
      </w:pPr>
      <w:r>
        <w:fldChar w:fldCharType="begin"/>
      </w:r>
      <w:r w:rsidRPr="00CA6CDE">
        <w:rPr>
          <w:lang w:val="es-ES"/>
        </w:rPr>
        <w:instrText xml:space="preserve"> AUTONUM  </w:instrText>
      </w:r>
      <w:r>
        <w:fldChar w:fldCharType="end"/>
      </w:r>
      <w:r w:rsidRPr="00CA6CDE">
        <w:rPr>
          <w:lang w:val="es-ES"/>
        </w:rPr>
        <w:tab/>
      </w:r>
      <w:r w:rsidR="002F2E13" w:rsidRPr="002F2E13">
        <w:rPr>
          <w:color w:val="000000"/>
          <w:lang w:val="es-ES_tradnl"/>
        </w:rPr>
        <w:t>Desde la Secretaría se esbozó un presupuesto de 487.000 francos suizos, mientras que en los países beneficiarios se realizó una importante labor destinada a las actividades del proyecto.</w:t>
      </w:r>
      <w:r w:rsidR="00D35859" w:rsidRPr="00CA6CDE">
        <w:rPr>
          <w:lang w:val="es-ES"/>
        </w:rPr>
        <w:t xml:space="preserve">  </w:t>
      </w:r>
      <w:r w:rsidR="002F2E13" w:rsidRPr="002F2E13">
        <w:rPr>
          <w:color w:val="000000"/>
          <w:lang w:val="es-ES_tradnl"/>
        </w:rPr>
        <w:t>Para dar fundamento a sus decisiones sobre la evolución y sostenibilidad futura del proyecto, la Secretaría considera que es necesario seguir de cerca su incidencia durante un período de tiempo superior, así como el éxito de la estrategia de salida y la medida en que el progreso en dichos países puede sostenerse a nivel nacional y de empresas.</w:t>
      </w:r>
    </w:p>
    <w:p w14:paraId="69DC2476" w14:textId="77777777" w:rsidR="00235074" w:rsidRDefault="00235074" w:rsidP="007E4D19">
      <w:pPr>
        <w:rPr>
          <w:lang w:val="es-ES"/>
        </w:rPr>
      </w:pPr>
    </w:p>
    <w:p w14:paraId="7EE41186" w14:textId="5C1DCD97" w:rsidR="00235074" w:rsidRPr="002D04E1" w:rsidRDefault="00287AA9" w:rsidP="00777D51">
      <w:pPr>
        <w:rPr>
          <w:lang w:val="es-ES"/>
        </w:rPr>
      </w:pPr>
      <w:r>
        <w:lastRenderedPageBreak/>
        <w:fldChar w:fldCharType="begin"/>
      </w:r>
      <w:r w:rsidRPr="00CA6CDE">
        <w:rPr>
          <w:lang w:val="es-ES"/>
        </w:rPr>
        <w:instrText xml:space="preserve"> AUTONUM  </w:instrText>
      </w:r>
      <w:r>
        <w:fldChar w:fldCharType="end"/>
      </w:r>
      <w:r w:rsidRPr="00CA6CDE">
        <w:rPr>
          <w:lang w:val="es-ES"/>
        </w:rPr>
        <w:tab/>
      </w:r>
      <w:r w:rsidR="00B83982" w:rsidRPr="00B83982">
        <w:rPr>
          <w:color w:val="000000"/>
          <w:lang w:val="es-ES_tradnl"/>
        </w:rPr>
        <w:t xml:space="preserve">A tal efecto, la Secretaría, con el acuerdo y la cooperación de los países beneficiarios, desarrollaría, teniendo en cuenta la labor ya realizada durante el proyecto, un marco de evaluación diseñado específicamente para analizar </w:t>
      </w:r>
      <w:r w:rsidR="00777D51">
        <w:rPr>
          <w:color w:val="000000"/>
          <w:lang w:val="es-ES_tradnl"/>
        </w:rPr>
        <w:t xml:space="preserve">su </w:t>
      </w:r>
      <w:r w:rsidR="00B83982" w:rsidRPr="00B83982">
        <w:rPr>
          <w:color w:val="000000"/>
          <w:lang w:val="es-ES_tradnl"/>
        </w:rPr>
        <w:t>incidencia a largo plazo.</w:t>
      </w:r>
      <w:r w:rsidRPr="00CA6CDE">
        <w:rPr>
          <w:lang w:val="es-ES"/>
        </w:rPr>
        <w:t xml:space="preserve">  </w:t>
      </w:r>
      <w:r w:rsidR="00CA6CDE" w:rsidRPr="00CA6CDE">
        <w:rPr>
          <w:color w:val="000000"/>
          <w:lang w:val="es-ES_tradnl"/>
        </w:rPr>
        <w:t>Al margen de su relevancia inmediata respecto del proyecto en sí, dicho marco de evaluación centrado en la incidencia podría aplicarse potencialmente en otros ámbitos de la labor de asistencia técnica y de fortalecimiento de capacidad de la OMPI.</w:t>
      </w:r>
    </w:p>
    <w:p w14:paraId="0E8145EE" w14:textId="77777777" w:rsidR="00235074" w:rsidRPr="002D04E1" w:rsidRDefault="00235074" w:rsidP="007E4D19">
      <w:pPr>
        <w:rPr>
          <w:lang w:val="es-ES"/>
        </w:rPr>
      </w:pPr>
    </w:p>
    <w:p w14:paraId="7B705748" w14:textId="77777777" w:rsidR="00235074" w:rsidRDefault="00CA6CDE" w:rsidP="00CA6CDE">
      <w:pPr>
        <w:outlineLvl w:val="0"/>
        <w:rPr>
          <w:u w:val="single"/>
          <w:lang w:val="es-ES"/>
        </w:rPr>
      </w:pPr>
      <w:r w:rsidRPr="00FB0A15">
        <w:rPr>
          <w:color w:val="000000"/>
          <w:u w:val="single"/>
          <w:lang w:val="es-ES_tradnl"/>
        </w:rPr>
        <w:t>Obtener provecho de la experiencia adquirida</w:t>
      </w:r>
    </w:p>
    <w:p w14:paraId="1FD169DB" w14:textId="77777777" w:rsidR="00235074" w:rsidRDefault="00235074" w:rsidP="007E4D19">
      <w:pPr>
        <w:rPr>
          <w:lang w:val="es-ES"/>
        </w:rPr>
      </w:pPr>
    </w:p>
    <w:p w14:paraId="2D39BF6C" w14:textId="77777777" w:rsidR="00235074" w:rsidRPr="002D04E1" w:rsidRDefault="00D00220" w:rsidP="00FA4E92">
      <w:pPr>
        <w:rPr>
          <w:lang w:val="es-ES"/>
        </w:rPr>
      </w:pPr>
      <w:r>
        <w:fldChar w:fldCharType="begin"/>
      </w:r>
      <w:r w:rsidRPr="002D04E1">
        <w:rPr>
          <w:lang w:val="es-ES"/>
        </w:rPr>
        <w:instrText xml:space="preserve"> AUTONUM  </w:instrText>
      </w:r>
      <w:r>
        <w:fldChar w:fldCharType="end"/>
      </w:r>
      <w:r w:rsidRPr="002D04E1">
        <w:rPr>
          <w:lang w:val="es-ES"/>
        </w:rPr>
        <w:tab/>
      </w:r>
      <w:r w:rsidR="00CA6CDE" w:rsidRPr="00CA6CDE">
        <w:rPr>
          <w:color w:val="000000"/>
          <w:lang w:val="es-ES_tradnl"/>
        </w:rPr>
        <w:t>En el curso del proyecto, se crearon y adoptaron metodologías claras, así como una gran cantidad de documentación útil.</w:t>
      </w:r>
      <w:r w:rsidRPr="002D04E1">
        <w:rPr>
          <w:lang w:val="es-ES"/>
        </w:rPr>
        <w:t xml:space="preserve">  </w:t>
      </w:r>
      <w:r w:rsidR="00FA4E92" w:rsidRPr="00FA4E92">
        <w:rPr>
          <w:color w:val="000000"/>
          <w:lang w:val="es-ES_tradnl"/>
        </w:rPr>
        <w:t>A ese respecto, en el informe de evaluación se concluye que “[l]a gestión del proyecto fue muy satisfactoria” y se propone en concreto que “los beneficios de unas inversiones considerables en desarrollo de metodologías y herramientas [no se limiten] a solo dos países.”</w:t>
      </w:r>
    </w:p>
    <w:p w14:paraId="1B714C75" w14:textId="77777777" w:rsidR="00235074" w:rsidRPr="002D04E1" w:rsidRDefault="00235074" w:rsidP="007E4D19">
      <w:pPr>
        <w:rPr>
          <w:lang w:val="es-ES"/>
        </w:rPr>
      </w:pPr>
    </w:p>
    <w:p w14:paraId="57C6E0EE" w14:textId="7BBE4F86" w:rsidR="00235074" w:rsidRPr="002D04E1" w:rsidRDefault="00D00220" w:rsidP="005F6D21">
      <w:pPr>
        <w:rPr>
          <w:lang w:val="es-ES"/>
        </w:rPr>
      </w:pPr>
      <w:r>
        <w:fldChar w:fldCharType="begin"/>
      </w:r>
      <w:r w:rsidRPr="002D04E1">
        <w:rPr>
          <w:lang w:val="es-ES"/>
        </w:rPr>
        <w:instrText xml:space="preserve"> AUTONUM  </w:instrText>
      </w:r>
      <w:r>
        <w:fldChar w:fldCharType="end"/>
      </w:r>
      <w:r w:rsidRPr="002D04E1">
        <w:rPr>
          <w:lang w:val="es-ES"/>
        </w:rPr>
        <w:tab/>
      </w:r>
      <w:r w:rsidR="0094018F" w:rsidRPr="0094018F">
        <w:rPr>
          <w:color w:val="000000"/>
          <w:lang w:val="es-ES_tradnl"/>
        </w:rPr>
        <w:t xml:space="preserve">En consonancia con la propuesta del informe de evaluación, y para aumentar la probabilidad de que las inversiones realizadas en el marco del proyecto en los dos países interesados también beneficien en el futuro a otros países y partes interesadas, la Secretaría convertiría las </w:t>
      </w:r>
      <w:r w:rsidR="005F6D21">
        <w:rPr>
          <w:color w:val="000000"/>
          <w:lang w:val="es-ES_tradnl"/>
        </w:rPr>
        <w:t xml:space="preserve">metodologías, las herramientas, </w:t>
      </w:r>
      <w:r w:rsidR="0094018F" w:rsidRPr="0094018F">
        <w:rPr>
          <w:color w:val="000000"/>
          <w:lang w:val="es-ES_tradnl"/>
        </w:rPr>
        <w:t xml:space="preserve">los documentos y </w:t>
      </w:r>
      <w:r w:rsidR="005F6D21">
        <w:rPr>
          <w:color w:val="000000"/>
          <w:lang w:val="es-ES_tradnl"/>
        </w:rPr>
        <w:t>otros</w:t>
      </w:r>
      <w:r w:rsidR="0094018F" w:rsidRPr="0094018F">
        <w:rPr>
          <w:color w:val="000000"/>
          <w:lang w:val="es-ES_tradnl"/>
        </w:rPr>
        <w:t xml:space="preserve"> materiales relevantes creados durante el proyecto en un </w:t>
      </w:r>
      <w:r w:rsidR="005F6D21">
        <w:rPr>
          <w:color w:val="000000"/>
          <w:lang w:val="es-ES_tradnl"/>
        </w:rPr>
        <w:t xml:space="preserve">conjunto </w:t>
      </w:r>
      <w:r w:rsidR="0094018F" w:rsidRPr="0094018F">
        <w:rPr>
          <w:color w:val="000000"/>
          <w:lang w:val="es-ES_tradnl"/>
        </w:rPr>
        <w:t xml:space="preserve">de recursos </w:t>
      </w:r>
      <w:r w:rsidR="005F6D21">
        <w:rPr>
          <w:color w:val="000000"/>
          <w:lang w:val="es-ES_tradnl"/>
        </w:rPr>
        <w:t xml:space="preserve">normalizado y </w:t>
      </w:r>
      <w:r w:rsidR="0094018F" w:rsidRPr="0094018F">
        <w:rPr>
          <w:color w:val="000000"/>
          <w:lang w:val="es-ES_tradnl"/>
        </w:rPr>
        <w:t>accesible.</w:t>
      </w:r>
      <w:r w:rsidR="00EE1302" w:rsidRPr="002D04E1">
        <w:rPr>
          <w:lang w:val="es-ES"/>
        </w:rPr>
        <w:t xml:space="preserve">  </w:t>
      </w:r>
      <w:r w:rsidR="0094018F" w:rsidRPr="0094018F">
        <w:rPr>
          <w:color w:val="000000"/>
          <w:lang w:val="es-ES_tradnl"/>
        </w:rPr>
        <w:t xml:space="preserve">Este conjunto de recursos serviría de material de referencia para cualquier parte interesada en </w:t>
      </w:r>
      <w:r w:rsidR="00235074">
        <w:rPr>
          <w:color w:val="000000"/>
          <w:lang w:val="es-ES_tradnl"/>
        </w:rPr>
        <w:t>aplicar</w:t>
      </w:r>
      <w:r w:rsidR="0094018F" w:rsidRPr="0094018F">
        <w:rPr>
          <w:color w:val="000000"/>
          <w:lang w:val="es-ES_tradnl"/>
        </w:rPr>
        <w:t xml:space="preserve"> el proyecto (o partes de este) en otros países o contextos.</w:t>
      </w:r>
      <w:r w:rsidR="00686948" w:rsidRPr="00235074">
        <w:rPr>
          <w:lang w:val="es-ES"/>
        </w:rPr>
        <w:t xml:space="preserve">  </w:t>
      </w:r>
      <w:r w:rsidR="00B63827" w:rsidRPr="00B63827">
        <w:rPr>
          <w:color w:val="000000"/>
          <w:lang w:val="es-ES_tradnl"/>
        </w:rPr>
        <w:t>El conjunto de recursos previsto serviría de orientación y ofrecería materiales de referencia sobre cómo gestionar, por ejemplo, los siguientes elementos del proyecto:</w:t>
      </w:r>
    </w:p>
    <w:p w14:paraId="03AFFA68" w14:textId="77777777" w:rsidR="00235074" w:rsidRPr="002D04E1" w:rsidRDefault="00235074" w:rsidP="009137F6">
      <w:pPr>
        <w:rPr>
          <w:lang w:val="es-ES"/>
        </w:rPr>
      </w:pPr>
    </w:p>
    <w:p w14:paraId="0012AC15" w14:textId="77777777" w:rsidR="00235074" w:rsidRPr="002D04E1" w:rsidRDefault="00B63827" w:rsidP="00B63827">
      <w:pPr>
        <w:pStyle w:val="ListParagraph"/>
        <w:tabs>
          <w:tab w:val="left" w:pos="1134"/>
        </w:tabs>
        <w:ind w:left="567"/>
        <w:rPr>
          <w:lang w:val="es-ES"/>
        </w:rPr>
      </w:pPr>
      <w:r w:rsidRPr="00B63827">
        <w:rPr>
          <w:color w:val="000000"/>
          <w:lang w:val="es-ES_tradnl"/>
        </w:rPr>
        <w:t>a)</w:t>
      </w:r>
      <w:r w:rsidRPr="00B63827">
        <w:rPr>
          <w:color w:val="000000"/>
          <w:lang w:val="es-ES_tradnl"/>
        </w:rPr>
        <w:tab/>
        <w:t>el seguimiento y la evaluación del proyecto;</w:t>
      </w:r>
    </w:p>
    <w:p w14:paraId="7340DA6A" w14:textId="77777777" w:rsidR="00235074" w:rsidRPr="002D04E1" w:rsidRDefault="00B63827" w:rsidP="00B63827">
      <w:pPr>
        <w:pStyle w:val="ListParagraph"/>
        <w:tabs>
          <w:tab w:val="left" w:pos="1134"/>
        </w:tabs>
        <w:ind w:left="567"/>
        <w:rPr>
          <w:lang w:val="es-ES"/>
        </w:rPr>
      </w:pPr>
      <w:r w:rsidRPr="00B63827">
        <w:rPr>
          <w:color w:val="000000"/>
          <w:lang w:val="es-ES_tradnl"/>
        </w:rPr>
        <w:t>b)</w:t>
      </w:r>
      <w:r w:rsidRPr="00B63827">
        <w:rPr>
          <w:color w:val="000000"/>
          <w:lang w:val="es-ES_tradnl"/>
        </w:rPr>
        <w:tab/>
        <w:t>la g</w:t>
      </w:r>
      <w:r w:rsidRPr="00FB0A15">
        <w:rPr>
          <w:lang w:val="es-ES_tradnl"/>
        </w:rPr>
        <w:t>estión del cambio</w:t>
      </w:r>
      <w:r w:rsidRPr="00B63827">
        <w:rPr>
          <w:color w:val="000000"/>
          <w:lang w:val="es-ES_tradnl"/>
        </w:rPr>
        <w:t>;</w:t>
      </w:r>
    </w:p>
    <w:p w14:paraId="407479DE" w14:textId="77777777" w:rsidR="00235074" w:rsidRPr="002D04E1" w:rsidRDefault="00B63827" w:rsidP="00B63827">
      <w:pPr>
        <w:pStyle w:val="ListParagraph"/>
        <w:tabs>
          <w:tab w:val="left" w:pos="1134"/>
        </w:tabs>
        <w:ind w:left="567"/>
        <w:rPr>
          <w:lang w:val="es-ES"/>
        </w:rPr>
      </w:pPr>
      <w:r w:rsidRPr="00B63827">
        <w:rPr>
          <w:color w:val="000000"/>
          <w:lang w:val="es-ES_tradnl"/>
        </w:rPr>
        <w:t>c)</w:t>
      </w:r>
      <w:r w:rsidRPr="00B63827">
        <w:rPr>
          <w:color w:val="000000"/>
          <w:lang w:val="es-ES_tradnl"/>
        </w:rPr>
        <w:tab/>
        <w:t>las d</w:t>
      </w:r>
      <w:r w:rsidRPr="00FB0A15">
        <w:rPr>
          <w:lang w:val="es-ES_tradnl"/>
        </w:rPr>
        <w:t>eclaraci</w:t>
      </w:r>
      <w:r w:rsidRPr="00B63827">
        <w:rPr>
          <w:color w:val="000000"/>
          <w:lang w:val="es-ES_tradnl"/>
        </w:rPr>
        <w:t>ones</w:t>
      </w:r>
      <w:r w:rsidRPr="00FB0A15">
        <w:rPr>
          <w:lang w:val="es-ES_tradnl"/>
        </w:rPr>
        <w:t xml:space="preserve"> sobre el alcance del proyecto</w:t>
      </w:r>
      <w:r w:rsidRPr="00B63827">
        <w:rPr>
          <w:color w:val="000000"/>
          <w:lang w:val="es-ES_tradnl"/>
        </w:rPr>
        <w:t>;</w:t>
      </w:r>
    </w:p>
    <w:p w14:paraId="33A38E01" w14:textId="77777777" w:rsidR="00235074" w:rsidRPr="002D04E1" w:rsidRDefault="00B63827" w:rsidP="00B63827">
      <w:pPr>
        <w:pStyle w:val="ListParagraph"/>
        <w:tabs>
          <w:tab w:val="left" w:pos="1134"/>
        </w:tabs>
        <w:ind w:left="567"/>
        <w:rPr>
          <w:lang w:val="es-ES"/>
        </w:rPr>
      </w:pPr>
      <w:r w:rsidRPr="00B63827">
        <w:rPr>
          <w:color w:val="000000"/>
          <w:lang w:val="es-ES_tradnl"/>
        </w:rPr>
        <w:t>d)</w:t>
      </w:r>
      <w:r w:rsidRPr="00B63827">
        <w:rPr>
          <w:color w:val="000000"/>
          <w:lang w:val="es-ES_tradnl"/>
        </w:rPr>
        <w:tab/>
        <w:t>las estructuras de gobierno del proyecto, entre otras:</w:t>
      </w:r>
    </w:p>
    <w:p w14:paraId="19B4FE93" w14:textId="77777777" w:rsidR="00235074" w:rsidRPr="002D04E1" w:rsidRDefault="00B63827" w:rsidP="00B63827">
      <w:pPr>
        <w:ind w:firstLine="1134"/>
        <w:rPr>
          <w:lang w:val="es-ES"/>
        </w:rPr>
      </w:pPr>
      <w:r w:rsidRPr="00B63827">
        <w:rPr>
          <w:color w:val="000000"/>
          <w:lang w:val="es-ES_tradnl"/>
        </w:rPr>
        <w:t>i)</w:t>
      </w:r>
      <w:r w:rsidRPr="00B63827">
        <w:rPr>
          <w:color w:val="000000"/>
          <w:lang w:val="es-ES_tradnl"/>
        </w:rPr>
        <w:tab/>
        <w:t>los principales instituciones;</w:t>
      </w:r>
    </w:p>
    <w:p w14:paraId="70DE1454" w14:textId="77777777" w:rsidR="00235074" w:rsidRPr="002D04E1" w:rsidRDefault="00B63827" w:rsidP="00B63827">
      <w:pPr>
        <w:ind w:left="1134"/>
        <w:rPr>
          <w:lang w:val="es-ES"/>
        </w:rPr>
      </w:pPr>
      <w:r w:rsidRPr="00B63827">
        <w:rPr>
          <w:color w:val="000000"/>
          <w:lang w:val="es-ES_tradnl"/>
        </w:rPr>
        <w:t>ii)</w:t>
      </w:r>
      <w:r w:rsidRPr="00B63827">
        <w:rPr>
          <w:color w:val="000000"/>
          <w:lang w:val="es-ES_tradnl"/>
        </w:rPr>
        <w:tab/>
        <w:t>los comités directivos y las plataformas de alianzas público-privadas (incluidos los gobiernos, las asociaciones, las cámaras de comercio y las universidades);</w:t>
      </w:r>
      <w:r w:rsidR="00687680" w:rsidRPr="002D04E1">
        <w:rPr>
          <w:lang w:val="es-ES"/>
        </w:rPr>
        <w:t xml:space="preserve"> </w:t>
      </w:r>
    </w:p>
    <w:p w14:paraId="3BDA190C" w14:textId="60F8BC0B" w:rsidR="00235074" w:rsidRPr="002D04E1" w:rsidRDefault="00B63827" w:rsidP="00B63827">
      <w:pPr>
        <w:ind w:left="1134"/>
        <w:rPr>
          <w:lang w:val="es-ES"/>
        </w:rPr>
      </w:pPr>
      <w:r w:rsidRPr="00B63827">
        <w:rPr>
          <w:color w:val="000000"/>
          <w:lang w:val="es-ES_tradnl"/>
        </w:rPr>
        <w:t>iii)</w:t>
      </w:r>
      <w:r w:rsidRPr="00B63827">
        <w:rPr>
          <w:color w:val="000000"/>
          <w:lang w:val="es-ES_tradnl"/>
        </w:rPr>
        <w:tab/>
        <w:t>los coordinador</w:t>
      </w:r>
      <w:r w:rsidR="00065D1B">
        <w:rPr>
          <w:color w:val="000000"/>
          <w:lang w:val="es-ES_tradnl"/>
        </w:rPr>
        <w:t>es</w:t>
      </w:r>
      <w:r w:rsidRPr="00B63827">
        <w:rPr>
          <w:color w:val="000000"/>
          <w:lang w:val="es-ES_tradnl"/>
        </w:rPr>
        <w:t xml:space="preserve"> del proyecto en el país;  y</w:t>
      </w:r>
    </w:p>
    <w:p w14:paraId="43D79B0E" w14:textId="77777777" w:rsidR="00235074" w:rsidRPr="002D04E1" w:rsidRDefault="00B63827" w:rsidP="00B63827">
      <w:pPr>
        <w:ind w:left="1134"/>
        <w:rPr>
          <w:lang w:val="es-ES"/>
        </w:rPr>
      </w:pPr>
      <w:r w:rsidRPr="00B63827">
        <w:rPr>
          <w:color w:val="000000"/>
          <w:lang w:val="es-ES_tradnl"/>
        </w:rPr>
        <w:t>iv)</w:t>
      </w:r>
      <w:r w:rsidRPr="00B63827">
        <w:rPr>
          <w:color w:val="000000"/>
          <w:lang w:val="es-ES_tradnl"/>
        </w:rPr>
        <w:tab/>
        <w:t>los expertos nacionales.</w:t>
      </w:r>
    </w:p>
    <w:p w14:paraId="3F13C954" w14:textId="77777777" w:rsidR="00235074" w:rsidRPr="002D04E1" w:rsidRDefault="00B63827" w:rsidP="00B63827">
      <w:pPr>
        <w:pStyle w:val="ListParagraph"/>
        <w:tabs>
          <w:tab w:val="left" w:pos="1134"/>
        </w:tabs>
        <w:ind w:left="567"/>
        <w:rPr>
          <w:lang w:val="es-ES"/>
        </w:rPr>
      </w:pPr>
      <w:r w:rsidRPr="00B63827">
        <w:rPr>
          <w:color w:val="000000"/>
          <w:lang w:val="es-ES_tradnl"/>
        </w:rPr>
        <w:t>e)</w:t>
      </w:r>
      <w:r w:rsidRPr="00B63827">
        <w:rPr>
          <w:color w:val="000000"/>
          <w:lang w:val="es-ES_tradnl"/>
        </w:rPr>
        <w:tab/>
        <w:t>las estrategias nacionales en el ámbito de las marcas, los diseños industriales y las indicaciones geográficas;</w:t>
      </w:r>
    </w:p>
    <w:p w14:paraId="53BD8C08" w14:textId="77777777" w:rsidR="00235074" w:rsidRPr="002D04E1" w:rsidRDefault="00B63827" w:rsidP="00B63827">
      <w:pPr>
        <w:pStyle w:val="ListParagraph"/>
        <w:tabs>
          <w:tab w:val="left" w:pos="1134"/>
        </w:tabs>
        <w:ind w:left="567"/>
        <w:rPr>
          <w:lang w:val="es-ES"/>
        </w:rPr>
      </w:pPr>
      <w:r w:rsidRPr="00B63827">
        <w:rPr>
          <w:color w:val="000000"/>
          <w:lang w:val="es-ES_tradnl"/>
        </w:rPr>
        <w:t>f)</w:t>
      </w:r>
      <w:r w:rsidRPr="00B63827">
        <w:rPr>
          <w:color w:val="000000"/>
          <w:lang w:val="es-ES_tradnl"/>
        </w:rPr>
        <w:tab/>
        <w:t>los planes de divulgación;</w:t>
      </w:r>
    </w:p>
    <w:p w14:paraId="28D8FD75" w14:textId="77E7467C" w:rsidR="00235074" w:rsidRPr="002D04E1" w:rsidRDefault="00B63827" w:rsidP="005F6D21">
      <w:pPr>
        <w:pStyle w:val="ListParagraph"/>
        <w:tabs>
          <w:tab w:val="left" w:pos="1134"/>
        </w:tabs>
        <w:ind w:left="567"/>
        <w:rPr>
          <w:lang w:val="es-ES"/>
        </w:rPr>
      </w:pPr>
      <w:r w:rsidRPr="00B63827">
        <w:rPr>
          <w:color w:val="000000"/>
          <w:lang w:val="es-ES_tradnl"/>
        </w:rPr>
        <w:t>g)</w:t>
      </w:r>
      <w:r w:rsidRPr="00B63827">
        <w:rPr>
          <w:color w:val="000000"/>
          <w:lang w:val="es-ES_tradnl"/>
        </w:rPr>
        <w:tab/>
        <w:t>los estudios y</w:t>
      </w:r>
      <w:r w:rsidR="005F6D21">
        <w:rPr>
          <w:color w:val="000000"/>
          <w:lang w:val="es-ES_tradnl"/>
        </w:rPr>
        <w:t xml:space="preserve"> las </w:t>
      </w:r>
      <w:r w:rsidRPr="00B63827">
        <w:rPr>
          <w:color w:val="000000"/>
          <w:lang w:val="es-ES_tradnl"/>
        </w:rPr>
        <w:t>encuestas de viabilidad;</w:t>
      </w:r>
    </w:p>
    <w:p w14:paraId="7DC6586F" w14:textId="77777777" w:rsidR="00235074" w:rsidRPr="002D04E1" w:rsidRDefault="00B63827" w:rsidP="00B63827">
      <w:pPr>
        <w:pStyle w:val="ListParagraph"/>
        <w:tabs>
          <w:tab w:val="left" w:pos="1134"/>
        </w:tabs>
        <w:ind w:left="567"/>
        <w:rPr>
          <w:lang w:val="es-ES"/>
        </w:rPr>
      </w:pPr>
      <w:r w:rsidRPr="00B63827">
        <w:rPr>
          <w:color w:val="000000"/>
          <w:lang w:val="es-ES_tradnl"/>
        </w:rPr>
        <w:t>h)</w:t>
      </w:r>
      <w:r w:rsidRPr="00B63827">
        <w:rPr>
          <w:color w:val="000000"/>
          <w:lang w:val="es-ES_tradnl"/>
        </w:rPr>
        <w:tab/>
        <w:t>las estrategias de salida;</w:t>
      </w:r>
    </w:p>
    <w:p w14:paraId="3139CF16" w14:textId="77777777" w:rsidR="00235074" w:rsidRPr="002D04E1" w:rsidRDefault="000B0AF0" w:rsidP="000B0AF0">
      <w:pPr>
        <w:pStyle w:val="ListParagraph"/>
        <w:tabs>
          <w:tab w:val="left" w:pos="1134"/>
        </w:tabs>
        <w:ind w:left="567"/>
        <w:rPr>
          <w:lang w:val="es-ES"/>
        </w:rPr>
      </w:pPr>
      <w:r w:rsidRPr="000B0AF0">
        <w:rPr>
          <w:color w:val="000000"/>
          <w:lang w:val="es-ES_tradnl"/>
        </w:rPr>
        <w:t>i)</w:t>
      </w:r>
      <w:r w:rsidRPr="000B0AF0">
        <w:rPr>
          <w:color w:val="000000"/>
          <w:lang w:val="es-ES_tradnl"/>
        </w:rPr>
        <w:tab/>
        <w:t>los criterios de selección de las empresas y las metodologías de evaluación;</w:t>
      </w:r>
    </w:p>
    <w:p w14:paraId="190CA895" w14:textId="77777777" w:rsidR="00235074" w:rsidRPr="002D04E1" w:rsidRDefault="000B0AF0" w:rsidP="000B0AF0">
      <w:pPr>
        <w:pStyle w:val="ListParagraph"/>
        <w:tabs>
          <w:tab w:val="left" w:pos="1134"/>
        </w:tabs>
        <w:ind w:left="567"/>
        <w:rPr>
          <w:lang w:val="es-ES"/>
        </w:rPr>
      </w:pPr>
      <w:r w:rsidRPr="000B0AF0">
        <w:rPr>
          <w:color w:val="000000"/>
          <w:lang w:val="es-ES_tradnl"/>
        </w:rPr>
        <w:t>j)</w:t>
      </w:r>
      <w:r w:rsidRPr="000B0AF0">
        <w:rPr>
          <w:color w:val="000000"/>
          <w:lang w:val="es-ES_tradnl"/>
        </w:rPr>
        <w:tab/>
        <w:t>las actividades de promoción y sensibilización, entre otras:</w:t>
      </w:r>
    </w:p>
    <w:p w14:paraId="06131125" w14:textId="77777777" w:rsidR="00235074" w:rsidRPr="002D04E1" w:rsidRDefault="000B0AF0" w:rsidP="000B0AF0">
      <w:pPr>
        <w:ind w:left="1134"/>
        <w:rPr>
          <w:lang w:val="es-ES"/>
        </w:rPr>
      </w:pPr>
      <w:r w:rsidRPr="000B0AF0">
        <w:rPr>
          <w:color w:val="000000"/>
          <w:lang w:val="es-ES_tradnl"/>
        </w:rPr>
        <w:t>i)</w:t>
      </w:r>
      <w:r w:rsidRPr="000B0AF0">
        <w:rPr>
          <w:color w:val="000000"/>
          <w:lang w:val="es-ES_tradnl"/>
        </w:rPr>
        <w:tab/>
        <w:t>los nombres de los programas;</w:t>
      </w:r>
    </w:p>
    <w:p w14:paraId="30612753" w14:textId="77777777" w:rsidR="00235074" w:rsidRPr="002D04E1" w:rsidRDefault="000B0AF0" w:rsidP="000B0AF0">
      <w:pPr>
        <w:ind w:left="1134"/>
        <w:rPr>
          <w:lang w:val="es-ES"/>
        </w:rPr>
      </w:pPr>
      <w:r w:rsidRPr="000B0AF0">
        <w:rPr>
          <w:color w:val="000000"/>
          <w:lang w:val="es-ES_tradnl"/>
        </w:rPr>
        <w:t>ii)</w:t>
      </w:r>
      <w:r w:rsidRPr="000B0AF0">
        <w:rPr>
          <w:color w:val="000000"/>
          <w:lang w:val="es-ES_tradnl"/>
        </w:rPr>
        <w:tab/>
        <w:t>los folletos promocionales;</w:t>
      </w:r>
    </w:p>
    <w:p w14:paraId="0234327E" w14:textId="77777777" w:rsidR="00235074" w:rsidRPr="002D04E1" w:rsidRDefault="000B0AF0" w:rsidP="000B0AF0">
      <w:pPr>
        <w:ind w:left="1134"/>
        <w:rPr>
          <w:lang w:val="es-ES"/>
        </w:rPr>
      </w:pPr>
      <w:r w:rsidRPr="000B0AF0">
        <w:rPr>
          <w:color w:val="000000"/>
          <w:lang w:val="es-ES_tradnl"/>
        </w:rPr>
        <w:t>iii)</w:t>
      </w:r>
      <w:r w:rsidRPr="000B0AF0">
        <w:rPr>
          <w:color w:val="000000"/>
          <w:lang w:val="es-ES_tradnl"/>
        </w:rPr>
        <w:tab/>
        <w:t>los logotipos y lemas publicitarios;</w:t>
      </w:r>
    </w:p>
    <w:p w14:paraId="39EB90E5" w14:textId="77777777" w:rsidR="00235074" w:rsidRPr="002D04E1" w:rsidRDefault="000B0AF0" w:rsidP="000B0AF0">
      <w:pPr>
        <w:ind w:left="1134"/>
        <w:rPr>
          <w:lang w:val="es-ES"/>
        </w:rPr>
      </w:pPr>
      <w:r w:rsidRPr="000B0AF0">
        <w:rPr>
          <w:color w:val="000000"/>
          <w:lang w:val="es-ES_tradnl"/>
        </w:rPr>
        <w:t>iv)</w:t>
      </w:r>
      <w:r w:rsidRPr="000B0AF0">
        <w:rPr>
          <w:color w:val="000000"/>
          <w:lang w:val="es-ES_tradnl"/>
        </w:rPr>
        <w:tab/>
        <w:t>las páginas web;</w:t>
      </w:r>
    </w:p>
    <w:p w14:paraId="4F9FEA86" w14:textId="77777777" w:rsidR="00235074" w:rsidRPr="002D04E1" w:rsidRDefault="000B0AF0" w:rsidP="000B0AF0">
      <w:pPr>
        <w:ind w:left="1134"/>
        <w:rPr>
          <w:lang w:val="es-ES"/>
        </w:rPr>
      </w:pPr>
      <w:r w:rsidRPr="000B0AF0">
        <w:rPr>
          <w:color w:val="000000"/>
          <w:lang w:val="es-ES_tradnl"/>
        </w:rPr>
        <w:t xml:space="preserve">v) </w:t>
      </w:r>
      <w:r w:rsidR="006B0B09">
        <w:rPr>
          <w:color w:val="000000"/>
          <w:lang w:val="es-ES_tradnl"/>
        </w:rPr>
        <w:tab/>
      </w:r>
      <w:r w:rsidRPr="000B0AF0">
        <w:rPr>
          <w:color w:val="000000"/>
          <w:lang w:val="es-ES_tradnl"/>
        </w:rPr>
        <w:t>los videos;  y</w:t>
      </w:r>
    </w:p>
    <w:p w14:paraId="066DD0F4" w14:textId="634E9639" w:rsidR="00235074" w:rsidRPr="00885F5B" w:rsidRDefault="000B0AF0" w:rsidP="005F6D21">
      <w:pPr>
        <w:ind w:left="1134"/>
        <w:rPr>
          <w:lang w:val="es-ES"/>
        </w:rPr>
      </w:pPr>
      <w:r w:rsidRPr="000B0AF0">
        <w:rPr>
          <w:color w:val="000000"/>
          <w:lang w:val="es-ES_tradnl"/>
        </w:rPr>
        <w:t>vi)</w:t>
      </w:r>
      <w:r w:rsidRPr="000B0AF0">
        <w:rPr>
          <w:color w:val="000000"/>
          <w:lang w:val="es-ES_tradnl"/>
        </w:rPr>
        <w:tab/>
        <w:t xml:space="preserve">la colaboración </w:t>
      </w:r>
      <w:r w:rsidR="005F6D21">
        <w:rPr>
          <w:color w:val="000000"/>
          <w:lang w:val="es-ES_tradnl"/>
        </w:rPr>
        <w:t>con</w:t>
      </w:r>
      <w:r w:rsidRPr="000B0AF0">
        <w:rPr>
          <w:color w:val="000000"/>
          <w:lang w:val="es-ES_tradnl"/>
        </w:rPr>
        <w:t xml:space="preserve"> medios de comunicación.</w:t>
      </w:r>
    </w:p>
    <w:p w14:paraId="1C0806DD" w14:textId="77777777" w:rsidR="00235074" w:rsidRPr="00885F5B" w:rsidRDefault="00431B38" w:rsidP="006B0B09">
      <w:pPr>
        <w:pStyle w:val="ListParagraph"/>
        <w:tabs>
          <w:tab w:val="left" w:pos="1134"/>
        </w:tabs>
        <w:ind w:left="567"/>
        <w:rPr>
          <w:lang w:val="es-ES"/>
        </w:rPr>
      </w:pPr>
      <w:r w:rsidRPr="00885F5B">
        <w:rPr>
          <w:lang w:val="es-ES"/>
        </w:rPr>
        <w:t>k)</w:t>
      </w:r>
      <w:r w:rsidRPr="00885F5B">
        <w:rPr>
          <w:lang w:val="es-ES"/>
        </w:rPr>
        <w:tab/>
      </w:r>
      <w:r w:rsidR="006B0B09" w:rsidRPr="006B0B09">
        <w:rPr>
          <w:color w:val="000000"/>
          <w:lang w:val="es-ES_tradnl"/>
        </w:rPr>
        <w:t>las metodologías y herramientas de expertos que abarquen:</w:t>
      </w:r>
    </w:p>
    <w:p w14:paraId="340505AE" w14:textId="77777777" w:rsidR="00235074" w:rsidRPr="002D04E1" w:rsidRDefault="006B0B09" w:rsidP="006B0B09">
      <w:pPr>
        <w:ind w:left="1134"/>
        <w:rPr>
          <w:lang w:val="es-ES"/>
        </w:rPr>
      </w:pPr>
      <w:r w:rsidRPr="006B0B09">
        <w:rPr>
          <w:color w:val="000000"/>
          <w:lang w:val="es-ES_tradnl"/>
        </w:rPr>
        <w:t>i)</w:t>
      </w:r>
      <w:r w:rsidRPr="006B0B09">
        <w:rPr>
          <w:color w:val="000000"/>
          <w:lang w:val="es-ES_tradnl"/>
        </w:rPr>
        <w:tab/>
        <w:t>información básica sobre diseños industriales;</w:t>
      </w:r>
    </w:p>
    <w:p w14:paraId="067310DD" w14:textId="77777777" w:rsidR="00235074" w:rsidRPr="002D04E1" w:rsidRDefault="006B0B09" w:rsidP="006B0B09">
      <w:pPr>
        <w:ind w:left="1134"/>
        <w:rPr>
          <w:lang w:val="es-ES"/>
        </w:rPr>
      </w:pPr>
      <w:r w:rsidRPr="006B0B09">
        <w:rPr>
          <w:color w:val="000000"/>
          <w:lang w:val="es-ES_tradnl"/>
        </w:rPr>
        <w:t>ii)</w:t>
      </w:r>
      <w:r w:rsidRPr="006B0B09">
        <w:rPr>
          <w:color w:val="000000"/>
          <w:lang w:val="es-ES_tradnl"/>
        </w:rPr>
        <w:tab/>
        <w:t>estrategias empresariales;</w:t>
      </w:r>
    </w:p>
    <w:p w14:paraId="3D0D6FB7" w14:textId="77777777" w:rsidR="00235074" w:rsidRPr="002D04E1" w:rsidRDefault="006B0B09" w:rsidP="006B0B09">
      <w:pPr>
        <w:ind w:left="1134"/>
        <w:rPr>
          <w:lang w:val="es-ES"/>
        </w:rPr>
      </w:pPr>
      <w:r w:rsidRPr="006B0B09">
        <w:rPr>
          <w:color w:val="000000"/>
          <w:lang w:val="es-ES_tradnl"/>
        </w:rPr>
        <w:t>iii)</w:t>
      </w:r>
      <w:r w:rsidRPr="006B0B09">
        <w:rPr>
          <w:color w:val="000000"/>
          <w:lang w:val="es-ES_tradnl"/>
        </w:rPr>
        <w:tab/>
        <w:t>las carteras de diseño industrial de las empresas;</w:t>
      </w:r>
    </w:p>
    <w:p w14:paraId="1FE561B8" w14:textId="77777777" w:rsidR="00235074" w:rsidRPr="002D04E1" w:rsidRDefault="006B0B09" w:rsidP="006B0B09">
      <w:pPr>
        <w:ind w:left="1134"/>
        <w:rPr>
          <w:lang w:val="es-ES"/>
        </w:rPr>
      </w:pPr>
      <w:r w:rsidRPr="006B0B09">
        <w:rPr>
          <w:color w:val="000000"/>
          <w:lang w:val="es-ES_tradnl"/>
        </w:rPr>
        <w:t>iv)</w:t>
      </w:r>
      <w:r w:rsidRPr="006B0B09">
        <w:rPr>
          <w:color w:val="000000"/>
          <w:lang w:val="es-ES_tradnl"/>
        </w:rPr>
        <w:tab/>
        <w:t>las estrategias empresariales de PI en el ámbito de los diseños industriales;</w:t>
      </w:r>
    </w:p>
    <w:p w14:paraId="3A190151" w14:textId="77777777" w:rsidR="00235074" w:rsidRPr="002D04E1" w:rsidRDefault="006B0B09" w:rsidP="006B0B09">
      <w:pPr>
        <w:ind w:left="1134"/>
        <w:rPr>
          <w:lang w:val="es-ES"/>
        </w:rPr>
      </w:pPr>
      <w:r w:rsidRPr="006B0B09">
        <w:rPr>
          <w:color w:val="000000"/>
          <w:lang w:val="es-ES_tradnl"/>
        </w:rPr>
        <w:t>v)</w:t>
      </w:r>
      <w:r w:rsidRPr="006B0B09">
        <w:rPr>
          <w:color w:val="000000"/>
          <w:lang w:val="es-ES_tradnl"/>
        </w:rPr>
        <w:tab/>
        <w:t xml:space="preserve">los vínculos con otros ámbitos de la PI, incluidas las marcas y las </w:t>
      </w:r>
      <w:r w:rsidRPr="00FB0A15">
        <w:rPr>
          <w:lang w:val="es-ES_tradnl"/>
        </w:rPr>
        <w:t>indicaciones geográficas</w:t>
      </w:r>
      <w:r w:rsidRPr="006B0B09">
        <w:rPr>
          <w:color w:val="000000"/>
          <w:lang w:val="es-ES_tradnl"/>
        </w:rPr>
        <w:t>;  y</w:t>
      </w:r>
    </w:p>
    <w:p w14:paraId="7C0EE940" w14:textId="77777777" w:rsidR="00235074" w:rsidRPr="00885F5B" w:rsidRDefault="006B0B09" w:rsidP="006B0B09">
      <w:pPr>
        <w:ind w:left="1134"/>
        <w:rPr>
          <w:lang w:val="es-ES"/>
        </w:rPr>
      </w:pPr>
      <w:r w:rsidRPr="006B0B09">
        <w:rPr>
          <w:color w:val="000000"/>
          <w:lang w:val="es-ES_tradnl"/>
        </w:rPr>
        <w:t>vi)</w:t>
      </w:r>
      <w:r w:rsidRPr="006B0B09">
        <w:rPr>
          <w:color w:val="000000"/>
          <w:lang w:val="es-ES_tradnl"/>
        </w:rPr>
        <w:tab/>
        <w:t>la asistencia técnica a las empresas proporcionada por expertos nacionales.</w:t>
      </w:r>
    </w:p>
    <w:p w14:paraId="0C071072" w14:textId="066A63F3" w:rsidR="00235074" w:rsidRPr="002D04E1" w:rsidRDefault="005F6D21" w:rsidP="006B0B09">
      <w:pPr>
        <w:pStyle w:val="ListParagraph"/>
        <w:tabs>
          <w:tab w:val="left" w:pos="1134"/>
        </w:tabs>
        <w:ind w:left="567"/>
        <w:rPr>
          <w:lang w:val="es-ES"/>
        </w:rPr>
      </w:pPr>
      <w:r>
        <w:rPr>
          <w:color w:val="000000"/>
          <w:lang w:val="es-ES_tradnl"/>
        </w:rPr>
        <w:lastRenderedPageBreak/>
        <w:t>l</w:t>
      </w:r>
      <w:r w:rsidR="006B0B09" w:rsidRPr="006B0B09">
        <w:rPr>
          <w:color w:val="000000"/>
          <w:lang w:val="es-ES_tradnl"/>
        </w:rPr>
        <w:t>)</w:t>
      </w:r>
      <w:r w:rsidR="006B0B09" w:rsidRPr="006B0B09">
        <w:rPr>
          <w:color w:val="000000"/>
          <w:lang w:val="es-ES_tradnl"/>
        </w:rPr>
        <w:tab/>
        <w:t>El f</w:t>
      </w:r>
      <w:r w:rsidR="006B0B09" w:rsidRPr="00FB0A15">
        <w:rPr>
          <w:lang w:val="es-ES_tradnl"/>
        </w:rPr>
        <w:t>ortalecimiento de capacidades</w:t>
      </w:r>
      <w:r w:rsidR="006B0B09" w:rsidRPr="006B0B09">
        <w:rPr>
          <w:color w:val="000000"/>
          <w:lang w:val="es-ES_tradnl"/>
        </w:rPr>
        <w:t>;</w:t>
      </w:r>
    </w:p>
    <w:p w14:paraId="789659CD" w14:textId="77777777" w:rsidR="00235074" w:rsidRPr="002D04E1" w:rsidRDefault="006B0B09" w:rsidP="006B0B09">
      <w:pPr>
        <w:pStyle w:val="ListParagraph"/>
        <w:tabs>
          <w:tab w:val="left" w:pos="1134"/>
        </w:tabs>
        <w:ind w:left="567"/>
        <w:rPr>
          <w:lang w:val="es-ES"/>
        </w:rPr>
      </w:pPr>
      <w:r w:rsidRPr="006B0B09">
        <w:rPr>
          <w:color w:val="000000"/>
          <w:lang w:val="es-ES_tradnl"/>
        </w:rPr>
        <w:t>m)</w:t>
      </w:r>
      <w:r w:rsidRPr="006B0B09">
        <w:rPr>
          <w:color w:val="000000"/>
          <w:lang w:val="es-ES_tradnl"/>
        </w:rPr>
        <w:tab/>
        <w:t>el intercambio de conocimientos:</w:t>
      </w:r>
    </w:p>
    <w:p w14:paraId="089B7FBE" w14:textId="6E396A5F" w:rsidR="00235074" w:rsidRPr="002D04E1" w:rsidRDefault="005F6D21" w:rsidP="006B0B09">
      <w:pPr>
        <w:ind w:left="1134"/>
        <w:rPr>
          <w:lang w:val="es-ES"/>
        </w:rPr>
      </w:pPr>
      <w:r>
        <w:rPr>
          <w:color w:val="000000"/>
          <w:lang w:val="es-ES_tradnl"/>
        </w:rPr>
        <w:t>i)</w:t>
      </w:r>
      <w:r>
        <w:rPr>
          <w:color w:val="000000"/>
          <w:lang w:val="es-ES_tradnl"/>
        </w:rPr>
        <w:tab/>
        <w:t>a</w:t>
      </w:r>
      <w:r w:rsidR="006B0B09" w:rsidRPr="006B0B09">
        <w:rPr>
          <w:color w:val="000000"/>
          <w:lang w:val="es-ES_tradnl"/>
        </w:rPr>
        <w:t xml:space="preserve"> nivel nacional e internacional;  y</w:t>
      </w:r>
    </w:p>
    <w:p w14:paraId="67BE38EB" w14:textId="24F43918" w:rsidR="00235074" w:rsidRPr="002D04E1" w:rsidRDefault="005F6D21" w:rsidP="006B0B09">
      <w:pPr>
        <w:ind w:left="1134"/>
        <w:rPr>
          <w:lang w:val="es-ES"/>
        </w:rPr>
      </w:pPr>
      <w:r>
        <w:rPr>
          <w:color w:val="000000"/>
          <w:lang w:val="es-ES_tradnl"/>
        </w:rPr>
        <w:t>ii)</w:t>
      </w:r>
      <w:r>
        <w:rPr>
          <w:color w:val="000000"/>
          <w:lang w:val="es-ES_tradnl"/>
        </w:rPr>
        <w:tab/>
        <w:t>a</w:t>
      </w:r>
      <w:r w:rsidR="006B0B09" w:rsidRPr="006B0B09">
        <w:rPr>
          <w:color w:val="000000"/>
          <w:lang w:val="es-ES_tradnl"/>
        </w:rPr>
        <w:t xml:space="preserve"> nivel intersectorial.</w:t>
      </w:r>
    </w:p>
    <w:p w14:paraId="4ACE6243" w14:textId="77777777" w:rsidR="00235074" w:rsidRPr="002D04E1" w:rsidRDefault="005269E1" w:rsidP="005269E1">
      <w:pPr>
        <w:pStyle w:val="ListParagraph"/>
        <w:tabs>
          <w:tab w:val="left" w:pos="1134"/>
        </w:tabs>
        <w:ind w:left="567"/>
        <w:rPr>
          <w:lang w:val="es-ES"/>
        </w:rPr>
      </w:pPr>
      <w:r w:rsidRPr="005269E1">
        <w:rPr>
          <w:color w:val="000000"/>
          <w:lang w:val="es-ES_tradnl"/>
        </w:rPr>
        <w:t>n)</w:t>
      </w:r>
      <w:r w:rsidRPr="005269E1">
        <w:rPr>
          <w:color w:val="000000"/>
          <w:lang w:val="es-ES_tradnl"/>
        </w:rPr>
        <w:tab/>
        <w:t>cuestiones de género y diversidad.</w:t>
      </w:r>
    </w:p>
    <w:p w14:paraId="6A9C7E1A" w14:textId="77777777" w:rsidR="00235074" w:rsidRPr="002D04E1" w:rsidRDefault="00235074" w:rsidP="007E4D19">
      <w:pPr>
        <w:rPr>
          <w:lang w:val="es-ES"/>
        </w:rPr>
      </w:pPr>
    </w:p>
    <w:p w14:paraId="2FE72B1A" w14:textId="459BD3F0" w:rsidR="00235074" w:rsidRPr="002D04E1" w:rsidRDefault="007E15B4" w:rsidP="005F6D21">
      <w:pPr>
        <w:rPr>
          <w:lang w:val="es-ES"/>
        </w:rPr>
      </w:pPr>
      <w:r>
        <w:fldChar w:fldCharType="begin"/>
      </w:r>
      <w:r w:rsidRPr="002D04E1">
        <w:rPr>
          <w:lang w:val="es-ES"/>
        </w:rPr>
        <w:instrText xml:space="preserve"> AUTONUM  </w:instrText>
      </w:r>
      <w:r>
        <w:fldChar w:fldCharType="end"/>
      </w:r>
      <w:r w:rsidRPr="002D04E1">
        <w:rPr>
          <w:lang w:val="es-ES"/>
        </w:rPr>
        <w:tab/>
      </w:r>
      <w:r w:rsidR="005269E1" w:rsidRPr="005269E1">
        <w:rPr>
          <w:color w:val="000000"/>
          <w:lang w:val="es-ES_tradnl"/>
        </w:rPr>
        <w:t>Los recursos pueden formar un manual o un conjunto de páginas web especializad</w:t>
      </w:r>
      <w:r w:rsidR="005F6D21">
        <w:rPr>
          <w:color w:val="000000"/>
          <w:lang w:val="es-ES_tradnl"/>
        </w:rPr>
        <w:t>as</w:t>
      </w:r>
      <w:r w:rsidR="005269E1" w:rsidRPr="005269E1">
        <w:rPr>
          <w:color w:val="000000"/>
          <w:lang w:val="es-ES_tradnl"/>
        </w:rPr>
        <w:t xml:space="preserve"> (con material interactivo, </w:t>
      </w:r>
      <w:r w:rsidR="005F6D21">
        <w:rPr>
          <w:color w:val="000000"/>
          <w:lang w:val="es-ES_tradnl"/>
        </w:rPr>
        <w:t>como</w:t>
      </w:r>
      <w:r w:rsidR="005269E1" w:rsidRPr="005269E1">
        <w:rPr>
          <w:color w:val="000000"/>
          <w:lang w:val="es-ES_tradnl"/>
        </w:rPr>
        <w:t xml:space="preserve"> video</w:t>
      </w:r>
      <w:r w:rsidR="005F6D21">
        <w:rPr>
          <w:color w:val="000000"/>
          <w:lang w:val="es-ES_tradnl"/>
        </w:rPr>
        <w:t>s</w:t>
      </w:r>
      <w:r w:rsidR="005269E1" w:rsidRPr="005269E1">
        <w:rPr>
          <w:color w:val="000000"/>
          <w:lang w:val="es-ES_tradnl"/>
        </w:rPr>
        <w:t xml:space="preserve"> y herramientas de enseñanza a distancia).</w:t>
      </w:r>
    </w:p>
    <w:p w14:paraId="526D524C" w14:textId="77777777" w:rsidR="00235074" w:rsidRPr="002D04E1" w:rsidRDefault="00235074" w:rsidP="007E4D19">
      <w:pPr>
        <w:rPr>
          <w:lang w:val="es-ES"/>
        </w:rPr>
      </w:pPr>
    </w:p>
    <w:p w14:paraId="25C44AB0" w14:textId="0D3ED972" w:rsidR="00235074" w:rsidRPr="002D04E1" w:rsidRDefault="005F6D21" w:rsidP="005F6D21">
      <w:pPr>
        <w:outlineLvl w:val="0"/>
        <w:rPr>
          <w:u w:val="single"/>
          <w:lang w:val="es-ES"/>
        </w:rPr>
      </w:pPr>
      <w:r>
        <w:rPr>
          <w:color w:val="000000"/>
          <w:u w:val="single"/>
          <w:lang w:val="es-ES_tradnl"/>
        </w:rPr>
        <w:t>Adaptabilidad de la escala del proyecto y su incorporación</w:t>
      </w:r>
    </w:p>
    <w:p w14:paraId="7671FA95" w14:textId="77777777" w:rsidR="00235074" w:rsidRPr="002D04E1" w:rsidRDefault="00235074" w:rsidP="007E4D19">
      <w:pPr>
        <w:rPr>
          <w:u w:val="single"/>
          <w:lang w:val="es-ES"/>
        </w:rPr>
      </w:pPr>
    </w:p>
    <w:p w14:paraId="25DF2AEB" w14:textId="5646C02F" w:rsidR="00235074" w:rsidRPr="002D04E1" w:rsidRDefault="009137F6" w:rsidP="006F4097">
      <w:pPr>
        <w:rPr>
          <w:lang w:val="es-ES"/>
        </w:rPr>
      </w:pPr>
      <w:r>
        <w:fldChar w:fldCharType="begin"/>
      </w:r>
      <w:r w:rsidRPr="002D04E1">
        <w:rPr>
          <w:lang w:val="es-ES"/>
        </w:rPr>
        <w:instrText xml:space="preserve"> AUTONUM  </w:instrText>
      </w:r>
      <w:r>
        <w:fldChar w:fldCharType="end"/>
      </w:r>
      <w:r w:rsidRPr="002D04E1">
        <w:rPr>
          <w:lang w:val="es-ES"/>
        </w:rPr>
        <w:tab/>
      </w:r>
      <w:r w:rsidR="00235074" w:rsidRPr="00235074">
        <w:rPr>
          <w:color w:val="000000"/>
          <w:lang w:val="es-ES_tradnl"/>
        </w:rPr>
        <w:t xml:space="preserve">Una condición para que el proyecto pueda aplicarse con éxito en otros países y contextos es que esté diseñado de forma que </w:t>
      </w:r>
      <w:r w:rsidR="005F6D21">
        <w:rPr>
          <w:color w:val="000000"/>
          <w:lang w:val="es-ES_tradnl"/>
        </w:rPr>
        <w:t xml:space="preserve">su escala </w:t>
      </w:r>
      <w:r w:rsidR="00235074" w:rsidRPr="00235074">
        <w:rPr>
          <w:color w:val="000000"/>
          <w:lang w:val="es-ES_tradnl"/>
        </w:rPr>
        <w:t>pueda adaptarse de forma realista.</w:t>
      </w:r>
      <w:r w:rsidRPr="002D04E1">
        <w:rPr>
          <w:lang w:val="es-ES"/>
        </w:rPr>
        <w:t xml:space="preserve">  </w:t>
      </w:r>
      <w:r w:rsidR="00235074" w:rsidRPr="00235074">
        <w:rPr>
          <w:color w:val="000000"/>
          <w:lang w:val="es-ES_tradnl"/>
        </w:rPr>
        <w:t xml:space="preserve">La Secretaría tendría dificultades para aplicar </w:t>
      </w:r>
      <w:r w:rsidR="006F4097">
        <w:rPr>
          <w:color w:val="000000"/>
          <w:lang w:val="es-ES_tradnl"/>
        </w:rPr>
        <w:t>un proyecto con un formato exactamente igual</w:t>
      </w:r>
      <w:r w:rsidR="00235074" w:rsidRPr="00235074">
        <w:rPr>
          <w:color w:val="000000"/>
          <w:lang w:val="es-ES_tradnl"/>
        </w:rPr>
        <w:t xml:space="preserve"> en un número de países cada vez mayor, habida cuenta de los recursos y el volumen de trabajo que esto conllevaría.</w:t>
      </w:r>
      <w:r w:rsidR="000532EC" w:rsidRPr="002D04E1">
        <w:rPr>
          <w:lang w:val="es-ES"/>
        </w:rPr>
        <w:t xml:space="preserve">  </w:t>
      </w:r>
      <w:r w:rsidR="00235074" w:rsidRPr="00235074">
        <w:rPr>
          <w:color w:val="000000"/>
          <w:lang w:val="es-ES_tradnl"/>
        </w:rPr>
        <w:t xml:space="preserve">Teniendo en cuenta la evaluación positiva que en el informe de evaluación se hace de varios aspectos del proyecto, parecería lógico incorporar esos aspectos </w:t>
      </w:r>
      <w:r w:rsidR="006F4097">
        <w:rPr>
          <w:color w:val="000000"/>
          <w:lang w:val="es-ES_tradnl"/>
        </w:rPr>
        <w:t>a</w:t>
      </w:r>
      <w:r w:rsidR="00235074" w:rsidRPr="00235074">
        <w:rPr>
          <w:color w:val="000000"/>
          <w:lang w:val="es-ES_tradnl"/>
        </w:rPr>
        <w:t xml:space="preserve"> la labor</w:t>
      </w:r>
      <w:r w:rsidR="006F4097">
        <w:rPr>
          <w:color w:val="000000"/>
          <w:lang w:val="es-ES_tradnl"/>
        </w:rPr>
        <w:t xml:space="preserve"> ordinaria</w:t>
      </w:r>
      <w:r w:rsidR="00235074" w:rsidRPr="00235074">
        <w:rPr>
          <w:color w:val="000000"/>
          <w:lang w:val="es-ES_tradnl"/>
        </w:rPr>
        <w:t xml:space="preserve"> de </w:t>
      </w:r>
      <w:r w:rsidR="00235074" w:rsidRPr="00FB0A15">
        <w:rPr>
          <w:lang w:val="es-ES_tradnl"/>
        </w:rPr>
        <w:t>fortalecimiento de capacidad y asistencia técnica</w:t>
      </w:r>
      <w:r w:rsidR="00235074" w:rsidRPr="00235074">
        <w:rPr>
          <w:color w:val="000000"/>
          <w:lang w:val="es-ES_tradnl"/>
        </w:rPr>
        <w:t xml:space="preserve"> de la Secretaría.</w:t>
      </w:r>
      <w:r w:rsidR="00007792" w:rsidRPr="002D04E1">
        <w:rPr>
          <w:lang w:val="es-ES"/>
        </w:rPr>
        <w:t xml:space="preserve">  </w:t>
      </w:r>
      <w:r w:rsidR="00235074" w:rsidRPr="00235074">
        <w:rPr>
          <w:color w:val="000000"/>
          <w:lang w:val="es-ES_tradnl"/>
        </w:rPr>
        <w:t xml:space="preserve">La elaboración de un </w:t>
      </w:r>
      <w:r w:rsidR="006F4097">
        <w:rPr>
          <w:color w:val="000000"/>
          <w:lang w:val="es-ES_tradnl"/>
        </w:rPr>
        <w:t>conjunto</w:t>
      </w:r>
      <w:r w:rsidR="00235074" w:rsidRPr="00235074">
        <w:rPr>
          <w:color w:val="000000"/>
          <w:lang w:val="es-ES_tradnl"/>
        </w:rPr>
        <w:t xml:space="preserve"> de recursos </w:t>
      </w:r>
      <w:r w:rsidR="006F4097">
        <w:rPr>
          <w:color w:val="000000"/>
          <w:lang w:val="es-ES_tradnl"/>
        </w:rPr>
        <w:t xml:space="preserve">normalizado </w:t>
      </w:r>
      <w:r w:rsidR="00235074" w:rsidRPr="00235074">
        <w:rPr>
          <w:color w:val="000000"/>
          <w:lang w:val="es-ES_tradnl"/>
        </w:rPr>
        <w:t>a partir de la documentación del proyecto, tal como se describe anteriormente, facilitaría esto en gran medida.</w:t>
      </w:r>
      <w:r w:rsidR="00007792" w:rsidRPr="002D04E1">
        <w:rPr>
          <w:lang w:val="es-ES"/>
        </w:rPr>
        <w:t xml:space="preserve">  </w:t>
      </w:r>
      <w:r w:rsidR="00BB6F80" w:rsidRPr="00BB6F80">
        <w:rPr>
          <w:color w:val="000000"/>
          <w:lang w:val="es-ES_tradnl"/>
        </w:rPr>
        <w:t xml:space="preserve">Los países que deseen aplicar el proyecto (o partes de este) en sus territorios podrían expresar su interés a la Secretaría, que daría prioridad y prepararía </w:t>
      </w:r>
      <w:r w:rsidR="006F4097">
        <w:rPr>
          <w:color w:val="000000"/>
          <w:lang w:val="es-ES_tradnl"/>
        </w:rPr>
        <w:t>un</w:t>
      </w:r>
      <w:r w:rsidR="00BB6F80" w:rsidRPr="00BB6F80">
        <w:rPr>
          <w:color w:val="000000"/>
          <w:lang w:val="es-ES_tradnl"/>
        </w:rPr>
        <w:t xml:space="preserve"> plan de seguimiento </w:t>
      </w:r>
      <w:r w:rsidR="006F4097">
        <w:rPr>
          <w:color w:val="000000"/>
          <w:lang w:val="es-ES_tradnl"/>
        </w:rPr>
        <w:t>para</w:t>
      </w:r>
      <w:r w:rsidR="00BB6F80" w:rsidRPr="00BB6F80">
        <w:rPr>
          <w:color w:val="000000"/>
          <w:lang w:val="es-ES_tradnl"/>
        </w:rPr>
        <w:t xml:space="preserve"> dichas peticiones en el marco de su labor ordinaria.</w:t>
      </w:r>
      <w:r w:rsidR="001B3E5D" w:rsidRPr="002D04E1">
        <w:rPr>
          <w:lang w:val="es-ES"/>
        </w:rPr>
        <w:t xml:space="preserve">  </w:t>
      </w:r>
      <w:r w:rsidR="00BB6F80" w:rsidRPr="00BB6F80">
        <w:rPr>
          <w:color w:val="000000"/>
          <w:lang w:val="es-ES_tradnl"/>
        </w:rPr>
        <w:t xml:space="preserve">Si se decide avanzar en cualquier </w:t>
      </w:r>
      <w:r w:rsidR="006F4097">
        <w:rPr>
          <w:color w:val="000000"/>
          <w:lang w:val="es-ES_tradnl"/>
        </w:rPr>
        <w:t>caso</w:t>
      </w:r>
      <w:r w:rsidR="00BB6F80" w:rsidRPr="00BB6F80">
        <w:rPr>
          <w:color w:val="000000"/>
          <w:lang w:val="es-ES_tradnl"/>
        </w:rPr>
        <w:t xml:space="preserve">, se prepararía y </w:t>
      </w:r>
      <w:r w:rsidR="006F4097">
        <w:rPr>
          <w:color w:val="000000"/>
          <w:lang w:val="es-ES_tradnl"/>
        </w:rPr>
        <w:t>ejecutaría</w:t>
      </w:r>
      <w:r w:rsidR="00BB6F80" w:rsidRPr="00BB6F80">
        <w:rPr>
          <w:color w:val="000000"/>
          <w:lang w:val="es-ES_tradnl"/>
        </w:rPr>
        <w:t xml:space="preserve"> </w:t>
      </w:r>
      <w:r w:rsidR="006F4097" w:rsidRPr="00BB6F80">
        <w:rPr>
          <w:color w:val="000000"/>
          <w:lang w:val="es-ES_tradnl"/>
        </w:rPr>
        <w:t xml:space="preserve">en un plazo de tiempo determinado </w:t>
      </w:r>
      <w:r w:rsidR="00BB6F80" w:rsidRPr="00BB6F80">
        <w:rPr>
          <w:color w:val="000000"/>
          <w:lang w:val="es-ES_tradnl"/>
        </w:rPr>
        <w:t xml:space="preserve">un plan basado en el </w:t>
      </w:r>
      <w:r w:rsidR="006F4097">
        <w:rPr>
          <w:color w:val="000000"/>
          <w:lang w:val="es-ES_tradnl"/>
        </w:rPr>
        <w:t>conjunto</w:t>
      </w:r>
      <w:r w:rsidR="00BB6F80" w:rsidRPr="00BB6F80">
        <w:rPr>
          <w:color w:val="000000"/>
          <w:lang w:val="es-ES_tradnl"/>
        </w:rPr>
        <w:t xml:space="preserve"> de recursos</w:t>
      </w:r>
      <w:r w:rsidR="006F4097">
        <w:rPr>
          <w:color w:val="000000"/>
          <w:lang w:val="es-ES_tradnl"/>
        </w:rPr>
        <w:t xml:space="preserve"> normalizado</w:t>
      </w:r>
      <w:r w:rsidR="00BB6F80" w:rsidRPr="00BB6F80">
        <w:rPr>
          <w:color w:val="000000"/>
          <w:lang w:val="es-ES_tradnl"/>
        </w:rPr>
        <w:t>.</w:t>
      </w:r>
    </w:p>
    <w:p w14:paraId="7D7E40ED" w14:textId="77777777" w:rsidR="00235074" w:rsidRPr="002D04E1" w:rsidRDefault="00235074" w:rsidP="002A4613">
      <w:pPr>
        <w:rPr>
          <w:lang w:val="es-ES"/>
        </w:rPr>
      </w:pPr>
    </w:p>
    <w:p w14:paraId="6F8DAFD8" w14:textId="77777777" w:rsidR="00235074" w:rsidRPr="002D04E1" w:rsidRDefault="00235074" w:rsidP="002A4613">
      <w:pPr>
        <w:rPr>
          <w:lang w:val="es-ES"/>
        </w:rPr>
      </w:pPr>
    </w:p>
    <w:p w14:paraId="736C9A40" w14:textId="1F187079" w:rsidR="00235074" w:rsidRPr="002D04E1" w:rsidRDefault="006F4097" w:rsidP="00BB6F80">
      <w:pPr>
        <w:outlineLvl w:val="0"/>
        <w:rPr>
          <w:lang w:val="es-ES"/>
        </w:rPr>
      </w:pPr>
      <w:r>
        <w:rPr>
          <w:color w:val="000000"/>
          <w:lang w:val="es-ES_tradnl"/>
        </w:rPr>
        <w:t>COMPONENTES</w:t>
      </w:r>
      <w:r w:rsidR="00BB6F80" w:rsidRPr="00BB6F80">
        <w:rPr>
          <w:color w:val="000000"/>
          <w:lang w:val="es-ES_tradnl"/>
        </w:rPr>
        <w:t xml:space="preserve"> DE APLICACIÓN</w:t>
      </w:r>
    </w:p>
    <w:p w14:paraId="2866919F" w14:textId="77777777" w:rsidR="00235074" w:rsidRPr="002D04E1" w:rsidRDefault="00235074" w:rsidP="002A4613">
      <w:pPr>
        <w:rPr>
          <w:u w:val="single"/>
          <w:lang w:val="es-ES"/>
        </w:rPr>
      </w:pPr>
    </w:p>
    <w:p w14:paraId="0758330A" w14:textId="73D4F0F8" w:rsidR="00235074" w:rsidRPr="002D04E1" w:rsidRDefault="00E1254C" w:rsidP="00D37AC8">
      <w:pPr>
        <w:rPr>
          <w:lang w:val="es-ES"/>
        </w:rPr>
      </w:pPr>
      <w:r>
        <w:fldChar w:fldCharType="begin"/>
      </w:r>
      <w:r w:rsidRPr="002D04E1">
        <w:rPr>
          <w:lang w:val="es-ES"/>
        </w:rPr>
        <w:instrText xml:space="preserve"> AUTONUM  </w:instrText>
      </w:r>
      <w:r>
        <w:fldChar w:fldCharType="end"/>
      </w:r>
      <w:r w:rsidRPr="002D04E1">
        <w:rPr>
          <w:lang w:val="es-ES"/>
        </w:rPr>
        <w:tab/>
      </w:r>
      <w:r w:rsidR="00BB6F80" w:rsidRPr="00BB6F80">
        <w:rPr>
          <w:color w:val="000000"/>
          <w:lang w:val="es-ES_tradnl"/>
        </w:rPr>
        <w:t xml:space="preserve">Teniendo en cuenta lo anterior, se aplicarían de forma clara los siguientes </w:t>
      </w:r>
      <w:r w:rsidR="006F4097">
        <w:rPr>
          <w:color w:val="000000"/>
          <w:lang w:val="es-ES_tradnl"/>
        </w:rPr>
        <w:t>componentes</w:t>
      </w:r>
      <w:r w:rsidR="00BB6F80" w:rsidRPr="00BB6F80">
        <w:rPr>
          <w:color w:val="000000"/>
          <w:lang w:val="es-ES_tradnl"/>
        </w:rPr>
        <w:t>:</w:t>
      </w:r>
    </w:p>
    <w:p w14:paraId="5DAAB0F8" w14:textId="77777777" w:rsidR="00235074" w:rsidRPr="002D04E1" w:rsidRDefault="00235074" w:rsidP="002A4613">
      <w:pPr>
        <w:rPr>
          <w:lang w:val="es-ES"/>
        </w:rPr>
      </w:pPr>
    </w:p>
    <w:p w14:paraId="490EFE7B" w14:textId="4F11AADE" w:rsidR="00235074" w:rsidRPr="002D04E1" w:rsidRDefault="0049518B" w:rsidP="00D37AC8">
      <w:pPr>
        <w:pStyle w:val="ListParagraph"/>
        <w:numPr>
          <w:ilvl w:val="0"/>
          <w:numId w:val="11"/>
        </w:numPr>
        <w:ind w:left="567" w:firstLine="0"/>
        <w:rPr>
          <w:lang w:val="es-ES"/>
        </w:rPr>
      </w:pPr>
      <w:r w:rsidRPr="0049518B">
        <w:rPr>
          <w:color w:val="000000"/>
          <w:lang w:val="es-ES_tradnl"/>
        </w:rPr>
        <w:t>Segui</w:t>
      </w:r>
      <w:r w:rsidR="00D37AC8">
        <w:rPr>
          <w:color w:val="000000"/>
          <w:lang w:val="es-ES_tradnl"/>
        </w:rPr>
        <w:t>miento de</w:t>
      </w:r>
      <w:r w:rsidRPr="0049518B">
        <w:rPr>
          <w:color w:val="000000"/>
          <w:lang w:val="es-ES_tradnl"/>
        </w:rPr>
        <w:t xml:space="preserve"> la incidencia del proyecto a largo plazo en los dos países beneficiarios sobre la base de un marco de evaluación de la incidencia diseñado específicamente a tal efecto;</w:t>
      </w:r>
    </w:p>
    <w:p w14:paraId="5F45A0A7" w14:textId="77777777" w:rsidR="00235074" w:rsidRPr="002D04E1" w:rsidRDefault="00235074" w:rsidP="007266BF">
      <w:pPr>
        <w:pStyle w:val="ListParagraph"/>
        <w:ind w:left="567"/>
        <w:rPr>
          <w:lang w:val="es-ES"/>
        </w:rPr>
      </w:pPr>
    </w:p>
    <w:p w14:paraId="30347BA0" w14:textId="7119303E" w:rsidR="00235074" w:rsidRPr="002D04E1" w:rsidRDefault="0049518B" w:rsidP="00D37AC8">
      <w:pPr>
        <w:pStyle w:val="ListParagraph"/>
        <w:numPr>
          <w:ilvl w:val="0"/>
          <w:numId w:val="11"/>
        </w:numPr>
        <w:ind w:left="567" w:firstLine="0"/>
        <w:rPr>
          <w:lang w:val="es-ES"/>
        </w:rPr>
      </w:pPr>
      <w:r w:rsidRPr="0049518B">
        <w:rPr>
          <w:color w:val="000000"/>
          <w:lang w:val="es-ES_tradnl"/>
        </w:rPr>
        <w:t>Crea</w:t>
      </w:r>
      <w:r w:rsidR="00D37AC8">
        <w:rPr>
          <w:color w:val="000000"/>
          <w:lang w:val="es-ES_tradnl"/>
        </w:rPr>
        <w:t xml:space="preserve">ción y puesta a </w:t>
      </w:r>
      <w:r w:rsidRPr="0049518B">
        <w:rPr>
          <w:color w:val="000000"/>
          <w:lang w:val="es-ES_tradnl"/>
        </w:rPr>
        <w:t xml:space="preserve">disposición </w:t>
      </w:r>
      <w:r w:rsidR="00D37AC8">
        <w:rPr>
          <w:color w:val="000000"/>
          <w:lang w:val="es-ES_tradnl"/>
        </w:rPr>
        <w:t xml:space="preserve">de </w:t>
      </w:r>
      <w:r w:rsidRPr="0049518B">
        <w:rPr>
          <w:color w:val="000000"/>
          <w:lang w:val="es-ES_tradnl"/>
        </w:rPr>
        <w:t xml:space="preserve">un </w:t>
      </w:r>
      <w:r w:rsidR="006F4097">
        <w:rPr>
          <w:color w:val="000000"/>
          <w:lang w:val="es-ES_tradnl"/>
        </w:rPr>
        <w:t>conjunto</w:t>
      </w:r>
      <w:r w:rsidRPr="00FB0A15">
        <w:rPr>
          <w:color w:val="000000"/>
          <w:lang w:val="es-ES_tradnl"/>
        </w:rPr>
        <w:t xml:space="preserve"> de recursos</w:t>
      </w:r>
      <w:r w:rsidR="006F4097">
        <w:rPr>
          <w:color w:val="000000"/>
          <w:lang w:val="es-ES_tradnl"/>
        </w:rPr>
        <w:t xml:space="preserve"> normalizado</w:t>
      </w:r>
      <w:r w:rsidRPr="0049518B">
        <w:rPr>
          <w:color w:val="000000"/>
          <w:lang w:val="es-ES_tradnl"/>
        </w:rPr>
        <w:t>, tal como se describe en los párrafos 8 a 10 del presente documento;  y</w:t>
      </w:r>
    </w:p>
    <w:p w14:paraId="68778549" w14:textId="77777777" w:rsidR="00235074" w:rsidRPr="002D04E1" w:rsidRDefault="00235074" w:rsidP="007266BF">
      <w:pPr>
        <w:pStyle w:val="ListParagraph"/>
        <w:ind w:left="567"/>
        <w:rPr>
          <w:lang w:val="es-ES"/>
        </w:rPr>
      </w:pPr>
    </w:p>
    <w:p w14:paraId="7B2A8E6A" w14:textId="30CA6B1E" w:rsidR="00235074" w:rsidRPr="002D04E1" w:rsidRDefault="0049518B" w:rsidP="00D37AC8">
      <w:pPr>
        <w:pStyle w:val="ListParagraph"/>
        <w:numPr>
          <w:ilvl w:val="0"/>
          <w:numId w:val="11"/>
        </w:numPr>
        <w:ind w:left="567" w:firstLine="0"/>
        <w:rPr>
          <w:lang w:val="es-ES"/>
        </w:rPr>
      </w:pPr>
      <w:r w:rsidRPr="0049518B">
        <w:rPr>
          <w:color w:val="000000"/>
          <w:lang w:val="es-ES_tradnl"/>
        </w:rPr>
        <w:t>Incorpora</w:t>
      </w:r>
      <w:r w:rsidR="00D37AC8">
        <w:rPr>
          <w:color w:val="000000"/>
          <w:lang w:val="es-ES_tradnl"/>
        </w:rPr>
        <w:t>ción de</w:t>
      </w:r>
      <w:r w:rsidRPr="0049518B">
        <w:rPr>
          <w:color w:val="000000"/>
          <w:lang w:val="es-ES_tradnl"/>
        </w:rPr>
        <w:t xml:space="preserve"> las actividades del proyecto en la labor de sensibilización y fortalecimiento de capacidades de la Secretaría.</w:t>
      </w:r>
    </w:p>
    <w:p w14:paraId="2AA678B6" w14:textId="77777777" w:rsidR="00235074" w:rsidRPr="002D04E1" w:rsidRDefault="00235074" w:rsidP="007266BF">
      <w:pPr>
        <w:pStyle w:val="ListParagraph"/>
        <w:ind w:left="567"/>
        <w:rPr>
          <w:lang w:val="es-ES"/>
        </w:rPr>
      </w:pPr>
    </w:p>
    <w:p w14:paraId="577491A4" w14:textId="607C1964" w:rsidR="00235074" w:rsidRPr="002D04E1" w:rsidRDefault="002A3D99" w:rsidP="006F4097">
      <w:pPr>
        <w:rPr>
          <w:lang w:val="es-ES"/>
        </w:rPr>
      </w:pPr>
      <w:r>
        <w:fldChar w:fldCharType="begin"/>
      </w:r>
      <w:r w:rsidRPr="002D04E1">
        <w:rPr>
          <w:lang w:val="es-ES"/>
        </w:rPr>
        <w:instrText xml:space="preserve"> AUTONUM  </w:instrText>
      </w:r>
      <w:r>
        <w:fldChar w:fldCharType="end"/>
      </w:r>
      <w:r w:rsidRPr="002D04E1">
        <w:rPr>
          <w:lang w:val="es-ES"/>
        </w:rPr>
        <w:tab/>
      </w:r>
      <w:r w:rsidR="0049518B" w:rsidRPr="0049518B">
        <w:rPr>
          <w:color w:val="000000"/>
          <w:lang w:val="es-ES_tradnl"/>
        </w:rPr>
        <w:t xml:space="preserve">Mediante estos </w:t>
      </w:r>
      <w:r w:rsidR="00D37AC8">
        <w:rPr>
          <w:color w:val="000000"/>
          <w:lang w:val="es-ES_tradnl"/>
        </w:rPr>
        <w:t xml:space="preserve">tres </w:t>
      </w:r>
      <w:r w:rsidR="006F4097">
        <w:rPr>
          <w:color w:val="000000"/>
          <w:lang w:val="es-ES_tradnl"/>
        </w:rPr>
        <w:t>componentes</w:t>
      </w:r>
      <w:r w:rsidR="0049518B" w:rsidRPr="0049518B">
        <w:rPr>
          <w:color w:val="000000"/>
          <w:lang w:val="es-ES_tradnl"/>
        </w:rPr>
        <w:t>, la aplicación del seguimiento del proyecto pasaría a formar parte de la labor ordinaria de la Secretaría.</w:t>
      </w:r>
    </w:p>
    <w:p w14:paraId="2E04310C" w14:textId="77777777" w:rsidR="00235074" w:rsidRPr="002D04E1" w:rsidRDefault="00235074" w:rsidP="00DF73A3">
      <w:pPr>
        <w:rPr>
          <w:lang w:val="es-ES"/>
        </w:rPr>
      </w:pPr>
    </w:p>
    <w:p w14:paraId="71DA657C" w14:textId="77777777" w:rsidR="00235074" w:rsidRPr="002D04E1" w:rsidRDefault="00235074" w:rsidP="00DF73A3">
      <w:pPr>
        <w:rPr>
          <w:lang w:val="es-ES"/>
        </w:rPr>
      </w:pPr>
    </w:p>
    <w:p w14:paraId="1F1CF501" w14:textId="59F51A16" w:rsidR="00235074" w:rsidRPr="002D04E1" w:rsidRDefault="0049518B" w:rsidP="0049518B">
      <w:pPr>
        <w:outlineLvl w:val="0"/>
        <w:rPr>
          <w:lang w:val="es-ES"/>
        </w:rPr>
      </w:pPr>
      <w:r w:rsidRPr="0049518B">
        <w:rPr>
          <w:color w:val="000000"/>
          <w:lang w:val="es-ES_tradnl"/>
        </w:rPr>
        <w:t>APOYO DEL PROYECTO</w:t>
      </w:r>
    </w:p>
    <w:p w14:paraId="34EFDE5D" w14:textId="77777777" w:rsidR="00235074" w:rsidRPr="002D04E1" w:rsidRDefault="00235074" w:rsidP="00E1254C">
      <w:pPr>
        <w:rPr>
          <w:u w:val="single"/>
          <w:lang w:val="es-ES"/>
        </w:rPr>
      </w:pPr>
    </w:p>
    <w:p w14:paraId="330E8B8B" w14:textId="381D1094" w:rsidR="00235074" w:rsidRPr="002D04E1" w:rsidRDefault="00E1254C" w:rsidP="009A5D67">
      <w:pPr>
        <w:rPr>
          <w:lang w:val="es-ES"/>
        </w:rPr>
      </w:pPr>
      <w:r w:rsidRPr="00E1254C">
        <w:fldChar w:fldCharType="begin"/>
      </w:r>
      <w:r w:rsidRPr="002D04E1">
        <w:rPr>
          <w:lang w:val="es-ES"/>
        </w:rPr>
        <w:instrText xml:space="preserve"> AUTONUM  </w:instrText>
      </w:r>
      <w:r w:rsidRPr="00E1254C">
        <w:fldChar w:fldCharType="end"/>
      </w:r>
      <w:r w:rsidRPr="002D04E1">
        <w:rPr>
          <w:lang w:val="es-ES"/>
        </w:rPr>
        <w:tab/>
      </w:r>
      <w:r w:rsidR="00B54D94" w:rsidRPr="00B54D94">
        <w:rPr>
          <w:color w:val="000000"/>
          <w:lang w:val="es-ES_tradnl"/>
        </w:rPr>
        <w:t xml:space="preserve">El proyecto estuvo a cargo de una </w:t>
      </w:r>
      <w:r w:rsidR="009A5D67">
        <w:rPr>
          <w:color w:val="000000"/>
          <w:lang w:val="es-ES_tradnl"/>
        </w:rPr>
        <w:t>oficial de proyectos</w:t>
      </w:r>
      <w:r w:rsidR="00B54D94" w:rsidRPr="00B54D94">
        <w:rPr>
          <w:color w:val="000000"/>
          <w:lang w:val="es-ES_tradnl"/>
        </w:rPr>
        <w:t xml:space="preserve"> a tiempo completo, responsable de su aplicación diaria.</w:t>
      </w:r>
      <w:r w:rsidR="000B40F2" w:rsidRPr="002D04E1">
        <w:rPr>
          <w:lang w:val="es-ES"/>
        </w:rPr>
        <w:t xml:space="preserve">  </w:t>
      </w:r>
      <w:r w:rsidR="00B54D94" w:rsidRPr="00B54D94">
        <w:rPr>
          <w:color w:val="000000"/>
          <w:lang w:val="es-ES_tradnl"/>
        </w:rPr>
        <w:t>De acuerdo con el informe de evaluación, esto resultó ser un “factor crucial para el éxito del proyecto”.</w:t>
      </w:r>
      <w:r w:rsidR="00DF73A3" w:rsidRPr="002D04E1">
        <w:rPr>
          <w:lang w:val="es-ES"/>
        </w:rPr>
        <w:t xml:space="preserve">  </w:t>
      </w:r>
      <w:r w:rsidR="00B54D94" w:rsidRPr="00B54D94">
        <w:rPr>
          <w:color w:val="000000"/>
          <w:lang w:val="es-ES_tradnl"/>
        </w:rPr>
        <w:t xml:space="preserve">Sería altamente beneficioso </w:t>
      </w:r>
      <w:r w:rsidR="000108C6">
        <w:rPr>
          <w:color w:val="000000"/>
          <w:lang w:val="es-ES_tradnl"/>
        </w:rPr>
        <w:t>utilizar</w:t>
      </w:r>
      <w:r w:rsidR="00B54D94" w:rsidRPr="00B54D94">
        <w:rPr>
          <w:color w:val="000000"/>
          <w:lang w:val="es-ES_tradnl"/>
        </w:rPr>
        <w:t xml:space="preserve"> los conocimientos y experiencias adquiridas </w:t>
      </w:r>
      <w:r w:rsidR="000108C6">
        <w:rPr>
          <w:color w:val="000000"/>
          <w:lang w:val="es-ES_tradnl"/>
        </w:rPr>
        <w:t xml:space="preserve">por dicha </w:t>
      </w:r>
      <w:r w:rsidR="009A5D67">
        <w:rPr>
          <w:color w:val="000000"/>
          <w:lang w:val="es-ES_tradnl"/>
        </w:rPr>
        <w:t>oficial</w:t>
      </w:r>
      <w:r w:rsidR="000108C6">
        <w:rPr>
          <w:color w:val="000000"/>
          <w:lang w:val="es-ES_tradnl"/>
        </w:rPr>
        <w:t xml:space="preserve"> </w:t>
      </w:r>
      <w:r w:rsidR="00B54D94" w:rsidRPr="00B54D94">
        <w:rPr>
          <w:color w:val="000000"/>
          <w:lang w:val="es-ES_tradnl"/>
        </w:rPr>
        <w:t xml:space="preserve">en el marco de este proyecto para </w:t>
      </w:r>
      <w:r w:rsidR="00ED64D3">
        <w:rPr>
          <w:color w:val="000000"/>
          <w:lang w:val="es-ES_tradnl"/>
        </w:rPr>
        <w:t>el desarrollo de</w:t>
      </w:r>
      <w:r w:rsidR="00B54D94" w:rsidRPr="00B54D94">
        <w:rPr>
          <w:color w:val="000000"/>
          <w:lang w:val="es-ES_tradnl"/>
        </w:rPr>
        <w:t xml:space="preserve"> los componentes a) y b) anteriormente</w:t>
      </w:r>
      <w:r w:rsidR="00ED64D3">
        <w:rPr>
          <w:color w:val="000000"/>
          <w:lang w:val="es-ES_tradnl"/>
        </w:rPr>
        <w:t xml:space="preserve"> mencionados</w:t>
      </w:r>
      <w:r w:rsidR="00B54D94" w:rsidRPr="00B54D94">
        <w:rPr>
          <w:color w:val="000000"/>
          <w:lang w:val="es-ES_tradnl"/>
        </w:rPr>
        <w:t xml:space="preserve"> y para la trans</w:t>
      </w:r>
      <w:r w:rsidR="00ED64D3">
        <w:rPr>
          <w:color w:val="000000"/>
          <w:lang w:val="es-ES_tradnl"/>
        </w:rPr>
        <w:t>ferencia de conocimientos a la O</w:t>
      </w:r>
      <w:r w:rsidR="00B54D94" w:rsidRPr="00B54D94">
        <w:rPr>
          <w:color w:val="000000"/>
          <w:lang w:val="es-ES_tradnl"/>
        </w:rPr>
        <w:t>rganización a través de sesiones de formación e información.</w:t>
      </w:r>
      <w:r w:rsidR="00DF73A3" w:rsidRPr="002D04E1">
        <w:rPr>
          <w:lang w:val="es-ES"/>
        </w:rPr>
        <w:t xml:space="preserve">  </w:t>
      </w:r>
    </w:p>
    <w:p w14:paraId="500C3354" w14:textId="77777777" w:rsidR="00235074" w:rsidRPr="002D04E1" w:rsidRDefault="00235074" w:rsidP="00E1254C">
      <w:pPr>
        <w:rPr>
          <w:lang w:val="es-ES"/>
        </w:rPr>
      </w:pPr>
    </w:p>
    <w:p w14:paraId="2407BAA7" w14:textId="732CCF85" w:rsidR="00235074" w:rsidRPr="002D04E1" w:rsidRDefault="00AA3ADA" w:rsidP="00B54D94">
      <w:pPr>
        <w:pStyle w:val="Endofdocument-Annex"/>
        <w:tabs>
          <w:tab w:val="left" w:pos="567"/>
        </w:tabs>
        <w:ind w:left="5533"/>
        <w:rPr>
          <w:i/>
          <w:iCs/>
          <w:szCs w:val="22"/>
          <w:lang w:val="es-ES"/>
        </w:rPr>
      </w:pPr>
      <w:r>
        <w:rPr>
          <w:i/>
          <w:iCs/>
          <w:szCs w:val="22"/>
        </w:rPr>
        <w:lastRenderedPageBreak/>
        <w:fldChar w:fldCharType="begin"/>
      </w:r>
      <w:r w:rsidRPr="002D04E1">
        <w:rPr>
          <w:i/>
          <w:iCs/>
          <w:szCs w:val="22"/>
          <w:lang w:val="es-ES"/>
        </w:rPr>
        <w:instrText xml:space="preserve"> AUTONUM  </w:instrText>
      </w:r>
      <w:r>
        <w:rPr>
          <w:i/>
          <w:iCs/>
          <w:szCs w:val="22"/>
        </w:rPr>
        <w:fldChar w:fldCharType="end"/>
      </w:r>
      <w:r w:rsidRPr="002D04E1">
        <w:rPr>
          <w:i/>
          <w:iCs/>
          <w:szCs w:val="22"/>
          <w:lang w:val="es-ES"/>
        </w:rPr>
        <w:tab/>
      </w:r>
      <w:r w:rsidR="00B54D94" w:rsidRPr="00FB0A15">
        <w:rPr>
          <w:i/>
          <w:iCs/>
          <w:szCs w:val="22"/>
          <w:lang w:val="es-ES_tradnl"/>
        </w:rPr>
        <w:t>Se invita al CDIP a examinar la información contenida en el presente documento.</w:t>
      </w:r>
    </w:p>
    <w:p w14:paraId="57905E93" w14:textId="77777777" w:rsidR="00235074" w:rsidRPr="002D04E1" w:rsidRDefault="00235074" w:rsidP="00AA3ADA">
      <w:pPr>
        <w:pStyle w:val="Endofdocument-Annex"/>
        <w:tabs>
          <w:tab w:val="left" w:pos="567"/>
        </w:tabs>
        <w:ind w:left="5533"/>
        <w:rPr>
          <w:i/>
          <w:iCs/>
          <w:szCs w:val="22"/>
          <w:lang w:val="es-ES"/>
        </w:rPr>
      </w:pPr>
    </w:p>
    <w:p w14:paraId="5889194C" w14:textId="77777777" w:rsidR="00235074" w:rsidRPr="002D04E1" w:rsidRDefault="00235074" w:rsidP="00AA3ADA">
      <w:pPr>
        <w:pStyle w:val="Endofdocument-Annex"/>
        <w:tabs>
          <w:tab w:val="left" w:pos="567"/>
        </w:tabs>
        <w:ind w:left="5533"/>
        <w:rPr>
          <w:i/>
          <w:iCs/>
          <w:szCs w:val="22"/>
          <w:lang w:val="es-ES"/>
        </w:rPr>
      </w:pPr>
    </w:p>
    <w:p w14:paraId="1E9C6808" w14:textId="77777777" w:rsidR="00235074" w:rsidRPr="002D04E1" w:rsidRDefault="00235074" w:rsidP="00E1254C">
      <w:pPr>
        <w:rPr>
          <w:lang w:val="es-ES"/>
        </w:rPr>
      </w:pPr>
    </w:p>
    <w:p w14:paraId="197450AE" w14:textId="12E35750" w:rsidR="00235074" w:rsidRDefault="00B54D94" w:rsidP="00B54D94">
      <w:pPr>
        <w:pStyle w:val="Endofdocument-Annex"/>
      </w:pPr>
      <w:r w:rsidRPr="00FB0A15">
        <w:rPr>
          <w:lang w:val="es-ES_tradnl"/>
        </w:rPr>
        <w:t>[Fin del documento]</w:t>
      </w:r>
    </w:p>
    <w:p w14:paraId="1E47EA52" w14:textId="77777777" w:rsidR="00235074" w:rsidRDefault="00235074" w:rsidP="007266BF">
      <w:pPr>
        <w:pStyle w:val="Endofdocument-Annex"/>
      </w:pPr>
    </w:p>
    <w:p w14:paraId="47F50DBA" w14:textId="77777777" w:rsidR="00235074" w:rsidRDefault="00235074" w:rsidP="007266BF">
      <w:pPr>
        <w:pStyle w:val="Endofdocument-Annex"/>
      </w:pPr>
    </w:p>
    <w:p w14:paraId="1F1C6C6B" w14:textId="77777777" w:rsidR="00235074" w:rsidRDefault="00235074" w:rsidP="007266BF">
      <w:pPr>
        <w:pStyle w:val="Endofdocument-Annex"/>
      </w:pPr>
    </w:p>
    <w:p w14:paraId="2078022A" w14:textId="77777777" w:rsidR="00235074" w:rsidRDefault="00235074" w:rsidP="007266BF">
      <w:pPr>
        <w:pStyle w:val="Endofdocument-Annex"/>
      </w:pPr>
    </w:p>
    <w:p w14:paraId="223832EB" w14:textId="76050754" w:rsidR="007266BF" w:rsidRPr="00E1254C" w:rsidRDefault="007266BF" w:rsidP="00B54D94">
      <w:pPr>
        <w:pStyle w:val="Endofdocument-Annex"/>
        <w:ind w:left="0"/>
      </w:pPr>
    </w:p>
    <w:sectPr w:rsidR="007266BF" w:rsidRPr="00E1254C" w:rsidSect="002744B2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D9233" w14:textId="77777777" w:rsidR="00CD317B" w:rsidRDefault="00CD317B">
      <w:r>
        <w:separator/>
      </w:r>
    </w:p>
  </w:endnote>
  <w:endnote w:type="continuationSeparator" w:id="0">
    <w:p w14:paraId="68E30E69" w14:textId="77777777" w:rsidR="00CD317B" w:rsidRDefault="00CD317B" w:rsidP="003B38C1">
      <w:r>
        <w:separator/>
      </w:r>
    </w:p>
    <w:p w14:paraId="69ACD198" w14:textId="77777777" w:rsidR="00CD317B" w:rsidRPr="003B38C1" w:rsidRDefault="00CD317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47846D9" w14:textId="77777777" w:rsidR="00CD317B" w:rsidRPr="003B38C1" w:rsidRDefault="00CD317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93E7B" w14:textId="77777777" w:rsidR="00CD317B" w:rsidRDefault="00CD317B">
      <w:r>
        <w:separator/>
      </w:r>
    </w:p>
  </w:footnote>
  <w:footnote w:type="continuationSeparator" w:id="0">
    <w:p w14:paraId="04A7A7B8" w14:textId="77777777" w:rsidR="00CD317B" w:rsidRDefault="00CD317B" w:rsidP="008B60B2">
      <w:r>
        <w:separator/>
      </w:r>
    </w:p>
    <w:p w14:paraId="2ED9FB96" w14:textId="77777777" w:rsidR="00CD317B" w:rsidRPr="00ED77FB" w:rsidRDefault="00CD317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FF93B47" w14:textId="77777777" w:rsidR="00CD317B" w:rsidRPr="00ED77FB" w:rsidRDefault="00CD317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6D547F6" w14:textId="1B08D45C" w:rsidR="00C60625" w:rsidRPr="00C60625" w:rsidRDefault="00C60625" w:rsidP="00C60625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CA6CDE">
        <w:rPr>
          <w:lang w:val="es-ES"/>
        </w:rPr>
        <w:t xml:space="preserve"> </w:t>
      </w:r>
      <w:r w:rsidRPr="00FB0A15">
        <w:rPr>
          <w:lang w:val="es-ES_tradnl"/>
        </w:rPr>
        <w:t>Véase el documento CDIP/11/7.</w:t>
      </w:r>
    </w:p>
  </w:footnote>
  <w:footnote w:id="3">
    <w:p w14:paraId="08027F08" w14:textId="1912D215" w:rsidR="00C60625" w:rsidRPr="00CA6CDE" w:rsidRDefault="00C60625" w:rsidP="00C60625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CA6CDE">
        <w:rPr>
          <w:lang w:val="es-ES"/>
        </w:rPr>
        <w:t xml:space="preserve"> </w:t>
      </w:r>
      <w:r w:rsidRPr="00FB0A15">
        <w:rPr>
          <w:lang w:val="es-ES_tradnl"/>
        </w:rPr>
        <w:t>Véase el documento CDIP/12/6.</w:t>
      </w:r>
    </w:p>
  </w:footnote>
  <w:footnote w:id="4">
    <w:p w14:paraId="65648B17" w14:textId="14EA2395" w:rsidR="00C60625" w:rsidRPr="00CA6CDE" w:rsidRDefault="00C60625" w:rsidP="00880A91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CA6CDE">
        <w:rPr>
          <w:lang w:val="es-ES"/>
        </w:rPr>
        <w:t xml:space="preserve"> </w:t>
      </w:r>
      <w:r w:rsidR="00880A91" w:rsidRPr="00FB0A15">
        <w:rPr>
          <w:lang w:val="es-ES_tradnl"/>
        </w:rPr>
        <w:t>Véase el documento CDIP/19/4.</w:t>
      </w:r>
    </w:p>
  </w:footnote>
  <w:footnote w:id="5">
    <w:p w14:paraId="0CC77234" w14:textId="2BA29817" w:rsidR="00880A91" w:rsidRPr="00CA6CDE" w:rsidRDefault="00880A91" w:rsidP="006E7D06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880A91">
        <w:rPr>
          <w:lang w:val="es-ES"/>
        </w:rPr>
        <w:t xml:space="preserve"> Véase el párrafo 6.2 del resumen de la presidencia de la decimonovena sesi</w:t>
      </w:r>
      <w:r w:rsidR="006E7D06">
        <w:rPr>
          <w:lang w:val="es-ES"/>
        </w:rPr>
        <w:t>ón del CDIP.</w:t>
      </w:r>
    </w:p>
  </w:footnote>
  <w:footnote w:id="6">
    <w:p w14:paraId="453C711B" w14:textId="5BCA1A13" w:rsidR="00E65A77" w:rsidRPr="00E65A77" w:rsidRDefault="00E65A77" w:rsidP="00E65A77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CA6CDE">
        <w:rPr>
          <w:lang w:val="es-ES"/>
        </w:rPr>
        <w:t xml:space="preserve"> </w:t>
      </w:r>
      <w:r w:rsidRPr="00E65A77">
        <w:rPr>
          <w:color w:val="000000"/>
          <w:lang w:val="es-ES_tradnl"/>
        </w:rPr>
        <w:t xml:space="preserve">Véanse los párrafos 30 y 31 del documento CDIP/19/4;  véanse además los párrafos 76 a 78 </w:t>
      </w:r>
      <w:r w:rsidRPr="00FB0A15">
        <w:rPr>
          <w:color w:val="000000"/>
          <w:lang w:val="es-ES_tradnl"/>
        </w:rPr>
        <w:t>del mismo documento</w:t>
      </w:r>
      <w:r w:rsidRPr="00E65A77">
        <w:rPr>
          <w:color w:val="000000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CC3EA" w14:textId="1A802E15" w:rsidR="00EC4E49" w:rsidRDefault="002744B2" w:rsidP="00477D6B">
    <w:pPr>
      <w:jc w:val="right"/>
    </w:pPr>
    <w:bookmarkStart w:id="6" w:name="Code2"/>
    <w:bookmarkEnd w:id="6"/>
    <w:r>
      <w:t>CDIP/20/</w:t>
    </w:r>
    <w:r w:rsidR="002741C0">
      <w:t>4</w:t>
    </w:r>
  </w:p>
  <w:p w14:paraId="3944B615" w14:textId="39A1D94B" w:rsidR="00EC4E49" w:rsidRDefault="00B54D94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730B4">
      <w:rPr>
        <w:noProof/>
      </w:rPr>
      <w:t>5</w:t>
    </w:r>
    <w:r w:rsidR="00EC4E49">
      <w:fldChar w:fldCharType="end"/>
    </w:r>
  </w:p>
  <w:p w14:paraId="1C0A27D0" w14:textId="77777777"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DD72CC8"/>
    <w:multiLevelType w:val="hybridMultilevel"/>
    <w:tmpl w:val="7E18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60D8D"/>
    <w:multiLevelType w:val="hybridMultilevel"/>
    <w:tmpl w:val="22E27BD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53205D7"/>
    <w:multiLevelType w:val="hybridMultilevel"/>
    <w:tmpl w:val="8BEEADA4"/>
    <w:lvl w:ilvl="0" w:tplc="04090017">
      <w:start w:val="1"/>
      <w:numFmt w:val="lowerLetter"/>
      <w:lvlText w:val="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797A55"/>
    <w:multiLevelType w:val="hybridMultilevel"/>
    <w:tmpl w:val="8DEC29CE"/>
    <w:lvl w:ilvl="0" w:tplc="CABACBBC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B85979"/>
    <w:multiLevelType w:val="hybridMultilevel"/>
    <w:tmpl w:val="9622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Development\Dev_Agenda|TextBase TMs\WorkspaceSTS\Administration &amp; Finance\FAB Main|TextBase TMs\WorkspaceSTS\Administration &amp; Finance\FAB Instruments|Team Server TMs\Spanish|TextBase TMs\WorkspaceSTS\Brands, Designs &amp; DN\Trademarks|TextBase TMs\WorkspaceSTS\Patents &amp; Innovation\Patents Main|TextBase TMs\WorkspaceSTS\Brands, Designs &amp; DN\T Instruments|TextBase TMs\WorkspaceSTS\Administration &amp; Finance\Current Budget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Outreach\POW Main|TextBase TMs\WorkspaceSTS\GRTKF\GRTKF|TextBase TMs\WorkspaceSTS\GRTKF\G Instruments|TextBase TMs\WorkspaceSTS\Copyright\Copyright|TextBase TMs\WorkspaceSTS\Copyright\C Instruments|TextBase TMs\WorkspaceSTS\Patents &amp; Innovation\P Instruments|TextBase TMs\WorkspaceSTS\Treaties &amp; Laws\WIPO Lex|TextBase TMs\WorkspaceSTS\UPOV\UPOV Main|TextBase TMs\WorkspaceSTS\UPOV\U Instruments|TextBase TMs\WorkspaceSTS\XLegacy\LegacySTS"/>
    <w:docVar w:name="TextBaseURL" w:val="empty"/>
    <w:docVar w:name="UILng" w:val="en"/>
  </w:docVars>
  <w:rsids>
    <w:rsidRoot w:val="002744B2"/>
    <w:rsid w:val="00001E20"/>
    <w:rsid w:val="00007792"/>
    <w:rsid w:val="000108C6"/>
    <w:rsid w:val="00043CAA"/>
    <w:rsid w:val="00051058"/>
    <w:rsid w:val="000532EC"/>
    <w:rsid w:val="000549BC"/>
    <w:rsid w:val="00065D1B"/>
    <w:rsid w:val="00075432"/>
    <w:rsid w:val="000968ED"/>
    <w:rsid w:val="000B0AF0"/>
    <w:rsid w:val="000B40F2"/>
    <w:rsid w:val="000E511D"/>
    <w:rsid w:val="000F5E56"/>
    <w:rsid w:val="001342E4"/>
    <w:rsid w:val="001362EE"/>
    <w:rsid w:val="00141F43"/>
    <w:rsid w:val="00163617"/>
    <w:rsid w:val="001832A6"/>
    <w:rsid w:val="00192CE3"/>
    <w:rsid w:val="001B3E5D"/>
    <w:rsid w:val="001C6003"/>
    <w:rsid w:val="0021217E"/>
    <w:rsid w:val="00235074"/>
    <w:rsid w:val="002634C4"/>
    <w:rsid w:val="002741C0"/>
    <w:rsid w:val="002744B2"/>
    <w:rsid w:val="00287AA9"/>
    <w:rsid w:val="002928D3"/>
    <w:rsid w:val="002A3D99"/>
    <w:rsid w:val="002A4613"/>
    <w:rsid w:val="002D04E1"/>
    <w:rsid w:val="002E66E4"/>
    <w:rsid w:val="002F1FE6"/>
    <w:rsid w:val="002F2E13"/>
    <w:rsid w:val="002F4E68"/>
    <w:rsid w:val="00312F7F"/>
    <w:rsid w:val="00324945"/>
    <w:rsid w:val="003530D8"/>
    <w:rsid w:val="00361450"/>
    <w:rsid w:val="003673CF"/>
    <w:rsid w:val="003845C1"/>
    <w:rsid w:val="00390259"/>
    <w:rsid w:val="003A6F89"/>
    <w:rsid w:val="003B38C1"/>
    <w:rsid w:val="003E6334"/>
    <w:rsid w:val="00413CB6"/>
    <w:rsid w:val="00423E3E"/>
    <w:rsid w:val="00427AF4"/>
    <w:rsid w:val="00431B38"/>
    <w:rsid w:val="004621E7"/>
    <w:rsid w:val="004647DA"/>
    <w:rsid w:val="00474062"/>
    <w:rsid w:val="00477D6B"/>
    <w:rsid w:val="0049518B"/>
    <w:rsid w:val="0049698F"/>
    <w:rsid w:val="004A1320"/>
    <w:rsid w:val="004B5EDE"/>
    <w:rsid w:val="005019FF"/>
    <w:rsid w:val="005269E1"/>
    <w:rsid w:val="0053057A"/>
    <w:rsid w:val="00543587"/>
    <w:rsid w:val="00543C30"/>
    <w:rsid w:val="00560A29"/>
    <w:rsid w:val="005A07AF"/>
    <w:rsid w:val="005C6649"/>
    <w:rsid w:val="005F6D21"/>
    <w:rsid w:val="00605827"/>
    <w:rsid w:val="00646050"/>
    <w:rsid w:val="006713CA"/>
    <w:rsid w:val="00676C5C"/>
    <w:rsid w:val="00686948"/>
    <w:rsid w:val="00687680"/>
    <w:rsid w:val="006B0B09"/>
    <w:rsid w:val="006E7D06"/>
    <w:rsid w:val="006F4097"/>
    <w:rsid w:val="007266BF"/>
    <w:rsid w:val="00777D51"/>
    <w:rsid w:val="007A6550"/>
    <w:rsid w:val="007D1613"/>
    <w:rsid w:val="007E15B4"/>
    <w:rsid w:val="007E4C0E"/>
    <w:rsid w:val="007E4D19"/>
    <w:rsid w:val="008621C0"/>
    <w:rsid w:val="00880A91"/>
    <w:rsid w:val="00885F5B"/>
    <w:rsid w:val="008B2CC1"/>
    <w:rsid w:val="008B60B2"/>
    <w:rsid w:val="008D5DBB"/>
    <w:rsid w:val="00901262"/>
    <w:rsid w:val="0090731E"/>
    <w:rsid w:val="009137F6"/>
    <w:rsid w:val="00915C05"/>
    <w:rsid w:val="00916EE2"/>
    <w:rsid w:val="0094018F"/>
    <w:rsid w:val="009406A2"/>
    <w:rsid w:val="00966A22"/>
    <w:rsid w:val="0096722F"/>
    <w:rsid w:val="00980843"/>
    <w:rsid w:val="009A5D67"/>
    <w:rsid w:val="009D49CE"/>
    <w:rsid w:val="009E2791"/>
    <w:rsid w:val="009E3F6F"/>
    <w:rsid w:val="009F499F"/>
    <w:rsid w:val="00A42DAF"/>
    <w:rsid w:val="00A45BD8"/>
    <w:rsid w:val="00A869B7"/>
    <w:rsid w:val="00AA1227"/>
    <w:rsid w:val="00AA3ADA"/>
    <w:rsid w:val="00AA46A2"/>
    <w:rsid w:val="00AA47DC"/>
    <w:rsid w:val="00AA488B"/>
    <w:rsid w:val="00AB5EC0"/>
    <w:rsid w:val="00AC205C"/>
    <w:rsid w:val="00AD024B"/>
    <w:rsid w:val="00AF0A6B"/>
    <w:rsid w:val="00B05A69"/>
    <w:rsid w:val="00B1553A"/>
    <w:rsid w:val="00B27111"/>
    <w:rsid w:val="00B54D94"/>
    <w:rsid w:val="00B61108"/>
    <w:rsid w:val="00B63827"/>
    <w:rsid w:val="00B730B4"/>
    <w:rsid w:val="00B83982"/>
    <w:rsid w:val="00B9734B"/>
    <w:rsid w:val="00BA30E2"/>
    <w:rsid w:val="00BB6F80"/>
    <w:rsid w:val="00BE7106"/>
    <w:rsid w:val="00BF35A7"/>
    <w:rsid w:val="00C11BFE"/>
    <w:rsid w:val="00C5068F"/>
    <w:rsid w:val="00C60625"/>
    <w:rsid w:val="00CA6CDE"/>
    <w:rsid w:val="00CB1DF6"/>
    <w:rsid w:val="00CD04F1"/>
    <w:rsid w:val="00CD317B"/>
    <w:rsid w:val="00CF47DB"/>
    <w:rsid w:val="00D00220"/>
    <w:rsid w:val="00D15650"/>
    <w:rsid w:val="00D35859"/>
    <w:rsid w:val="00D37AC8"/>
    <w:rsid w:val="00D45252"/>
    <w:rsid w:val="00D71B4D"/>
    <w:rsid w:val="00D93D55"/>
    <w:rsid w:val="00DF0F83"/>
    <w:rsid w:val="00DF73A3"/>
    <w:rsid w:val="00E0344F"/>
    <w:rsid w:val="00E0738F"/>
    <w:rsid w:val="00E1254C"/>
    <w:rsid w:val="00E15015"/>
    <w:rsid w:val="00E335FE"/>
    <w:rsid w:val="00E60752"/>
    <w:rsid w:val="00E65A77"/>
    <w:rsid w:val="00EC4E49"/>
    <w:rsid w:val="00ED64D3"/>
    <w:rsid w:val="00ED77FB"/>
    <w:rsid w:val="00EE1302"/>
    <w:rsid w:val="00EE45FA"/>
    <w:rsid w:val="00F04519"/>
    <w:rsid w:val="00F54595"/>
    <w:rsid w:val="00F66152"/>
    <w:rsid w:val="00F75EFB"/>
    <w:rsid w:val="00F81027"/>
    <w:rsid w:val="00F868A4"/>
    <w:rsid w:val="00FA4E92"/>
    <w:rsid w:val="00FB0A15"/>
    <w:rsid w:val="00FC4856"/>
    <w:rsid w:val="00FC64AA"/>
    <w:rsid w:val="00FE6E86"/>
    <w:rsid w:val="00FF677E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28168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E4D19"/>
    <w:pPr>
      <w:ind w:left="720"/>
      <w:contextualSpacing/>
    </w:pPr>
  </w:style>
  <w:style w:type="character" w:styleId="FootnoteReference">
    <w:name w:val="footnote reference"/>
    <w:basedOn w:val="DefaultParagraphFont"/>
    <w:rsid w:val="002A4613"/>
    <w:rPr>
      <w:vertAlign w:val="superscript"/>
    </w:rPr>
  </w:style>
  <w:style w:type="paragraph" w:styleId="Revision">
    <w:name w:val="Revision"/>
    <w:hidden/>
    <w:uiPriority w:val="99"/>
    <w:semiHidden/>
    <w:rsid w:val="00687680"/>
    <w:rPr>
      <w:rFonts w:ascii="Arial" w:eastAsia="SimSun" w:hAnsi="Arial" w:cs="Arial"/>
      <w:sz w:val="22"/>
      <w:lang w:val="en-US" w:eastAsia="zh-CN"/>
    </w:rPr>
  </w:style>
  <w:style w:type="character" w:customStyle="1" w:styleId="Endofdocument-AnnexChar">
    <w:name w:val="[End of document - Annex] Char"/>
    <w:link w:val="Endofdocument-Annex"/>
    <w:rsid w:val="00AA3ADA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A3ADA"/>
    <w:rPr>
      <w:rFonts w:ascii="Arial" w:eastAsia="SimSun" w:hAnsi="Arial" w:cs="Arial"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E4D19"/>
    <w:pPr>
      <w:ind w:left="720"/>
      <w:contextualSpacing/>
    </w:pPr>
  </w:style>
  <w:style w:type="character" w:styleId="FootnoteReference">
    <w:name w:val="footnote reference"/>
    <w:basedOn w:val="DefaultParagraphFont"/>
    <w:rsid w:val="002A4613"/>
    <w:rPr>
      <w:vertAlign w:val="superscript"/>
    </w:rPr>
  </w:style>
  <w:style w:type="paragraph" w:styleId="Revision">
    <w:name w:val="Revision"/>
    <w:hidden/>
    <w:uiPriority w:val="99"/>
    <w:semiHidden/>
    <w:rsid w:val="00687680"/>
    <w:rPr>
      <w:rFonts w:ascii="Arial" w:eastAsia="SimSun" w:hAnsi="Arial" w:cs="Arial"/>
      <w:sz w:val="22"/>
      <w:lang w:val="en-US" w:eastAsia="zh-CN"/>
    </w:rPr>
  </w:style>
  <w:style w:type="character" w:customStyle="1" w:styleId="Endofdocument-AnnexChar">
    <w:name w:val="[End of document - Annex] Char"/>
    <w:link w:val="Endofdocument-Annex"/>
    <w:rsid w:val="00AA3ADA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A3ADA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5F1BE-098E-47AC-9585-7A76684E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20 (E).dotm</Template>
  <TotalTime>1</TotalTime>
  <Pages>5</Pages>
  <Words>1662</Words>
  <Characters>9050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10691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BRACI Biljana</dc:creator>
  <cp:lastModifiedBy>BRACI Biljana</cp:lastModifiedBy>
  <cp:revision>2</cp:revision>
  <cp:lastPrinted>2017-10-02T15:44:00Z</cp:lastPrinted>
  <dcterms:created xsi:type="dcterms:W3CDTF">2017-10-03T10:07:00Z</dcterms:created>
  <dcterms:modified xsi:type="dcterms:W3CDTF">2017-10-03T10:07:00Z</dcterms:modified>
</cp:coreProperties>
</file>