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834FF" w:rsidTr="0088395E">
        <w:tc>
          <w:tcPr>
            <w:tcW w:w="4513" w:type="dxa"/>
            <w:tcBorders>
              <w:bottom w:val="single" w:sz="4" w:space="0" w:color="auto"/>
            </w:tcBorders>
            <w:tcMar>
              <w:bottom w:w="170" w:type="dxa"/>
            </w:tcMar>
          </w:tcPr>
          <w:p w:rsidR="00E504E5" w:rsidRPr="000706C8" w:rsidRDefault="00E504E5" w:rsidP="00AB613D"/>
        </w:tc>
        <w:tc>
          <w:tcPr>
            <w:tcW w:w="4337" w:type="dxa"/>
            <w:tcBorders>
              <w:bottom w:val="single" w:sz="4" w:space="0" w:color="auto"/>
            </w:tcBorders>
            <w:tcMar>
              <w:left w:w="0" w:type="dxa"/>
              <w:right w:w="0" w:type="dxa"/>
            </w:tcMar>
          </w:tcPr>
          <w:p w:rsidR="00E504E5" w:rsidRPr="00A834FF" w:rsidRDefault="00EE230B" w:rsidP="00AB613D">
            <w:r w:rsidRPr="00A834FF">
              <w:rPr>
                <w:noProof/>
                <w:lang w:val="en-US" w:eastAsia="en-US"/>
              </w:rPr>
              <w:drawing>
                <wp:inline distT="0" distB="0" distL="0" distR="0" wp14:anchorId="43003D4C" wp14:editId="7B3C6D57">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834FF" w:rsidRDefault="00E504E5" w:rsidP="00AB613D">
            <w:pPr>
              <w:jc w:val="right"/>
            </w:pPr>
            <w:r w:rsidRPr="00A834FF">
              <w:rPr>
                <w:b/>
                <w:sz w:val="40"/>
                <w:szCs w:val="40"/>
              </w:rPr>
              <w:t>S</w:t>
            </w:r>
          </w:p>
        </w:tc>
      </w:tr>
      <w:tr w:rsidR="008B2CC1" w:rsidRPr="00A834F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A834FF" w:rsidRDefault="007B3774" w:rsidP="0096247A">
            <w:pPr>
              <w:jc w:val="right"/>
              <w:rPr>
                <w:rFonts w:ascii="Arial Black" w:hAnsi="Arial Black"/>
                <w:caps/>
                <w:sz w:val="15"/>
              </w:rPr>
            </w:pPr>
            <w:r w:rsidRPr="00A834FF">
              <w:rPr>
                <w:rFonts w:ascii="Arial Black" w:hAnsi="Arial Black"/>
                <w:caps/>
                <w:sz w:val="15"/>
              </w:rPr>
              <w:t>CDIP/20</w:t>
            </w:r>
            <w:r w:rsidR="0096247A" w:rsidRPr="00A834FF">
              <w:rPr>
                <w:rFonts w:ascii="Arial Black" w:hAnsi="Arial Black"/>
                <w:caps/>
                <w:sz w:val="15"/>
              </w:rPr>
              <w:t>/</w:t>
            </w:r>
            <w:bookmarkStart w:id="0" w:name="Code"/>
            <w:bookmarkEnd w:id="0"/>
            <w:r w:rsidR="007348B1" w:rsidRPr="00A834FF">
              <w:rPr>
                <w:rFonts w:ascii="Arial Black" w:hAnsi="Arial Black"/>
                <w:caps/>
                <w:sz w:val="15"/>
              </w:rPr>
              <w:t>12</w:t>
            </w:r>
          </w:p>
        </w:tc>
      </w:tr>
      <w:tr w:rsidR="008B2CC1" w:rsidRPr="00A834FF" w:rsidTr="00AB613D">
        <w:trPr>
          <w:trHeight w:hRule="exact" w:val="170"/>
        </w:trPr>
        <w:tc>
          <w:tcPr>
            <w:tcW w:w="9356" w:type="dxa"/>
            <w:gridSpan w:val="3"/>
            <w:noWrap/>
            <w:tcMar>
              <w:left w:w="0" w:type="dxa"/>
              <w:right w:w="0" w:type="dxa"/>
            </w:tcMar>
            <w:vAlign w:val="bottom"/>
          </w:tcPr>
          <w:p w:rsidR="008B2CC1" w:rsidRPr="00A834FF" w:rsidRDefault="008B2CC1" w:rsidP="0046793F">
            <w:pPr>
              <w:jc w:val="right"/>
              <w:rPr>
                <w:rFonts w:ascii="Arial Black" w:hAnsi="Arial Black"/>
                <w:caps/>
                <w:sz w:val="15"/>
              </w:rPr>
            </w:pPr>
            <w:r w:rsidRPr="00A834FF">
              <w:rPr>
                <w:rFonts w:ascii="Arial Black" w:hAnsi="Arial Black"/>
                <w:caps/>
                <w:sz w:val="15"/>
              </w:rPr>
              <w:t xml:space="preserve">ORIGINAL: </w:t>
            </w:r>
            <w:bookmarkStart w:id="1" w:name="Original"/>
            <w:bookmarkEnd w:id="1"/>
            <w:r w:rsidR="00EB688F" w:rsidRPr="00A834FF">
              <w:rPr>
                <w:rFonts w:ascii="Arial Black" w:hAnsi="Arial Black"/>
                <w:caps/>
                <w:sz w:val="15"/>
              </w:rPr>
              <w:t xml:space="preserve"> </w:t>
            </w:r>
            <w:r w:rsidR="007348B1" w:rsidRPr="00A834FF">
              <w:rPr>
                <w:rFonts w:ascii="Arial Black" w:hAnsi="Arial Black"/>
                <w:caps/>
                <w:sz w:val="15"/>
              </w:rPr>
              <w:t>INGLÉS</w:t>
            </w:r>
          </w:p>
        </w:tc>
      </w:tr>
      <w:tr w:rsidR="008B2CC1" w:rsidRPr="00A834FF" w:rsidTr="00AB613D">
        <w:trPr>
          <w:trHeight w:hRule="exact" w:val="198"/>
        </w:trPr>
        <w:tc>
          <w:tcPr>
            <w:tcW w:w="9356" w:type="dxa"/>
            <w:gridSpan w:val="3"/>
            <w:tcMar>
              <w:left w:w="0" w:type="dxa"/>
              <w:right w:w="0" w:type="dxa"/>
            </w:tcMar>
            <w:vAlign w:val="bottom"/>
          </w:tcPr>
          <w:p w:rsidR="008B2CC1" w:rsidRPr="00A834FF" w:rsidRDefault="00675021" w:rsidP="00B97AFD">
            <w:pPr>
              <w:jc w:val="right"/>
              <w:rPr>
                <w:rFonts w:ascii="Arial Black" w:hAnsi="Arial Black"/>
                <w:caps/>
                <w:sz w:val="15"/>
              </w:rPr>
            </w:pPr>
            <w:r w:rsidRPr="00A834FF">
              <w:rPr>
                <w:rFonts w:ascii="Arial Black" w:hAnsi="Arial Black"/>
                <w:caps/>
                <w:sz w:val="15"/>
              </w:rPr>
              <w:t>fecha</w:t>
            </w:r>
            <w:r w:rsidR="008B2CC1" w:rsidRPr="00A834FF">
              <w:rPr>
                <w:rFonts w:ascii="Arial Black" w:hAnsi="Arial Black"/>
                <w:caps/>
                <w:sz w:val="15"/>
              </w:rPr>
              <w:t>:</w:t>
            </w:r>
            <w:r w:rsidR="00EB688F" w:rsidRPr="00A834FF">
              <w:rPr>
                <w:rFonts w:ascii="Arial Black" w:hAnsi="Arial Black"/>
                <w:caps/>
                <w:sz w:val="15"/>
              </w:rPr>
              <w:t xml:space="preserve"> </w:t>
            </w:r>
            <w:r w:rsidR="008B2CC1" w:rsidRPr="00A834FF">
              <w:rPr>
                <w:rFonts w:ascii="Arial Black" w:hAnsi="Arial Black"/>
                <w:caps/>
                <w:sz w:val="15"/>
              </w:rPr>
              <w:t xml:space="preserve"> </w:t>
            </w:r>
            <w:bookmarkStart w:id="2" w:name="Date"/>
            <w:bookmarkEnd w:id="2"/>
            <w:r w:rsidR="00B97AFD" w:rsidRPr="00A834FF">
              <w:rPr>
                <w:rFonts w:ascii="Arial Black" w:hAnsi="Arial Black"/>
                <w:caps/>
                <w:sz w:val="15"/>
              </w:rPr>
              <w:t>17</w:t>
            </w:r>
            <w:r w:rsidR="007348B1" w:rsidRPr="00A834FF">
              <w:rPr>
                <w:rFonts w:ascii="Arial Black" w:hAnsi="Arial Black"/>
                <w:caps/>
                <w:sz w:val="15"/>
              </w:rPr>
              <w:t xml:space="preserve"> DE OCTUBRE DE 2017</w:t>
            </w:r>
          </w:p>
        </w:tc>
      </w:tr>
    </w:tbl>
    <w:p w:rsidR="008B2CC1" w:rsidRPr="00A834FF" w:rsidRDefault="008B2CC1" w:rsidP="008B2CC1"/>
    <w:p w:rsidR="008B2CC1" w:rsidRPr="00A834FF" w:rsidRDefault="008B2CC1" w:rsidP="008B2CC1"/>
    <w:p w:rsidR="008B2CC1" w:rsidRPr="00A834FF" w:rsidRDefault="008B2CC1" w:rsidP="008B2CC1"/>
    <w:p w:rsidR="008B2CC1" w:rsidRPr="00A834FF" w:rsidRDefault="008B2CC1" w:rsidP="008B2CC1"/>
    <w:p w:rsidR="008B2CC1" w:rsidRPr="00A834FF" w:rsidRDefault="008B2CC1" w:rsidP="008B2CC1"/>
    <w:p w:rsidR="00B67CDC" w:rsidRPr="00A834FF" w:rsidRDefault="0096247A" w:rsidP="00B67CDC">
      <w:pPr>
        <w:rPr>
          <w:b/>
          <w:sz w:val="28"/>
          <w:szCs w:val="28"/>
        </w:rPr>
      </w:pPr>
      <w:r w:rsidRPr="00A834FF">
        <w:rPr>
          <w:b/>
          <w:sz w:val="28"/>
          <w:szCs w:val="28"/>
        </w:rPr>
        <w:t xml:space="preserve">Comité </w:t>
      </w:r>
      <w:r w:rsidR="00EE230B" w:rsidRPr="00A834FF">
        <w:rPr>
          <w:b/>
          <w:sz w:val="28"/>
          <w:szCs w:val="28"/>
        </w:rPr>
        <w:t>de Desarrollo y Propiedad Intelectual (CDIP)</w:t>
      </w:r>
    </w:p>
    <w:p w:rsidR="003845C1" w:rsidRPr="00A834FF" w:rsidRDefault="003845C1" w:rsidP="008F1B0A">
      <w:pPr>
        <w:tabs>
          <w:tab w:val="left" w:pos="4116"/>
        </w:tabs>
      </w:pPr>
    </w:p>
    <w:p w:rsidR="003845C1" w:rsidRPr="00A834FF" w:rsidRDefault="003845C1" w:rsidP="003845C1"/>
    <w:p w:rsidR="00B67CDC" w:rsidRPr="00A834FF" w:rsidRDefault="007B3774" w:rsidP="00B67CDC">
      <w:pPr>
        <w:rPr>
          <w:b/>
          <w:sz w:val="24"/>
          <w:szCs w:val="24"/>
        </w:rPr>
      </w:pPr>
      <w:r w:rsidRPr="00A834FF">
        <w:rPr>
          <w:b/>
          <w:sz w:val="24"/>
          <w:szCs w:val="24"/>
        </w:rPr>
        <w:t xml:space="preserve">Vigésima </w:t>
      </w:r>
      <w:r w:rsidR="00EE230B" w:rsidRPr="00A834FF">
        <w:rPr>
          <w:b/>
          <w:sz w:val="24"/>
          <w:szCs w:val="24"/>
        </w:rPr>
        <w:t>s</w:t>
      </w:r>
      <w:r w:rsidR="00B67CDC" w:rsidRPr="00A834FF">
        <w:rPr>
          <w:b/>
          <w:sz w:val="24"/>
          <w:szCs w:val="24"/>
        </w:rPr>
        <w:t>esión</w:t>
      </w:r>
    </w:p>
    <w:p w:rsidR="00B67CDC" w:rsidRPr="00A834FF" w:rsidRDefault="007B3774" w:rsidP="00B67CDC">
      <w:pPr>
        <w:rPr>
          <w:b/>
          <w:sz w:val="24"/>
          <w:szCs w:val="24"/>
        </w:rPr>
      </w:pPr>
      <w:r w:rsidRPr="00A834FF">
        <w:rPr>
          <w:b/>
          <w:sz w:val="24"/>
          <w:szCs w:val="24"/>
        </w:rPr>
        <w:t>Ginebra, 27 de noviembre a 1</w:t>
      </w:r>
      <w:r w:rsidR="00EE230B" w:rsidRPr="00A834FF">
        <w:rPr>
          <w:b/>
          <w:sz w:val="24"/>
          <w:szCs w:val="24"/>
        </w:rPr>
        <w:t xml:space="preserve"> de</w:t>
      </w:r>
      <w:r w:rsidRPr="00A834FF">
        <w:rPr>
          <w:b/>
          <w:sz w:val="24"/>
          <w:szCs w:val="24"/>
        </w:rPr>
        <w:t xml:space="preserve"> diciembre </w:t>
      </w:r>
      <w:r w:rsidR="00EE230B" w:rsidRPr="00A834FF">
        <w:rPr>
          <w:b/>
          <w:sz w:val="24"/>
          <w:szCs w:val="24"/>
        </w:rPr>
        <w:t>de 2017</w:t>
      </w:r>
    </w:p>
    <w:p w:rsidR="008B2CC1" w:rsidRPr="00A834FF" w:rsidRDefault="008B2CC1" w:rsidP="008B2CC1"/>
    <w:p w:rsidR="008B2CC1" w:rsidRPr="00A834FF" w:rsidRDefault="008B2CC1" w:rsidP="008B2CC1"/>
    <w:p w:rsidR="008B2CC1" w:rsidRPr="00A834FF" w:rsidRDefault="008B2CC1" w:rsidP="008B2CC1"/>
    <w:p w:rsidR="00F80142" w:rsidRPr="00A834FF" w:rsidRDefault="006604F2" w:rsidP="00B876C6">
      <w:pPr>
        <w:rPr>
          <w:caps/>
          <w:sz w:val="24"/>
        </w:rPr>
      </w:pPr>
      <w:bookmarkStart w:id="3" w:name="TitleOfDoc"/>
      <w:bookmarkEnd w:id="3"/>
      <w:r w:rsidRPr="00A834FF">
        <w:rPr>
          <w:sz w:val="24"/>
        </w:rPr>
        <w:t xml:space="preserve">ESQUEMA DE FOROS Y CONFERENCIAS INTERNACIONALES </w:t>
      </w:r>
      <w:r>
        <w:rPr>
          <w:sz w:val="24"/>
        </w:rPr>
        <w:t>EN LOS QUE SE LLEVAN A CABO</w:t>
      </w:r>
      <w:r w:rsidRPr="00A834FF">
        <w:rPr>
          <w:sz w:val="24"/>
        </w:rPr>
        <w:t xml:space="preserve"> INICIATIVAS Y ACTIVIDADES SOBRE TRANSFERENCIA DE TECNOLOGÍA</w:t>
      </w:r>
    </w:p>
    <w:p w:rsidR="00F80142" w:rsidRPr="00A834FF" w:rsidRDefault="00F80142" w:rsidP="00B876C6">
      <w:pPr>
        <w:rPr>
          <w:caps/>
          <w:sz w:val="24"/>
        </w:rPr>
      </w:pPr>
    </w:p>
    <w:p w:rsidR="00B876C6" w:rsidRPr="00A834FF" w:rsidRDefault="00B876C6" w:rsidP="00B876C6"/>
    <w:p w:rsidR="00B876C6" w:rsidRPr="00A834FF" w:rsidRDefault="00B876C6" w:rsidP="00B876C6">
      <w:pPr>
        <w:rPr>
          <w:i/>
        </w:rPr>
      </w:pPr>
      <w:bookmarkStart w:id="4" w:name="Prepared"/>
      <w:bookmarkEnd w:id="4"/>
      <w:r w:rsidRPr="00A834FF">
        <w:rPr>
          <w:i/>
        </w:rPr>
        <w:t>Document</w:t>
      </w:r>
      <w:r w:rsidR="00836524" w:rsidRPr="00A834FF">
        <w:rPr>
          <w:i/>
        </w:rPr>
        <w:t xml:space="preserve">o preparado por la Secretaría </w:t>
      </w:r>
      <w:bookmarkStart w:id="5" w:name="_GoBack"/>
      <w:bookmarkEnd w:id="5"/>
    </w:p>
    <w:p w:rsidR="00B876C6" w:rsidRPr="00A834FF" w:rsidRDefault="00B876C6" w:rsidP="00B876C6"/>
    <w:p w:rsidR="00B876C6" w:rsidRPr="00A834FF" w:rsidRDefault="00B876C6" w:rsidP="00B876C6"/>
    <w:p w:rsidR="00B876C6" w:rsidRPr="00A834FF" w:rsidRDefault="00B876C6" w:rsidP="00B876C6"/>
    <w:p w:rsidR="00B876C6" w:rsidRPr="00A834FF" w:rsidRDefault="00B876C6" w:rsidP="00B876C6"/>
    <w:p w:rsidR="008F1B0A" w:rsidRPr="00A834FF" w:rsidRDefault="00B876C6" w:rsidP="00B876C6">
      <w:pPr>
        <w:pStyle w:val="ListParagraph"/>
        <w:ind w:left="0"/>
        <w:rPr>
          <w:szCs w:val="22"/>
          <w:lang w:val="es-ES"/>
        </w:rPr>
      </w:pPr>
      <w:r w:rsidRPr="00A834FF">
        <w:rPr>
          <w:szCs w:val="22"/>
          <w:lang w:val="es-ES"/>
        </w:rPr>
        <w:fldChar w:fldCharType="begin"/>
      </w:r>
      <w:r w:rsidRPr="00A834FF">
        <w:rPr>
          <w:szCs w:val="22"/>
          <w:lang w:val="es-ES"/>
        </w:rPr>
        <w:instrText xml:space="preserve"> AUTONUM  </w:instrText>
      </w:r>
      <w:r w:rsidRPr="00A834FF">
        <w:rPr>
          <w:szCs w:val="22"/>
          <w:lang w:val="es-ES"/>
        </w:rPr>
        <w:fldChar w:fldCharType="end"/>
      </w:r>
      <w:r w:rsidRPr="00A834FF">
        <w:rPr>
          <w:szCs w:val="22"/>
          <w:lang w:val="es-ES"/>
        </w:rPr>
        <w:tab/>
      </w:r>
      <w:r w:rsidR="008F1B0A" w:rsidRPr="00A834FF">
        <w:rPr>
          <w:szCs w:val="22"/>
          <w:lang w:val="es-ES"/>
        </w:rPr>
        <w:t>Durante su decimoctava sesión, celebrada de</w:t>
      </w:r>
      <w:r w:rsidR="00A834FF" w:rsidRPr="00A834FF">
        <w:rPr>
          <w:szCs w:val="22"/>
          <w:lang w:val="es-ES"/>
        </w:rPr>
        <w:t>l 3</w:t>
      </w:r>
      <w:r w:rsidR="008F1B0A" w:rsidRPr="00A834FF">
        <w:rPr>
          <w:szCs w:val="22"/>
          <w:lang w:val="es-ES"/>
        </w:rPr>
        <w:t>1 de octubre a</w:t>
      </w:r>
      <w:r w:rsidR="00A834FF" w:rsidRPr="00A834FF">
        <w:rPr>
          <w:szCs w:val="22"/>
          <w:lang w:val="es-ES"/>
        </w:rPr>
        <w:t>l 4</w:t>
      </w:r>
      <w:r w:rsidR="008F1B0A" w:rsidRPr="00A834FF">
        <w:rPr>
          <w:szCs w:val="22"/>
          <w:lang w:val="es-ES"/>
        </w:rPr>
        <w:t xml:space="preserve"> de noviembre d</w:t>
      </w:r>
      <w:r w:rsidR="00A834FF" w:rsidRPr="00A834FF">
        <w:rPr>
          <w:szCs w:val="22"/>
          <w:lang w:val="es-ES"/>
        </w:rPr>
        <w:t>e 2</w:t>
      </w:r>
      <w:r w:rsidR="008F1B0A" w:rsidRPr="00A834FF">
        <w:rPr>
          <w:szCs w:val="22"/>
          <w:lang w:val="es-ES"/>
        </w:rPr>
        <w:t>016, el Comité de Desarrollo y Propiedad Intelectual</w:t>
      </w:r>
      <w:r w:rsidR="007D50F0" w:rsidRPr="00A834FF">
        <w:rPr>
          <w:szCs w:val="22"/>
          <w:lang w:val="es-ES"/>
        </w:rPr>
        <w:t xml:space="preserve"> solicitó a la S</w:t>
      </w:r>
      <w:r w:rsidR="008F1B0A" w:rsidRPr="00A834FF">
        <w:rPr>
          <w:szCs w:val="22"/>
          <w:lang w:val="es-ES"/>
        </w:rPr>
        <w:t>ecretaría del a OMPI “</w:t>
      </w:r>
      <w:r w:rsidR="00394029" w:rsidRPr="00A834FF">
        <w:rPr>
          <w:szCs w:val="22"/>
          <w:lang w:val="es-ES"/>
        </w:rPr>
        <w:t>realizar</w:t>
      </w:r>
      <w:r w:rsidR="008F1B0A" w:rsidRPr="00A834FF">
        <w:rPr>
          <w:szCs w:val="22"/>
          <w:lang w:val="es-ES"/>
        </w:rPr>
        <w:t xml:space="preserve"> un esquema de</w:t>
      </w:r>
      <w:r w:rsidR="00394029" w:rsidRPr="00A834FF">
        <w:rPr>
          <w:szCs w:val="22"/>
          <w:lang w:val="es-ES"/>
        </w:rPr>
        <w:t xml:space="preserve"> las actividades e </w:t>
      </w:r>
      <w:r w:rsidR="008F1B0A" w:rsidRPr="00A834FF">
        <w:rPr>
          <w:szCs w:val="22"/>
          <w:lang w:val="es-ES"/>
        </w:rPr>
        <w:t xml:space="preserve">iniciativas sobre transferencia de tecnología </w:t>
      </w:r>
      <w:r w:rsidR="009E4B2D" w:rsidRPr="00A834FF">
        <w:rPr>
          <w:szCs w:val="22"/>
          <w:lang w:val="es-ES"/>
        </w:rPr>
        <w:t xml:space="preserve">que se están llevando a cabo actualmente </w:t>
      </w:r>
      <w:r w:rsidR="008F1B0A" w:rsidRPr="00A834FF">
        <w:rPr>
          <w:szCs w:val="22"/>
          <w:lang w:val="es-ES"/>
        </w:rPr>
        <w:t>en otros foros internacionales</w:t>
      </w:r>
      <w:r w:rsidR="009E4B2D" w:rsidRPr="00A834FF">
        <w:rPr>
          <w:szCs w:val="22"/>
          <w:lang w:val="es-ES"/>
        </w:rPr>
        <w:t>,</w:t>
      </w:r>
      <w:r w:rsidR="008F1B0A" w:rsidRPr="00A834FF">
        <w:rPr>
          <w:szCs w:val="22"/>
          <w:lang w:val="es-ES"/>
        </w:rPr>
        <w:t xml:space="preserve"> </w:t>
      </w:r>
      <w:r w:rsidR="009E4B2D" w:rsidRPr="00A834FF">
        <w:rPr>
          <w:szCs w:val="22"/>
          <w:lang w:val="es-ES"/>
        </w:rPr>
        <w:t xml:space="preserve">a fin de facilitar al CDIP información </w:t>
      </w:r>
      <w:r w:rsidR="008F1B0A" w:rsidRPr="00A834FF">
        <w:rPr>
          <w:szCs w:val="22"/>
          <w:lang w:val="es-ES"/>
        </w:rPr>
        <w:t>actualiza</w:t>
      </w:r>
      <w:r w:rsidR="00EA3D60" w:rsidRPr="00A834FF">
        <w:rPr>
          <w:szCs w:val="22"/>
          <w:lang w:val="es-ES"/>
        </w:rPr>
        <w:t xml:space="preserve">da </w:t>
      </w:r>
      <w:r w:rsidR="009E4B2D" w:rsidRPr="00A834FF">
        <w:rPr>
          <w:szCs w:val="22"/>
          <w:lang w:val="es-ES"/>
        </w:rPr>
        <w:t xml:space="preserve">a ese respecto y acerca de la función que la OMPI </w:t>
      </w:r>
      <w:r w:rsidR="008F1B0A" w:rsidRPr="00A834FF">
        <w:rPr>
          <w:szCs w:val="22"/>
          <w:lang w:val="es-ES"/>
        </w:rPr>
        <w:t xml:space="preserve">puede seguir </w:t>
      </w:r>
      <w:r w:rsidR="00F52A5A">
        <w:rPr>
          <w:szCs w:val="22"/>
          <w:lang w:val="es-ES"/>
        </w:rPr>
        <w:t>desempeñando</w:t>
      </w:r>
      <w:r w:rsidR="008F1B0A" w:rsidRPr="00A834FF">
        <w:rPr>
          <w:szCs w:val="22"/>
          <w:lang w:val="es-ES"/>
        </w:rPr>
        <w:t xml:space="preserve"> </w:t>
      </w:r>
      <w:r w:rsidR="009E4B2D" w:rsidRPr="00A834FF">
        <w:rPr>
          <w:szCs w:val="22"/>
          <w:lang w:val="es-ES"/>
        </w:rPr>
        <w:t>en dicho ámbito</w:t>
      </w:r>
      <w:r w:rsidR="008F1B0A" w:rsidRPr="00A834FF">
        <w:rPr>
          <w:szCs w:val="22"/>
          <w:lang w:val="es-ES"/>
        </w:rPr>
        <w:t>”</w:t>
      </w:r>
      <w:r w:rsidR="00394029" w:rsidRPr="00A834FF">
        <w:rPr>
          <w:szCs w:val="22"/>
          <w:lang w:val="es-ES"/>
        </w:rPr>
        <w:t>.</w:t>
      </w:r>
    </w:p>
    <w:p w:rsidR="00B876C6" w:rsidRPr="00A834FF" w:rsidRDefault="00B876C6" w:rsidP="00B876C6">
      <w:pPr>
        <w:pStyle w:val="ListParagraph"/>
        <w:ind w:left="0"/>
        <w:rPr>
          <w:lang w:val="es-ES"/>
        </w:rPr>
      </w:pPr>
    </w:p>
    <w:p w:rsidR="009E4B2D" w:rsidRPr="00A834FF" w:rsidRDefault="00B876C6" w:rsidP="00B876C6">
      <w:pPr>
        <w:rPr>
          <w:szCs w:val="22"/>
        </w:rPr>
      </w:pPr>
      <w:r w:rsidRPr="00A834FF">
        <w:rPr>
          <w:szCs w:val="22"/>
        </w:rPr>
        <w:fldChar w:fldCharType="begin"/>
      </w:r>
      <w:r w:rsidRPr="00A834FF">
        <w:rPr>
          <w:szCs w:val="22"/>
        </w:rPr>
        <w:instrText xml:space="preserve"> AUTONUM  </w:instrText>
      </w:r>
      <w:r w:rsidRPr="00A834FF">
        <w:rPr>
          <w:szCs w:val="22"/>
        </w:rPr>
        <w:fldChar w:fldCharType="end"/>
      </w:r>
      <w:r w:rsidRPr="00A834FF">
        <w:rPr>
          <w:szCs w:val="22"/>
        </w:rPr>
        <w:tab/>
      </w:r>
      <w:r w:rsidR="009E4B2D" w:rsidRPr="00A834FF">
        <w:rPr>
          <w:szCs w:val="22"/>
        </w:rPr>
        <w:t>En consecuencia,</w:t>
      </w:r>
      <w:r w:rsidR="005877E6">
        <w:rPr>
          <w:szCs w:val="22"/>
        </w:rPr>
        <w:t xml:space="preserve"> en</w:t>
      </w:r>
      <w:r w:rsidR="009E4B2D" w:rsidRPr="00A834FF">
        <w:rPr>
          <w:szCs w:val="22"/>
        </w:rPr>
        <w:t xml:space="preserve"> el Anexo </w:t>
      </w:r>
      <w:r w:rsidR="005877E6">
        <w:rPr>
          <w:szCs w:val="22"/>
        </w:rPr>
        <w:t>de</w:t>
      </w:r>
      <w:r w:rsidR="009E4B2D" w:rsidRPr="00A834FF">
        <w:rPr>
          <w:szCs w:val="22"/>
        </w:rPr>
        <w:t xml:space="preserve">l presente documento </w:t>
      </w:r>
      <w:r w:rsidR="005877E6">
        <w:rPr>
          <w:szCs w:val="22"/>
        </w:rPr>
        <w:t xml:space="preserve">figura </w:t>
      </w:r>
      <w:r w:rsidR="009E4B2D" w:rsidRPr="00A834FF">
        <w:rPr>
          <w:szCs w:val="22"/>
        </w:rPr>
        <w:t xml:space="preserve">una recopilación no exhaustiva de foros y conferencias internacionales </w:t>
      </w:r>
      <w:r w:rsidR="00366EF5" w:rsidRPr="00A834FF">
        <w:rPr>
          <w:szCs w:val="22"/>
        </w:rPr>
        <w:t>externas a</w:t>
      </w:r>
      <w:r w:rsidR="009E4B2D" w:rsidRPr="00A834FF">
        <w:rPr>
          <w:szCs w:val="22"/>
        </w:rPr>
        <w:t xml:space="preserve"> la OMPI </w:t>
      </w:r>
      <w:r w:rsidR="00366EF5" w:rsidRPr="00A834FF">
        <w:rPr>
          <w:szCs w:val="22"/>
        </w:rPr>
        <w:t>en las que</w:t>
      </w:r>
      <w:r w:rsidR="009E4B2D" w:rsidRPr="00A834FF">
        <w:rPr>
          <w:szCs w:val="22"/>
        </w:rPr>
        <w:t xml:space="preserve"> actualmente se debate sobre transferencia de tecnología y una </w:t>
      </w:r>
      <w:r w:rsidR="007D50F0" w:rsidRPr="00A834FF">
        <w:rPr>
          <w:szCs w:val="22"/>
        </w:rPr>
        <w:t>concisa</w:t>
      </w:r>
      <w:r w:rsidR="009E4B2D" w:rsidRPr="00A834FF">
        <w:rPr>
          <w:szCs w:val="22"/>
        </w:rPr>
        <w:t xml:space="preserve"> visión general de la función que la OMPI </w:t>
      </w:r>
      <w:r w:rsidR="005877E6">
        <w:rPr>
          <w:szCs w:val="22"/>
        </w:rPr>
        <w:t xml:space="preserve">desempeña </w:t>
      </w:r>
      <w:r w:rsidR="009E4B2D" w:rsidRPr="00A834FF">
        <w:rPr>
          <w:szCs w:val="22"/>
        </w:rPr>
        <w:t>en los foros y conferencias internacionales.</w:t>
      </w:r>
    </w:p>
    <w:p w:rsidR="00B876C6" w:rsidRPr="00A834FF" w:rsidRDefault="00B876C6" w:rsidP="00B876C6"/>
    <w:p w:rsidR="00B876C6" w:rsidRPr="00A834FF" w:rsidRDefault="00B876C6" w:rsidP="00F876E0">
      <w:pPr>
        <w:ind w:left="5529"/>
        <w:rPr>
          <w:i/>
          <w:iCs/>
          <w:szCs w:val="22"/>
        </w:rPr>
      </w:pPr>
      <w:r w:rsidRPr="00A834FF">
        <w:rPr>
          <w:szCs w:val="22"/>
        </w:rPr>
        <w:fldChar w:fldCharType="begin"/>
      </w:r>
      <w:r w:rsidRPr="00A834FF">
        <w:rPr>
          <w:szCs w:val="22"/>
        </w:rPr>
        <w:instrText xml:space="preserve"> AUTONUM  </w:instrText>
      </w:r>
      <w:r w:rsidRPr="00A834FF">
        <w:rPr>
          <w:szCs w:val="22"/>
        </w:rPr>
        <w:fldChar w:fldCharType="end"/>
      </w:r>
      <w:r w:rsidRPr="00A834FF">
        <w:rPr>
          <w:szCs w:val="22"/>
        </w:rPr>
        <w:tab/>
      </w:r>
      <w:r w:rsidR="009E4B2D" w:rsidRPr="00A834FF">
        <w:rPr>
          <w:i/>
          <w:iCs/>
          <w:szCs w:val="22"/>
        </w:rPr>
        <w:t>Se invita al CDIP a tomar nota de la información contenida en el Anexo del presente documento</w:t>
      </w:r>
      <w:r w:rsidRPr="00A834FF">
        <w:rPr>
          <w:i/>
          <w:iCs/>
          <w:szCs w:val="22"/>
        </w:rPr>
        <w:t>.</w:t>
      </w:r>
    </w:p>
    <w:p w:rsidR="00B876C6" w:rsidRPr="00A834FF" w:rsidRDefault="00B876C6" w:rsidP="00EE4540">
      <w:pPr>
        <w:rPr>
          <w:szCs w:val="22"/>
        </w:rPr>
      </w:pPr>
    </w:p>
    <w:p w:rsidR="00B876C6" w:rsidRPr="00A834FF" w:rsidRDefault="00B876C6" w:rsidP="00EE4540">
      <w:pPr>
        <w:rPr>
          <w:szCs w:val="22"/>
        </w:rPr>
      </w:pPr>
    </w:p>
    <w:p w:rsidR="00B876C6" w:rsidRPr="00A834FF" w:rsidRDefault="00B876C6" w:rsidP="00EE4540">
      <w:pPr>
        <w:rPr>
          <w:szCs w:val="22"/>
        </w:rPr>
      </w:pPr>
    </w:p>
    <w:p w:rsidR="00152CEA" w:rsidRPr="00A834FF" w:rsidRDefault="00B876C6" w:rsidP="00F876E0">
      <w:pPr>
        <w:pStyle w:val="Endofdocument-Annex"/>
        <w:rPr>
          <w:lang w:val="es-ES"/>
        </w:rPr>
      </w:pPr>
      <w:r w:rsidRPr="00A834FF">
        <w:rPr>
          <w:lang w:val="es-ES"/>
        </w:rPr>
        <w:t>[</w:t>
      </w:r>
      <w:r w:rsidR="009E4B2D" w:rsidRPr="00A834FF">
        <w:rPr>
          <w:lang w:val="es-ES"/>
        </w:rPr>
        <w:t>Sigue el Anexo</w:t>
      </w:r>
      <w:r w:rsidRPr="00A834FF">
        <w:rPr>
          <w:lang w:val="es-ES"/>
        </w:rPr>
        <w:t>]</w:t>
      </w:r>
    </w:p>
    <w:p w:rsidR="00B876C6" w:rsidRPr="00A834FF" w:rsidRDefault="00B876C6" w:rsidP="00B876C6">
      <w:pPr>
        <w:pStyle w:val="Endofdocument-Annex"/>
        <w:rPr>
          <w:lang w:val="es-ES"/>
        </w:rPr>
      </w:pPr>
    </w:p>
    <w:p w:rsidR="00B876C6" w:rsidRPr="00A834FF" w:rsidRDefault="00B876C6" w:rsidP="00B876C6">
      <w:pPr>
        <w:sectPr w:rsidR="00B876C6" w:rsidRPr="00A834FF" w:rsidSect="007348B1">
          <w:headerReference w:type="default" r:id="rId9"/>
          <w:pgSz w:w="11907" w:h="16840" w:code="9"/>
          <w:pgMar w:top="567" w:right="1134" w:bottom="1418" w:left="1418" w:header="510" w:footer="1021" w:gutter="0"/>
          <w:cols w:space="720"/>
          <w:titlePg/>
          <w:docGrid w:linePitch="299"/>
        </w:sectPr>
      </w:pPr>
    </w:p>
    <w:p w:rsidR="00CE45AF" w:rsidRPr="00A834FF" w:rsidRDefault="00CE45AF" w:rsidP="00CE45AF">
      <w:pPr>
        <w:pStyle w:val="Heading2"/>
        <w:ind w:left="567" w:hanging="567"/>
      </w:pPr>
      <w:r w:rsidRPr="00A834FF">
        <w:lastRenderedPageBreak/>
        <w:t>I.</w:t>
      </w:r>
      <w:r w:rsidRPr="00A834FF">
        <w:tab/>
        <w:t>Introduc</w:t>
      </w:r>
      <w:r w:rsidR="009E4B2D" w:rsidRPr="00A834FF">
        <w:t>CIÓN</w:t>
      </w:r>
    </w:p>
    <w:p w:rsidR="00CE45AF" w:rsidRPr="00A834FF" w:rsidRDefault="00CE45AF" w:rsidP="00CE45AF">
      <w:pPr>
        <w:autoSpaceDE w:val="0"/>
        <w:autoSpaceDN w:val="0"/>
        <w:adjustRightInd w:val="0"/>
        <w:rPr>
          <w:szCs w:val="22"/>
        </w:rPr>
      </w:pPr>
    </w:p>
    <w:p w:rsidR="009E4B2D" w:rsidRPr="00A834FF" w:rsidRDefault="00CE45AF" w:rsidP="00CE45AF">
      <w:pPr>
        <w:rPr>
          <w:szCs w:val="22"/>
        </w:rPr>
      </w:pPr>
      <w:r w:rsidRPr="00A834FF">
        <w:rPr>
          <w:szCs w:val="22"/>
        </w:rPr>
        <w:t>1.</w:t>
      </w:r>
      <w:r w:rsidRPr="00A834FF">
        <w:rPr>
          <w:szCs w:val="22"/>
        </w:rPr>
        <w:tab/>
      </w:r>
      <w:r w:rsidR="007D50F0" w:rsidRPr="00A834FF">
        <w:rPr>
          <w:szCs w:val="22"/>
        </w:rPr>
        <w:t xml:space="preserve">Se ha </w:t>
      </w:r>
      <w:r w:rsidR="005877E6">
        <w:rPr>
          <w:szCs w:val="22"/>
        </w:rPr>
        <w:t xml:space="preserve">emprendido la labor destinada a </w:t>
      </w:r>
      <w:r w:rsidR="009E4B2D" w:rsidRPr="00A834FF">
        <w:rPr>
          <w:szCs w:val="22"/>
        </w:rPr>
        <w:t xml:space="preserve">trazar un esquema de actividades e iniciativas que se están llevando a cabo actualmente en foros internacionales, cuyo resultado </w:t>
      </w:r>
      <w:r w:rsidR="0025069E" w:rsidRPr="00A834FF">
        <w:rPr>
          <w:szCs w:val="22"/>
        </w:rPr>
        <w:t xml:space="preserve">es la </w:t>
      </w:r>
      <w:r w:rsidR="009E4B2D" w:rsidRPr="00A834FF">
        <w:rPr>
          <w:szCs w:val="22"/>
        </w:rPr>
        <w:t xml:space="preserve">recopilación </w:t>
      </w:r>
      <w:r w:rsidR="003B7008" w:rsidRPr="00A834FF">
        <w:rPr>
          <w:szCs w:val="22"/>
        </w:rPr>
        <w:t>no exhaustiva de foros y conferencias internacionales donde actualmente se debate sobre transferencia de tecnología</w:t>
      </w:r>
      <w:r w:rsidR="0025069E" w:rsidRPr="00A834FF">
        <w:rPr>
          <w:szCs w:val="22"/>
        </w:rPr>
        <w:t xml:space="preserve"> que </w:t>
      </w:r>
      <w:r w:rsidR="007D50F0" w:rsidRPr="00A834FF">
        <w:rPr>
          <w:szCs w:val="22"/>
        </w:rPr>
        <w:t>figura</w:t>
      </w:r>
      <w:r w:rsidR="00160D9A" w:rsidRPr="00A834FF">
        <w:rPr>
          <w:szCs w:val="22"/>
        </w:rPr>
        <w:t>n</w:t>
      </w:r>
      <w:r w:rsidR="007D50F0" w:rsidRPr="00A834FF">
        <w:rPr>
          <w:szCs w:val="22"/>
        </w:rPr>
        <w:t xml:space="preserve"> en </w:t>
      </w:r>
      <w:r w:rsidR="003B7008" w:rsidRPr="00A834FF">
        <w:rPr>
          <w:szCs w:val="22"/>
        </w:rPr>
        <w:t>las Secciones III y IV siguientes</w:t>
      </w:r>
      <w:r w:rsidR="00A834FF" w:rsidRPr="00A834FF">
        <w:rPr>
          <w:szCs w:val="22"/>
        </w:rPr>
        <w:t>.  L</w:t>
      </w:r>
      <w:r w:rsidR="001679C5" w:rsidRPr="00A834FF">
        <w:rPr>
          <w:szCs w:val="22"/>
        </w:rPr>
        <w:t xml:space="preserve">a recopilación se centra en foros y conferencias intergubernamentales de </w:t>
      </w:r>
      <w:r w:rsidR="004E70DF" w:rsidRPr="00A834FF">
        <w:rPr>
          <w:szCs w:val="22"/>
        </w:rPr>
        <w:t>ámbito</w:t>
      </w:r>
      <w:r w:rsidR="001679C5" w:rsidRPr="00A834FF">
        <w:rPr>
          <w:szCs w:val="22"/>
        </w:rPr>
        <w:t xml:space="preserve"> mundial y regional </w:t>
      </w:r>
      <w:r w:rsidR="007D50F0" w:rsidRPr="00A834FF">
        <w:rPr>
          <w:szCs w:val="22"/>
        </w:rPr>
        <w:t xml:space="preserve">en el marco </w:t>
      </w:r>
      <w:r w:rsidR="00EA3D60" w:rsidRPr="00A834FF">
        <w:rPr>
          <w:szCs w:val="22"/>
        </w:rPr>
        <w:t xml:space="preserve">del </w:t>
      </w:r>
      <w:r w:rsidR="001679C5" w:rsidRPr="00A834FF">
        <w:rPr>
          <w:szCs w:val="22"/>
        </w:rPr>
        <w:t>sistema de las Naciones Unidas</w:t>
      </w:r>
      <w:r w:rsidR="00A834FF" w:rsidRPr="00A834FF">
        <w:rPr>
          <w:szCs w:val="22"/>
        </w:rPr>
        <w:t>.  L</w:t>
      </w:r>
      <w:r w:rsidR="001679C5" w:rsidRPr="00A834FF">
        <w:rPr>
          <w:szCs w:val="22"/>
        </w:rPr>
        <w:t xml:space="preserve">a recopilación </w:t>
      </w:r>
      <w:r w:rsidR="0025069E" w:rsidRPr="00A834FF">
        <w:rPr>
          <w:szCs w:val="22"/>
        </w:rPr>
        <w:t>se</w:t>
      </w:r>
      <w:r w:rsidR="007D50F0" w:rsidRPr="00A834FF">
        <w:rPr>
          <w:szCs w:val="22"/>
        </w:rPr>
        <w:t xml:space="preserve"> </w:t>
      </w:r>
      <w:r w:rsidR="00B05837" w:rsidRPr="00A834FF">
        <w:rPr>
          <w:szCs w:val="22"/>
        </w:rPr>
        <w:t xml:space="preserve">estructura con arreglo al </w:t>
      </w:r>
      <w:r w:rsidR="001679C5" w:rsidRPr="00A834FF">
        <w:rPr>
          <w:szCs w:val="22"/>
        </w:rPr>
        <w:t xml:space="preserve">nombre del foro o conferencia </w:t>
      </w:r>
      <w:r w:rsidR="0025069E" w:rsidRPr="00A834FF">
        <w:rPr>
          <w:szCs w:val="22"/>
        </w:rPr>
        <w:t xml:space="preserve">y aporta información sobre </w:t>
      </w:r>
      <w:r w:rsidR="001679C5" w:rsidRPr="00A834FF">
        <w:rPr>
          <w:szCs w:val="22"/>
        </w:rPr>
        <w:t xml:space="preserve">la organización coordinadora, la temática, los participantes, su vinculación con la transferencia de tecnología, una breve descripción y el nivel de actividad del foro o conferencia.  El nivel de actividad indica la </w:t>
      </w:r>
      <w:r w:rsidR="00845429" w:rsidRPr="00A834FF">
        <w:rPr>
          <w:szCs w:val="22"/>
        </w:rPr>
        <w:t xml:space="preserve">periodicidad </w:t>
      </w:r>
      <w:r w:rsidR="000706C8" w:rsidRPr="00A834FF">
        <w:rPr>
          <w:szCs w:val="22"/>
        </w:rPr>
        <w:t>del programa</w:t>
      </w:r>
      <w:r w:rsidR="001679C5" w:rsidRPr="00A834FF">
        <w:rPr>
          <w:szCs w:val="22"/>
        </w:rPr>
        <w:t xml:space="preserve"> de sesiones ordinarias</w:t>
      </w:r>
      <w:r w:rsidR="007D50F0" w:rsidRPr="00A834FF">
        <w:rPr>
          <w:szCs w:val="22"/>
        </w:rPr>
        <w:t xml:space="preserve">, sin incluir </w:t>
      </w:r>
      <w:r w:rsidR="001679C5" w:rsidRPr="00A834FF">
        <w:rPr>
          <w:szCs w:val="22"/>
        </w:rPr>
        <w:t>sesiones extraordinarias o actividad</w:t>
      </w:r>
      <w:r w:rsidR="00366EF5" w:rsidRPr="00A834FF">
        <w:rPr>
          <w:szCs w:val="22"/>
        </w:rPr>
        <w:t xml:space="preserve">es </w:t>
      </w:r>
      <w:r w:rsidR="001679C5" w:rsidRPr="00A834FF">
        <w:rPr>
          <w:szCs w:val="22"/>
        </w:rPr>
        <w:t>entre sesiones.  Los datos se han recopilado de fuentes disponibles</w:t>
      </w:r>
      <w:r w:rsidR="005877E6" w:rsidRPr="005877E6">
        <w:rPr>
          <w:szCs w:val="22"/>
        </w:rPr>
        <w:t xml:space="preserve"> </w:t>
      </w:r>
      <w:r w:rsidR="005877E6" w:rsidRPr="00A834FF">
        <w:rPr>
          <w:szCs w:val="22"/>
        </w:rPr>
        <w:t>públicamente</w:t>
      </w:r>
      <w:r w:rsidR="001679C5" w:rsidRPr="00A834FF">
        <w:rPr>
          <w:szCs w:val="22"/>
        </w:rPr>
        <w:t xml:space="preserve">.  En la Sección II se </w:t>
      </w:r>
      <w:r w:rsidR="007D50F0" w:rsidRPr="00A834FF">
        <w:rPr>
          <w:szCs w:val="22"/>
        </w:rPr>
        <w:t>ofrece</w:t>
      </w:r>
      <w:r w:rsidR="001679C5" w:rsidRPr="00A834FF">
        <w:rPr>
          <w:szCs w:val="22"/>
        </w:rPr>
        <w:t xml:space="preserve"> una breve visión general de la función que desempeña la OMPI en foros y conferencias internacionales sobre transferencia de tecnología.</w:t>
      </w:r>
    </w:p>
    <w:p w:rsidR="00CE45AF" w:rsidRPr="00A834FF" w:rsidRDefault="00CE45AF" w:rsidP="00CE45AF"/>
    <w:p w:rsidR="00CE45AF" w:rsidRPr="00A834FF" w:rsidRDefault="00CE45AF" w:rsidP="00CE45AF">
      <w:pPr>
        <w:pStyle w:val="Heading2"/>
        <w:ind w:left="567" w:hanging="567"/>
      </w:pPr>
      <w:r w:rsidRPr="00A834FF">
        <w:t>II.</w:t>
      </w:r>
      <w:r w:rsidRPr="00A834FF">
        <w:tab/>
      </w:r>
      <w:r w:rsidR="001679C5" w:rsidRPr="00A834FF">
        <w:t xml:space="preserve">FUNCIÓN DE LA OMPI EN FOROS Y CONFERENCIAS INTERNACIONALES SOBRE </w:t>
      </w:r>
      <w:r w:rsidR="001679C5" w:rsidRPr="00A834FF">
        <w:rPr>
          <w:szCs w:val="22"/>
        </w:rPr>
        <w:t>transferencia de tecnología</w:t>
      </w:r>
      <w:r w:rsidR="001679C5" w:rsidRPr="00A834FF">
        <w:t xml:space="preserve"> </w:t>
      </w:r>
    </w:p>
    <w:p w:rsidR="00CE45AF" w:rsidRPr="00A834FF" w:rsidRDefault="00CE45AF" w:rsidP="00CE45AF"/>
    <w:p w:rsidR="001679C5" w:rsidRPr="00A834FF" w:rsidRDefault="00845429" w:rsidP="00CE45AF">
      <w:pPr>
        <w:rPr>
          <w:szCs w:val="22"/>
        </w:rPr>
      </w:pPr>
      <w:r w:rsidRPr="00A834FF">
        <w:rPr>
          <w:szCs w:val="22"/>
        </w:rPr>
        <w:t>2</w:t>
      </w:r>
      <w:r w:rsidR="00CE45AF" w:rsidRPr="00A834FF">
        <w:rPr>
          <w:szCs w:val="22"/>
        </w:rPr>
        <w:t>.</w:t>
      </w:r>
      <w:r w:rsidR="00CE45AF" w:rsidRPr="00A834FF">
        <w:rPr>
          <w:szCs w:val="22"/>
        </w:rPr>
        <w:tab/>
      </w:r>
      <w:r w:rsidR="004E70DF" w:rsidRPr="00A834FF">
        <w:rPr>
          <w:szCs w:val="22"/>
        </w:rPr>
        <w:t>La OMPI supervisa y participa, c</w:t>
      </w:r>
      <w:r w:rsidR="00D56D59" w:rsidRPr="00A834FF">
        <w:rPr>
          <w:szCs w:val="22"/>
        </w:rPr>
        <w:t xml:space="preserve">onforme a su mandato, </w:t>
      </w:r>
      <w:r w:rsidR="004E70DF" w:rsidRPr="00A834FF">
        <w:rPr>
          <w:szCs w:val="22"/>
        </w:rPr>
        <w:t xml:space="preserve">en </w:t>
      </w:r>
      <w:r w:rsidR="00D56D59" w:rsidRPr="00A834FF">
        <w:rPr>
          <w:szCs w:val="22"/>
        </w:rPr>
        <w:t>numerosos foros y conferencias internacionales sobre transferencia de tecnología</w:t>
      </w:r>
      <w:r w:rsidR="00A834FF" w:rsidRPr="00A834FF">
        <w:rPr>
          <w:szCs w:val="22"/>
        </w:rPr>
        <w:t>.  L</w:t>
      </w:r>
      <w:r w:rsidR="00D56D59" w:rsidRPr="00A834FF">
        <w:rPr>
          <w:szCs w:val="22"/>
        </w:rPr>
        <w:t xml:space="preserve">a participación de la OMPI en </w:t>
      </w:r>
      <w:r w:rsidR="00502855" w:rsidRPr="00A834FF">
        <w:rPr>
          <w:szCs w:val="22"/>
        </w:rPr>
        <w:t xml:space="preserve">esos </w:t>
      </w:r>
      <w:r w:rsidR="00D56D59" w:rsidRPr="00A834FF">
        <w:rPr>
          <w:szCs w:val="22"/>
        </w:rPr>
        <w:t xml:space="preserve">foros y conferencias internacionales </w:t>
      </w:r>
      <w:r w:rsidR="004E70DF" w:rsidRPr="00A834FF">
        <w:rPr>
          <w:szCs w:val="22"/>
        </w:rPr>
        <w:t>exige</w:t>
      </w:r>
      <w:r w:rsidR="00D56D59" w:rsidRPr="00A834FF">
        <w:rPr>
          <w:szCs w:val="22"/>
        </w:rPr>
        <w:t xml:space="preserve">, entre otras cosas, </w:t>
      </w:r>
      <w:r w:rsidR="00DE4521" w:rsidRPr="00A834FF">
        <w:rPr>
          <w:szCs w:val="22"/>
        </w:rPr>
        <w:t>el</w:t>
      </w:r>
      <w:r w:rsidR="00D56D59" w:rsidRPr="00A834FF">
        <w:rPr>
          <w:szCs w:val="22"/>
        </w:rPr>
        <w:t xml:space="preserve"> seguimiento de los procesos y debates en curso</w:t>
      </w:r>
      <w:r w:rsidR="00366EF5" w:rsidRPr="00A834FF">
        <w:rPr>
          <w:szCs w:val="22"/>
        </w:rPr>
        <w:t xml:space="preserve"> en </w:t>
      </w:r>
      <w:r w:rsidR="005877E6">
        <w:rPr>
          <w:szCs w:val="22"/>
        </w:rPr>
        <w:t>esas instancias</w:t>
      </w:r>
      <w:r w:rsidR="00D56D59" w:rsidRPr="00A834FF">
        <w:rPr>
          <w:szCs w:val="22"/>
        </w:rPr>
        <w:t xml:space="preserve">, según proceda, y </w:t>
      </w:r>
      <w:r w:rsidR="00DE4521" w:rsidRPr="00A834FF">
        <w:rPr>
          <w:szCs w:val="22"/>
        </w:rPr>
        <w:t>la</w:t>
      </w:r>
      <w:r w:rsidR="00D56D59" w:rsidRPr="00A834FF">
        <w:rPr>
          <w:szCs w:val="22"/>
        </w:rPr>
        <w:t xml:space="preserve"> coordinación interna con expertos de la OMPI </w:t>
      </w:r>
      <w:r w:rsidR="00502855" w:rsidRPr="00A834FF">
        <w:rPr>
          <w:szCs w:val="22"/>
        </w:rPr>
        <w:t>para</w:t>
      </w:r>
      <w:r w:rsidR="00D56D59" w:rsidRPr="00A834FF">
        <w:rPr>
          <w:szCs w:val="22"/>
        </w:rPr>
        <w:t xml:space="preserve"> contribuir </w:t>
      </w:r>
      <w:r w:rsidR="004E70DF" w:rsidRPr="00A834FF">
        <w:rPr>
          <w:szCs w:val="22"/>
        </w:rPr>
        <w:t>activamente</w:t>
      </w:r>
      <w:r w:rsidR="00D56D59" w:rsidRPr="00A834FF">
        <w:rPr>
          <w:szCs w:val="22"/>
        </w:rPr>
        <w:t xml:space="preserve"> a </w:t>
      </w:r>
      <w:r w:rsidR="000706C8" w:rsidRPr="00A834FF">
        <w:rPr>
          <w:szCs w:val="22"/>
        </w:rPr>
        <w:t>esos</w:t>
      </w:r>
      <w:r w:rsidR="00D56D59" w:rsidRPr="00A834FF">
        <w:rPr>
          <w:szCs w:val="22"/>
        </w:rPr>
        <w:t xml:space="preserve"> debates.  A tal fin, la OMPI desarrolla su labor </w:t>
      </w:r>
      <w:r w:rsidR="00E5506A" w:rsidRPr="00A834FF">
        <w:rPr>
          <w:szCs w:val="22"/>
        </w:rPr>
        <w:t>a través de</w:t>
      </w:r>
      <w:r w:rsidR="00D56D59" w:rsidRPr="00A834FF">
        <w:rPr>
          <w:szCs w:val="22"/>
        </w:rPr>
        <w:t xml:space="preserve"> varios programas, incluidos los programa</w:t>
      </w:r>
      <w:r w:rsidR="00A834FF" w:rsidRPr="00A834FF">
        <w:rPr>
          <w:szCs w:val="22"/>
        </w:rPr>
        <w:t>s 9</w:t>
      </w:r>
      <w:r w:rsidR="00D56D59" w:rsidRPr="00A834FF">
        <w:rPr>
          <w:szCs w:val="22"/>
        </w:rPr>
        <w:t xml:space="preserve">, 10, 14, 16, 18, 20, 21 </w:t>
      </w:r>
      <w:r w:rsidR="00A834FF" w:rsidRPr="00A834FF">
        <w:rPr>
          <w:szCs w:val="22"/>
        </w:rPr>
        <w:t>y 3</w:t>
      </w:r>
      <w:r w:rsidR="00D56D59" w:rsidRPr="00A834FF">
        <w:rPr>
          <w:szCs w:val="22"/>
        </w:rPr>
        <w:t xml:space="preserve">0 para fortalecer </w:t>
      </w:r>
      <w:r w:rsidRPr="00A834FF">
        <w:rPr>
          <w:szCs w:val="22"/>
        </w:rPr>
        <w:t xml:space="preserve">las </w:t>
      </w:r>
      <w:r w:rsidR="00366EF5" w:rsidRPr="00A834FF">
        <w:rPr>
          <w:szCs w:val="22"/>
        </w:rPr>
        <w:t>asociaciones</w:t>
      </w:r>
      <w:r w:rsidR="00D56D59" w:rsidRPr="00A834FF">
        <w:rPr>
          <w:szCs w:val="22"/>
        </w:rPr>
        <w:t xml:space="preserve"> con otras organizaciones del sistema de las Naciones Unidas, organismos intergubernamentales y organizaciones no gubernamentales.</w:t>
      </w:r>
    </w:p>
    <w:p w:rsidR="001679C5" w:rsidRPr="00A834FF" w:rsidRDefault="001679C5" w:rsidP="00CE45AF">
      <w:pPr>
        <w:rPr>
          <w:szCs w:val="22"/>
        </w:rPr>
      </w:pPr>
    </w:p>
    <w:p w:rsidR="00D56D59" w:rsidRPr="00A834FF" w:rsidRDefault="00845429" w:rsidP="00CE45AF">
      <w:r w:rsidRPr="00A834FF">
        <w:t>3</w:t>
      </w:r>
      <w:r w:rsidR="00CE45AF" w:rsidRPr="00A834FF">
        <w:t>.</w:t>
      </w:r>
      <w:r w:rsidR="00CE45AF" w:rsidRPr="00A834FF">
        <w:tab/>
      </w:r>
      <w:r w:rsidR="00E5506A" w:rsidRPr="00A834FF">
        <w:t>La OMPI contribuye</w:t>
      </w:r>
      <w:r w:rsidR="00366EF5" w:rsidRPr="00A834FF">
        <w:t xml:space="preserve">, dentro del alcance de su mandato, </w:t>
      </w:r>
      <w:r w:rsidR="00E5506A" w:rsidRPr="00A834FF">
        <w:t xml:space="preserve">a los debates </w:t>
      </w:r>
      <w:r w:rsidRPr="00A834FF">
        <w:t>en</w:t>
      </w:r>
      <w:r w:rsidR="00E5506A" w:rsidRPr="00A834FF">
        <w:t xml:space="preserve"> </w:t>
      </w:r>
      <w:r w:rsidR="00E5506A" w:rsidRPr="00A834FF">
        <w:rPr>
          <w:szCs w:val="22"/>
        </w:rPr>
        <w:t xml:space="preserve">foros y conferencias internacionales </w:t>
      </w:r>
      <w:r w:rsidRPr="00A834FF">
        <w:t xml:space="preserve">en calidad de </w:t>
      </w:r>
      <w:r w:rsidR="00E5506A" w:rsidRPr="00A834FF">
        <w:t xml:space="preserve">miembro </w:t>
      </w:r>
      <w:r w:rsidRPr="00A834FF">
        <w:t xml:space="preserve">u </w:t>
      </w:r>
      <w:r w:rsidR="00E5506A" w:rsidRPr="00A834FF">
        <w:t xml:space="preserve">observador.  La OMPI participa en particular en los procesos interinstitucionales de las Naciones Unidas relacionados con la propiedad intelectual (PI) y la innovación, </w:t>
      </w:r>
      <w:r w:rsidR="00E3223E" w:rsidRPr="00A834FF">
        <w:t xml:space="preserve">incluido el </w:t>
      </w:r>
      <w:r w:rsidR="00366EF5" w:rsidRPr="00A834FF">
        <w:t>E</w:t>
      </w:r>
      <w:r w:rsidR="00E3223E" w:rsidRPr="00A834FF">
        <w:t>quipo de tareas interinstitucional de las Naciones Unidas sobre la ciencia, la tecnología y la innovación (IATT) en pro de los Objetivos</w:t>
      </w:r>
      <w:r w:rsidR="004E70DF" w:rsidRPr="00A834FF">
        <w:t xml:space="preserve"> de Desarrollo Sostenible (ODS), </w:t>
      </w:r>
      <w:r w:rsidR="00E3223E" w:rsidRPr="00A834FF">
        <w:t>establecido en el marco del Mecanismo de Facilitación de la Tecnología</w:t>
      </w:r>
      <w:r w:rsidR="00DE4521" w:rsidRPr="00A834FF">
        <w:t xml:space="preserve">, así como </w:t>
      </w:r>
      <w:r w:rsidR="00502855" w:rsidRPr="00A834FF">
        <w:t xml:space="preserve">en </w:t>
      </w:r>
      <w:r w:rsidR="00E3223E" w:rsidRPr="00A834FF">
        <w:t xml:space="preserve">las reuniones pertinentes de los principales órganos de las Naciones Unidas, como la Asamblea General y el Consejo Económico y Social de las </w:t>
      </w:r>
      <w:r w:rsidRPr="00A834FF">
        <w:rPr>
          <w:rFonts w:eastAsia="Arial"/>
          <w:spacing w:val="1"/>
        </w:rPr>
        <w:t xml:space="preserve">Naciones Unidas (ECOSOC).  </w:t>
      </w:r>
      <w:r w:rsidR="00E3223E" w:rsidRPr="00A834FF">
        <w:rPr>
          <w:rFonts w:eastAsia="Arial"/>
          <w:spacing w:val="1"/>
        </w:rPr>
        <w:t xml:space="preserve">En este contexto, la OMPI </w:t>
      </w:r>
      <w:r w:rsidR="00502855" w:rsidRPr="00A834FF">
        <w:rPr>
          <w:rFonts w:eastAsia="Arial"/>
          <w:spacing w:val="1"/>
        </w:rPr>
        <w:t xml:space="preserve">realiza </w:t>
      </w:r>
      <w:r w:rsidR="00E3223E" w:rsidRPr="00A834FF">
        <w:rPr>
          <w:rFonts w:eastAsia="Arial"/>
          <w:spacing w:val="1"/>
        </w:rPr>
        <w:t xml:space="preserve">contribuciones </w:t>
      </w:r>
      <w:r w:rsidR="00502855" w:rsidRPr="00A834FF">
        <w:rPr>
          <w:rFonts w:eastAsia="Arial"/>
          <w:spacing w:val="1"/>
        </w:rPr>
        <w:t>y</w:t>
      </w:r>
      <w:r w:rsidR="00E3223E" w:rsidRPr="00A834FF">
        <w:rPr>
          <w:rFonts w:eastAsia="Arial"/>
          <w:spacing w:val="1"/>
        </w:rPr>
        <w:t xml:space="preserve"> </w:t>
      </w:r>
      <w:r w:rsidR="00502855" w:rsidRPr="00A834FF">
        <w:rPr>
          <w:rFonts w:eastAsia="Arial"/>
          <w:spacing w:val="1"/>
        </w:rPr>
        <w:t xml:space="preserve">proporciona </w:t>
      </w:r>
      <w:r w:rsidR="00E3223E" w:rsidRPr="00A834FF">
        <w:rPr>
          <w:rFonts w:eastAsia="Arial"/>
          <w:spacing w:val="1"/>
        </w:rPr>
        <w:t xml:space="preserve">información técnica a procesos e iniciativas multilaterales pertinentes, </w:t>
      </w:r>
      <w:r w:rsidR="000706C8" w:rsidRPr="00A834FF">
        <w:rPr>
          <w:rFonts w:eastAsia="Arial"/>
          <w:spacing w:val="1"/>
        </w:rPr>
        <w:t>y vela</w:t>
      </w:r>
      <w:r w:rsidR="00E3223E" w:rsidRPr="00A834FF">
        <w:rPr>
          <w:rFonts w:eastAsia="Arial"/>
          <w:spacing w:val="1"/>
        </w:rPr>
        <w:t xml:space="preserve"> por que dichas iniciativas se beneficien plenamente de los conocimientos y experiencia de la OMPI.</w:t>
      </w:r>
    </w:p>
    <w:p w:rsidR="00E3223E" w:rsidRPr="00A834FF" w:rsidRDefault="00E3223E" w:rsidP="00CE45AF"/>
    <w:p w:rsidR="00CE45AF" w:rsidRPr="00A834FF" w:rsidRDefault="00845429" w:rsidP="00CE45AF">
      <w:r w:rsidRPr="00A834FF">
        <w:t>4</w:t>
      </w:r>
      <w:r w:rsidR="00CE45AF" w:rsidRPr="00A834FF">
        <w:t>.</w:t>
      </w:r>
      <w:r w:rsidR="00CE45AF" w:rsidRPr="00A834FF">
        <w:tab/>
      </w:r>
      <w:r w:rsidR="00CB03AD" w:rsidRPr="00A834FF">
        <w:t>Como miembro del E</w:t>
      </w:r>
      <w:r w:rsidR="00E3223E" w:rsidRPr="00A834FF">
        <w:t xml:space="preserve">quipo de tareas interinstitucional de las Naciones Unidas sobre la ciencia, la tecnología y la innovación (IATT) en pro de los </w:t>
      </w:r>
      <w:r w:rsidR="00502855" w:rsidRPr="00A834FF">
        <w:t>ODS</w:t>
      </w:r>
      <w:r w:rsidR="00E3223E" w:rsidRPr="00A834FF">
        <w:t>, la OMPI contribuye a la labor de</w:t>
      </w:r>
      <w:r w:rsidR="00D10D99" w:rsidRPr="00A834FF">
        <w:t xml:space="preserve">l IATT </w:t>
      </w:r>
      <w:r w:rsidR="003C0EA9" w:rsidRPr="00A834FF">
        <w:t xml:space="preserve">mediante la </w:t>
      </w:r>
      <w:r w:rsidR="00DE4521" w:rsidRPr="00A834FF">
        <w:t xml:space="preserve">identificación </w:t>
      </w:r>
      <w:r w:rsidR="00D10D99" w:rsidRPr="00A834FF">
        <w:t xml:space="preserve">y </w:t>
      </w:r>
      <w:r w:rsidR="005877E6">
        <w:t xml:space="preserve">el </w:t>
      </w:r>
      <w:r w:rsidR="00D10D99" w:rsidRPr="00A834FF">
        <w:t xml:space="preserve">seguimiento </w:t>
      </w:r>
      <w:r w:rsidR="003C0EA9" w:rsidRPr="00A834FF">
        <w:t xml:space="preserve">permanente </w:t>
      </w:r>
      <w:r w:rsidR="00D10D99" w:rsidRPr="00A834FF">
        <w:t xml:space="preserve">de iniciativas, mecanismos y programas </w:t>
      </w:r>
      <w:r w:rsidR="003C0EA9" w:rsidRPr="00A834FF">
        <w:t>d</w:t>
      </w:r>
      <w:r w:rsidR="00D10D99" w:rsidRPr="00A834FF">
        <w:t xml:space="preserve">el </w:t>
      </w:r>
      <w:r w:rsidR="00D10D99" w:rsidRPr="00A834FF">
        <w:rPr>
          <w:szCs w:val="22"/>
        </w:rPr>
        <w:t xml:space="preserve">sistema de las Naciones Unidas </w:t>
      </w:r>
      <w:r w:rsidR="00D10D99" w:rsidRPr="00A834FF">
        <w:t xml:space="preserve">relacionados con la ciencia, la tecnología y la innovación. </w:t>
      </w:r>
      <w:r w:rsidR="004D3BE9" w:rsidRPr="00A834FF">
        <w:t xml:space="preserve"> </w:t>
      </w:r>
      <w:r w:rsidR="00D10D99" w:rsidRPr="00A834FF">
        <w:t>Este proceso pretende, en última instancia, contribuir a la creación de una plataforma en línea diseñada para:</w:t>
      </w:r>
      <w:r w:rsidR="004D3BE9" w:rsidRPr="00A834FF">
        <w:t xml:space="preserve"> </w:t>
      </w:r>
      <w:r w:rsidR="00D10D99" w:rsidRPr="00A834FF">
        <w:t xml:space="preserve"> “i) </w:t>
      </w:r>
      <w:r w:rsidR="004D3BE9" w:rsidRPr="00A834FF">
        <w:t>ser utilizad</w:t>
      </w:r>
      <w:r w:rsidR="00DE4521" w:rsidRPr="00A834FF">
        <w:t>a</w:t>
      </w:r>
      <w:r w:rsidR="004D3BE9" w:rsidRPr="00A834FF">
        <w:t xml:space="preserve"> </w:t>
      </w:r>
      <w:r w:rsidR="003C0EA9" w:rsidRPr="00A834FF">
        <w:t>a fin de</w:t>
      </w:r>
      <w:r w:rsidR="004D3BE9" w:rsidRPr="00A834FF">
        <w:t xml:space="preserve"> </w:t>
      </w:r>
      <w:r w:rsidR="00D10D99" w:rsidRPr="00A834FF">
        <w:t>establecer un esquema integral de información sobre iniciativas</w:t>
      </w:r>
      <w:r w:rsidR="00CC1FBE" w:rsidRPr="00A834FF">
        <w:t>,</w:t>
      </w:r>
      <w:r w:rsidR="00D10D99" w:rsidRPr="00A834FF">
        <w:t xml:space="preserve"> </w:t>
      </w:r>
      <w:r w:rsidR="00CC1FBE" w:rsidRPr="00A834FF">
        <w:t xml:space="preserve">mecanismos y programas </w:t>
      </w:r>
      <w:r w:rsidR="00D10D99" w:rsidRPr="00A834FF">
        <w:t xml:space="preserve">en materia de ciencia, tecnología e innovación, existentes dentro y fuera de las </w:t>
      </w:r>
      <w:r w:rsidR="00D10D99" w:rsidRPr="00A834FF">
        <w:rPr>
          <w:rFonts w:eastAsia="Arial"/>
          <w:spacing w:val="1"/>
        </w:rPr>
        <w:t>Naciones Unidas</w:t>
      </w:r>
      <w:r w:rsidR="00D10D99" w:rsidRPr="00A834FF">
        <w:t xml:space="preserve">, y </w:t>
      </w:r>
      <w:r w:rsidR="00DE4521" w:rsidRPr="00A834FF">
        <w:t>s</w:t>
      </w:r>
      <w:r w:rsidR="00900112" w:rsidRPr="00A834FF">
        <w:t xml:space="preserve">ervir </w:t>
      </w:r>
      <w:r w:rsidR="00D10D99" w:rsidRPr="00A834FF">
        <w:t xml:space="preserve">de </w:t>
      </w:r>
      <w:r w:rsidR="00CC1FBE" w:rsidRPr="00A834FF">
        <w:t xml:space="preserve">pasarela de </w:t>
      </w:r>
      <w:r w:rsidR="00D10D99" w:rsidRPr="00A834FF">
        <w:t>acceso a</w:t>
      </w:r>
      <w:r w:rsidR="004D3BE9" w:rsidRPr="00A834FF">
        <w:t>l</w:t>
      </w:r>
      <w:r w:rsidR="00CC1FBE" w:rsidRPr="00A834FF">
        <w:t xml:space="preserve"> </w:t>
      </w:r>
      <w:r w:rsidR="004D3BE9" w:rsidRPr="00A834FF">
        <w:t>mismo</w:t>
      </w:r>
      <w:r w:rsidR="00D10D99" w:rsidRPr="00A834FF">
        <w:t xml:space="preserve">; </w:t>
      </w:r>
      <w:r w:rsidR="00CC1FBE" w:rsidRPr="00A834FF">
        <w:t xml:space="preserve"> </w:t>
      </w:r>
      <w:r w:rsidR="00D10D99" w:rsidRPr="00A834FF">
        <w:t xml:space="preserve">ii) </w:t>
      </w:r>
      <w:r w:rsidR="00CC1FBE" w:rsidRPr="00A834FF">
        <w:t xml:space="preserve">facilitar el acceso a la información, el conocimiento y la experiencia, así como a la mejores prácticas y lecciones adquiridas en las iniciativas y políticas de facilitación </w:t>
      </w:r>
      <w:r w:rsidR="004D3BE9" w:rsidRPr="00A834FF">
        <w:t>de la</w:t>
      </w:r>
      <w:r w:rsidR="00CC1FBE" w:rsidRPr="00A834FF">
        <w:t xml:space="preserve"> </w:t>
      </w:r>
      <w:r w:rsidR="00CC1FBE" w:rsidRPr="00A834FF">
        <w:lastRenderedPageBreak/>
        <w:t xml:space="preserve">ciencia, </w:t>
      </w:r>
      <w:r w:rsidR="004D3BE9" w:rsidRPr="00A834FF">
        <w:t xml:space="preserve">la </w:t>
      </w:r>
      <w:r w:rsidR="00CC1FBE" w:rsidRPr="00A834FF">
        <w:t xml:space="preserve">tecnología </w:t>
      </w:r>
      <w:r w:rsidR="004D3BE9" w:rsidRPr="00A834FF">
        <w:t xml:space="preserve">y la </w:t>
      </w:r>
      <w:r w:rsidR="00CC1FBE" w:rsidRPr="00A834FF">
        <w:t xml:space="preserve">innovación;  y iii) </w:t>
      </w:r>
      <w:r w:rsidR="003C0EA9" w:rsidRPr="00A834FF">
        <w:t>promover</w:t>
      </w:r>
      <w:r w:rsidR="00CC1FBE" w:rsidRPr="00A834FF">
        <w:t xml:space="preserve"> la divulgación de publicaciones científicas </w:t>
      </w:r>
      <w:r w:rsidR="00DE4521" w:rsidRPr="00A834FF">
        <w:t xml:space="preserve">pertinentes </w:t>
      </w:r>
      <w:r w:rsidR="00CC1FBE" w:rsidRPr="00A834FF">
        <w:t>de acceso abierto elaboradas en todo el mundo.”</w:t>
      </w:r>
      <w:r w:rsidR="00CE45AF" w:rsidRPr="00A834FF">
        <w:rPr>
          <w:rStyle w:val="FootnoteReference"/>
        </w:rPr>
        <w:footnoteReference w:id="2"/>
      </w:r>
    </w:p>
    <w:p w:rsidR="00CE45AF" w:rsidRPr="00A834FF" w:rsidRDefault="00CE45AF" w:rsidP="00CE45AF"/>
    <w:p w:rsidR="002A1597" w:rsidRPr="00A834FF" w:rsidRDefault="00845429" w:rsidP="00CE45AF">
      <w:r w:rsidRPr="00A834FF">
        <w:t>5</w:t>
      </w:r>
      <w:r w:rsidR="00CE45AF" w:rsidRPr="00A834FF">
        <w:t>.</w:t>
      </w:r>
      <w:r w:rsidR="00CE45AF" w:rsidRPr="00A834FF">
        <w:tab/>
      </w:r>
      <w:r w:rsidR="002A1597" w:rsidRPr="00A834FF">
        <w:t xml:space="preserve">Asimismo, la OMPI trabaja </w:t>
      </w:r>
      <w:r w:rsidR="003C0EA9" w:rsidRPr="00A834FF">
        <w:t>para</w:t>
      </w:r>
      <w:r w:rsidR="00FD34AD" w:rsidRPr="00A834FF">
        <w:t xml:space="preserve"> dar a conocer en </w:t>
      </w:r>
      <w:r w:rsidRPr="00A834FF">
        <w:t xml:space="preserve">la </w:t>
      </w:r>
      <w:r w:rsidR="00FD34AD" w:rsidRPr="00A834FF">
        <w:t xml:space="preserve">mayor medida </w:t>
      </w:r>
      <w:r w:rsidRPr="00A834FF">
        <w:t xml:space="preserve">posible </w:t>
      </w:r>
      <w:r w:rsidR="002A1597" w:rsidRPr="00A834FF">
        <w:t xml:space="preserve">sus programas y servicios entre asociados intergubernamentales existentes y potenciales, de forma que </w:t>
      </w:r>
      <w:r w:rsidR="00625BEF" w:rsidRPr="00A834FF">
        <w:t>dichos</w:t>
      </w:r>
      <w:r w:rsidR="002A1597" w:rsidRPr="00A834FF">
        <w:t xml:space="preserve"> programas y servicios </w:t>
      </w:r>
      <w:r w:rsidR="004D3BE9" w:rsidRPr="00A834FF">
        <w:t>est</w:t>
      </w:r>
      <w:r w:rsidR="00FD34AD" w:rsidRPr="00A834FF">
        <w:t>é</w:t>
      </w:r>
      <w:r w:rsidR="004D3BE9" w:rsidRPr="00A834FF">
        <w:t xml:space="preserve">n disponibles para </w:t>
      </w:r>
      <w:r w:rsidR="00FD34AD" w:rsidRPr="00A834FF">
        <w:t>su</w:t>
      </w:r>
      <w:r w:rsidR="004D3BE9" w:rsidRPr="00A834FF">
        <w:t xml:space="preserve"> </w:t>
      </w:r>
      <w:r w:rsidR="002A1597" w:rsidRPr="00A834FF">
        <w:t>utiliza</w:t>
      </w:r>
      <w:r w:rsidR="00FD34AD" w:rsidRPr="00A834FF">
        <w:t>ción</w:t>
      </w:r>
      <w:r w:rsidR="002A1597" w:rsidRPr="00A834FF">
        <w:t xml:space="preserve"> efectiva</w:t>
      </w:r>
      <w:r w:rsidR="00FD34AD" w:rsidRPr="00A834FF">
        <w:t xml:space="preserve"> </w:t>
      </w:r>
      <w:r w:rsidR="004D3BE9" w:rsidRPr="00A834FF">
        <w:t>a fin de</w:t>
      </w:r>
      <w:r w:rsidR="002A1597" w:rsidRPr="00A834FF">
        <w:t xml:space="preserve"> lograr objetivos compartidos</w:t>
      </w:r>
      <w:r w:rsidR="00A834FF" w:rsidRPr="00A834FF">
        <w:t>.  E</w:t>
      </w:r>
      <w:r w:rsidR="002A1597" w:rsidRPr="00A834FF">
        <w:t xml:space="preserve">ntre otras </w:t>
      </w:r>
      <w:r w:rsidR="003C0EA9" w:rsidRPr="00A834FF">
        <w:t>cosas</w:t>
      </w:r>
      <w:r w:rsidR="002A1597" w:rsidRPr="00A834FF">
        <w:t xml:space="preserve">, la OMPI contribuye con información fáctica </w:t>
      </w:r>
      <w:r w:rsidR="003C0EA9" w:rsidRPr="00A834FF">
        <w:t>a través de</w:t>
      </w:r>
      <w:r w:rsidR="002A1597" w:rsidRPr="00A834FF">
        <w:t xml:space="preserve"> un amplio conjunto de informes y publicaciones </w:t>
      </w:r>
      <w:r w:rsidR="00625BEF" w:rsidRPr="00A834FF">
        <w:t>relativas a</w:t>
      </w:r>
      <w:r w:rsidR="002A1597" w:rsidRPr="00A834FF">
        <w:t xml:space="preserve"> asuntos que se abordan en foros y conferencias internacionales </w:t>
      </w:r>
      <w:r w:rsidR="00337671" w:rsidRPr="00A834FF">
        <w:t xml:space="preserve">sobre </w:t>
      </w:r>
      <w:r w:rsidR="00337671" w:rsidRPr="00A834FF">
        <w:rPr>
          <w:szCs w:val="22"/>
        </w:rPr>
        <w:t>transferencia de tecnología.  E</w:t>
      </w:r>
      <w:r w:rsidR="00FD34AD" w:rsidRPr="00A834FF">
        <w:rPr>
          <w:szCs w:val="22"/>
        </w:rPr>
        <w:t xml:space="preserve">ntre dichas </w:t>
      </w:r>
      <w:r w:rsidR="00337671" w:rsidRPr="00A834FF">
        <w:rPr>
          <w:szCs w:val="22"/>
        </w:rPr>
        <w:t xml:space="preserve">publicaciones </w:t>
      </w:r>
      <w:r w:rsidR="00A44A35" w:rsidRPr="00A834FF">
        <w:rPr>
          <w:szCs w:val="22"/>
        </w:rPr>
        <w:t xml:space="preserve">cabe mencionar </w:t>
      </w:r>
      <w:r w:rsidR="00337671" w:rsidRPr="00A834FF">
        <w:rPr>
          <w:szCs w:val="22"/>
        </w:rPr>
        <w:t xml:space="preserve">el </w:t>
      </w:r>
      <w:r w:rsidR="00625BEF" w:rsidRPr="00A834FF">
        <w:rPr>
          <w:szCs w:val="22"/>
        </w:rPr>
        <w:t>Í</w:t>
      </w:r>
      <w:r w:rsidR="00337671" w:rsidRPr="00A834FF">
        <w:rPr>
          <w:szCs w:val="22"/>
        </w:rPr>
        <w:t xml:space="preserve">ndice Mundial de Innovación, los </w:t>
      </w:r>
      <w:r w:rsidR="00625BEF" w:rsidRPr="00A834FF">
        <w:rPr>
          <w:szCs w:val="22"/>
        </w:rPr>
        <w:t>I</w:t>
      </w:r>
      <w:r w:rsidR="00337671" w:rsidRPr="00A834FF">
        <w:rPr>
          <w:szCs w:val="22"/>
        </w:rPr>
        <w:t xml:space="preserve">nformes de la OMPI sobre la actividad de patentamiento, los </w:t>
      </w:r>
      <w:r w:rsidR="00800AF3" w:rsidRPr="00A834FF">
        <w:rPr>
          <w:szCs w:val="22"/>
        </w:rPr>
        <w:t>i</w:t>
      </w:r>
      <w:r w:rsidR="00337671" w:rsidRPr="00A834FF">
        <w:rPr>
          <w:szCs w:val="22"/>
        </w:rPr>
        <w:t xml:space="preserve">nformes y reseñas sobre los desafíos mundiales y la visión </w:t>
      </w:r>
      <w:r w:rsidR="00D44CF8" w:rsidRPr="00A834FF">
        <w:rPr>
          <w:szCs w:val="22"/>
        </w:rPr>
        <w:t>global</w:t>
      </w:r>
      <w:r w:rsidR="00337671" w:rsidRPr="00A834FF">
        <w:rPr>
          <w:szCs w:val="22"/>
        </w:rPr>
        <w:t xml:space="preserve"> sobre </w:t>
      </w:r>
      <w:r w:rsidR="002D2A7F" w:rsidRPr="00A834FF">
        <w:rPr>
          <w:szCs w:val="22"/>
        </w:rPr>
        <w:t xml:space="preserve">la </w:t>
      </w:r>
      <w:r w:rsidR="002D2A7F" w:rsidRPr="00A834FF">
        <w:t>p</w:t>
      </w:r>
      <w:r w:rsidR="002A1597" w:rsidRPr="00A834FF">
        <w:t xml:space="preserve">ropiedad intelectual y </w:t>
      </w:r>
      <w:r w:rsidR="002D2A7F" w:rsidRPr="00A834FF">
        <w:t xml:space="preserve">los </w:t>
      </w:r>
      <w:r w:rsidR="002A1597" w:rsidRPr="00A834FF">
        <w:t>recursos genéticos, los conocimientos tradicionales y las expresiones culturales tradicionales</w:t>
      </w:r>
      <w:r w:rsidR="00337671" w:rsidRPr="00A834FF">
        <w:t xml:space="preserve">. </w:t>
      </w:r>
      <w:r w:rsidR="009E24E7" w:rsidRPr="00A834FF">
        <w:t xml:space="preserve"> </w:t>
      </w:r>
      <w:r w:rsidR="00337671" w:rsidRPr="00A834FF">
        <w:t xml:space="preserve">El documento CDIP/17/9 incluye una recopilación más amplia de actividades de la OMPI </w:t>
      </w:r>
      <w:r w:rsidR="00FD34AD" w:rsidRPr="00A834FF">
        <w:t>relativas a</w:t>
      </w:r>
      <w:r w:rsidR="00337671" w:rsidRPr="00A834FF">
        <w:t xml:space="preserve"> </w:t>
      </w:r>
      <w:r w:rsidR="00337671" w:rsidRPr="00A834FF">
        <w:rPr>
          <w:szCs w:val="22"/>
        </w:rPr>
        <w:t>transferencia de tecnología</w:t>
      </w:r>
      <w:r w:rsidR="00337671" w:rsidRPr="00A834FF">
        <w:t>.</w:t>
      </w:r>
    </w:p>
    <w:p w:rsidR="00CC1FBE" w:rsidRPr="00A834FF" w:rsidRDefault="00CC1FBE" w:rsidP="00CE45AF"/>
    <w:p w:rsidR="00CE45AF" w:rsidRPr="00A834FF" w:rsidRDefault="00CE45AF" w:rsidP="00CE45AF">
      <w:pPr>
        <w:pStyle w:val="Heading2"/>
        <w:ind w:left="567" w:hanging="567"/>
      </w:pPr>
      <w:r w:rsidRPr="00A834FF">
        <w:t>III.</w:t>
      </w:r>
      <w:r w:rsidRPr="00A834FF">
        <w:tab/>
      </w:r>
      <w:r w:rsidR="00142833" w:rsidRPr="00A834FF">
        <w:t xml:space="preserve">FOROS Y CONFERENCIAS INTERGUBERNAMENTALES GLOBALES </w:t>
      </w:r>
      <w:r w:rsidR="00621F49" w:rsidRPr="00A834FF">
        <w:t xml:space="preserve">seleccionadas </w:t>
      </w:r>
      <w:r w:rsidR="00142833" w:rsidRPr="00A834FF">
        <w:t>en el</w:t>
      </w:r>
      <w:r w:rsidR="00621F49" w:rsidRPr="00A834FF">
        <w:t xml:space="preserve"> marco del</w:t>
      </w:r>
      <w:r w:rsidR="00142833" w:rsidRPr="00A834FF">
        <w:t xml:space="preserve"> sistemas de las </w:t>
      </w:r>
      <w:r w:rsidR="00142833" w:rsidRPr="00A834FF">
        <w:rPr>
          <w:rFonts w:eastAsia="Arial"/>
          <w:spacing w:val="1"/>
        </w:rPr>
        <w:t>Naciones Unidas</w:t>
      </w:r>
    </w:p>
    <w:p w:rsidR="00CE45AF" w:rsidRPr="00A834FF" w:rsidRDefault="00CE45AF" w:rsidP="00CE45AF"/>
    <w:p w:rsidR="00CE45AF" w:rsidRPr="00A834FF" w:rsidRDefault="004C6636" w:rsidP="00CE45AF">
      <w:pPr>
        <w:rPr>
          <w:b/>
        </w:rPr>
      </w:pPr>
      <w:r w:rsidRPr="00A834FF">
        <w:rPr>
          <w:b/>
        </w:rPr>
        <w:t>Conferencia de las Partes en el Convenio sobre la Diversidad Biológica (C</w:t>
      </w:r>
      <w:r w:rsidR="00CE45AF" w:rsidRPr="00A834FF">
        <w:rPr>
          <w:b/>
        </w:rPr>
        <w:t>D</w:t>
      </w:r>
      <w:r w:rsidRPr="00A834FF">
        <w:rPr>
          <w:b/>
        </w:rPr>
        <w:t>B</w:t>
      </w:r>
      <w:r w:rsidR="00CE45AF" w:rsidRPr="00A834FF">
        <w:rPr>
          <w:b/>
        </w:rPr>
        <w:t>)</w:t>
      </w:r>
    </w:p>
    <w:p w:rsidR="00CE45AF" w:rsidRPr="00A834FF" w:rsidRDefault="00CE45AF" w:rsidP="00CE45AF"/>
    <w:p w:rsidR="00CE45AF" w:rsidRPr="00A834FF" w:rsidRDefault="004C6636" w:rsidP="00CE45AF">
      <w:r w:rsidRPr="00A834FF">
        <w:rPr>
          <w:u w:val="single"/>
        </w:rPr>
        <w:t>O</w:t>
      </w:r>
      <w:r w:rsidR="003A535A" w:rsidRPr="00A834FF">
        <w:rPr>
          <w:u w:val="single"/>
        </w:rPr>
        <w:t>rganizaci</w:t>
      </w:r>
      <w:r w:rsidRPr="00A834FF">
        <w:rPr>
          <w:u w:val="single"/>
        </w:rPr>
        <w:t>ón encargada de la coordinación</w:t>
      </w:r>
      <w:r w:rsidR="00CE45AF" w:rsidRPr="00A834FF">
        <w:t>:</w:t>
      </w:r>
      <w:r w:rsidR="00767617" w:rsidRPr="00A834FF">
        <w:t xml:space="preserve"> </w:t>
      </w:r>
      <w:r w:rsidR="00CE45AF" w:rsidRPr="00A834FF">
        <w:t xml:space="preserve"> Secretar</w:t>
      </w:r>
      <w:r w:rsidRPr="00A834FF">
        <w:t>ía del Convenio sobre la Diversidad Biológica (CDB</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9E24E7" w:rsidRPr="00A834FF">
        <w:t xml:space="preserve"> </w:t>
      </w:r>
      <w:r w:rsidRPr="00A834FF">
        <w:t>Medio</w:t>
      </w:r>
      <w:r w:rsidR="005877E6">
        <w:t xml:space="preserve"> </w:t>
      </w:r>
      <w:r w:rsidRPr="00A834FF">
        <w:t>ambiente</w:t>
      </w:r>
      <w:r w:rsidR="00CE45AF" w:rsidRPr="00A834FF">
        <w:t xml:space="preserve"> (</w:t>
      </w:r>
      <w:r w:rsidRPr="00A834FF">
        <w:t>diversidad biológica</w:t>
      </w:r>
      <w:r w:rsidR="00CE45AF" w:rsidRPr="00A834FF">
        <w:t>)</w:t>
      </w:r>
    </w:p>
    <w:p w:rsidR="00CE45AF" w:rsidRPr="00A834FF" w:rsidRDefault="00CE45AF" w:rsidP="00CE45AF"/>
    <w:p w:rsidR="00CE45AF" w:rsidRPr="00A834FF" w:rsidRDefault="00CE45AF" w:rsidP="00CE45AF">
      <w:r w:rsidRPr="00A834FF">
        <w:rPr>
          <w:u w:val="single"/>
        </w:rPr>
        <w:t>Participant</w:t>
      </w:r>
      <w:r w:rsidR="004C6636" w:rsidRPr="00A834FF">
        <w:rPr>
          <w:u w:val="single"/>
        </w:rPr>
        <w:t>e</w:t>
      </w:r>
      <w:r w:rsidRPr="00A834FF">
        <w:rPr>
          <w:u w:val="single"/>
        </w:rPr>
        <w:t>s</w:t>
      </w:r>
      <w:r w:rsidRPr="00A834FF">
        <w:t>:</w:t>
      </w:r>
      <w:r w:rsidR="009E24E7" w:rsidRPr="00A834FF">
        <w:t xml:space="preserve"> </w:t>
      </w:r>
      <w:r w:rsidRPr="00A834FF">
        <w:t xml:space="preserve"> </w:t>
      </w:r>
      <w:r w:rsidR="003A535A" w:rsidRPr="00A834FF">
        <w:t>Estados</w:t>
      </w:r>
      <w:r w:rsidR="00A834FF" w:rsidRPr="00A834FF">
        <w:t>;  o</w:t>
      </w:r>
      <w:r w:rsidR="003A535A" w:rsidRPr="00A834FF">
        <w:t>rganizaciones intergubernamentales</w:t>
      </w:r>
      <w:r w:rsidR="00A834FF" w:rsidRPr="00A834FF">
        <w:t>;  o</w:t>
      </w:r>
      <w:r w:rsidR="003A535A" w:rsidRPr="00A834FF">
        <w:t xml:space="preserve">rganizaciones no gubernamentales </w:t>
      </w:r>
    </w:p>
    <w:p w:rsidR="00CE45AF" w:rsidRPr="00A834FF" w:rsidRDefault="00CE45AF" w:rsidP="00CE45AF"/>
    <w:p w:rsidR="00CE45AF" w:rsidRPr="00A834FF" w:rsidRDefault="004C6636" w:rsidP="006741A8">
      <w:r w:rsidRPr="00A834FF">
        <w:rPr>
          <w:u w:val="single"/>
        </w:rPr>
        <w:t xml:space="preserve">Relación con la </w:t>
      </w:r>
      <w:r w:rsidRPr="00A834FF">
        <w:rPr>
          <w:szCs w:val="22"/>
          <w:u w:val="single"/>
        </w:rPr>
        <w:t>transferencia de tecnología</w:t>
      </w:r>
      <w:r w:rsidR="00A834FF" w:rsidRPr="00A834FF">
        <w:t>:  A</w:t>
      </w:r>
      <w:r w:rsidR="006741A8" w:rsidRPr="00A834FF">
        <w:t>rtícul</w:t>
      </w:r>
      <w:r w:rsidR="00A834FF" w:rsidRPr="00A834FF">
        <w:t>o 1</w:t>
      </w:r>
      <w:r w:rsidR="006741A8" w:rsidRPr="00A834FF">
        <w:t>6 del Convenio sobre la Diversidad Biológica</w:t>
      </w:r>
      <w:r w:rsidR="00A834FF" w:rsidRPr="00A834FF">
        <w:t>:  “</w:t>
      </w:r>
      <w:r w:rsidR="006741A8" w:rsidRPr="00A834FF">
        <w:t>Cada Parte Contratante, reconociendo que la tecnología incluye la biotecnología, y que tanto el acceso a la tecnología como su transferencia entre Partes Contratantes son elementos esenciales para el logro de los objetivos del presente Convenio, se compromete, con sujeción a las disposiciones del presente artículo, a asegurar y/o facilitar a otras Partes Contratantes el acceso a tecnologías pertinentes para la conservación y utilización sostenible de la diversidad biológica o que utilicen recursos genéticos y no causen daños significativos al medio ambiente.”</w:t>
      </w:r>
    </w:p>
    <w:p w:rsidR="00CE45AF" w:rsidRPr="00A834FF" w:rsidRDefault="00CE45AF" w:rsidP="00CE45AF"/>
    <w:p w:rsidR="006741A8" w:rsidRPr="00A834FF" w:rsidRDefault="00CE45AF" w:rsidP="006741A8">
      <w:r w:rsidRPr="00A834FF">
        <w:rPr>
          <w:u w:val="single"/>
        </w:rPr>
        <w:t>Descrip</w:t>
      </w:r>
      <w:r w:rsidR="004C6636" w:rsidRPr="00A834FF">
        <w:rPr>
          <w:u w:val="single"/>
        </w:rPr>
        <w:t>ción</w:t>
      </w:r>
      <w:r w:rsidR="00A834FF" w:rsidRPr="00A834FF">
        <w:t>:  A</w:t>
      </w:r>
      <w:r w:rsidR="006741A8" w:rsidRPr="00A834FF">
        <w:t>rtícul</w:t>
      </w:r>
      <w:r w:rsidR="00A834FF" w:rsidRPr="00A834FF">
        <w:t>o 2</w:t>
      </w:r>
      <w:r w:rsidR="006741A8" w:rsidRPr="00A834FF">
        <w:t>3.4 del Convenio sobre la Diversidad Biológica</w:t>
      </w:r>
      <w:r w:rsidR="00A834FF" w:rsidRPr="00A834FF">
        <w:t>:  “</w:t>
      </w:r>
      <w:r w:rsidR="006741A8" w:rsidRPr="00A834FF">
        <w:t>La Conferencia de las Partes examinará la aplicación de este Convenio y, con ese fin</w:t>
      </w:r>
      <w:r w:rsidR="00A834FF" w:rsidRPr="00A834FF">
        <w:t>:  a</w:t>
      </w:r>
      <w:r w:rsidR="006741A8" w:rsidRPr="00A834FF">
        <w:t>) Establecerá la forma y los intervalos para transmitir la información que deberá presentarse</w:t>
      </w:r>
      <w:r w:rsidR="00C01871" w:rsidRPr="00A834FF">
        <w:t xml:space="preserve"> de conformidad con el artículo </w:t>
      </w:r>
      <w:r w:rsidR="006741A8" w:rsidRPr="00A834FF">
        <w:t>26, y examinará esa información, así como los informes presentados por cualquier órgano subsidiario;  b) Examinará el asesoramiento científico, técnico y tecnológico sobre la diversidad biológica facilitado conforme al artícul</w:t>
      </w:r>
      <w:r w:rsidR="00A834FF" w:rsidRPr="00A834FF">
        <w:t>o 2</w:t>
      </w:r>
      <w:r w:rsidR="006741A8" w:rsidRPr="00A834FF">
        <w:t>5</w:t>
      </w:r>
      <w:r w:rsidR="00A834FF" w:rsidRPr="00A834FF">
        <w:t>;  c</w:t>
      </w:r>
      <w:r w:rsidR="006741A8" w:rsidRPr="00A834FF">
        <w:t>) Examinará y adoptará, según proceda, protocolos de conformidad con el artícul</w:t>
      </w:r>
      <w:r w:rsidR="00A834FF" w:rsidRPr="00A834FF">
        <w:t>o 2</w:t>
      </w:r>
      <w:r w:rsidR="006741A8" w:rsidRPr="00A834FF">
        <w:t>8;  d) Examinará y adoptará, según proceda, las enmiendas al presente Convenio y a sus anexos, conforme a los artículo</w:t>
      </w:r>
      <w:r w:rsidR="00A834FF" w:rsidRPr="00A834FF">
        <w:t>s 2</w:t>
      </w:r>
      <w:r w:rsidR="006741A8" w:rsidRPr="00A834FF">
        <w:t xml:space="preserve">9 </w:t>
      </w:r>
      <w:r w:rsidR="00A834FF" w:rsidRPr="00A834FF">
        <w:t>y 3</w:t>
      </w:r>
      <w:r w:rsidR="006741A8" w:rsidRPr="00A834FF">
        <w:t>0;  e) Examinará las enmiendas a todos los protocolos, así como a todos los anexos de los mismos y, si así se decide, recomendará su adopción a las Partes en el protocolo pertinente;  f) Examinará y adoptará anexos adicionales al presente Convenio, según proceda, de conformidad con el artícul</w:t>
      </w:r>
      <w:r w:rsidR="00A834FF" w:rsidRPr="00A834FF">
        <w:t>o 3</w:t>
      </w:r>
      <w:r w:rsidR="006741A8" w:rsidRPr="00A834FF">
        <w:t xml:space="preserve">0;  g) Establecerá los órganos subsidiarios, especialmente de asesoramiento científico y técnico, que se consideren necesarios para la aplicación del </w:t>
      </w:r>
      <w:r w:rsidR="006741A8" w:rsidRPr="00A834FF">
        <w:lastRenderedPageBreak/>
        <w:t>presente Convenio</w:t>
      </w:r>
      <w:r w:rsidR="00A834FF" w:rsidRPr="00A834FF">
        <w:t>;  h</w:t>
      </w:r>
      <w:r w:rsidR="006741A8" w:rsidRPr="00A834FF">
        <w:t>) Entrará en contacto, por medio de la Secretaría, con los órganos ejecutivos de los convenios que traten cuestiones reguladas por el presente Convenio, con miras a establecer formas adecuadas de cooperación con ellos</w:t>
      </w:r>
      <w:r w:rsidR="00A834FF" w:rsidRPr="00A834FF">
        <w:t>;  e</w:t>
      </w:r>
      <w:r w:rsidR="006741A8" w:rsidRPr="00A834FF">
        <w:t xml:space="preserve"> i) Examinará y tomará todas las demás medidas necesarias para la consecución de los objetivos del presente Convenio a la luz de la experiencia adquirida durante su aplicación.”</w:t>
      </w:r>
    </w:p>
    <w:p w:rsidR="006741A8" w:rsidRPr="00A834FF" w:rsidRDefault="006741A8" w:rsidP="00CE45AF"/>
    <w:p w:rsidR="00CE45AF" w:rsidRPr="00A834FF" w:rsidRDefault="003A535A" w:rsidP="00CE45AF">
      <w:r w:rsidRPr="00A834FF">
        <w:rPr>
          <w:u w:val="single"/>
        </w:rPr>
        <w:t>Nivel de actividad</w:t>
      </w:r>
      <w:r w:rsidR="00A834FF" w:rsidRPr="00A834FF">
        <w:t>:  B</w:t>
      </w:r>
      <w:r w:rsidR="00BA1DBB" w:rsidRPr="00A834FF">
        <w:t>ienal</w:t>
      </w:r>
    </w:p>
    <w:p w:rsidR="00CE45AF" w:rsidRPr="00A834FF" w:rsidRDefault="00CE45AF" w:rsidP="00CE45AF"/>
    <w:p w:rsidR="00CE45AF" w:rsidRPr="00A834FF" w:rsidRDefault="003A535A" w:rsidP="00CE45AF">
      <w:r w:rsidRPr="00A834FF">
        <w:rPr>
          <w:u w:val="single"/>
        </w:rPr>
        <w:t>Referencia</w:t>
      </w:r>
      <w:r w:rsidR="00CE45AF" w:rsidRPr="00A834FF">
        <w:t>:</w:t>
      </w:r>
      <w:r w:rsidR="001C61AD" w:rsidRPr="00A834FF">
        <w:t xml:space="preserve"> </w:t>
      </w:r>
      <w:r w:rsidR="00CE45AF" w:rsidRPr="00A834FF">
        <w:t xml:space="preserve"> </w:t>
      </w:r>
      <w:hyperlink r:id="rId10" w:history="1">
        <w:r w:rsidR="00996216" w:rsidRPr="00A834FF">
          <w:rPr>
            <w:rStyle w:val="Hyperlink"/>
            <w:color w:val="auto"/>
            <w:u w:val="none"/>
          </w:rPr>
          <w:t>https://www.cbd.int/cop/</w:t>
        </w:r>
      </w:hyperlink>
    </w:p>
    <w:p w:rsidR="00996216" w:rsidRPr="00A834FF" w:rsidRDefault="00996216" w:rsidP="00CE45AF"/>
    <w:p w:rsidR="008E50EE" w:rsidRPr="00A834FF" w:rsidRDefault="008E50EE" w:rsidP="00CE45AF">
      <w:pPr>
        <w:rPr>
          <w:b/>
        </w:rPr>
      </w:pPr>
    </w:p>
    <w:p w:rsidR="008E50EE" w:rsidRPr="00A834FF" w:rsidRDefault="008E50EE" w:rsidP="00CE45AF">
      <w:pPr>
        <w:rPr>
          <w:b/>
        </w:rPr>
      </w:pPr>
    </w:p>
    <w:p w:rsidR="00CE45AF" w:rsidRPr="00A834FF" w:rsidRDefault="00CE45AF" w:rsidP="00CE45AF">
      <w:pPr>
        <w:rPr>
          <w:b/>
        </w:rPr>
      </w:pPr>
      <w:r w:rsidRPr="00A834FF">
        <w:rPr>
          <w:b/>
        </w:rPr>
        <w:t>Conferenc</w:t>
      </w:r>
      <w:r w:rsidR="00BA1DBB" w:rsidRPr="00A834FF">
        <w:rPr>
          <w:b/>
        </w:rPr>
        <w:t>ia de las Partes en el Convenio de Minamata</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Secretar</w:t>
      </w:r>
      <w:r w:rsidR="000871E1" w:rsidRPr="00A834FF">
        <w:t xml:space="preserve">ía del Convenio de </w:t>
      </w:r>
      <w:r w:rsidR="00CE45AF" w:rsidRPr="00A834FF">
        <w:t xml:space="preserve">Minamata </w:t>
      </w:r>
    </w:p>
    <w:p w:rsidR="00CE45AF" w:rsidRPr="00A834FF" w:rsidRDefault="00CE45AF" w:rsidP="00CE45AF"/>
    <w:p w:rsidR="00CE45AF" w:rsidRPr="00A834FF" w:rsidRDefault="003A535A" w:rsidP="00CE45AF">
      <w:r w:rsidRPr="00A834FF">
        <w:rPr>
          <w:u w:val="single"/>
        </w:rPr>
        <w:t>Temática</w:t>
      </w:r>
      <w:r w:rsidR="00BA1DBB" w:rsidRPr="00A834FF">
        <w:t xml:space="preserve">:  </w:t>
      </w:r>
      <w:r w:rsidR="005877E6">
        <w:t>medio ambiente</w:t>
      </w:r>
      <w:r w:rsidR="00CE45AF" w:rsidRPr="00A834FF">
        <w:t xml:space="preserve"> (</w:t>
      </w:r>
      <w:r w:rsidR="000871E1" w:rsidRPr="00A834FF">
        <w:t>mercurio</w:t>
      </w:r>
      <w:r w:rsidR="00CE45AF" w:rsidRPr="00A834FF">
        <w:t>)</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w:t>
      </w:r>
    </w:p>
    <w:p w:rsidR="00CE45AF" w:rsidRPr="00A834FF" w:rsidRDefault="00CE45AF" w:rsidP="00CE45AF"/>
    <w:p w:rsidR="00CE45AF" w:rsidRPr="00A834FF" w:rsidRDefault="003A535A" w:rsidP="00CA7306">
      <w:r w:rsidRPr="00A834FF">
        <w:rPr>
          <w:u w:val="single"/>
        </w:rPr>
        <w:t>Relación con la transferencia de tecnología</w:t>
      </w:r>
      <w:r w:rsidR="00CE45AF" w:rsidRPr="00A834FF">
        <w:t xml:space="preserve">:  </w:t>
      </w:r>
      <w:r w:rsidR="00CA7306" w:rsidRPr="00A834FF">
        <w:t>Artícul</w:t>
      </w:r>
      <w:r w:rsidR="00A834FF" w:rsidRPr="00A834FF">
        <w:t>o 1</w:t>
      </w:r>
      <w:r w:rsidR="00CA7306" w:rsidRPr="00A834FF">
        <w:t>3.3 del Convenio de Minamata</w:t>
      </w:r>
      <w:r w:rsidR="00CE45AF" w:rsidRPr="00A834FF">
        <w:t>:  “</w:t>
      </w:r>
      <w:r w:rsidR="00CA7306" w:rsidRPr="00A834FF">
        <w:t>Se alienta a las fuentes multilaterales, regionales y bilaterales de asistencia técnica y financiera, así como de creación de capacidad y transferencia de tecnología, a que mejoren y aumenten con carácter urgente sus actividades relacionadas con el mercurio en apoyo de las Partes que son países en desarrollo con miras a la aplicación del presente Convenio en lo que respecta a los recursos financieros, la asistencia técnica y la transferencia de tecnología</w:t>
      </w:r>
      <w:r w:rsidR="00CE45AF" w:rsidRPr="00A834FF">
        <w:t>.”</w:t>
      </w:r>
    </w:p>
    <w:p w:rsidR="00CE45AF" w:rsidRPr="00A834FF" w:rsidRDefault="00CE45AF" w:rsidP="00CE45AF"/>
    <w:p w:rsidR="002347D5" w:rsidRPr="00A834FF" w:rsidRDefault="003A535A" w:rsidP="00CE45AF">
      <w:r w:rsidRPr="00A834FF">
        <w:rPr>
          <w:u w:val="single"/>
        </w:rPr>
        <w:t>Descripción</w:t>
      </w:r>
      <w:r w:rsidR="00CE45AF" w:rsidRPr="00A834FF">
        <w:t>:  “</w:t>
      </w:r>
      <w:r w:rsidR="002347D5" w:rsidRPr="00A834FF">
        <w:t>El</w:t>
      </w:r>
      <w:r w:rsidR="00CE45AF" w:rsidRPr="00A834FF">
        <w:t xml:space="preserve"> </w:t>
      </w:r>
      <w:r w:rsidR="002347D5" w:rsidRPr="00A834FF">
        <w:t xml:space="preserve">Convenio de Minamata sobre el mercurio es un acuerdo multilateral </w:t>
      </w:r>
      <w:r w:rsidR="007E78CD" w:rsidRPr="00A834FF">
        <w:t xml:space="preserve">sobre el medio ambiente </w:t>
      </w:r>
      <w:r w:rsidR="002347D5" w:rsidRPr="00A834FF">
        <w:t>que aborda las actividades humanas específicas que contribuyen a la extensión de la contaminación por mercurio”</w:t>
      </w:r>
    </w:p>
    <w:p w:rsidR="00CE45AF" w:rsidRPr="00A834FF" w:rsidRDefault="00CE45AF" w:rsidP="00CE45AF"/>
    <w:p w:rsidR="00CE45AF" w:rsidRPr="00A834FF" w:rsidRDefault="003A535A" w:rsidP="00CE45AF">
      <w:r w:rsidRPr="00A834FF">
        <w:rPr>
          <w:u w:val="single"/>
        </w:rPr>
        <w:t>Nivel de actividad</w:t>
      </w:r>
      <w:r w:rsidR="00CE45AF" w:rsidRPr="00A834FF">
        <w:t xml:space="preserve">:  </w:t>
      </w:r>
      <w:r w:rsidR="002347D5" w:rsidRPr="00A834FF">
        <w:t>Periódica</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11" w:history="1">
        <w:r w:rsidR="00996216" w:rsidRPr="00A834FF">
          <w:rPr>
            <w:rStyle w:val="Hyperlink"/>
            <w:color w:val="auto"/>
            <w:u w:val="none"/>
          </w:rPr>
          <w:t>http://www.mercuryconvention.org</w:t>
        </w:r>
      </w:hyperlink>
    </w:p>
    <w:p w:rsidR="00996216" w:rsidRPr="00A834FF" w:rsidRDefault="00996216" w:rsidP="00CE45AF"/>
    <w:p w:rsidR="008E50EE" w:rsidRPr="00A834FF" w:rsidRDefault="008E50EE" w:rsidP="00CE45AF"/>
    <w:p w:rsidR="008E50EE" w:rsidRPr="00A834FF" w:rsidRDefault="008E50EE" w:rsidP="00CE45AF"/>
    <w:p w:rsidR="00CE45AF" w:rsidRPr="00A834FF" w:rsidRDefault="005D0FBE" w:rsidP="00CE45AF">
      <w:pPr>
        <w:rPr>
          <w:b/>
        </w:rPr>
      </w:pPr>
      <w:r w:rsidRPr="00A834FF">
        <w:rPr>
          <w:b/>
        </w:rPr>
        <w:t xml:space="preserve">Conferencia de las Partes en la Convención Marco de las Naciones Unidas sobre el Cambio Climático </w:t>
      </w:r>
      <w:r w:rsidR="00CE45AF" w:rsidRPr="00A834FF">
        <w:rPr>
          <w:b/>
        </w:rPr>
        <w:t>(</w:t>
      </w:r>
      <w:r w:rsidRPr="00A834FF">
        <w:rPr>
          <w:b/>
        </w:rPr>
        <w:t>CMNUCC</w:t>
      </w:r>
      <w:r w:rsidR="00CE45AF" w:rsidRPr="00A834FF">
        <w:rPr>
          <w:b/>
        </w:rPr>
        <w:t>)</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Secretar</w:t>
      </w:r>
      <w:r w:rsidR="005D0FBE" w:rsidRPr="00A834FF">
        <w:t>ía de la Convención Marco de las Naciones Unidas sobre el Cambio Climático</w:t>
      </w:r>
    </w:p>
    <w:p w:rsidR="00CE45AF" w:rsidRPr="00A834FF" w:rsidRDefault="00CE45AF" w:rsidP="00CE45AF"/>
    <w:p w:rsidR="00CE45AF" w:rsidRPr="00A834FF" w:rsidRDefault="003A535A" w:rsidP="00CE45AF">
      <w:r w:rsidRPr="00A834FF">
        <w:rPr>
          <w:u w:val="single"/>
        </w:rPr>
        <w:t>Temática</w:t>
      </w:r>
      <w:r w:rsidR="00BA1DBB" w:rsidRPr="00A834FF">
        <w:t xml:space="preserve">:  </w:t>
      </w:r>
      <w:r w:rsidR="005877E6">
        <w:t>medio ambiente</w:t>
      </w:r>
      <w:r w:rsidR="00CE45AF" w:rsidRPr="00A834FF">
        <w:t xml:space="preserve"> </w:t>
      </w:r>
      <w:r w:rsidR="00BA1DBB" w:rsidRPr="00A834FF">
        <w:t>(cambio climático)</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 organizaciones no gubernamentales</w:t>
      </w:r>
    </w:p>
    <w:p w:rsidR="00CE45AF" w:rsidRPr="00A834FF" w:rsidRDefault="00CE45AF" w:rsidP="00CE45AF"/>
    <w:p w:rsidR="00CE45AF" w:rsidRPr="00A834FF" w:rsidRDefault="003A535A" w:rsidP="00131B3C">
      <w:r w:rsidRPr="00A834FF">
        <w:rPr>
          <w:u w:val="single"/>
        </w:rPr>
        <w:t>Relación con la transferencia de tecnología</w:t>
      </w:r>
      <w:r w:rsidR="00CE45AF" w:rsidRPr="00A834FF">
        <w:t xml:space="preserve">:  </w:t>
      </w:r>
      <w:r w:rsidR="005D0FBE" w:rsidRPr="00A834FF">
        <w:t>Artícul</w:t>
      </w:r>
      <w:r w:rsidR="00A834FF" w:rsidRPr="00A834FF">
        <w:t>o 4</w:t>
      </w:r>
      <w:r w:rsidR="005D0FBE" w:rsidRPr="00A834FF">
        <w:t xml:space="preserve"> de la Convención Marco de las Naciones Unidas sobre el Cambio Climático</w:t>
      </w:r>
      <w:r w:rsidR="00A834FF" w:rsidRPr="00A834FF">
        <w:t>:  “</w:t>
      </w:r>
      <w:r w:rsidR="005D0FBE" w:rsidRPr="00A834FF">
        <w:t>Todas las Partes, teniendo en cuenta sus responsabilidades comunes pero diferenciadas y el carácter específico de sus prioridades nacionales y regionales de desarrollo, de sus objetivos y de sus circunstancias, deberán</w:t>
      </w:r>
      <w:r w:rsidR="00CE45AF" w:rsidRPr="00A834FF">
        <w:t xml:space="preserve">: … </w:t>
      </w:r>
      <w:r w:rsidR="00131B3C" w:rsidRPr="00A834FF">
        <w:t xml:space="preserve">Promover y apoyar con su cooperación el desarrollo, la aplicación y la difusión, incluida la transferencia, de tecnologías, prácticas y procesos que controlen, reduzcan o prevengan las </w:t>
      </w:r>
      <w:r w:rsidR="00131B3C" w:rsidRPr="00A834FF">
        <w:lastRenderedPageBreak/>
        <w:t>emisiones antropógenas de gases de efecto invernadero no controlados por el Protocolo de Montreal en todos los sectores pertinentes, entre ellos la energía, el transporte, la industria, la agricultura, la silvicultura y la gestión de desechos</w:t>
      </w:r>
      <w:r w:rsidR="00CE45AF" w:rsidRPr="00A834FF">
        <w:t>.”</w:t>
      </w:r>
    </w:p>
    <w:p w:rsidR="00CE45AF" w:rsidRPr="00A834FF" w:rsidRDefault="00CE45AF" w:rsidP="00CE45AF"/>
    <w:p w:rsidR="00131B3C" w:rsidRPr="00A834FF" w:rsidRDefault="003A535A" w:rsidP="00CE45AF">
      <w:r w:rsidRPr="00A834FF">
        <w:rPr>
          <w:u w:val="single"/>
        </w:rPr>
        <w:t>Descripción</w:t>
      </w:r>
      <w:r w:rsidR="00CE45AF" w:rsidRPr="00A834FF">
        <w:t>:  “</w:t>
      </w:r>
      <w:r w:rsidR="00131B3C" w:rsidRPr="00A834FF">
        <w:t>La Conferencia de las Partes (COP) es el órgano supremo de la toma de decisiones de la presente Convención</w:t>
      </w:r>
      <w:r w:rsidR="00A834FF" w:rsidRPr="00A834FF">
        <w:t>.  T</w:t>
      </w:r>
      <w:r w:rsidR="00131B3C" w:rsidRPr="00A834FF">
        <w:t>odos los estados que son Parte en la Convención están representados en la COP, en la que examinan regularmente la aplicación de la Convención y de todo instrumento jurídico conexo que adopte la COP y, conforme a su mandato, tomara las decisiones necesarias para promover la aplicación eficaz de la Convención, incluidos los arreglos institucionales y administrativos.”</w:t>
      </w:r>
    </w:p>
    <w:p w:rsidR="00CE45AF" w:rsidRPr="00A834FF" w:rsidRDefault="00CE45AF" w:rsidP="00CE45AF"/>
    <w:p w:rsidR="00CE45AF" w:rsidRPr="00A834FF" w:rsidRDefault="003A535A" w:rsidP="00CE45AF">
      <w:r w:rsidRPr="00A834FF">
        <w:rPr>
          <w:u w:val="single"/>
        </w:rPr>
        <w:t>Nivel de actividad</w:t>
      </w:r>
      <w:r w:rsidRPr="00A834FF">
        <w:t xml:space="preserve">: </w:t>
      </w:r>
      <w:r w:rsidR="005F11AB" w:rsidRPr="00A834FF">
        <w:t xml:space="preserve"> </w:t>
      </w:r>
      <w:r w:rsidRPr="00A834FF">
        <w:t>An</w:t>
      </w:r>
      <w:r w:rsidR="00CE45AF" w:rsidRPr="00A834FF">
        <w:t>ual</w:t>
      </w:r>
    </w:p>
    <w:p w:rsidR="00CE45AF" w:rsidRPr="00A834FF" w:rsidRDefault="00CE45AF" w:rsidP="00CE45AF"/>
    <w:p w:rsidR="00CE45AF" w:rsidRPr="00A834FF" w:rsidRDefault="003A535A" w:rsidP="00CE45AF">
      <w:r w:rsidRPr="00A834FF">
        <w:rPr>
          <w:u w:val="single"/>
        </w:rPr>
        <w:t>Referencia</w:t>
      </w:r>
      <w:r w:rsidR="00CE45AF" w:rsidRPr="00A834FF">
        <w:t>:</w:t>
      </w:r>
      <w:r w:rsidR="005F11AB" w:rsidRPr="00A834FF">
        <w:t xml:space="preserve"> </w:t>
      </w:r>
      <w:r w:rsidR="00CE45AF" w:rsidRPr="00A834FF">
        <w:t xml:space="preserve"> </w:t>
      </w:r>
      <w:hyperlink r:id="rId12" w:history="1">
        <w:r w:rsidR="00996216" w:rsidRPr="00A834FF">
          <w:rPr>
            <w:rStyle w:val="Hyperlink"/>
            <w:color w:val="auto"/>
            <w:u w:val="none"/>
          </w:rPr>
          <w:t>http://unfccc.int/bodies/body/6383.php</w:t>
        </w:r>
      </w:hyperlink>
    </w:p>
    <w:p w:rsidR="00996216" w:rsidRPr="00A834FF" w:rsidRDefault="00996216" w:rsidP="00CE45AF"/>
    <w:p w:rsidR="008E50EE" w:rsidRPr="00A834FF" w:rsidRDefault="008E50EE" w:rsidP="00CE45AF"/>
    <w:p w:rsidR="00CE45AF" w:rsidRPr="00A834FF" w:rsidRDefault="00CE45AF" w:rsidP="00CE45AF"/>
    <w:p w:rsidR="00CE45AF" w:rsidRPr="00A834FF" w:rsidRDefault="00131B3C" w:rsidP="00CE45AF">
      <w:pPr>
        <w:rPr>
          <w:b/>
        </w:rPr>
      </w:pPr>
      <w:r w:rsidRPr="00A834FF">
        <w:rPr>
          <w:b/>
        </w:rPr>
        <w:t>Consejo de Administración del Banco de Tecnología para los Países Menos Adelantados</w:t>
      </w:r>
    </w:p>
    <w:p w:rsidR="00CE45AF" w:rsidRPr="00A834FF" w:rsidRDefault="00CE45AF" w:rsidP="00CE45AF"/>
    <w:p w:rsidR="0000285B" w:rsidRPr="00A834FF" w:rsidRDefault="003A535A" w:rsidP="00CE45AF">
      <w:pPr>
        <w:tabs>
          <w:tab w:val="left" w:pos="3195"/>
        </w:tabs>
      </w:pPr>
      <w:r w:rsidRPr="00A834FF">
        <w:rPr>
          <w:u w:val="single"/>
        </w:rPr>
        <w:t>Organización encargada de la coordinación</w:t>
      </w:r>
      <w:r w:rsidR="00CE45AF" w:rsidRPr="00A834FF">
        <w:t xml:space="preserve">:  </w:t>
      </w:r>
      <w:r w:rsidR="0000285B" w:rsidRPr="00A834FF">
        <w:t>Banco de Tecnología para los Países Menos Adelantados</w:t>
      </w:r>
      <w:r w:rsidR="00CE45AF" w:rsidRPr="00A834FF">
        <w:t xml:space="preserve">, </w:t>
      </w:r>
      <w:r w:rsidR="0000285B" w:rsidRPr="00A834FF">
        <w:t>Oficina de las Naciones Unidas del Alto Representante para los Países Menos Adelantados, Países en Desarrollo sin Litoral y Pequeños Estados Insulares en Desarrollo.</w:t>
      </w:r>
    </w:p>
    <w:p w:rsidR="0000285B" w:rsidRPr="00A834FF" w:rsidRDefault="0000285B" w:rsidP="00CE45AF">
      <w:pPr>
        <w:tabs>
          <w:tab w:val="left" w:pos="3195"/>
        </w:tabs>
      </w:pPr>
    </w:p>
    <w:p w:rsidR="00CE45AF" w:rsidRPr="00A834FF" w:rsidRDefault="003A535A" w:rsidP="00CE45AF">
      <w:pPr>
        <w:tabs>
          <w:tab w:val="left" w:pos="3195"/>
        </w:tabs>
      </w:pPr>
      <w:r w:rsidRPr="00A834FF">
        <w:rPr>
          <w:u w:val="single"/>
        </w:rPr>
        <w:t>Temática</w:t>
      </w:r>
      <w:r w:rsidR="00CE45AF" w:rsidRPr="00A834FF">
        <w:t xml:space="preserve">:  </w:t>
      </w:r>
      <w:r w:rsidR="00597B67" w:rsidRPr="00A834FF">
        <w:t>Ciencia, tecnología e innovación</w:t>
      </w:r>
    </w:p>
    <w:p w:rsidR="00CE45AF" w:rsidRPr="00A834FF" w:rsidRDefault="00CE45AF" w:rsidP="00CE45AF"/>
    <w:p w:rsidR="00CE45AF" w:rsidRPr="00A834FF" w:rsidRDefault="003A535A" w:rsidP="00CE45AF">
      <w:r w:rsidRPr="00A834FF">
        <w:rPr>
          <w:u w:val="single"/>
        </w:rPr>
        <w:t>Participantes</w:t>
      </w:r>
      <w:r w:rsidR="00CE45AF" w:rsidRPr="00A834FF">
        <w:t>:  Expert</w:t>
      </w:r>
      <w:r w:rsidR="006A1DA2" w:rsidRPr="00A834FF">
        <w:t>o</w:t>
      </w:r>
      <w:r w:rsidR="00CE45AF" w:rsidRPr="00A834FF">
        <w:t xml:space="preserve">s </w:t>
      </w:r>
      <w:r w:rsidR="006A1DA2" w:rsidRPr="00A834FF">
        <w:t xml:space="preserve">designados por el Secretario General de las </w:t>
      </w:r>
      <w:r w:rsidR="006A1DA2" w:rsidRPr="00A834FF">
        <w:rPr>
          <w:rFonts w:eastAsia="Arial"/>
          <w:spacing w:val="1"/>
        </w:rPr>
        <w:t xml:space="preserve">Naciones Unidas, </w:t>
      </w:r>
      <w:r w:rsidR="006A1DA2" w:rsidRPr="00A834FF">
        <w:t>organizaciones intergubernamentales, organizaciones no gubernamentales</w:t>
      </w:r>
    </w:p>
    <w:p w:rsidR="00CE45AF" w:rsidRPr="00A834FF" w:rsidRDefault="00CE45AF" w:rsidP="00CE45AF"/>
    <w:p w:rsidR="00CE45AF" w:rsidRPr="00A834FF" w:rsidRDefault="003A535A" w:rsidP="00CE45AF">
      <w:r w:rsidRPr="00A834FF">
        <w:rPr>
          <w:u w:val="single"/>
        </w:rPr>
        <w:t>Relación con la transferencia de tecnología</w:t>
      </w:r>
      <w:r w:rsidR="00CE45AF" w:rsidRPr="00A834FF">
        <w:t xml:space="preserve">:  </w:t>
      </w:r>
      <w:r w:rsidR="008D5CC4" w:rsidRPr="00A834FF">
        <w:t xml:space="preserve">Carta del Banco de Tecnología para los Países Menos Adelantados </w:t>
      </w:r>
      <w:r w:rsidR="00CE45AF" w:rsidRPr="00A834FF">
        <w:t>(A/71/363):  “</w:t>
      </w:r>
      <w:r w:rsidR="008D5CC4" w:rsidRPr="00A834FF">
        <w:t>Los objetivos del Banco de Tecnología serán los siguientes</w:t>
      </w:r>
      <w:r w:rsidR="00A834FF" w:rsidRPr="00A834FF">
        <w:t>:  [</w:t>
      </w:r>
      <w:r w:rsidR="008D5CC4" w:rsidRPr="00A834FF">
        <w:t xml:space="preserve">…] </w:t>
      </w:r>
      <w:r w:rsidR="00CE45AF" w:rsidRPr="00A834FF">
        <w:t xml:space="preserve">e) </w:t>
      </w:r>
      <w:r w:rsidR="008D5CC4" w:rsidRPr="00A834FF">
        <w:t>Promover y facilitar la identificación y utilización de tecnologías adecuadas y el acceso a ellas por los países menos adelantados, así como su transferencia a dichos países, respetando los derechos de propiedad intelectual y fomentando la capacidad nacional y regional de los países menos adelantados para utilizar eficazmente la tecnología con miras a lograr un cambio transformador</w:t>
      </w:r>
      <w:r w:rsidR="00CE45AF" w:rsidRPr="00A834FF">
        <w:t>.”</w:t>
      </w:r>
      <w:r w:rsidR="008D5CC4" w:rsidRPr="00A834FF">
        <w:t xml:space="preserve"> </w:t>
      </w:r>
    </w:p>
    <w:p w:rsidR="00CE45AF" w:rsidRPr="00A834FF" w:rsidRDefault="00CE45AF" w:rsidP="008D5CC4">
      <w:pPr>
        <w:tabs>
          <w:tab w:val="left" w:pos="1581"/>
        </w:tabs>
      </w:pPr>
    </w:p>
    <w:p w:rsidR="00CE45AF" w:rsidRPr="00A834FF" w:rsidRDefault="003A535A" w:rsidP="00CE45AF">
      <w:r w:rsidRPr="00A834FF">
        <w:rPr>
          <w:u w:val="single"/>
        </w:rPr>
        <w:t>Descripción</w:t>
      </w:r>
      <w:r w:rsidR="00CE45AF" w:rsidRPr="00A834FF">
        <w:t>:  “</w:t>
      </w:r>
      <w:r w:rsidR="006A1DA2" w:rsidRPr="00A834FF">
        <w:t xml:space="preserve">El Banco </w:t>
      </w:r>
      <w:r w:rsidR="000706C8" w:rsidRPr="00A834FF">
        <w:t>de la tecnología constará de</w:t>
      </w:r>
      <w:r w:rsidR="006A1DA2" w:rsidRPr="00A834FF">
        <w:t>:</w:t>
      </w:r>
      <w:r w:rsidR="000706C8" w:rsidRPr="00A834FF">
        <w:t xml:space="preserve">  </w:t>
      </w:r>
      <w:r w:rsidR="006A1DA2" w:rsidRPr="00A834FF">
        <w:t xml:space="preserve">i) un Consejo, que actuará como órgano </w:t>
      </w:r>
      <w:r w:rsidR="008D5CC4" w:rsidRPr="00A834FF">
        <w:t>rector</w:t>
      </w:r>
      <w:r w:rsidR="006A1DA2" w:rsidRPr="00A834FF">
        <w:t xml:space="preserve"> del Banco de la Tecnología </w:t>
      </w:r>
      <w:r w:rsidR="00CE45AF" w:rsidRPr="00A834FF">
        <w:t>[…]”</w:t>
      </w:r>
    </w:p>
    <w:p w:rsidR="00CE45AF" w:rsidRPr="00A834FF" w:rsidRDefault="00CE45AF" w:rsidP="00CE45AF"/>
    <w:p w:rsidR="00CE45AF" w:rsidRPr="00A834FF" w:rsidRDefault="003A535A" w:rsidP="00CE45AF">
      <w:r w:rsidRPr="00A834FF">
        <w:rPr>
          <w:u w:val="single"/>
        </w:rPr>
        <w:t>Nivel de actividad</w:t>
      </w:r>
      <w:r w:rsidR="00CE45AF" w:rsidRPr="00A834FF">
        <w:t xml:space="preserve">:  </w:t>
      </w:r>
      <w:r w:rsidR="0011504A" w:rsidRPr="00A834FF">
        <w:t>A</w:t>
      </w:r>
      <w:r w:rsidR="00597B67" w:rsidRPr="00A834FF">
        <w:t>nual</w:t>
      </w:r>
      <w:r w:rsidR="00CE45AF" w:rsidRPr="00A834FF">
        <w:t xml:space="preserve"> (</w:t>
      </w:r>
      <w:r w:rsidR="00597B67" w:rsidRPr="00A834FF">
        <w:t>o mayor</w:t>
      </w:r>
      <w:r w:rsidR="00CE45AF" w:rsidRPr="00A834FF">
        <w:t>)</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13" w:history="1">
        <w:r w:rsidR="00996216" w:rsidRPr="00A834FF">
          <w:rPr>
            <w:rStyle w:val="Hyperlink"/>
            <w:color w:val="auto"/>
            <w:u w:val="none"/>
          </w:rPr>
          <w:t>http://unohrlls.org/technologybank/</w:t>
        </w:r>
      </w:hyperlink>
    </w:p>
    <w:p w:rsidR="00996216" w:rsidRPr="00A834FF" w:rsidRDefault="00996216" w:rsidP="00CE45AF"/>
    <w:p w:rsidR="00CE45AF" w:rsidRPr="00A834FF" w:rsidRDefault="00CE45AF" w:rsidP="00CE45AF"/>
    <w:p w:rsidR="008E50EE" w:rsidRPr="00A834FF" w:rsidRDefault="008E50EE" w:rsidP="00CE45AF"/>
    <w:p w:rsidR="00CE45AF" w:rsidRPr="00A834FF" w:rsidRDefault="00E67548" w:rsidP="00CE45AF">
      <w:pPr>
        <w:rPr>
          <w:b/>
        </w:rPr>
      </w:pPr>
      <w:r w:rsidRPr="00A834FF">
        <w:rPr>
          <w:b/>
        </w:rPr>
        <w:t>Diálogo</w:t>
      </w:r>
      <w:r w:rsidR="00EE6F53" w:rsidRPr="00A834FF">
        <w:rPr>
          <w:b/>
        </w:rPr>
        <w:t>s</w:t>
      </w:r>
      <w:r w:rsidRPr="00A834FF">
        <w:rPr>
          <w:b/>
        </w:rPr>
        <w:t xml:space="preserve"> </w:t>
      </w:r>
      <w:r w:rsidR="00EE6F53" w:rsidRPr="00A834FF">
        <w:rPr>
          <w:b/>
        </w:rPr>
        <w:t xml:space="preserve">mundiales </w:t>
      </w:r>
      <w:r w:rsidRPr="00A834FF">
        <w:rPr>
          <w:b/>
        </w:rPr>
        <w:t xml:space="preserve">entre múltiples interesados </w:t>
      </w:r>
      <w:r w:rsidR="00EE6F53" w:rsidRPr="00A834FF">
        <w:rPr>
          <w:b/>
        </w:rPr>
        <w:t>en asociaciones de Pequeños Estados Insulares en Desarrollo</w:t>
      </w:r>
    </w:p>
    <w:p w:rsidR="00CE45AF" w:rsidRPr="00A834FF" w:rsidRDefault="00CE45AF" w:rsidP="00CE45AF"/>
    <w:p w:rsidR="00CE45AF" w:rsidRPr="00A834FF" w:rsidRDefault="003A535A" w:rsidP="00CE45AF">
      <w:r w:rsidRPr="00A834FF">
        <w:rPr>
          <w:u w:val="single"/>
        </w:rPr>
        <w:t>Organización encargada de la coordinación</w:t>
      </w:r>
      <w:r w:rsidR="00A834FF" w:rsidRPr="00A834FF">
        <w:t>:  D</w:t>
      </w:r>
      <w:r w:rsidR="00CE45AF" w:rsidRPr="00A834FF">
        <w:t>epart</w:t>
      </w:r>
      <w:r w:rsidR="00E67548" w:rsidRPr="00A834FF">
        <w:t>a</w:t>
      </w:r>
      <w:r w:rsidR="00CE45AF" w:rsidRPr="00A834FF">
        <w:t>ment</w:t>
      </w:r>
      <w:r w:rsidR="00E67548" w:rsidRPr="00A834FF">
        <w:t xml:space="preserve">o de Asuntos Económicos y Sociales de las Naciones Unidas </w:t>
      </w:r>
      <w:r w:rsidR="00CE45AF" w:rsidRPr="00A834FF">
        <w:t>(UNDESA)</w:t>
      </w:r>
    </w:p>
    <w:p w:rsidR="00CE45AF" w:rsidRPr="00A834FF" w:rsidRDefault="00CE45AF" w:rsidP="00CE45AF"/>
    <w:p w:rsidR="00CE45AF" w:rsidRPr="00A834FF" w:rsidRDefault="003A535A" w:rsidP="00CE45AF">
      <w:r w:rsidRPr="00A834FF">
        <w:rPr>
          <w:u w:val="single"/>
        </w:rPr>
        <w:t>Temática</w:t>
      </w:r>
      <w:r w:rsidR="00597B67" w:rsidRPr="00A834FF">
        <w:t>:  Desarrollo</w:t>
      </w:r>
      <w:r w:rsidR="00CE45AF" w:rsidRPr="00A834FF">
        <w:t xml:space="preserve"> </w:t>
      </w:r>
    </w:p>
    <w:p w:rsidR="00CE45AF" w:rsidRPr="00A834FF" w:rsidRDefault="00CE45AF" w:rsidP="00CE45AF"/>
    <w:p w:rsidR="00CE45AF" w:rsidRPr="00A834FF" w:rsidRDefault="003A535A" w:rsidP="00CE45AF">
      <w:r w:rsidRPr="00A834FF">
        <w:rPr>
          <w:u w:val="single"/>
        </w:rPr>
        <w:lastRenderedPageBreak/>
        <w:t>Participantes</w:t>
      </w:r>
      <w:r w:rsidR="00CE45AF" w:rsidRPr="00A834FF">
        <w:t xml:space="preserve">:  </w:t>
      </w:r>
      <w:r w:rsidR="00BA1DBB" w:rsidRPr="00A834FF">
        <w:t>Estados, organizaciones intergubernamentales, organizaciones no gubernamentales</w:t>
      </w:r>
    </w:p>
    <w:p w:rsidR="00CE45AF" w:rsidRPr="00A834FF" w:rsidRDefault="00CE45AF" w:rsidP="00CE45AF"/>
    <w:p w:rsidR="00316741" w:rsidRPr="00A834FF" w:rsidRDefault="003A535A" w:rsidP="00CE45AF">
      <w:r w:rsidRPr="00A834FF">
        <w:rPr>
          <w:u w:val="single"/>
        </w:rPr>
        <w:t>Relación con la transferencia de tecnología</w:t>
      </w:r>
      <w:r w:rsidR="00CE45AF" w:rsidRPr="00A834FF">
        <w:t>:  “</w:t>
      </w:r>
      <w:r w:rsidR="00316741" w:rsidRPr="00A834FF">
        <w:t xml:space="preserve">El diálogo tiene por finalidad garantizar que </w:t>
      </w:r>
      <w:r w:rsidR="008E50EE" w:rsidRPr="00A834FF">
        <w:t xml:space="preserve">el conocimiento adquirido por </w:t>
      </w:r>
      <w:r w:rsidR="00316741" w:rsidRPr="00A834FF">
        <w:t xml:space="preserve">los </w:t>
      </w:r>
      <w:r w:rsidR="0016051B" w:rsidRPr="00A834FF">
        <w:t xml:space="preserve">Pequeños Estados Insulares en Desarrollo </w:t>
      </w:r>
      <w:r w:rsidR="00316741" w:rsidRPr="00A834FF">
        <w:t xml:space="preserve">en asociaciones existentes </w:t>
      </w:r>
      <w:r w:rsidR="0016051B" w:rsidRPr="00A834FF">
        <w:t>pueda servir de base a futuras asociaciones en aspectos tales como la financiación, la creación de capacidad, la transferencia de tecnología, la cooperación técnica o el desarrollo institucional.”</w:t>
      </w:r>
    </w:p>
    <w:p w:rsidR="0016051B" w:rsidRPr="00A834FF" w:rsidRDefault="0016051B" w:rsidP="00CE45AF"/>
    <w:p w:rsidR="00316741" w:rsidRPr="00A834FF" w:rsidRDefault="00316741" w:rsidP="00CE45AF"/>
    <w:p w:rsidR="00E67548" w:rsidRPr="00A834FF" w:rsidRDefault="003A535A" w:rsidP="00CE45AF">
      <w:r w:rsidRPr="00A834FF">
        <w:rPr>
          <w:u w:val="single"/>
        </w:rPr>
        <w:t>Descripción</w:t>
      </w:r>
      <w:r w:rsidR="00CE45AF" w:rsidRPr="00A834FF">
        <w:t xml:space="preserve">:  </w:t>
      </w:r>
      <w:r w:rsidR="00E67548" w:rsidRPr="00A834FF">
        <w:t>Resolució</w:t>
      </w:r>
      <w:r w:rsidR="00A834FF" w:rsidRPr="00A834FF">
        <w:t>n 7</w:t>
      </w:r>
      <w:r w:rsidR="00E67548" w:rsidRPr="00A834FF">
        <w:t xml:space="preserve">0/202 de la Asamblea General: </w:t>
      </w:r>
      <w:r w:rsidR="00CE45AF" w:rsidRPr="00A834FF">
        <w:t xml:space="preserve"> “</w:t>
      </w:r>
      <w:r w:rsidR="00E67548" w:rsidRPr="00A834FF">
        <w:t>La Asamblea General […] decide, de conformidad con lo dispuesto en el párraf</w:t>
      </w:r>
      <w:r w:rsidR="00A834FF" w:rsidRPr="00A834FF">
        <w:t>o 1</w:t>
      </w:r>
      <w:r w:rsidR="00E67548" w:rsidRPr="00A834FF">
        <w:t>01 de la Trayectoria de Samoa, y teniendo en cuenta las prioridades de los pequeños Estados insulares en desarrollo, establecer el Marco para las Alianzas en favor de los Pequeños Estados Insulares en Desarrollo, a fin de vigilar y asegurar el cumplimiento pleno de las promesas hechas y los compromisos asumidos por medio de alianzas en favor de los pequeños Estados insulares en desarrollo.”</w:t>
      </w:r>
    </w:p>
    <w:p w:rsidR="00E67548" w:rsidRPr="00A834FF" w:rsidRDefault="00E67548" w:rsidP="00CE45AF"/>
    <w:p w:rsidR="00CE45AF" w:rsidRPr="00A834FF" w:rsidRDefault="003A535A" w:rsidP="00CE45AF">
      <w:r w:rsidRPr="00A834FF">
        <w:rPr>
          <w:u w:val="single"/>
        </w:rPr>
        <w:t>Nivel de actividad</w:t>
      </w:r>
      <w:r w:rsidR="00CE45AF" w:rsidRPr="00A834FF">
        <w:t xml:space="preserve">:  </w:t>
      </w:r>
      <w:r w:rsidRPr="00A834FF">
        <w:t>Anual</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14" w:history="1">
        <w:r w:rsidR="00996216" w:rsidRPr="00A834FF">
          <w:rPr>
            <w:rStyle w:val="Hyperlink"/>
            <w:color w:val="auto"/>
            <w:u w:val="none"/>
          </w:rPr>
          <w:t>http://www.sids2014.org/partnershipframework</w:t>
        </w:r>
      </w:hyperlink>
    </w:p>
    <w:p w:rsidR="00996216" w:rsidRPr="00A834FF" w:rsidRDefault="00996216" w:rsidP="00CE45AF"/>
    <w:p w:rsidR="0016051B" w:rsidRPr="00A834FF" w:rsidRDefault="0016051B" w:rsidP="00CE45AF">
      <w:pPr>
        <w:rPr>
          <w:b/>
        </w:rPr>
      </w:pPr>
    </w:p>
    <w:p w:rsidR="0054434B" w:rsidRPr="00A834FF" w:rsidRDefault="0054434B" w:rsidP="00CE45AF">
      <w:pPr>
        <w:rPr>
          <w:b/>
        </w:rPr>
      </w:pPr>
    </w:p>
    <w:p w:rsidR="00CE45AF" w:rsidRPr="00A834FF" w:rsidRDefault="00430DA2" w:rsidP="00CE45AF">
      <w:pPr>
        <w:rPr>
          <w:b/>
        </w:rPr>
      </w:pPr>
      <w:r w:rsidRPr="00A834FF">
        <w:rPr>
          <w:b/>
        </w:rPr>
        <w:t xml:space="preserve">Cumbre mundial sobre investigación, innovación y educación en materia de tecnología de asistencia </w:t>
      </w:r>
      <w:r w:rsidR="00CE45AF" w:rsidRPr="00A834FF">
        <w:rPr>
          <w:b/>
        </w:rPr>
        <w:t xml:space="preserve">(GREAT) </w:t>
      </w:r>
    </w:p>
    <w:p w:rsidR="00CE45AF" w:rsidRPr="00A834FF" w:rsidRDefault="00CE45AF" w:rsidP="00605C47">
      <w:pPr>
        <w:tabs>
          <w:tab w:val="left" w:pos="7854"/>
        </w:tabs>
      </w:pPr>
    </w:p>
    <w:p w:rsidR="00CE45AF" w:rsidRPr="00A834FF" w:rsidRDefault="003A535A" w:rsidP="00CE45AF">
      <w:r w:rsidRPr="00A834FF">
        <w:rPr>
          <w:u w:val="single"/>
        </w:rPr>
        <w:t>Organización encargada de la coordinación</w:t>
      </w:r>
      <w:r w:rsidR="00CE45AF" w:rsidRPr="00A834FF">
        <w:t xml:space="preserve">:  </w:t>
      </w:r>
      <w:r w:rsidR="00605C47" w:rsidRPr="00A834FF">
        <w:t>Organización Mundial de la Salud</w:t>
      </w:r>
      <w:r w:rsidR="00CE45AF" w:rsidRPr="00A834FF">
        <w:t xml:space="preserve"> (</w:t>
      </w:r>
      <w:r w:rsidR="00605C47" w:rsidRPr="00A834FF">
        <w:t>OMS</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Salud pública</w:t>
      </w:r>
      <w:r w:rsidR="00CE45AF" w:rsidRPr="00A834FF">
        <w:t xml:space="preserve"> (</w:t>
      </w:r>
      <w:r w:rsidR="00597B67" w:rsidRPr="00A834FF">
        <w:t>tecnologías de asistencia</w:t>
      </w:r>
      <w:r w:rsidR="00CE45AF" w:rsidRPr="00A834FF">
        <w:t xml:space="preserve">) </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605C47" w:rsidRPr="00A834FF">
        <w:t>Estados</w:t>
      </w:r>
      <w:r w:rsidR="00CE45AF" w:rsidRPr="00A834FF">
        <w:t xml:space="preserve"> (</w:t>
      </w:r>
      <w:r w:rsidR="00605C47" w:rsidRPr="00A834FF">
        <w:t>organismos donantes</w:t>
      </w:r>
      <w:r w:rsidR="00CE45AF" w:rsidRPr="00A834FF">
        <w:t>)</w:t>
      </w:r>
      <w:r w:rsidR="00A834FF" w:rsidRPr="00A834FF">
        <w:t>;  o</w:t>
      </w:r>
      <w:r w:rsidR="00605C47" w:rsidRPr="00A834FF">
        <w:t xml:space="preserve">rganizaciones intergubernamentales, organizaciones no gubernamentales </w:t>
      </w:r>
      <w:r w:rsidR="00CE45AF" w:rsidRPr="00A834FF">
        <w:t>(</w:t>
      </w:r>
      <w:r w:rsidR="00605C47" w:rsidRPr="00A834FF">
        <w:t>organizaciones profesionales</w:t>
      </w:r>
      <w:r w:rsidR="00CE45AF" w:rsidRPr="00A834FF">
        <w:t xml:space="preserve">, </w:t>
      </w:r>
      <w:r w:rsidR="00605C47" w:rsidRPr="00A834FF">
        <w:t>instituciones académicas, grupos de usuarios</w:t>
      </w:r>
      <w:r w:rsidR="00CE45AF" w:rsidRPr="00A834FF">
        <w:t>)</w:t>
      </w:r>
    </w:p>
    <w:p w:rsidR="00CE45AF" w:rsidRPr="00A834FF" w:rsidRDefault="00CE45AF" w:rsidP="00CE45AF"/>
    <w:p w:rsidR="007146C9" w:rsidRPr="00A834FF" w:rsidRDefault="003A535A" w:rsidP="00CE45AF">
      <w:r w:rsidRPr="00A834FF">
        <w:rPr>
          <w:u w:val="single"/>
        </w:rPr>
        <w:t>Relación con la transferencia de tecnología</w:t>
      </w:r>
      <w:r w:rsidR="00CE45AF" w:rsidRPr="00A834FF">
        <w:t>:  “</w:t>
      </w:r>
      <w:r w:rsidR="007146C9" w:rsidRPr="00A834FF">
        <w:t xml:space="preserve">La Cumbre GREAT tiene los objetivos siguientes:  i) </w:t>
      </w:r>
      <w:r w:rsidR="00ED5EB5" w:rsidRPr="00A834FF">
        <w:t>avanzar en</w:t>
      </w:r>
      <w:r w:rsidR="007146C9" w:rsidRPr="00A834FF">
        <w:t xml:space="preserve"> </w:t>
      </w:r>
      <w:r w:rsidR="002578DA" w:rsidRPr="00A834FF">
        <w:t>el</w:t>
      </w:r>
      <w:r w:rsidR="007146C9" w:rsidRPr="00A834FF">
        <w:t xml:space="preserve"> programa mundial de investigaciones prioritarias;  ii) establecer colaboraci</w:t>
      </w:r>
      <w:r w:rsidR="002515B9" w:rsidRPr="00A834FF">
        <w:t xml:space="preserve">ones </w:t>
      </w:r>
      <w:r w:rsidR="007146C9" w:rsidRPr="00A834FF">
        <w:t>en investigación temática sobre</w:t>
      </w:r>
      <w:r w:rsidR="00A834FF" w:rsidRPr="00A834FF">
        <w:t>:  l</w:t>
      </w:r>
      <w:r w:rsidR="007146C9" w:rsidRPr="00A834FF">
        <w:t xml:space="preserve">os efectos, costos </w:t>
      </w:r>
      <w:r w:rsidR="002578DA" w:rsidRPr="00A834FF">
        <w:t>e impactos</w:t>
      </w:r>
      <w:r w:rsidR="007146C9" w:rsidRPr="00A834FF">
        <w:t xml:space="preserve"> económicos de la tecnología de as</w:t>
      </w:r>
      <w:r w:rsidR="002578DA" w:rsidRPr="00A834FF">
        <w:t xml:space="preserve">istencia;  políticas, sistemas y </w:t>
      </w:r>
      <w:r w:rsidR="007146C9" w:rsidRPr="00A834FF">
        <w:t xml:space="preserve">modelos de prestación de servicios y mejores prácticas de </w:t>
      </w:r>
      <w:r w:rsidR="002578DA" w:rsidRPr="00A834FF">
        <w:t xml:space="preserve">la </w:t>
      </w:r>
      <w:r w:rsidR="007146C9" w:rsidRPr="00A834FF">
        <w:t xml:space="preserve">tecnología de asistencia; </w:t>
      </w:r>
      <w:r w:rsidR="002578DA" w:rsidRPr="00A834FF">
        <w:t xml:space="preserve"> </w:t>
      </w:r>
      <w:r w:rsidR="007146C9" w:rsidRPr="00A834FF">
        <w:t>tecnología de asistencia de alta calidad y asequible;  recursos humanos para el sector de la tecnología de asistencia;  norma</w:t>
      </w:r>
      <w:r w:rsidR="002578DA" w:rsidRPr="00A834FF">
        <w:t xml:space="preserve">tiva </w:t>
      </w:r>
      <w:r w:rsidR="007146C9" w:rsidRPr="00A834FF">
        <w:t xml:space="preserve">y metodologías para la evaluación de las necesidades </w:t>
      </w:r>
      <w:r w:rsidR="002578DA" w:rsidRPr="00A834FF">
        <w:t xml:space="preserve">en tecnología de asistencia </w:t>
      </w:r>
      <w:r w:rsidR="007146C9" w:rsidRPr="00A834FF">
        <w:t xml:space="preserve">y necesidades insatisfechas </w:t>
      </w:r>
      <w:r w:rsidR="002578DA" w:rsidRPr="00A834FF">
        <w:t>sobre la misma</w:t>
      </w:r>
      <w:r w:rsidR="007146C9" w:rsidRPr="00A834FF">
        <w:t>;  iii) identificar nuevas oportunidades de financiación de la investigación</w:t>
      </w:r>
      <w:r w:rsidR="0097680D" w:rsidRPr="00A834FF">
        <w:t>;  iv) acelerar una educación y certificación innovadoras</w:t>
      </w:r>
      <w:r w:rsidR="002578DA" w:rsidRPr="00A834FF">
        <w:t xml:space="preserve">;  </w:t>
      </w:r>
      <w:r w:rsidR="00155B68" w:rsidRPr="00A834FF">
        <w:t xml:space="preserve">v) trabajar en aras de una herramienta común para la evaluación de los efectos;  y vi) </w:t>
      </w:r>
      <w:r w:rsidR="002578DA" w:rsidRPr="00A834FF">
        <w:t>estimular una</w:t>
      </w:r>
      <w:r w:rsidR="002515B9" w:rsidRPr="00A834FF">
        <w:t xml:space="preserve"> investigación y educación pioneras.”</w:t>
      </w:r>
    </w:p>
    <w:p w:rsidR="00CE45AF" w:rsidRPr="00A834FF" w:rsidRDefault="00CE45AF" w:rsidP="008B0906"/>
    <w:p w:rsidR="00611196" w:rsidRPr="00A834FF" w:rsidRDefault="003A535A" w:rsidP="00CE45AF">
      <w:r w:rsidRPr="00A834FF">
        <w:rPr>
          <w:u w:val="single"/>
        </w:rPr>
        <w:t>Descripción</w:t>
      </w:r>
      <w:r w:rsidR="00CE45AF" w:rsidRPr="00A834FF">
        <w:t>:  “</w:t>
      </w:r>
      <w:r w:rsidR="00611196" w:rsidRPr="00A834FF">
        <w:t>La Cumbre</w:t>
      </w:r>
      <w:r w:rsidR="00CE45AF" w:rsidRPr="00A834FF">
        <w:t xml:space="preserve"> GREAT </w:t>
      </w:r>
      <w:r w:rsidR="00611196" w:rsidRPr="00A834FF">
        <w:t>es una iniciativa del programa de</w:t>
      </w:r>
      <w:r w:rsidR="00CE45AF" w:rsidRPr="00A834FF">
        <w:t xml:space="preserve"> </w:t>
      </w:r>
      <w:r w:rsidR="00430DA2" w:rsidRPr="00A834FF">
        <w:t>Cooper</w:t>
      </w:r>
      <w:r w:rsidR="00611196" w:rsidRPr="00A834FF">
        <w:t>ación Mundial en Tecnologí</w:t>
      </w:r>
      <w:r w:rsidR="00430DA2" w:rsidRPr="00A834FF">
        <w:t xml:space="preserve">a </w:t>
      </w:r>
      <w:r w:rsidR="00611196" w:rsidRPr="00A834FF">
        <w:t>de Asistencia</w:t>
      </w:r>
      <w:r w:rsidR="00430DA2" w:rsidRPr="00A834FF">
        <w:t xml:space="preserve"> </w:t>
      </w:r>
      <w:r w:rsidR="00CE45AF" w:rsidRPr="00A834FF">
        <w:t xml:space="preserve">(GATE), </w:t>
      </w:r>
      <w:r w:rsidR="00611196" w:rsidRPr="00A834FF">
        <w:t>creado por la OMS e</w:t>
      </w:r>
      <w:r w:rsidR="00A834FF" w:rsidRPr="00A834FF">
        <w:t>n 2</w:t>
      </w:r>
      <w:r w:rsidR="00CE45AF" w:rsidRPr="00A834FF">
        <w:t>014</w:t>
      </w:r>
      <w:r w:rsidR="003053EF" w:rsidRPr="00A834FF">
        <w:t>,</w:t>
      </w:r>
      <w:r w:rsidR="00CE45AF" w:rsidRPr="00A834FF">
        <w:t xml:space="preserve"> </w:t>
      </w:r>
      <w:r w:rsidR="00611196" w:rsidRPr="00A834FF">
        <w:t xml:space="preserve">que tiene por objetivo </w:t>
      </w:r>
      <w:r w:rsidR="00117285" w:rsidRPr="00A834FF">
        <w:t>avanzar</w:t>
      </w:r>
      <w:r w:rsidR="00611196" w:rsidRPr="00A834FF">
        <w:t xml:space="preserve"> hacia </w:t>
      </w:r>
      <w:r w:rsidR="005D414F" w:rsidRPr="00A834FF">
        <w:t>una sociedad donde</w:t>
      </w:r>
      <w:r w:rsidR="00611196" w:rsidRPr="00A834FF">
        <w:t xml:space="preserve"> </w:t>
      </w:r>
      <w:r w:rsidR="00117285" w:rsidRPr="00A834FF">
        <w:t xml:space="preserve">todo aquél que </w:t>
      </w:r>
      <w:r w:rsidR="005D414F" w:rsidRPr="00A834FF">
        <w:t xml:space="preserve">lo necesite tenga </w:t>
      </w:r>
      <w:r w:rsidR="00611196" w:rsidRPr="00A834FF">
        <w:t xml:space="preserve">acceso a una tecnología de asistencia asequible y de buena calidad </w:t>
      </w:r>
      <w:r w:rsidR="005D414F" w:rsidRPr="00A834FF">
        <w:t>que permita disfrutar de</w:t>
      </w:r>
      <w:r w:rsidR="00611196" w:rsidRPr="00A834FF">
        <w:t xml:space="preserve"> una visa sana y productiva</w:t>
      </w:r>
      <w:r w:rsidR="00A834FF" w:rsidRPr="00A834FF">
        <w:t>.  L</w:t>
      </w:r>
      <w:r w:rsidR="00611196" w:rsidRPr="00A834FF">
        <w:t xml:space="preserve">a Cumbre GREAT pretende avanzar en </w:t>
      </w:r>
      <w:r w:rsidR="00ED5EB5" w:rsidRPr="00A834FF">
        <w:t>el programa</w:t>
      </w:r>
      <w:r w:rsidR="00611196" w:rsidRPr="00A834FF">
        <w:t xml:space="preserve"> de investigación en tecnología de asistencia y establecer colaboraci</w:t>
      </w:r>
      <w:r w:rsidR="003053EF" w:rsidRPr="00A834FF">
        <w:t xml:space="preserve">ones </w:t>
      </w:r>
      <w:r w:rsidR="00611196" w:rsidRPr="00A834FF">
        <w:t xml:space="preserve">en </w:t>
      </w:r>
      <w:r w:rsidR="005D414F" w:rsidRPr="00A834FF">
        <w:t>la esfera</w:t>
      </w:r>
      <w:r w:rsidR="00611196" w:rsidRPr="00A834FF">
        <w:t xml:space="preserve"> de la investigación, </w:t>
      </w:r>
      <w:r w:rsidR="00ED5EB5" w:rsidRPr="00A834FF">
        <w:t xml:space="preserve">fomentar una educación </w:t>
      </w:r>
      <w:r w:rsidR="00611196" w:rsidRPr="00A834FF">
        <w:t xml:space="preserve">y certificación innovadora y </w:t>
      </w:r>
      <w:r w:rsidR="005D414F" w:rsidRPr="00A834FF">
        <w:t xml:space="preserve">estimular un desarrollo pionero en </w:t>
      </w:r>
      <w:r w:rsidR="003053EF" w:rsidRPr="00A834FF">
        <w:t>tecnología de asistencia.”</w:t>
      </w:r>
    </w:p>
    <w:p w:rsidR="00CE45AF" w:rsidRPr="00A834FF" w:rsidRDefault="00CE45AF" w:rsidP="00611196">
      <w:pPr>
        <w:tabs>
          <w:tab w:val="left" w:pos="2209"/>
        </w:tabs>
      </w:pPr>
    </w:p>
    <w:p w:rsidR="00CE45AF" w:rsidRPr="00A834FF" w:rsidRDefault="003A535A" w:rsidP="00CE45AF">
      <w:r w:rsidRPr="00A834FF">
        <w:rPr>
          <w:u w:val="single"/>
        </w:rPr>
        <w:t>Referencia</w:t>
      </w:r>
      <w:r w:rsidR="00CE45AF" w:rsidRPr="00A834FF">
        <w:t>:</w:t>
      </w:r>
      <w:r w:rsidR="008B0906" w:rsidRPr="00A834FF">
        <w:t xml:space="preserve"> </w:t>
      </w:r>
      <w:r w:rsidR="00CE45AF" w:rsidRPr="00A834FF">
        <w:t xml:space="preserve"> </w:t>
      </w:r>
      <w:hyperlink r:id="rId15" w:history="1">
        <w:r w:rsidR="00996216" w:rsidRPr="00A834FF">
          <w:rPr>
            <w:rStyle w:val="Hyperlink"/>
            <w:color w:val="auto"/>
            <w:u w:val="none"/>
          </w:rPr>
          <w:t>http://www.who.int/phi/implementation/assistive_technology/great_summit/en</w:t>
        </w:r>
      </w:hyperlink>
    </w:p>
    <w:p w:rsidR="00996216" w:rsidRPr="00A834FF" w:rsidRDefault="00996216" w:rsidP="00CE45AF"/>
    <w:p w:rsidR="00CE45AF" w:rsidRPr="00A834FF" w:rsidRDefault="002515B9" w:rsidP="00CE45AF">
      <w:r w:rsidRPr="00A834FF">
        <w:rPr>
          <w:b/>
        </w:rPr>
        <w:t>Grupo Consultivo Interinstitucional sobre los Pequeños Estados Insulares en Desarrollo (PEID)</w:t>
      </w:r>
    </w:p>
    <w:p w:rsidR="002515B9" w:rsidRPr="00A834FF" w:rsidRDefault="002515B9" w:rsidP="00CE45AF">
      <w:pPr>
        <w:rPr>
          <w:u w:val="single"/>
        </w:rPr>
      </w:pPr>
    </w:p>
    <w:p w:rsidR="00CE45AF" w:rsidRPr="00A834FF" w:rsidRDefault="003A535A" w:rsidP="00CE45AF">
      <w:r w:rsidRPr="00A834FF">
        <w:rPr>
          <w:u w:val="single"/>
        </w:rPr>
        <w:t>Organización encargada de la coordinación</w:t>
      </w:r>
      <w:r w:rsidR="00CE45AF" w:rsidRPr="00A834FF">
        <w:t xml:space="preserve">:  </w:t>
      </w:r>
      <w:r w:rsidR="003053EF" w:rsidRPr="00A834FF">
        <w:rPr>
          <w:rFonts w:eastAsia="Arial"/>
          <w:spacing w:val="1"/>
        </w:rPr>
        <w:t>Naciones Unidas</w:t>
      </w:r>
      <w:r w:rsidR="00CE45AF" w:rsidRPr="00A834FF">
        <w:t xml:space="preserve"> </w:t>
      </w:r>
    </w:p>
    <w:p w:rsidR="00CE45AF" w:rsidRPr="00A834FF" w:rsidRDefault="00CE45AF" w:rsidP="00CE45AF"/>
    <w:p w:rsidR="00CE45AF" w:rsidRPr="00A834FF" w:rsidRDefault="003A535A" w:rsidP="00CE45AF">
      <w:r w:rsidRPr="00A834FF">
        <w:rPr>
          <w:u w:val="single"/>
        </w:rPr>
        <w:t>Temática</w:t>
      </w:r>
      <w:r w:rsidR="00597B67" w:rsidRPr="00A834FF">
        <w:t>:  Desarrollo</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w:t>
      </w:r>
    </w:p>
    <w:p w:rsidR="00CE45AF" w:rsidRPr="00A834FF" w:rsidRDefault="00CE45AF" w:rsidP="00CE45AF"/>
    <w:p w:rsidR="00563A14" w:rsidRPr="00A834FF" w:rsidRDefault="003A535A" w:rsidP="00CE45AF">
      <w:r w:rsidRPr="00A834FF">
        <w:rPr>
          <w:u w:val="single"/>
        </w:rPr>
        <w:t>Relación con la transferencia de tecnología</w:t>
      </w:r>
      <w:r w:rsidR="00CE45AF" w:rsidRPr="00A834FF">
        <w:t xml:space="preserve">:  </w:t>
      </w:r>
      <w:r w:rsidR="00563A14" w:rsidRPr="00A834FF">
        <w:t xml:space="preserve">Agenda de Acción de </w:t>
      </w:r>
      <w:r w:rsidR="00CE45AF" w:rsidRPr="00A834FF">
        <w:t>Addis Ababa</w:t>
      </w:r>
      <w:r w:rsidR="00A834FF" w:rsidRPr="00A834FF">
        <w:t>:  “</w:t>
      </w:r>
      <w:r w:rsidR="00563A14" w:rsidRPr="00A834FF">
        <w:t xml:space="preserve">Instamos a la comunidad internacional, incluidos los bancos de desarrollo regional e internacional, los donantes bilaterales, el sistema de las </w:t>
      </w:r>
      <w:r w:rsidR="00563A14" w:rsidRPr="00A834FF">
        <w:rPr>
          <w:rFonts w:eastAsia="Arial"/>
          <w:spacing w:val="1"/>
        </w:rPr>
        <w:t xml:space="preserve">Naciones Unida, la Agencia Internacional de Energías Renovables y otras </w:t>
      </w:r>
      <w:r w:rsidR="00376349" w:rsidRPr="00A834FF">
        <w:rPr>
          <w:rFonts w:eastAsia="Arial"/>
          <w:spacing w:val="1"/>
        </w:rPr>
        <w:t>instancias</w:t>
      </w:r>
      <w:r w:rsidR="00563A14" w:rsidRPr="00A834FF">
        <w:rPr>
          <w:rFonts w:eastAsia="Arial"/>
          <w:spacing w:val="1"/>
        </w:rPr>
        <w:t xml:space="preserve"> pertinentes, </w:t>
      </w:r>
      <w:r w:rsidR="00376349" w:rsidRPr="00A834FF">
        <w:rPr>
          <w:rFonts w:eastAsia="Arial"/>
          <w:spacing w:val="1"/>
        </w:rPr>
        <w:t xml:space="preserve">a que sigan prestando apoyo suficiente, incluso </w:t>
      </w:r>
      <w:r w:rsidR="00563A14" w:rsidRPr="00A834FF">
        <w:rPr>
          <w:rFonts w:eastAsia="Arial"/>
          <w:spacing w:val="1"/>
        </w:rPr>
        <w:t xml:space="preserve">en las </w:t>
      </w:r>
      <w:r w:rsidR="00376349" w:rsidRPr="00A834FF">
        <w:rPr>
          <w:rFonts w:eastAsia="Arial"/>
          <w:spacing w:val="1"/>
        </w:rPr>
        <w:t xml:space="preserve">esferas </w:t>
      </w:r>
      <w:r w:rsidR="00563A14" w:rsidRPr="00A834FF">
        <w:rPr>
          <w:rFonts w:eastAsia="Arial"/>
          <w:spacing w:val="1"/>
        </w:rPr>
        <w:t>de creación de capacidad y transferencia de tecnología</w:t>
      </w:r>
      <w:r w:rsidR="00376349" w:rsidRPr="00A834FF">
        <w:rPr>
          <w:rFonts w:eastAsia="Arial"/>
          <w:spacing w:val="1"/>
        </w:rPr>
        <w:t xml:space="preserve"> y</w:t>
      </w:r>
      <w:r w:rsidR="00563A14" w:rsidRPr="00A834FF">
        <w:rPr>
          <w:rFonts w:eastAsia="Arial"/>
          <w:spacing w:val="1"/>
        </w:rPr>
        <w:t xml:space="preserve"> en condiciones mutuamente </w:t>
      </w:r>
      <w:r w:rsidR="00376349" w:rsidRPr="00A834FF">
        <w:rPr>
          <w:rFonts w:eastAsia="Arial"/>
          <w:spacing w:val="1"/>
        </w:rPr>
        <w:t xml:space="preserve">acordadas, a fin de elaborar </w:t>
      </w:r>
      <w:r w:rsidR="00563A14" w:rsidRPr="00A834FF">
        <w:rPr>
          <w:rFonts w:eastAsia="Arial"/>
          <w:spacing w:val="1"/>
        </w:rPr>
        <w:t xml:space="preserve">y </w:t>
      </w:r>
      <w:r w:rsidR="00376349" w:rsidRPr="00A834FF">
        <w:rPr>
          <w:rFonts w:eastAsia="Arial"/>
          <w:spacing w:val="1"/>
        </w:rPr>
        <w:t xml:space="preserve">ejecutar políticas, planes y estrategias </w:t>
      </w:r>
      <w:r w:rsidR="00563A14" w:rsidRPr="00A834FF">
        <w:rPr>
          <w:rFonts w:eastAsia="Arial"/>
          <w:spacing w:val="1"/>
        </w:rPr>
        <w:t>energéticas</w:t>
      </w:r>
      <w:r w:rsidR="00376349" w:rsidRPr="00A834FF">
        <w:rPr>
          <w:rFonts w:eastAsia="Arial"/>
          <w:spacing w:val="1"/>
        </w:rPr>
        <w:t xml:space="preserve"> a nivel nacional, regional e interregional </w:t>
      </w:r>
      <w:r w:rsidR="00563A14" w:rsidRPr="00A834FF">
        <w:rPr>
          <w:rFonts w:eastAsia="Arial"/>
          <w:spacing w:val="1"/>
        </w:rPr>
        <w:t>para abordar la</w:t>
      </w:r>
      <w:r w:rsidR="00376349" w:rsidRPr="00A834FF">
        <w:rPr>
          <w:rFonts w:eastAsia="Arial"/>
          <w:spacing w:val="1"/>
        </w:rPr>
        <w:t>s</w:t>
      </w:r>
      <w:r w:rsidR="00563A14" w:rsidRPr="00A834FF">
        <w:rPr>
          <w:rFonts w:eastAsia="Arial"/>
          <w:spacing w:val="1"/>
        </w:rPr>
        <w:t xml:space="preserve"> vulnerabilidad</w:t>
      </w:r>
      <w:r w:rsidR="00376349" w:rsidRPr="00A834FF">
        <w:rPr>
          <w:rFonts w:eastAsia="Arial"/>
          <w:spacing w:val="1"/>
        </w:rPr>
        <w:t>es</w:t>
      </w:r>
      <w:r w:rsidR="00563A14" w:rsidRPr="00A834FF">
        <w:rPr>
          <w:rFonts w:eastAsia="Arial"/>
          <w:spacing w:val="1"/>
        </w:rPr>
        <w:t xml:space="preserve"> especial</w:t>
      </w:r>
      <w:r w:rsidR="00376349" w:rsidRPr="00A834FF">
        <w:rPr>
          <w:rFonts w:eastAsia="Arial"/>
          <w:spacing w:val="1"/>
        </w:rPr>
        <w:t>es</w:t>
      </w:r>
      <w:r w:rsidR="00563A14" w:rsidRPr="00A834FF">
        <w:rPr>
          <w:rFonts w:eastAsia="Arial"/>
          <w:spacing w:val="1"/>
        </w:rPr>
        <w:t xml:space="preserve"> de los </w:t>
      </w:r>
      <w:r w:rsidR="00376349" w:rsidRPr="00A834FF">
        <w:rPr>
          <w:rFonts w:eastAsia="Arial"/>
          <w:spacing w:val="1"/>
        </w:rPr>
        <w:t>p</w:t>
      </w:r>
      <w:r w:rsidR="00563A14" w:rsidRPr="00A834FF">
        <w:rPr>
          <w:rFonts w:eastAsia="Arial"/>
          <w:spacing w:val="1"/>
        </w:rPr>
        <w:t xml:space="preserve">equeños Estados </w:t>
      </w:r>
      <w:r w:rsidR="00376349" w:rsidRPr="00A834FF">
        <w:rPr>
          <w:rFonts w:eastAsia="Arial"/>
          <w:spacing w:val="1"/>
        </w:rPr>
        <w:t>i</w:t>
      </w:r>
      <w:r w:rsidR="00563A14" w:rsidRPr="00A834FF">
        <w:rPr>
          <w:rFonts w:eastAsia="Arial"/>
          <w:spacing w:val="1"/>
        </w:rPr>
        <w:t xml:space="preserve">nsulares en </w:t>
      </w:r>
      <w:r w:rsidR="00376349" w:rsidRPr="00A834FF">
        <w:rPr>
          <w:rFonts w:eastAsia="Arial"/>
          <w:spacing w:val="1"/>
        </w:rPr>
        <w:t>d</w:t>
      </w:r>
      <w:r w:rsidR="00563A14" w:rsidRPr="00A834FF">
        <w:rPr>
          <w:rFonts w:eastAsia="Arial"/>
          <w:spacing w:val="1"/>
        </w:rPr>
        <w:t>esarrollo.”</w:t>
      </w:r>
    </w:p>
    <w:p w:rsidR="00563A14" w:rsidRPr="00A834FF" w:rsidRDefault="00563A14" w:rsidP="00CE45AF"/>
    <w:p w:rsidR="00355F50" w:rsidRPr="00A834FF" w:rsidRDefault="003A535A" w:rsidP="00CE45AF">
      <w:r w:rsidRPr="00A834FF">
        <w:rPr>
          <w:u w:val="single"/>
        </w:rPr>
        <w:t>Descripción</w:t>
      </w:r>
      <w:r w:rsidR="00A834FF" w:rsidRPr="00A834FF">
        <w:t>:  “</w:t>
      </w:r>
      <w:r w:rsidR="00355F50" w:rsidRPr="00A834FF">
        <w:t>El</w:t>
      </w:r>
      <w:r w:rsidR="00CE45AF" w:rsidRPr="00A834FF">
        <w:t xml:space="preserve"> </w:t>
      </w:r>
      <w:r w:rsidR="00355F50" w:rsidRPr="00A834FF">
        <w:t>Grupo Consultivo Interinstitucional es u</w:t>
      </w:r>
      <w:r w:rsidR="0048765E" w:rsidRPr="00A834FF">
        <w:t>n mecanismo consultivo informal</w:t>
      </w:r>
      <w:r w:rsidR="00355F50" w:rsidRPr="00A834FF">
        <w:t xml:space="preserve"> a nivel de trabajo en el que los coordinadores de los PEID de los organismos pertinentes de las </w:t>
      </w:r>
      <w:r w:rsidR="00355F50" w:rsidRPr="00A834FF">
        <w:rPr>
          <w:rFonts w:eastAsia="Arial"/>
          <w:spacing w:val="1"/>
        </w:rPr>
        <w:t xml:space="preserve">Naciones Unidas </w:t>
      </w:r>
      <w:r w:rsidR="00355F50" w:rsidRPr="00A834FF">
        <w:t>así como de las organizaciones intergubernamentales internacionales y regionales</w:t>
      </w:r>
      <w:r w:rsidR="0048765E" w:rsidRPr="00A834FF">
        <w:t>,</w:t>
      </w:r>
      <w:r w:rsidR="00355F50" w:rsidRPr="00A834FF">
        <w:t xml:space="preserve"> se reúnen para intercambiar puntos de vista e información.  El grupo explora formas y medios para fortalecer acciones coordinadas y de colaboración </w:t>
      </w:r>
      <w:r w:rsidR="0048765E" w:rsidRPr="00A834FF">
        <w:t xml:space="preserve">a fin de que </w:t>
      </w:r>
      <w:r w:rsidR="00355F50" w:rsidRPr="00A834FF">
        <w:t xml:space="preserve">los PEID </w:t>
      </w:r>
      <w:r w:rsidR="0048765E" w:rsidRPr="00A834FF">
        <w:t xml:space="preserve">puedan ejecutar </w:t>
      </w:r>
      <w:r w:rsidR="00355F50" w:rsidRPr="00A834FF">
        <w:t>la Trayectoria de las Modalidades de Acción Acelerada para los Pequeños Estados Insulares (SAMOA), Trayectoria de Samoa, sobre la base de sus respectivas áreas de conocimientos.”</w:t>
      </w:r>
    </w:p>
    <w:p w:rsidR="00355F50" w:rsidRPr="00A834FF" w:rsidRDefault="00355F50" w:rsidP="00CE45AF"/>
    <w:p w:rsidR="00CE45AF" w:rsidRPr="00A834FF" w:rsidRDefault="003A535A" w:rsidP="00CE45AF">
      <w:pPr>
        <w:rPr>
          <w:i/>
        </w:rPr>
      </w:pPr>
      <w:r w:rsidRPr="00A834FF">
        <w:rPr>
          <w:u w:val="single"/>
        </w:rPr>
        <w:t>Nivel de actividad</w:t>
      </w:r>
      <w:r w:rsidR="00A834FF" w:rsidRPr="00A834FF">
        <w:t xml:space="preserve">:  </w:t>
      </w:r>
      <w:r w:rsidR="00A834FF" w:rsidRPr="00A834FF">
        <w:rPr>
          <w:i/>
        </w:rPr>
        <w:t>A</w:t>
      </w:r>
      <w:r w:rsidR="000105D1" w:rsidRPr="00A834FF">
        <w:rPr>
          <w:i/>
        </w:rPr>
        <w:t>d hoc</w:t>
      </w:r>
    </w:p>
    <w:p w:rsidR="00CE45AF" w:rsidRPr="00A834FF" w:rsidRDefault="00CE45AF" w:rsidP="00CE45AF"/>
    <w:p w:rsidR="00996216" w:rsidRPr="00A834FF" w:rsidRDefault="003A535A" w:rsidP="00CE45AF">
      <w:r w:rsidRPr="00A834FF">
        <w:rPr>
          <w:u w:val="single"/>
        </w:rPr>
        <w:t>Referencia</w:t>
      </w:r>
      <w:r w:rsidR="00CE45AF" w:rsidRPr="00A834FF">
        <w:t>:</w:t>
      </w:r>
      <w:r w:rsidR="002B7462" w:rsidRPr="00A834FF">
        <w:t xml:space="preserve"> </w:t>
      </w:r>
      <w:r w:rsidR="00CE45AF" w:rsidRPr="00A834FF">
        <w:t xml:space="preserve"> </w:t>
      </w:r>
      <w:hyperlink r:id="rId16" w:history="1">
        <w:r w:rsidR="00996216" w:rsidRPr="00A834FF">
          <w:rPr>
            <w:rStyle w:val="Hyperlink"/>
            <w:color w:val="auto"/>
            <w:u w:val="none"/>
          </w:rPr>
          <w:t>https://sustainabledevelopment.un.org/topics/sids/iacg</w:t>
        </w:r>
      </w:hyperlink>
    </w:p>
    <w:p w:rsidR="00CE45AF" w:rsidRPr="00A834FF" w:rsidRDefault="00CE45AF" w:rsidP="00CE45AF"/>
    <w:p w:rsidR="002515B9" w:rsidRPr="00A834FF" w:rsidRDefault="002515B9" w:rsidP="00CE45AF">
      <w:pPr>
        <w:rPr>
          <w:b/>
        </w:rPr>
      </w:pPr>
    </w:p>
    <w:p w:rsidR="0054434B" w:rsidRPr="00A834FF" w:rsidRDefault="0054434B" w:rsidP="00CE45AF">
      <w:pPr>
        <w:rPr>
          <w:b/>
        </w:rPr>
      </w:pPr>
    </w:p>
    <w:p w:rsidR="00CE45AF" w:rsidRPr="00A834FF" w:rsidRDefault="00563A14" w:rsidP="00CE45AF">
      <w:pPr>
        <w:rPr>
          <w:b/>
        </w:rPr>
      </w:pPr>
      <w:r w:rsidRPr="00A834FF">
        <w:rPr>
          <w:b/>
        </w:rPr>
        <w:t xml:space="preserve">Grupo </w:t>
      </w:r>
      <w:r w:rsidR="003421C9" w:rsidRPr="00A834FF">
        <w:rPr>
          <w:b/>
        </w:rPr>
        <w:t xml:space="preserve">especial </w:t>
      </w:r>
      <w:r w:rsidRPr="00A834FF">
        <w:rPr>
          <w:b/>
        </w:rPr>
        <w:t>de coordinación interinstitucio</w:t>
      </w:r>
      <w:r w:rsidR="00A314EE" w:rsidRPr="00A834FF">
        <w:rPr>
          <w:b/>
        </w:rPr>
        <w:t>n</w:t>
      </w:r>
      <w:r w:rsidRPr="00A834FF">
        <w:rPr>
          <w:b/>
        </w:rPr>
        <w:t>al sobre la r</w:t>
      </w:r>
      <w:r w:rsidR="00A314EE" w:rsidRPr="00A834FF">
        <w:rPr>
          <w:b/>
        </w:rPr>
        <w:t>esistencia a los antimicrobianos</w:t>
      </w:r>
    </w:p>
    <w:p w:rsidR="00CE45AF" w:rsidRPr="00A834FF" w:rsidRDefault="00CE45AF" w:rsidP="00CE45AF"/>
    <w:p w:rsidR="00CE45AF" w:rsidRPr="00A834FF" w:rsidRDefault="00A314EE" w:rsidP="00CE45AF">
      <w:r w:rsidRPr="00A834FF">
        <w:rPr>
          <w:u w:val="single"/>
        </w:rPr>
        <w:t>Organización de coordinación</w:t>
      </w:r>
      <w:r w:rsidR="00CE45AF" w:rsidRPr="00A834FF">
        <w:t xml:space="preserve">:  </w:t>
      </w:r>
      <w:r w:rsidR="00563A14" w:rsidRPr="00A834FF">
        <w:rPr>
          <w:rFonts w:eastAsia="Arial"/>
          <w:spacing w:val="1"/>
        </w:rPr>
        <w:t>Naciones Unidas</w:t>
      </w:r>
      <w:r w:rsidR="00A834FF" w:rsidRPr="00A834FF">
        <w:t>;  O</w:t>
      </w:r>
      <w:r w:rsidR="00563A14" w:rsidRPr="00A834FF">
        <w:t xml:space="preserve">rganización Mundial de la Salud </w:t>
      </w:r>
      <w:r w:rsidR="00CE45AF" w:rsidRPr="00A834FF">
        <w:t>(</w:t>
      </w:r>
      <w:r w:rsidR="00563A14" w:rsidRPr="00A834FF">
        <w:t>OMS</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Salud pública</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w:t>
      </w:r>
    </w:p>
    <w:p w:rsidR="00CE45AF" w:rsidRPr="00A834FF" w:rsidRDefault="00CE45AF" w:rsidP="00CE45AF"/>
    <w:p w:rsidR="003421C9" w:rsidRPr="00A834FF" w:rsidRDefault="003A535A" w:rsidP="00CE45AF">
      <w:r w:rsidRPr="00A834FF">
        <w:rPr>
          <w:u w:val="single"/>
        </w:rPr>
        <w:t>Relación con la transferencia de tecnología</w:t>
      </w:r>
      <w:r w:rsidR="00CE45AF" w:rsidRPr="00A834FF">
        <w:t xml:space="preserve">:  </w:t>
      </w:r>
      <w:r w:rsidR="00A314EE" w:rsidRPr="00A834FF">
        <w:t>Se prevé que el Grupo de coordinación interinstitucional sobre la resistencia a los antimicrobianos “</w:t>
      </w:r>
      <w:r w:rsidR="003421C9" w:rsidRPr="00A834FF">
        <w:t>Mejor</w:t>
      </w:r>
      <w:r w:rsidR="0054434B" w:rsidRPr="00A834FF">
        <w:t>e</w:t>
      </w:r>
      <w:r w:rsidR="003421C9" w:rsidRPr="00A834FF">
        <w:t xml:space="preserve"> el desarrollo de la capacidad, la transferencia de tecnología en condiciones mutuamente convenidas y la asistencia y la cooperación técnicas para controlar y prevenir la resistencia a los antimicrobianos, así como la cooperación internacional y la financiación para apoyar la elaboración y ejecución de planes de acción nacionales, incluida la vigilancia y el seguimiento, el fortalecimiento de los sistemas de salud y la capacidad normativa y de investigación, sin poner en peligro, en particular en el caso de los países de ingresos bajos y medianos, la salud y sin oponer obstáculos al acceso a la atención médica.”</w:t>
      </w:r>
    </w:p>
    <w:p w:rsidR="003421C9" w:rsidRPr="00A834FF" w:rsidRDefault="003421C9" w:rsidP="00CE45AF"/>
    <w:p w:rsidR="00CE45AF" w:rsidRPr="00A834FF" w:rsidRDefault="00CE45AF" w:rsidP="00CE45AF"/>
    <w:p w:rsidR="003421C9" w:rsidRPr="00A834FF" w:rsidRDefault="003A535A" w:rsidP="00CE45AF">
      <w:pPr>
        <w:rPr>
          <w:rFonts w:eastAsia="Arial"/>
          <w:spacing w:val="1"/>
        </w:rPr>
      </w:pPr>
      <w:r w:rsidRPr="00A834FF">
        <w:rPr>
          <w:u w:val="single"/>
        </w:rPr>
        <w:lastRenderedPageBreak/>
        <w:t>Descripción</w:t>
      </w:r>
      <w:r w:rsidR="00CE45AF" w:rsidRPr="00A834FF">
        <w:t xml:space="preserve">:  </w:t>
      </w:r>
      <w:r w:rsidR="003421C9" w:rsidRPr="00A834FF">
        <w:t>El</w:t>
      </w:r>
      <w:r w:rsidR="00CE45AF" w:rsidRPr="00A834FF">
        <w:t xml:space="preserve"> </w:t>
      </w:r>
      <w:r w:rsidR="003421C9" w:rsidRPr="00A834FF">
        <w:t xml:space="preserve">Grupo especial de coordinación interinstitucional sobre la resistencia a los antimicrobianos es </w:t>
      </w:r>
      <w:r w:rsidR="00CE45AF" w:rsidRPr="00A834FF">
        <w:t>“</w:t>
      </w:r>
      <w:r w:rsidR="003421C9" w:rsidRPr="00A834FF">
        <w:t xml:space="preserve">una actividad interinstitucional </w:t>
      </w:r>
      <w:r w:rsidR="000105D1" w:rsidRPr="00A834FF">
        <w:rPr>
          <w:i/>
        </w:rPr>
        <w:t>ad hoc</w:t>
      </w:r>
      <w:r w:rsidR="00CE45AF" w:rsidRPr="00A834FF">
        <w:t xml:space="preserve"> [</w:t>
      </w:r>
      <w:r w:rsidR="003421C9" w:rsidRPr="00A834FF">
        <w:t xml:space="preserve">establecido por el Secretario General de las </w:t>
      </w:r>
      <w:r w:rsidR="003421C9" w:rsidRPr="00A834FF">
        <w:rPr>
          <w:rFonts w:eastAsia="Arial"/>
          <w:spacing w:val="1"/>
        </w:rPr>
        <w:t>Naciones Unidas en consulta con la Organización Mundial de la Salud, la Organización Mundial de Sanidad Animal y la Organización de las Naciones Unidas para la Alimentación y la Agricultura</w:t>
      </w:r>
      <w:r w:rsidR="009E73F1" w:rsidRPr="00A834FF">
        <w:rPr>
          <w:rFonts w:eastAsia="Arial"/>
          <w:spacing w:val="1"/>
        </w:rPr>
        <w:t>]</w:t>
      </w:r>
      <w:r w:rsidR="003421C9" w:rsidRPr="00A834FF">
        <w:rPr>
          <w:rFonts w:eastAsia="Arial"/>
          <w:spacing w:val="1"/>
        </w:rPr>
        <w:t xml:space="preserve"> para proporcionar orientación práctica a la hora de aplicar los enfoques necesarios para garantizar una acción mundial eficaz y sostenida contra la resistencia a los antimicrobianos.”</w:t>
      </w:r>
    </w:p>
    <w:p w:rsidR="003421C9" w:rsidRPr="00A834FF" w:rsidRDefault="003421C9" w:rsidP="00CE45AF">
      <w:pPr>
        <w:rPr>
          <w:rFonts w:eastAsia="Arial"/>
          <w:spacing w:val="1"/>
        </w:rPr>
      </w:pPr>
    </w:p>
    <w:p w:rsidR="00CE45AF" w:rsidRPr="00A834FF" w:rsidRDefault="003A535A" w:rsidP="00CE45AF">
      <w:r w:rsidRPr="00A834FF">
        <w:rPr>
          <w:u w:val="single"/>
        </w:rPr>
        <w:t>Nivel de actividad</w:t>
      </w:r>
      <w:r w:rsidR="00CE45AF" w:rsidRPr="00A834FF">
        <w:t xml:space="preserve">:  </w:t>
      </w:r>
      <w:r w:rsidR="000105D1" w:rsidRPr="00A834FF">
        <w:rPr>
          <w:i/>
        </w:rPr>
        <w:t>Ad hoc</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17" w:history="1">
        <w:r w:rsidR="00996216" w:rsidRPr="00A834FF">
          <w:rPr>
            <w:rStyle w:val="Hyperlink"/>
            <w:color w:val="auto"/>
            <w:u w:val="none"/>
          </w:rPr>
          <w:t>http://www.who.int/antimicrobial-resistance/interagency-coordination-group/en</w:t>
        </w:r>
      </w:hyperlink>
    </w:p>
    <w:p w:rsidR="00996216" w:rsidRPr="00A834FF" w:rsidRDefault="00996216" w:rsidP="00CE45AF"/>
    <w:p w:rsidR="00630E93" w:rsidRPr="00A834FF" w:rsidRDefault="00630E93" w:rsidP="00CE45AF"/>
    <w:p w:rsidR="00CE45AF" w:rsidRPr="00A834FF" w:rsidRDefault="00CE45AF" w:rsidP="00CE45AF">
      <w:pPr>
        <w:rPr>
          <w:b/>
        </w:rPr>
      </w:pPr>
    </w:p>
    <w:p w:rsidR="00CE45AF" w:rsidRPr="00A834FF" w:rsidRDefault="003421C9" w:rsidP="00CE45AF">
      <w:pPr>
        <w:rPr>
          <w:b/>
        </w:rPr>
      </w:pPr>
      <w:r w:rsidRPr="00A834FF">
        <w:rPr>
          <w:b/>
        </w:rPr>
        <w:t xml:space="preserve">Comisiones de Estudio del UIT-D </w:t>
      </w:r>
    </w:p>
    <w:p w:rsidR="00CE45AF" w:rsidRPr="00A834FF" w:rsidRDefault="00CE45AF" w:rsidP="00CE45AF"/>
    <w:p w:rsidR="00CE45AF" w:rsidRPr="00A834FF" w:rsidRDefault="003A535A" w:rsidP="00CE45AF">
      <w:r w:rsidRPr="00A834FF">
        <w:rPr>
          <w:u w:val="single"/>
        </w:rPr>
        <w:t>Organización encargada de la coordinación</w:t>
      </w:r>
      <w:r w:rsidR="00A834FF" w:rsidRPr="00A834FF">
        <w:t>:  U</w:t>
      </w:r>
      <w:r w:rsidR="003053EF" w:rsidRPr="00A834FF">
        <w:t xml:space="preserve">nión </w:t>
      </w:r>
      <w:r w:rsidR="00CE45AF" w:rsidRPr="00A834FF">
        <w:t>Interna</w:t>
      </w:r>
      <w:r w:rsidR="003053EF" w:rsidRPr="00A834FF">
        <w:t>c</w:t>
      </w:r>
      <w:r w:rsidR="00CE45AF" w:rsidRPr="00A834FF">
        <w:t xml:space="preserve">ional </w:t>
      </w:r>
      <w:r w:rsidR="003053EF" w:rsidRPr="00A834FF">
        <w:t xml:space="preserve">de Telecomunicaciones </w:t>
      </w:r>
      <w:r w:rsidR="00CE45AF" w:rsidRPr="00A834FF">
        <w:t>(</w:t>
      </w:r>
      <w:r w:rsidR="003053EF" w:rsidRPr="00A834FF">
        <w:t>UIT</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9A425C" w:rsidRPr="00A834FF">
        <w:t xml:space="preserve"> </w:t>
      </w:r>
      <w:r w:rsidR="00597B67" w:rsidRPr="00A834FF">
        <w:t xml:space="preserve">Tecnologías de la información y la comunicación </w:t>
      </w:r>
      <w:r w:rsidR="00CE45AF" w:rsidRPr="00A834FF">
        <w:t>(</w:t>
      </w:r>
      <w:r w:rsidR="00597B67" w:rsidRPr="00A834FF">
        <w:t>TIC</w:t>
      </w:r>
      <w:r w:rsidR="00CE45AF" w:rsidRPr="00A834FF">
        <w:t>)</w:t>
      </w:r>
    </w:p>
    <w:p w:rsidR="00CE45AF" w:rsidRPr="00A834FF" w:rsidRDefault="00CE45AF" w:rsidP="00CE45AF"/>
    <w:p w:rsidR="00CE45AF" w:rsidRPr="00A834FF" w:rsidRDefault="003A535A" w:rsidP="00CE45AF">
      <w:r w:rsidRPr="00A834FF">
        <w:rPr>
          <w:u w:val="single"/>
        </w:rPr>
        <w:t>Participantes</w:t>
      </w:r>
      <w:r w:rsidR="00597B67" w:rsidRPr="00A834FF">
        <w:t xml:space="preserve">: </w:t>
      </w:r>
      <w:r w:rsidR="009A425C" w:rsidRPr="00A834FF">
        <w:t xml:space="preserve"> </w:t>
      </w:r>
      <w:r w:rsidR="00597B67" w:rsidRPr="00A834FF">
        <w:t>Es</w:t>
      </w:r>
      <w:r w:rsidR="00CE45AF" w:rsidRPr="00A834FF">
        <w:t>ta</w:t>
      </w:r>
      <w:r w:rsidR="00597B67" w:rsidRPr="00A834FF">
        <w:t>dos</w:t>
      </w:r>
      <w:r w:rsidR="00A834FF" w:rsidRPr="00A834FF">
        <w:t>;  o</w:t>
      </w:r>
      <w:r w:rsidR="00597B67" w:rsidRPr="00A834FF">
        <w:t xml:space="preserve">rganizaciones no gubernamentales </w:t>
      </w:r>
    </w:p>
    <w:p w:rsidR="00CE45AF" w:rsidRPr="00A834FF" w:rsidRDefault="00CE45AF" w:rsidP="00CE45AF"/>
    <w:p w:rsidR="003421C9" w:rsidRPr="00A834FF" w:rsidRDefault="003A535A" w:rsidP="00CE45AF">
      <w:r w:rsidRPr="00A834FF">
        <w:rPr>
          <w:u w:val="single"/>
        </w:rPr>
        <w:t>Relación con la transferencia de tecnología</w:t>
      </w:r>
      <w:r w:rsidR="00A834FF" w:rsidRPr="00A834FF">
        <w:t>:  E</w:t>
      </w:r>
      <w:r w:rsidR="00216E04" w:rsidRPr="00A834FF">
        <w:t>l Sector de D</w:t>
      </w:r>
      <w:r w:rsidR="003421C9" w:rsidRPr="00A834FF">
        <w:t xml:space="preserve">esarrollo de la UIT trabaja </w:t>
      </w:r>
      <w:r w:rsidR="00921249" w:rsidRPr="00A834FF">
        <w:t>en</w:t>
      </w:r>
      <w:r w:rsidR="003421C9" w:rsidRPr="00A834FF">
        <w:t xml:space="preserve"> la “adopción de soluciones tecnológicas eficientes para el desarrollo de las infraestructura de las TIC”.</w:t>
      </w:r>
    </w:p>
    <w:p w:rsidR="00CE45AF" w:rsidRPr="00A834FF" w:rsidRDefault="00CE45AF" w:rsidP="00CE45AF"/>
    <w:p w:rsidR="0033029D" w:rsidRPr="00A834FF" w:rsidRDefault="003A535A" w:rsidP="00CE45AF">
      <w:r w:rsidRPr="00A834FF">
        <w:rPr>
          <w:u w:val="single"/>
        </w:rPr>
        <w:t>Descripción</w:t>
      </w:r>
      <w:r w:rsidR="00CE45AF" w:rsidRPr="00A834FF">
        <w:t>:</w:t>
      </w:r>
      <w:r w:rsidR="009A425C" w:rsidRPr="00A834FF">
        <w:t xml:space="preserve"> </w:t>
      </w:r>
      <w:r w:rsidR="00CE45AF" w:rsidRPr="00A834FF">
        <w:t xml:space="preserve"> “</w:t>
      </w:r>
      <w:r w:rsidR="0033029D" w:rsidRPr="00A834FF">
        <w:t>Las Comisiones de Estudio del UIT-D ofrecen una oportunidad para que todos los Estados miembros y Miembros del Sector (incluidos los asociados y las instituciones académicas) compartan experiencias, presenten ideas, intercambien puntos de vista y alcancen un consenso sobre las estrategias adecuadas para abordar las prioridades en materia de las TIC</w:t>
      </w:r>
      <w:r w:rsidR="00A834FF" w:rsidRPr="00A834FF">
        <w:t>.  L</w:t>
      </w:r>
      <w:r w:rsidR="0033029D" w:rsidRPr="00A834FF">
        <w:t xml:space="preserve">as Comisiones de Estudio del UIT-D son responsables de elaborar informes, directrices y recomendaciones sobre la base de las aportaciones </w:t>
      </w:r>
      <w:r w:rsidR="00216E04" w:rsidRPr="00A834FF">
        <w:t>de</w:t>
      </w:r>
      <w:r w:rsidR="0033029D" w:rsidRPr="00A834FF">
        <w:t xml:space="preserve"> sus miembros.”</w:t>
      </w:r>
    </w:p>
    <w:p w:rsidR="0033029D" w:rsidRPr="00A834FF" w:rsidRDefault="0033029D" w:rsidP="00CE45AF"/>
    <w:p w:rsidR="00CE45AF" w:rsidRPr="00A834FF" w:rsidRDefault="003A535A" w:rsidP="00CE45AF">
      <w:r w:rsidRPr="00A834FF">
        <w:rPr>
          <w:u w:val="single"/>
        </w:rPr>
        <w:t>Nivel de actividad</w:t>
      </w:r>
      <w:r w:rsidR="00CE45AF" w:rsidRPr="00A834FF">
        <w:t xml:space="preserve">: </w:t>
      </w:r>
      <w:r w:rsidR="009A425C" w:rsidRPr="00A834FF">
        <w:t xml:space="preserve"> </w:t>
      </w:r>
      <w:r w:rsidR="000105D1" w:rsidRPr="00A834FF">
        <w:rPr>
          <w:i/>
        </w:rPr>
        <w:t>Ad hoc</w:t>
      </w:r>
    </w:p>
    <w:p w:rsidR="00CE45AF" w:rsidRPr="00A834FF" w:rsidRDefault="00CE45AF" w:rsidP="00CE45AF"/>
    <w:p w:rsidR="00CE45AF" w:rsidRPr="00A834FF" w:rsidRDefault="003A535A" w:rsidP="00CE45AF">
      <w:r w:rsidRPr="00A834FF">
        <w:rPr>
          <w:u w:val="single"/>
        </w:rPr>
        <w:t>Referencia</w:t>
      </w:r>
      <w:r w:rsidR="00CE45AF" w:rsidRPr="00A834FF">
        <w:t>:</w:t>
      </w:r>
      <w:r w:rsidR="009A425C" w:rsidRPr="00A834FF">
        <w:t xml:space="preserve"> </w:t>
      </w:r>
      <w:r w:rsidR="00CE45AF" w:rsidRPr="00A834FF">
        <w:t xml:space="preserve"> https://www.itu.int/net4/ITU-D/CDS/sg/index.asp?lg=1&amp;sp=2014 </w:t>
      </w:r>
    </w:p>
    <w:p w:rsidR="00CE45AF" w:rsidRPr="00A834FF" w:rsidRDefault="00CE45AF" w:rsidP="00CE45AF"/>
    <w:p w:rsidR="00CE45AF" w:rsidRPr="00A834FF" w:rsidRDefault="00CE45AF" w:rsidP="00CE45AF"/>
    <w:p w:rsidR="00630E93" w:rsidRPr="00A834FF" w:rsidRDefault="00630E93" w:rsidP="00CE45AF"/>
    <w:p w:rsidR="00CE45AF" w:rsidRPr="00A834FF" w:rsidRDefault="00573419" w:rsidP="00573419">
      <w:pPr>
        <w:rPr>
          <w:b/>
        </w:rPr>
      </w:pPr>
      <w:r w:rsidRPr="00A834FF">
        <w:rPr>
          <w:b/>
        </w:rPr>
        <w:t>Foro de colaboración entre múltiples interesados sobre la ciencia, la tecnología y la</w:t>
      </w:r>
      <w:r w:rsidR="00000583" w:rsidRPr="00A834FF">
        <w:rPr>
          <w:b/>
        </w:rPr>
        <w:t xml:space="preserve"> </w:t>
      </w:r>
      <w:r w:rsidRPr="00A834FF">
        <w:rPr>
          <w:b/>
        </w:rPr>
        <w:t xml:space="preserve">innovación en pro de los Objetivos de Desarrollo Sostenible </w:t>
      </w:r>
      <w:r w:rsidR="00CE45AF" w:rsidRPr="00A834FF">
        <w:rPr>
          <w:b/>
        </w:rPr>
        <w:t>(</w:t>
      </w:r>
      <w:r w:rsidRPr="00A834FF">
        <w:rPr>
          <w:b/>
        </w:rPr>
        <w:t xml:space="preserve">Foro </w:t>
      </w:r>
      <w:r w:rsidR="00CE45AF" w:rsidRPr="00A834FF">
        <w:rPr>
          <w:b/>
        </w:rPr>
        <w:t>STI)</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573419" w:rsidRPr="00A834FF">
        <w:t xml:space="preserve">Departamento de Asuntos Económicos y Sociales de las </w:t>
      </w:r>
      <w:r w:rsidR="00573419" w:rsidRPr="00A834FF">
        <w:rPr>
          <w:rFonts w:eastAsia="Arial"/>
          <w:spacing w:val="1"/>
        </w:rPr>
        <w:t>Naciones Unidas</w:t>
      </w:r>
      <w:r w:rsidR="00CE45AF" w:rsidRPr="00A834FF">
        <w:t xml:space="preserve"> (UNDESA)</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Ciencia, tecnología e innovación</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 organizaciones no gubernamentales</w:t>
      </w:r>
    </w:p>
    <w:p w:rsidR="00CE45AF" w:rsidRPr="00A834FF" w:rsidRDefault="00CE45AF" w:rsidP="00CE45AF"/>
    <w:p w:rsidR="00F65B3D" w:rsidRPr="00A834FF" w:rsidRDefault="003A535A" w:rsidP="00F65B3D">
      <w:r w:rsidRPr="00A834FF">
        <w:rPr>
          <w:u w:val="single"/>
        </w:rPr>
        <w:t>Relación con la transferencia de tecnología</w:t>
      </w:r>
      <w:r w:rsidR="00CE45AF" w:rsidRPr="00A834FF">
        <w:t xml:space="preserve">:  </w:t>
      </w:r>
      <w:r w:rsidR="00FE173F" w:rsidRPr="00A834FF">
        <w:t>Resolució</w:t>
      </w:r>
      <w:r w:rsidR="00A834FF" w:rsidRPr="00A834FF">
        <w:t>n 7</w:t>
      </w:r>
      <w:r w:rsidR="00FE173F" w:rsidRPr="00A834FF">
        <w:t xml:space="preserve">0/1 de la Asamblea General de las </w:t>
      </w:r>
      <w:r w:rsidR="00FE173F" w:rsidRPr="00A834FF">
        <w:rPr>
          <w:rFonts w:eastAsia="Arial"/>
          <w:spacing w:val="1"/>
        </w:rPr>
        <w:t>Naciones Unidas</w:t>
      </w:r>
      <w:r w:rsidR="00A834FF" w:rsidRPr="00A834FF">
        <w:t>:  “</w:t>
      </w:r>
      <w:r w:rsidR="00F65B3D" w:rsidRPr="00A834FF">
        <w:t xml:space="preserve">El foro será un mecanismo que facilitará la interacción, la intermediación y el establecimiento de redes entre las partes competentes y las alianzas de múltiples interesados, a fin de determinar y examinar las necesidades y lagunas tecnológicas, incluidas </w:t>
      </w:r>
      <w:r w:rsidR="00F65B3D" w:rsidRPr="00A834FF">
        <w:lastRenderedPageBreak/>
        <w:t>las existentes en la cooperación, la innovación y la creación de capacidad científicas, y también para ayudar a facilitar el desarrollo, la transferencia y la difusión de tecnologías pertinentes para los Objetivos de Desarrollo Sostenible.”</w:t>
      </w:r>
    </w:p>
    <w:p w:rsidR="00CE45AF" w:rsidRPr="00A834FF" w:rsidRDefault="00CE45AF" w:rsidP="00CE45AF"/>
    <w:p w:rsidR="00F65B3D" w:rsidRPr="00A834FF" w:rsidRDefault="003A535A" w:rsidP="00F65B3D">
      <w:r w:rsidRPr="00A834FF">
        <w:rPr>
          <w:u w:val="single"/>
        </w:rPr>
        <w:t>Descripción</w:t>
      </w:r>
      <w:r w:rsidR="00CE45AF" w:rsidRPr="00A834FF">
        <w:t xml:space="preserve">:  </w:t>
      </w:r>
      <w:r w:rsidR="00573419" w:rsidRPr="00A834FF">
        <w:t>Resolució</w:t>
      </w:r>
      <w:r w:rsidR="00A834FF" w:rsidRPr="00A834FF">
        <w:t>n 7</w:t>
      </w:r>
      <w:r w:rsidR="00573419" w:rsidRPr="00A834FF">
        <w:t>0/1 de la Asamblea General</w:t>
      </w:r>
      <w:r w:rsidR="00CE45AF" w:rsidRPr="00A834FF">
        <w:t>:  “</w:t>
      </w:r>
      <w:r w:rsidR="00F65B3D" w:rsidRPr="00A834FF">
        <w:t>El foro de múltiples interesados sobre la ciencia, la tecnología y la innovación en pro de los Objetivos de Desarrollo Sostenible será convocado […]  para la implementación de los Objetivos de Desarrollo Sostenible …”</w:t>
      </w:r>
    </w:p>
    <w:p w:rsidR="00F65B3D" w:rsidRPr="00A834FF" w:rsidRDefault="00F65B3D" w:rsidP="00F65B3D"/>
    <w:p w:rsidR="00CE45AF" w:rsidRPr="00A834FF" w:rsidRDefault="003A535A" w:rsidP="00CE45AF">
      <w:r w:rsidRPr="00A834FF">
        <w:rPr>
          <w:u w:val="single"/>
        </w:rPr>
        <w:t>Nivel de actividad</w:t>
      </w:r>
      <w:r w:rsidR="00CE45AF" w:rsidRPr="00A834FF">
        <w:t xml:space="preserve">:  </w:t>
      </w:r>
      <w:r w:rsidRPr="00A834FF">
        <w:t>Anual</w:t>
      </w:r>
    </w:p>
    <w:p w:rsidR="00CE45AF" w:rsidRPr="00A834FF" w:rsidRDefault="00CE45AF" w:rsidP="00CE45AF"/>
    <w:p w:rsidR="00CE45AF" w:rsidRPr="00A834FF" w:rsidRDefault="003A535A" w:rsidP="00CE45AF">
      <w:r w:rsidRPr="00A834FF">
        <w:rPr>
          <w:u w:val="single"/>
        </w:rPr>
        <w:t>Referencia</w:t>
      </w:r>
      <w:r w:rsidR="00CE45AF" w:rsidRPr="00A834FF">
        <w:t xml:space="preserve">:  https://sustainabledevelopment.un.org/TFM/STIForum2017 </w:t>
      </w:r>
    </w:p>
    <w:p w:rsidR="00CE45AF" w:rsidRPr="00A834FF" w:rsidRDefault="00CE45AF" w:rsidP="00CE45AF"/>
    <w:p w:rsidR="00630E93" w:rsidRPr="00A834FF" w:rsidRDefault="00630E93" w:rsidP="00CE45AF"/>
    <w:p w:rsidR="00CE45AF" w:rsidRPr="00A834FF" w:rsidRDefault="00CE45AF" w:rsidP="00CE45AF"/>
    <w:p w:rsidR="00CE45AF" w:rsidRPr="00A834FF" w:rsidRDefault="003526CE" w:rsidP="00CE45AF">
      <w:pPr>
        <w:rPr>
          <w:b/>
        </w:rPr>
      </w:pPr>
      <w:r w:rsidRPr="00A834FF">
        <w:rPr>
          <w:b/>
        </w:rPr>
        <w:t>Grupo de trabajo intergubernamental del Marco de Sendai para la Reducción del Riesgo de Desastres</w:t>
      </w:r>
    </w:p>
    <w:p w:rsidR="00CE45AF" w:rsidRPr="00A834FF" w:rsidRDefault="00CE45AF" w:rsidP="00CE45AF"/>
    <w:p w:rsidR="00CE45AF" w:rsidRPr="00A834FF" w:rsidRDefault="003A535A" w:rsidP="00000583">
      <w:pPr>
        <w:pStyle w:val="Default"/>
        <w:rPr>
          <w:sz w:val="22"/>
          <w:szCs w:val="22"/>
        </w:rPr>
      </w:pPr>
      <w:r w:rsidRPr="00A834FF">
        <w:rPr>
          <w:sz w:val="22"/>
          <w:szCs w:val="22"/>
          <w:u w:val="single"/>
        </w:rPr>
        <w:t>Organización encargada de la coordinación</w:t>
      </w:r>
      <w:r w:rsidR="00A834FF" w:rsidRPr="00A834FF">
        <w:rPr>
          <w:sz w:val="22"/>
          <w:szCs w:val="22"/>
        </w:rPr>
        <w:t>:  O</w:t>
      </w:r>
      <w:r w:rsidR="00D278D5" w:rsidRPr="00A834FF">
        <w:rPr>
          <w:sz w:val="22"/>
          <w:szCs w:val="22"/>
        </w:rPr>
        <w:t xml:space="preserve">ficina de las </w:t>
      </w:r>
      <w:r w:rsidR="00D278D5" w:rsidRPr="00A834FF">
        <w:rPr>
          <w:rFonts w:ascii="Arial" w:eastAsia="Arial" w:hAnsi="Arial" w:cs="Arial"/>
          <w:spacing w:val="1"/>
          <w:sz w:val="22"/>
          <w:szCs w:val="22"/>
        </w:rPr>
        <w:t xml:space="preserve">Naciones Unidas </w:t>
      </w:r>
      <w:r w:rsidR="00D278D5" w:rsidRPr="00A834FF">
        <w:rPr>
          <w:sz w:val="22"/>
          <w:szCs w:val="22"/>
        </w:rPr>
        <w:t xml:space="preserve">para la Reducción del Riesgo de Desastres </w:t>
      </w:r>
      <w:r w:rsidR="00CE45AF" w:rsidRPr="00A834FF">
        <w:rPr>
          <w:sz w:val="22"/>
          <w:szCs w:val="22"/>
        </w:rPr>
        <w:t>(UNISDR)</w:t>
      </w:r>
    </w:p>
    <w:p w:rsidR="00CE45AF" w:rsidRPr="00A834FF" w:rsidRDefault="00CE45AF" w:rsidP="00D278D5">
      <w:pPr>
        <w:tabs>
          <w:tab w:val="left" w:pos="763"/>
        </w:tabs>
      </w:pPr>
    </w:p>
    <w:p w:rsidR="00CE45AF" w:rsidRPr="00A834FF" w:rsidRDefault="003A535A" w:rsidP="00CE45AF">
      <w:r w:rsidRPr="00A834FF">
        <w:rPr>
          <w:u w:val="single"/>
        </w:rPr>
        <w:t>Temática</w:t>
      </w:r>
      <w:r w:rsidR="00A834FF" w:rsidRPr="00A834FF">
        <w:t>:  R</w:t>
      </w:r>
      <w:r w:rsidR="00000583" w:rsidRPr="00A834FF">
        <w:t>educción del riesgo de desastres</w:t>
      </w:r>
    </w:p>
    <w:p w:rsidR="00CE45AF" w:rsidRPr="00A834FF" w:rsidRDefault="00CE45AF" w:rsidP="00CE45AF"/>
    <w:p w:rsidR="00CE45AF" w:rsidRPr="00A834FF" w:rsidRDefault="003A535A" w:rsidP="00CE45AF">
      <w:r w:rsidRPr="00A834FF">
        <w:rPr>
          <w:u w:val="single"/>
        </w:rPr>
        <w:t>Participantes</w:t>
      </w:r>
      <w:r w:rsidR="00A834FF" w:rsidRPr="00A834FF">
        <w:t>:  E</w:t>
      </w:r>
      <w:r w:rsidR="00BA1DBB" w:rsidRPr="00A834FF">
        <w:t>stados, organizaciones intergubernamentales, organizaciones no gubernamentales</w:t>
      </w:r>
    </w:p>
    <w:p w:rsidR="00CE45AF" w:rsidRPr="00A834FF" w:rsidRDefault="00CE45AF" w:rsidP="00CE45AF"/>
    <w:p w:rsidR="00000583" w:rsidRPr="00A834FF" w:rsidRDefault="003A535A" w:rsidP="00000583">
      <w:r w:rsidRPr="00A834FF">
        <w:rPr>
          <w:u w:val="single"/>
        </w:rPr>
        <w:t>Relación con la transferencia de tecnología</w:t>
      </w:r>
      <w:r w:rsidR="00A834FF" w:rsidRPr="00A834FF">
        <w:t>:  M</w:t>
      </w:r>
      <w:r w:rsidR="00000583" w:rsidRPr="00A834FF">
        <w:t>arco de Sendai para la Reducción del Riesgo de Desastre</w:t>
      </w:r>
      <w:r w:rsidR="00A834FF" w:rsidRPr="00A834FF">
        <w:t>s 2</w:t>
      </w:r>
      <w:r w:rsidR="00000583" w:rsidRPr="00A834FF">
        <w:t>015-2030</w:t>
      </w:r>
      <w:r w:rsidR="00A834FF" w:rsidRPr="00A834FF">
        <w:t>:  “</w:t>
      </w:r>
      <w:r w:rsidR="00000583" w:rsidRPr="00A834FF">
        <w:t>que se preste mayor apoyo internacional coordinado, sostenido y suficiente para la reducción del riesgo de desastres, en particular a los países menos adelantados, los pequeños Estados insulares en desarrollo, los países en desarrollo sin litoral y los países africanos, así como a los países de ingresos medianos que afrontan desafíos específicos, a través de cauces bilaterales y multilaterales, incluso mediante la prestación de mayor apoyo técnico y financiero y la transferencia de tecnología en condiciones preferenciales y de favor, mutuamente convenidas, para el desarrollo y fortalecimiento de sus capacidades</w:t>
      </w:r>
      <w:r w:rsidR="00CE45AF" w:rsidRPr="00A834FF">
        <w:t>; …</w:t>
      </w:r>
      <w:r w:rsidR="00000583" w:rsidRPr="00A834FF">
        <w:t xml:space="preserve"> aumentar el acceso de los Estados, en particular los países en desarrollo, a la financiación,</w:t>
      </w:r>
    </w:p>
    <w:p w:rsidR="00CE45AF" w:rsidRPr="00A834FF" w:rsidRDefault="00000583" w:rsidP="00000583">
      <w:r w:rsidRPr="00A834FF">
        <w:t>la tecnología ecológicamente racional, la ciencia y la innovación inclusiva, así como el conocimiento y el intercambio de información mediante los mecanismos existentes, a saber, los arreglos de colaboración bilaterales, regionales y multilaterales, como las Naciones Unidas y otros órganos competentes</w:t>
      </w:r>
      <w:r w:rsidR="00A834FF" w:rsidRPr="00A834FF">
        <w:t>;  [</w:t>
      </w:r>
      <w:r w:rsidR="00CE45AF" w:rsidRPr="00A834FF">
        <w:t>…]</w:t>
      </w:r>
      <w:r w:rsidRPr="00A834FF">
        <w:t xml:space="preserve"> promover la utilización y la ampliación de plataformas temáticas de cooperación, tales como consorcios mundiales de tecnología y sistemas mundiales para compartir el saber hacer, la innovación y la investigación y asegurar el acceso a la tecnología y la información sobre la reducción del riesgo de desastres;</w:t>
      </w:r>
      <w:r w:rsidR="00CE45AF" w:rsidRPr="00A834FF">
        <w:t>”</w:t>
      </w:r>
    </w:p>
    <w:p w:rsidR="00CE45AF" w:rsidRPr="00A834FF" w:rsidRDefault="00CE45AF" w:rsidP="00CE45AF"/>
    <w:p w:rsidR="00D278D5" w:rsidRPr="00A834FF" w:rsidRDefault="003A535A" w:rsidP="00CE45AF">
      <w:r w:rsidRPr="00A834FF">
        <w:rPr>
          <w:u w:val="single"/>
        </w:rPr>
        <w:t>Descripción</w:t>
      </w:r>
      <w:r w:rsidR="00A834FF" w:rsidRPr="00A834FF">
        <w:t>:  “</w:t>
      </w:r>
      <w:r w:rsidR="00D278D5" w:rsidRPr="00A834FF">
        <w:t>El</w:t>
      </w:r>
      <w:r w:rsidR="00CE45AF" w:rsidRPr="00A834FF">
        <w:t xml:space="preserve"> </w:t>
      </w:r>
      <w:r w:rsidR="00D278D5" w:rsidRPr="00A834FF">
        <w:t>Marco de Sendai es un acuerdo voluntario, no vinculante, con una duración d</w:t>
      </w:r>
      <w:r w:rsidR="00A834FF" w:rsidRPr="00A834FF">
        <w:t>e 1</w:t>
      </w:r>
      <w:r w:rsidR="00D278D5" w:rsidRPr="00A834FF">
        <w:t xml:space="preserve">5 años, que reconoce que el Estado tiene </w:t>
      </w:r>
      <w:r w:rsidR="009008C7" w:rsidRPr="00A834FF">
        <w:t xml:space="preserve">el papel crucial en la reducción del </w:t>
      </w:r>
      <w:r w:rsidR="00D278D5" w:rsidRPr="00A834FF">
        <w:t>rie</w:t>
      </w:r>
      <w:r w:rsidR="009008C7" w:rsidRPr="00A834FF">
        <w:t>s</w:t>
      </w:r>
      <w:r w:rsidR="00D278D5" w:rsidRPr="00A834FF">
        <w:t>go de desastre</w:t>
      </w:r>
      <w:r w:rsidR="003526CE" w:rsidRPr="00A834FF">
        <w:t>s</w:t>
      </w:r>
      <w:r w:rsidR="00D278D5" w:rsidRPr="00A834FF">
        <w:t xml:space="preserve">, pero que esa responsabilidad debe ser compartida con otras partes </w:t>
      </w:r>
      <w:r w:rsidR="003526CE" w:rsidRPr="00A834FF">
        <w:t>pertinentes</w:t>
      </w:r>
      <w:r w:rsidR="00D278D5" w:rsidRPr="00A834FF">
        <w:t>, incluidos los gobiernos locales, el sector privado y otros interesados.”</w:t>
      </w:r>
      <w:r w:rsidR="002570DF" w:rsidRPr="00A834FF">
        <w:t xml:space="preserve"> </w:t>
      </w:r>
    </w:p>
    <w:p w:rsidR="00CE45AF" w:rsidRPr="00A834FF" w:rsidRDefault="00CE45AF" w:rsidP="009008C7">
      <w:pPr>
        <w:tabs>
          <w:tab w:val="left" w:pos="4212"/>
        </w:tabs>
      </w:pPr>
    </w:p>
    <w:p w:rsidR="00CE45AF" w:rsidRPr="00A834FF" w:rsidRDefault="003A535A" w:rsidP="00CE45AF">
      <w:r w:rsidRPr="00A834FF">
        <w:rPr>
          <w:u w:val="single"/>
        </w:rPr>
        <w:t>Nivel de actividad</w:t>
      </w:r>
      <w:r w:rsidR="00CE45AF" w:rsidRPr="00A834FF">
        <w:t xml:space="preserve">:  </w:t>
      </w:r>
      <w:r w:rsidR="000105D1" w:rsidRPr="00A834FF">
        <w:rPr>
          <w:i/>
        </w:rPr>
        <w:t>Ad hoc</w:t>
      </w:r>
    </w:p>
    <w:p w:rsidR="00CE45AF" w:rsidRPr="00A834FF" w:rsidRDefault="00CE45AF" w:rsidP="00CE45AF"/>
    <w:p w:rsidR="00CE45AF" w:rsidRPr="00A834FF" w:rsidRDefault="003A535A" w:rsidP="00CE45AF">
      <w:r w:rsidRPr="00A834FF">
        <w:rPr>
          <w:u w:val="single"/>
        </w:rPr>
        <w:t>Referencia</w:t>
      </w:r>
      <w:r w:rsidR="00CE45AF" w:rsidRPr="00A834FF">
        <w:t xml:space="preserve">:  http://www.unisdr.org/we/coordinate/sendai-framework </w:t>
      </w:r>
    </w:p>
    <w:p w:rsidR="00CE45AF" w:rsidRPr="00A834FF" w:rsidRDefault="00CE45AF" w:rsidP="00CE45AF"/>
    <w:p w:rsidR="00CE45AF" w:rsidRPr="00A834FF" w:rsidRDefault="00CE45AF" w:rsidP="00CE45AF"/>
    <w:p w:rsidR="009008C7" w:rsidRPr="00A834FF" w:rsidRDefault="009008C7" w:rsidP="00CE45AF"/>
    <w:p w:rsidR="009008C7" w:rsidRPr="00A834FF" w:rsidRDefault="009008C7">
      <w:pPr>
        <w:rPr>
          <w:b/>
        </w:rPr>
      </w:pPr>
      <w:r w:rsidRPr="00A834FF">
        <w:rPr>
          <w:b/>
        </w:rPr>
        <w:br w:type="page"/>
      </w:r>
    </w:p>
    <w:p w:rsidR="00CE45AF" w:rsidRPr="00A834FF" w:rsidRDefault="003B1190" w:rsidP="00CE45AF">
      <w:pPr>
        <w:rPr>
          <w:b/>
        </w:rPr>
      </w:pPr>
      <w:r w:rsidRPr="00A834FF">
        <w:rPr>
          <w:b/>
        </w:rPr>
        <w:lastRenderedPageBreak/>
        <w:t xml:space="preserve">Comisión </w:t>
      </w:r>
      <w:r w:rsidR="009008C7" w:rsidRPr="00A834FF">
        <w:rPr>
          <w:b/>
        </w:rPr>
        <w:t>de</w:t>
      </w:r>
      <w:r w:rsidRPr="00A834FF">
        <w:rPr>
          <w:b/>
        </w:rPr>
        <w:t xml:space="preserve"> Ciencia y Tecnología para el Desarrollo</w:t>
      </w:r>
      <w:r w:rsidR="009F368A" w:rsidRPr="00A834FF">
        <w:rPr>
          <w:b/>
        </w:rPr>
        <w:t xml:space="preserve"> de las Naciones Unidas</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3B1190" w:rsidRPr="00A834FF">
        <w:t xml:space="preserve">Conferencia de las </w:t>
      </w:r>
      <w:r w:rsidR="003B1190" w:rsidRPr="00A834FF">
        <w:rPr>
          <w:rFonts w:eastAsia="Arial"/>
          <w:spacing w:val="1"/>
        </w:rPr>
        <w:t xml:space="preserve">Naciones Unidas </w:t>
      </w:r>
      <w:r w:rsidR="003B1190" w:rsidRPr="00A834FF">
        <w:t xml:space="preserve">sobre Comercio y Desarrollo </w:t>
      </w:r>
      <w:r w:rsidR="00CE45AF" w:rsidRPr="00A834FF">
        <w:t>(UNCTAD)</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Ciencia, tecnología e innovación</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EB5599" w:rsidRPr="00A834FF">
        <w:t>Estados</w:t>
      </w:r>
    </w:p>
    <w:p w:rsidR="00CE45AF" w:rsidRPr="00A834FF" w:rsidRDefault="00CE45AF" w:rsidP="00CE45AF"/>
    <w:p w:rsidR="003B1190" w:rsidRPr="00A834FF" w:rsidRDefault="003A535A" w:rsidP="00CE45AF">
      <w:r w:rsidRPr="00A834FF">
        <w:rPr>
          <w:u w:val="single"/>
        </w:rPr>
        <w:t>Relación con la transferencia de tecnología</w:t>
      </w:r>
      <w:r w:rsidR="00CE45AF" w:rsidRPr="00A834FF">
        <w:t>:  “</w:t>
      </w:r>
      <w:r w:rsidR="003B1190" w:rsidRPr="00A834FF">
        <w:t xml:space="preserve">La Comisión </w:t>
      </w:r>
      <w:r w:rsidR="009F368A" w:rsidRPr="00A834FF">
        <w:t>es un</w:t>
      </w:r>
      <w:r w:rsidR="00FE3759" w:rsidRPr="00A834FF">
        <w:t xml:space="preserve"> foro para</w:t>
      </w:r>
      <w:r w:rsidR="00A834FF" w:rsidRPr="00A834FF">
        <w:t>:  e</w:t>
      </w:r>
      <w:r w:rsidR="009F368A" w:rsidRPr="00A834FF">
        <w:t xml:space="preserve">xaminar </w:t>
      </w:r>
      <w:r w:rsidR="003B1190" w:rsidRPr="00A834FF">
        <w:t xml:space="preserve">cuestiones sobre ciencia y tecnología </w:t>
      </w:r>
      <w:r w:rsidR="00FE3759" w:rsidRPr="00A834FF">
        <w:t>y sus im</w:t>
      </w:r>
      <w:r w:rsidR="00F1371D" w:rsidRPr="00A834FF">
        <w:t>plicaciones para el desarrollo,</w:t>
      </w:r>
      <w:r w:rsidR="009F368A" w:rsidRPr="00A834FF">
        <w:t xml:space="preserve"> </w:t>
      </w:r>
      <w:r w:rsidR="00FE3759" w:rsidRPr="00A834FF">
        <w:t>foment</w:t>
      </w:r>
      <w:r w:rsidR="009F368A" w:rsidRPr="00A834FF">
        <w:t>ar</w:t>
      </w:r>
      <w:r w:rsidR="00FE3759" w:rsidRPr="00A834FF">
        <w:t xml:space="preserve"> </w:t>
      </w:r>
      <w:r w:rsidR="009F368A" w:rsidRPr="00A834FF">
        <w:t xml:space="preserve">el conocimiento de </w:t>
      </w:r>
      <w:r w:rsidR="00FE3759" w:rsidRPr="00A834FF">
        <w:t>las políticas sobre ciencia y tecnología, particularmente con relación a los países en desarrollo</w:t>
      </w:r>
      <w:r w:rsidR="00F1371D" w:rsidRPr="00A834FF">
        <w:t>,</w:t>
      </w:r>
      <w:r w:rsidR="009F368A" w:rsidRPr="00A834FF">
        <w:t xml:space="preserve"> </w:t>
      </w:r>
      <w:r w:rsidR="00FE3759" w:rsidRPr="00A834FF">
        <w:t>y formula</w:t>
      </w:r>
      <w:r w:rsidR="009F368A" w:rsidRPr="00A834FF">
        <w:t xml:space="preserve">r </w:t>
      </w:r>
      <w:r w:rsidR="00FE3759" w:rsidRPr="00A834FF">
        <w:t xml:space="preserve">recomendaciones y directrices sobre cuestiones de ciencia y tecnología en el marco del sistema de las </w:t>
      </w:r>
      <w:r w:rsidR="00FE3759" w:rsidRPr="00A834FF">
        <w:rPr>
          <w:rFonts w:eastAsia="Arial"/>
          <w:spacing w:val="1"/>
        </w:rPr>
        <w:t>Naciones Unidas</w:t>
      </w:r>
      <w:r w:rsidR="00FE3759" w:rsidRPr="00A834FF">
        <w:t>.”</w:t>
      </w:r>
    </w:p>
    <w:p w:rsidR="003B1190" w:rsidRPr="00A834FF" w:rsidRDefault="003B1190" w:rsidP="00CE45AF"/>
    <w:p w:rsidR="00FE3759" w:rsidRPr="00A834FF" w:rsidRDefault="003A535A" w:rsidP="00CE45AF">
      <w:r w:rsidRPr="00A834FF">
        <w:rPr>
          <w:u w:val="single"/>
        </w:rPr>
        <w:t>Descripción</w:t>
      </w:r>
      <w:r w:rsidR="00CE45AF" w:rsidRPr="00A834FF">
        <w:t>:  “</w:t>
      </w:r>
      <w:r w:rsidR="00FE3759" w:rsidRPr="00A834FF">
        <w:t>La Comisión sobre Ciencia y Tecnología para el Desarrollo (CSTD) es un órgano subsidiario del Consejo Económico y Social (ECOSOC).  L</w:t>
      </w:r>
      <w:r w:rsidR="000105D1" w:rsidRPr="00A834FF">
        <w:t>a C</w:t>
      </w:r>
      <w:r w:rsidR="00FE3759" w:rsidRPr="00A834FF">
        <w:t xml:space="preserve">omisión se estableció para proporcionar a la Asamblea General y al ECOSOC asesoramiento de alto nivel sobre asuntos pertinentes mediante la elaboración de análisis y recomendaciones u opciones políticas adecuadas que permitan a dichos órganos dirigir la labor </w:t>
      </w:r>
      <w:r w:rsidR="006859B9" w:rsidRPr="00A834FF">
        <w:t xml:space="preserve">futura </w:t>
      </w:r>
      <w:r w:rsidR="00FE3759" w:rsidRPr="00A834FF">
        <w:t>de las Naciones Unidas</w:t>
      </w:r>
      <w:r w:rsidR="006859B9" w:rsidRPr="00A834FF">
        <w:t>,</w:t>
      </w:r>
      <w:r w:rsidR="00FE3759" w:rsidRPr="00A834FF">
        <w:t xml:space="preserve"> desarrollar políticas comunes y acordar medidas adecuadas.”</w:t>
      </w:r>
    </w:p>
    <w:p w:rsidR="00FE3759" w:rsidRPr="00A834FF" w:rsidRDefault="00FE3759" w:rsidP="00CE45AF">
      <w:pPr>
        <w:rPr>
          <w:color w:val="0070C0"/>
        </w:rPr>
      </w:pPr>
    </w:p>
    <w:p w:rsidR="00CE45AF" w:rsidRPr="00A834FF" w:rsidRDefault="003A535A" w:rsidP="00CE45AF">
      <w:r w:rsidRPr="00A834FF">
        <w:rPr>
          <w:u w:val="single"/>
        </w:rPr>
        <w:t>Nivel de actividad</w:t>
      </w:r>
      <w:r w:rsidR="00CE45AF" w:rsidRPr="00A834FF">
        <w:t xml:space="preserve">:  </w:t>
      </w:r>
      <w:r w:rsidRPr="00A834FF">
        <w:t>Anual</w:t>
      </w:r>
    </w:p>
    <w:p w:rsidR="00CE45AF" w:rsidRPr="00A834FF" w:rsidRDefault="00CE45AF" w:rsidP="00CE45AF"/>
    <w:p w:rsidR="009F368A" w:rsidRPr="00A834FF" w:rsidRDefault="003A535A" w:rsidP="00CE45AF">
      <w:r w:rsidRPr="00A834FF">
        <w:rPr>
          <w:u w:val="single"/>
        </w:rPr>
        <w:t>Referencia</w:t>
      </w:r>
      <w:r w:rsidR="00CE45AF" w:rsidRPr="00A834FF">
        <w:t xml:space="preserve">:  </w:t>
      </w:r>
      <w:hyperlink r:id="rId18" w:history="1">
        <w:r w:rsidR="009F368A" w:rsidRPr="00A834FF">
          <w:rPr>
            <w:rStyle w:val="Hyperlink"/>
            <w:color w:val="auto"/>
            <w:u w:val="none"/>
          </w:rPr>
          <w:t>http://unctad.org/en/Pages/CSTD.aspx</w:t>
        </w:r>
      </w:hyperlink>
    </w:p>
    <w:p w:rsidR="009F368A" w:rsidRPr="00A834FF" w:rsidRDefault="009F368A" w:rsidP="00CE45AF"/>
    <w:p w:rsidR="005C4C8C" w:rsidRPr="00A834FF" w:rsidRDefault="005C4C8C" w:rsidP="00CE45AF"/>
    <w:p w:rsidR="00CE45AF" w:rsidRPr="00A834FF" w:rsidRDefault="00CE45AF" w:rsidP="00CE45AF"/>
    <w:p w:rsidR="00CE45AF" w:rsidRPr="00A834FF" w:rsidRDefault="00F01EC0" w:rsidP="00CE45AF">
      <w:pPr>
        <w:rPr>
          <w:b/>
        </w:rPr>
      </w:pPr>
      <w:r w:rsidRPr="00A834FF">
        <w:rPr>
          <w:b/>
        </w:rPr>
        <w:t xml:space="preserve">Grupo de ciencia, tecnología e innovación de la Organización de las Naciones Unidas para el Desarrollo Industrial </w:t>
      </w:r>
      <w:r w:rsidR="00CE45AF" w:rsidRPr="00A834FF">
        <w:rPr>
          <w:b/>
        </w:rPr>
        <w:t>(</w:t>
      </w:r>
      <w:r w:rsidRPr="00A834FF">
        <w:rPr>
          <w:b/>
        </w:rPr>
        <w:t>ONUDI</w:t>
      </w:r>
      <w:r w:rsidR="00CE45AF" w:rsidRPr="00A834FF">
        <w:rPr>
          <w:b/>
        </w:rPr>
        <w:t>)</w:t>
      </w:r>
      <w:r w:rsidR="00A834FF" w:rsidRPr="00A834FF">
        <w:rPr>
          <w:b/>
        </w:rPr>
        <w:t>:  t</w:t>
      </w:r>
      <w:r w:rsidRPr="00A834FF">
        <w:rPr>
          <w:b/>
        </w:rPr>
        <w:t>alleres y conferencias</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F01EC0" w:rsidRPr="00A834FF">
        <w:t>Organización de las Naciones Unidas para el Desarrollo Industrial (ONUDI</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Ciencia, tecnología e innovación</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 organizaciones no gubernamentales</w:t>
      </w:r>
    </w:p>
    <w:p w:rsidR="00CE45AF" w:rsidRPr="00A834FF" w:rsidRDefault="00CE45AF" w:rsidP="00CE45AF"/>
    <w:p w:rsidR="00391AD0" w:rsidRPr="00A834FF" w:rsidRDefault="003A535A" w:rsidP="00CE45AF">
      <w:r w:rsidRPr="00A834FF">
        <w:rPr>
          <w:u w:val="single"/>
        </w:rPr>
        <w:t>Relación con la transferencia de tecnología</w:t>
      </w:r>
      <w:r w:rsidR="00391AD0" w:rsidRPr="00A834FF">
        <w:t>:  “O</w:t>
      </w:r>
      <w:r w:rsidR="00CE45AF" w:rsidRPr="00A834FF">
        <w:t>N</w:t>
      </w:r>
      <w:r w:rsidR="00391AD0" w:rsidRPr="00A834FF">
        <w:t>U</w:t>
      </w:r>
      <w:r w:rsidR="00CE45AF" w:rsidRPr="00A834FF">
        <w:t>D</w:t>
      </w:r>
      <w:r w:rsidR="00391AD0" w:rsidRPr="00A834FF">
        <w:t>I</w:t>
      </w:r>
      <w:r w:rsidR="00CE45AF" w:rsidRPr="00A834FF">
        <w:t xml:space="preserve"> </w:t>
      </w:r>
      <w:r w:rsidR="00391AD0" w:rsidRPr="00A834FF">
        <w:t xml:space="preserve">lleva a cabo un programa de cooperación técnica centrado en la ciencia, la tecnología y la innovación (STI), que mide y analiza las lagunas en tecnología y trabaja para reducirlas de forma sistemática y sostenible.” </w:t>
      </w:r>
    </w:p>
    <w:p w:rsidR="00391AD0" w:rsidRPr="00A834FF" w:rsidRDefault="00391AD0" w:rsidP="00CE45AF"/>
    <w:p w:rsidR="000D599A" w:rsidRPr="00A834FF" w:rsidRDefault="003A535A" w:rsidP="00CE45AF">
      <w:r w:rsidRPr="00A834FF">
        <w:rPr>
          <w:u w:val="single"/>
        </w:rPr>
        <w:t>Descripción</w:t>
      </w:r>
      <w:r w:rsidR="00CE45AF" w:rsidRPr="00A834FF">
        <w:t>:  “</w:t>
      </w:r>
      <w:r w:rsidR="00391AD0" w:rsidRPr="00A834FF">
        <w:t>El Grupo</w:t>
      </w:r>
      <w:r w:rsidR="00CE45AF" w:rsidRPr="00A834FF">
        <w:t xml:space="preserve"> STI organiz</w:t>
      </w:r>
      <w:r w:rsidR="00391AD0" w:rsidRPr="00A834FF">
        <w:t xml:space="preserve">a un conjunto de sesiones de capacitación, </w:t>
      </w:r>
      <w:r w:rsidR="000D599A" w:rsidRPr="00A834FF">
        <w:t>talleres y conferencias para estimular el debate, los exámenes por homólogos y las demostraciones.”</w:t>
      </w:r>
    </w:p>
    <w:p w:rsidR="000D599A" w:rsidRPr="00A834FF" w:rsidRDefault="000D599A" w:rsidP="00CE45AF"/>
    <w:p w:rsidR="00CE45AF" w:rsidRPr="00A834FF" w:rsidRDefault="003A535A" w:rsidP="00CE45AF">
      <w:r w:rsidRPr="00A834FF">
        <w:rPr>
          <w:u w:val="single"/>
        </w:rPr>
        <w:t>Nivel de actividad</w:t>
      </w:r>
      <w:r w:rsidR="00CE45AF" w:rsidRPr="00A834FF">
        <w:t xml:space="preserve">:  </w:t>
      </w:r>
      <w:r w:rsidR="000105D1" w:rsidRPr="00A834FF">
        <w:rPr>
          <w:i/>
        </w:rPr>
        <w:t>Ad hoc</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19" w:history="1">
        <w:r w:rsidR="00D13417" w:rsidRPr="00A834FF">
          <w:rPr>
            <w:rStyle w:val="Hyperlink"/>
            <w:color w:val="auto"/>
            <w:u w:val="none"/>
          </w:rPr>
          <w:t>http://www.unido.org/what-we-do/advancing-economic-competitiveness/investing-in-technology-and-innovation/o51610/science-technology-and-innovation.html</w:t>
        </w:r>
      </w:hyperlink>
    </w:p>
    <w:p w:rsidR="00D13417" w:rsidRPr="00A834FF" w:rsidRDefault="00D13417" w:rsidP="00CE45AF"/>
    <w:p w:rsidR="005C4C8C" w:rsidRPr="00A834FF" w:rsidRDefault="005C4C8C" w:rsidP="00CE45AF"/>
    <w:p w:rsidR="00CE45AF" w:rsidRPr="00A834FF" w:rsidRDefault="00CE45AF" w:rsidP="00CE45AF"/>
    <w:p w:rsidR="00CE45AF" w:rsidRPr="00A834FF" w:rsidRDefault="0079656A" w:rsidP="00CE45AF">
      <w:pPr>
        <w:rPr>
          <w:b/>
        </w:rPr>
      </w:pPr>
      <w:r w:rsidRPr="00A834FF">
        <w:rPr>
          <w:b/>
        </w:rPr>
        <w:lastRenderedPageBreak/>
        <w:t>Mecanismo de Tecnología de la Convención Marco de las Naciones Unidas sobre el Cambio Climático (CMNUCC)</w:t>
      </w:r>
      <w:r w:rsidR="00CE45AF" w:rsidRPr="00A834FF">
        <w:rPr>
          <w:b/>
        </w:rPr>
        <w:t xml:space="preserve">:  </w:t>
      </w:r>
      <w:r w:rsidRPr="00A834FF">
        <w:rPr>
          <w:b/>
        </w:rPr>
        <w:t>Comité Ejecutivo de Tecnol</w:t>
      </w:r>
      <w:r w:rsidR="000E0547" w:rsidRPr="00A834FF">
        <w:rPr>
          <w:b/>
        </w:rPr>
        <w:t>ogí</w:t>
      </w:r>
      <w:r w:rsidRPr="00A834FF">
        <w:rPr>
          <w:b/>
        </w:rPr>
        <w:t xml:space="preserve">a </w:t>
      </w:r>
      <w:r w:rsidR="00CE45AF" w:rsidRPr="00A834FF">
        <w:rPr>
          <w:b/>
        </w:rPr>
        <w:t>(TEC)</w:t>
      </w:r>
    </w:p>
    <w:p w:rsidR="00CE45AF" w:rsidRPr="00A834FF" w:rsidRDefault="00CE45AF" w:rsidP="00CE45AF"/>
    <w:p w:rsidR="00CE45AF" w:rsidRPr="00A834FF" w:rsidRDefault="003A535A" w:rsidP="00CE45AF">
      <w:r w:rsidRPr="00A834FF">
        <w:rPr>
          <w:u w:val="single"/>
        </w:rPr>
        <w:t>Organización encargada de la coordinación</w:t>
      </w:r>
      <w:r w:rsidR="000E0547" w:rsidRPr="00A834FF">
        <w:t>:  Secretaría de l</w:t>
      </w:r>
      <w:r w:rsidR="000105D1" w:rsidRPr="00A834FF">
        <w:t>a C</w:t>
      </w:r>
      <w:r w:rsidR="000E0547" w:rsidRPr="00A834FF">
        <w:t>onvención Marco de las Naciones Unidas sobre el Cambio Climático (CMNUCC</w:t>
      </w:r>
      <w:r w:rsidR="00CE45AF" w:rsidRPr="00A834FF">
        <w:t>)</w:t>
      </w:r>
      <w:r w:rsidR="00A834FF" w:rsidRPr="00A834FF">
        <w:t>;  P</w:t>
      </w:r>
      <w:r w:rsidR="000E0547" w:rsidRPr="00A834FF">
        <w:t xml:space="preserve">rograma de las </w:t>
      </w:r>
      <w:r w:rsidR="000E0547" w:rsidRPr="00A834FF">
        <w:rPr>
          <w:rFonts w:eastAsia="Arial"/>
          <w:spacing w:val="1"/>
        </w:rPr>
        <w:t xml:space="preserve">Naciones Unidas </w:t>
      </w:r>
      <w:r w:rsidR="000E0547" w:rsidRPr="00A834FF">
        <w:t xml:space="preserve">para el Desarrollo </w:t>
      </w:r>
      <w:r w:rsidR="00CE45AF" w:rsidRPr="00A834FF">
        <w:t>(</w:t>
      </w:r>
      <w:r w:rsidR="000E0547" w:rsidRPr="00A834FF">
        <w:t>PNUD</w:t>
      </w:r>
      <w:r w:rsidR="00CE45AF" w:rsidRPr="00A834FF">
        <w:t>)</w:t>
      </w:r>
      <w:r w:rsidR="00A834FF" w:rsidRPr="00A834FF">
        <w:t>;  O</w:t>
      </w:r>
      <w:r w:rsidR="000E0547" w:rsidRPr="00A834FF">
        <w:t>rganización de las Naciones Unidas para el Desarrollo Industrial (ONUDI</w:t>
      </w:r>
      <w:r w:rsidR="00CE45AF" w:rsidRPr="00A834FF">
        <w:t>)</w:t>
      </w:r>
    </w:p>
    <w:p w:rsidR="00CE45AF" w:rsidRPr="00A834FF" w:rsidRDefault="00CE45AF" w:rsidP="00CE45AF"/>
    <w:p w:rsidR="00CE45AF" w:rsidRPr="00A834FF" w:rsidRDefault="003A535A" w:rsidP="00CE45AF">
      <w:r w:rsidRPr="00A834FF">
        <w:rPr>
          <w:u w:val="single"/>
        </w:rPr>
        <w:t>Temática</w:t>
      </w:r>
      <w:r w:rsidR="00BA1DBB" w:rsidRPr="00A834FF">
        <w:t xml:space="preserve">:  </w:t>
      </w:r>
      <w:r w:rsidR="005877E6">
        <w:t>medio ambiente</w:t>
      </w:r>
      <w:r w:rsidR="00CE45AF" w:rsidRPr="00A834FF">
        <w:t xml:space="preserve"> </w:t>
      </w:r>
      <w:r w:rsidR="00BA1DBB" w:rsidRPr="00A834FF">
        <w:t>(cambio climático)</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79656A" w:rsidRPr="00A834FF">
        <w:t>Estados</w:t>
      </w:r>
    </w:p>
    <w:p w:rsidR="00CE45AF" w:rsidRPr="00A834FF" w:rsidRDefault="00CE45AF" w:rsidP="00CE45AF"/>
    <w:p w:rsidR="006F161D" w:rsidRPr="00A834FF" w:rsidRDefault="003A535A" w:rsidP="00CE45AF">
      <w:r w:rsidRPr="00A834FF">
        <w:rPr>
          <w:u w:val="single"/>
        </w:rPr>
        <w:t>Relación con la transferencia de tecnología</w:t>
      </w:r>
      <w:r w:rsidR="00CE45AF" w:rsidRPr="00A834FF">
        <w:t xml:space="preserve">:  </w:t>
      </w:r>
      <w:r w:rsidR="006F161D" w:rsidRPr="00A834FF">
        <w:t xml:space="preserve">Acuerdos de </w:t>
      </w:r>
      <w:r w:rsidR="00CE45AF" w:rsidRPr="00A834FF">
        <w:t>Canc</w:t>
      </w:r>
      <w:r w:rsidR="006F161D" w:rsidRPr="00A834FF">
        <w:t>ún</w:t>
      </w:r>
      <w:r w:rsidR="00CE45AF" w:rsidRPr="00A834FF">
        <w:t>:  “</w:t>
      </w:r>
      <w:r w:rsidR="00D44CF8" w:rsidRPr="00A834FF">
        <w:t xml:space="preserve">a) </w:t>
      </w:r>
      <w:r w:rsidR="006F161D" w:rsidRPr="00A834FF">
        <w:t>Proporcionar una visión global de las necesidades tecnológicas, y análisis de cuestiones técnicas y de política relativas al desarrollo y la transferencia de tecnologías para la mitigación y la adaptación;</w:t>
      </w:r>
      <w:r w:rsidR="00D44CF8" w:rsidRPr="00A834FF">
        <w:t xml:space="preserve"> </w:t>
      </w:r>
      <w:r w:rsidR="006F161D" w:rsidRPr="00A834FF">
        <w:t xml:space="preserve"> b) Examinar y recomendar medidas para promover el desarrollo y la transferencia de tecnología a fin de acelerar la labor de mitigación y adaptación;</w:t>
      </w:r>
      <w:r w:rsidR="00D44CF8" w:rsidRPr="00A834FF">
        <w:t xml:space="preserve"> </w:t>
      </w:r>
      <w:r w:rsidR="006F161D" w:rsidRPr="00A834FF">
        <w:t xml:space="preserve"> c) Recomendar orientaciones sobre las políticas y las prioridades programáticas relacionadas con el desarrollo y la transferencia de tecnología, prestando especial atención a las Partes que son países menos adelantados</w:t>
      </w:r>
      <w:r w:rsidR="00A834FF" w:rsidRPr="00A834FF">
        <w:t>;  d</w:t>
      </w:r>
      <w:r w:rsidR="006F161D" w:rsidRPr="00A834FF">
        <w:t>) Promover y facilitar la colaboración en el desarrollo y la transferencia de</w:t>
      </w:r>
      <w:r w:rsidR="00D44CF8" w:rsidRPr="00A834FF">
        <w:t xml:space="preserve"> </w:t>
      </w:r>
      <w:r w:rsidR="006F161D" w:rsidRPr="00A834FF">
        <w:t>tecnologías para la mitigación del cambio climático y la adaptación a él entre los gobiernos,</w:t>
      </w:r>
      <w:r w:rsidR="00D44CF8" w:rsidRPr="00A834FF">
        <w:t xml:space="preserve"> </w:t>
      </w:r>
      <w:r w:rsidR="006F161D" w:rsidRPr="00A834FF">
        <w:t>el sector privado, las organizaciones sin fines de lucro, los círculos académicos y los</w:t>
      </w:r>
      <w:r w:rsidR="00D44CF8" w:rsidRPr="00A834FF">
        <w:t xml:space="preserve"> </w:t>
      </w:r>
      <w:r w:rsidR="006F161D" w:rsidRPr="00A834FF">
        <w:t>investigadores;</w:t>
      </w:r>
      <w:r w:rsidR="00D44CF8" w:rsidRPr="00A834FF">
        <w:t xml:space="preserve">  </w:t>
      </w:r>
      <w:r w:rsidR="006F161D" w:rsidRPr="00A834FF">
        <w:t>e) Recomendar medidas para eliminar los obstáculos al desarrollo y la</w:t>
      </w:r>
      <w:r w:rsidR="00D44CF8" w:rsidRPr="00A834FF">
        <w:t xml:space="preserve"> </w:t>
      </w:r>
      <w:r w:rsidR="006F161D" w:rsidRPr="00A834FF">
        <w:t>transferencia de tecnología, a fin de hacer posible la intensificación de la labor relativa a la</w:t>
      </w:r>
      <w:r w:rsidR="00D44CF8" w:rsidRPr="00A834FF">
        <w:t xml:space="preserve"> </w:t>
      </w:r>
      <w:r w:rsidR="006F161D" w:rsidRPr="00A834FF">
        <w:t>mitigación y la adaptación;</w:t>
      </w:r>
      <w:r w:rsidR="00D44CF8" w:rsidRPr="00A834FF">
        <w:t xml:space="preserve">  </w:t>
      </w:r>
      <w:r w:rsidR="006F161D" w:rsidRPr="00A834FF">
        <w:t>f) Entablar una cooperación con las iniciativas tecnológicas internacionales</w:t>
      </w:r>
      <w:r w:rsidR="00D44CF8" w:rsidRPr="00A834FF">
        <w:t xml:space="preserve"> </w:t>
      </w:r>
      <w:r w:rsidR="006F161D" w:rsidRPr="00A834FF">
        <w:t>pertinentes y con los interesados y las organizaciones competentes, y promover la</w:t>
      </w:r>
      <w:r w:rsidR="00D44CF8" w:rsidRPr="00A834FF">
        <w:t xml:space="preserve"> </w:t>
      </w:r>
      <w:r w:rsidR="006F161D" w:rsidRPr="00A834FF">
        <w:t>coherencia y la cooperación entre las diversas actividades relacionadas con la tecnología,</w:t>
      </w:r>
      <w:r w:rsidR="00D44CF8" w:rsidRPr="00A834FF">
        <w:t xml:space="preserve"> </w:t>
      </w:r>
      <w:r w:rsidR="006F161D" w:rsidRPr="00A834FF">
        <w:t>dentro y fuera del ámbito de la Convención;</w:t>
      </w:r>
      <w:r w:rsidR="00D44CF8" w:rsidRPr="00A834FF">
        <w:t xml:space="preserve">  </w:t>
      </w:r>
      <w:r w:rsidR="006F161D" w:rsidRPr="00A834FF">
        <w:t>g) Catalizar la elaboración y el uso de hojas de ruta o planes de acción</w:t>
      </w:r>
      <w:r w:rsidR="00D44CF8" w:rsidRPr="00A834FF">
        <w:t xml:space="preserve"> </w:t>
      </w:r>
      <w:r w:rsidR="006F161D" w:rsidRPr="00A834FF">
        <w:t>tecnológicos a nivel internacional, regional y nacional mediante la cooperación entre los</w:t>
      </w:r>
      <w:r w:rsidR="00D44CF8" w:rsidRPr="00A834FF">
        <w:t xml:space="preserve"> </w:t>
      </w:r>
      <w:r w:rsidR="006F161D" w:rsidRPr="00A834FF">
        <w:t>interesados, en particular los gobiernos y las organizaciones u órganos pertinentes, incluida</w:t>
      </w:r>
      <w:r w:rsidR="00D44CF8" w:rsidRPr="00A834FF">
        <w:t xml:space="preserve"> </w:t>
      </w:r>
      <w:r w:rsidR="006F161D" w:rsidRPr="00A834FF">
        <w:t>la elaboración de directrices sobre las prácticas óptimas, como instrumentos para facilitar la</w:t>
      </w:r>
      <w:r w:rsidR="00D44CF8" w:rsidRPr="00A834FF">
        <w:t xml:space="preserve"> </w:t>
      </w:r>
      <w:r w:rsidR="006F161D" w:rsidRPr="00A834FF">
        <w:t>labor de mitigación y adaptación;</w:t>
      </w:r>
      <w:r w:rsidR="00190198">
        <w:t>”</w:t>
      </w:r>
      <w:r w:rsidR="00D44CF8" w:rsidRPr="00A834FF">
        <w:t xml:space="preserve"> </w:t>
      </w:r>
    </w:p>
    <w:p w:rsidR="006F161D" w:rsidRPr="00A834FF" w:rsidRDefault="006F161D" w:rsidP="00CE45AF"/>
    <w:p w:rsidR="00D44CF8" w:rsidRPr="00A834FF" w:rsidRDefault="003A535A" w:rsidP="00CE45AF">
      <w:r w:rsidRPr="00A834FF">
        <w:rPr>
          <w:u w:val="single"/>
        </w:rPr>
        <w:t>Descripción</w:t>
      </w:r>
      <w:r w:rsidR="00CE45AF" w:rsidRPr="00A834FF">
        <w:t xml:space="preserve">:  </w:t>
      </w:r>
      <w:r w:rsidR="00D44CF8" w:rsidRPr="00A834FF">
        <w:t>Acuerdos de Cancún</w:t>
      </w:r>
      <w:r w:rsidR="00CE45AF" w:rsidRPr="00A834FF">
        <w:t>:  “</w:t>
      </w:r>
      <w:r w:rsidR="00D44CF8" w:rsidRPr="00A834FF">
        <w:t xml:space="preserve">el comité Ejecutivo de Tecnología y el Centro y Red de Tecnología del Clima deberían, de conformidad con sus respectivas funciones, facilitar la aplicación efectiva del Mecanismo Tecnológico, bajo la orientación de la Conferencia de las </w:t>
      </w:r>
      <w:r w:rsidR="000706C8" w:rsidRPr="00A834FF">
        <w:t>Partes;</w:t>
      </w:r>
      <w:r w:rsidR="00CE45AF" w:rsidRPr="00A834FF">
        <w:t xml:space="preserve"> </w:t>
      </w:r>
      <w:r w:rsidR="000706C8" w:rsidRPr="00A834FF">
        <w:t xml:space="preserve"> </w:t>
      </w:r>
      <w:r w:rsidR="00CE45AF" w:rsidRPr="00A834FF">
        <w:t>119</w:t>
      </w:r>
      <w:r w:rsidR="00A834FF" w:rsidRPr="00A834FF">
        <w:t>.  [</w:t>
      </w:r>
      <w:r w:rsidR="00CE45AF" w:rsidRPr="00A834FF">
        <w:t xml:space="preserve">…] </w:t>
      </w:r>
      <w:r w:rsidR="00D44CF8" w:rsidRPr="00A834FF">
        <w:t>el Comité Ejecutivo seguirá poniendo en práctica el marco para la adopción de medidas significativas y eficaces con el fin de promover la aplicación del párraf</w:t>
      </w:r>
      <w:r w:rsidR="00A834FF" w:rsidRPr="00A834FF">
        <w:t>o 5</w:t>
      </w:r>
      <w:r w:rsidR="00D44CF8" w:rsidRPr="00A834FF">
        <w:t xml:space="preserve"> del artícul</w:t>
      </w:r>
      <w:r w:rsidR="00A834FF" w:rsidRPr="00A834FF">
        <w:t>o 4</w:t>
      </w:r>
      <w:r w:rsidR="00D44CF8" w:rsidRPr="00A834FF">
        <w:t xml:space="preserve"> de la Convención aprobado en la decisió</w:t>
      </w:r>
      <w:r w:rsidR="00A834FF" w:rsidRPr="00A834FF">
        <w:t>n 4</w:t>
      </w:r>
      <w:r w:rsidR="00D44CF8" w:rsidRPr="00A834FF">
        <w:t>/CP.7 y mejorado mediante la decisió</w:t>
      </w:r>
      <w:r w:rsidR="00A834FF" w:rsidRPr="00A834FF">
        <w:t>n 3</w:t>
      </w:r>
      <w:r w:rsidR="00190198">
        <w:t>/CP.1.”</w:t>
      </w:r>
    </w:p>
    <w:p w:rsidR="00CE45AF" w:rsidRPr="00A834FF" w:rsidRDefault="00CE45AF" w:rsidP="00CE45AF"/>
    <w:p w:rsidR="00CE45AF" w:rsidRPr="00A834FF" w:rsidRDefault="003A535A" w:rsidP="00CE45AF">
      <w:r w:rsidRPr="00A834FF">
        <w:rPr>
          <w:u w:val="single"/>
        </w:rPr>
        <w:t>Nivel de actividad</w:t>
      </w:r>
      <w:r w:rsidR="00CE45AF" w:rsidRPr="00A834FF">
        <w:t xml:space="preserve">:  </w:t>
      </w:r>
      <w:r w:rsidR="002570DF" w:rsidRPr="00A834FF">
        <w:t>Semestral</w:t>
      </w:r>
      <w:r w:rsidR="00EF746E" w:rsidRPr="00A834FF">
        <w:t xml:space="preserve"> (o mayor</w:t>
      </w:r>
      <w:r w:rsidR="00CE45AF" w:rsidRPr="00A834FF">
        <w:t>)</w:t>
      </w:r>
    </w:p>
    <w:p w:rsidR="00CE45AF" w:rsidRPr="00A834FF" w:rsidRDefault="00EF746E" w:rsidP="00CE45AF">
      <w:r w:rsidRPr="00A834FF">
        <w:t xml:space="preserve"> </w:t>
      </w:r>
    </w:p>
    <w:p w:rsidR="00EF746E" w:rsidRPr="00A834FF" w:rsidRDefault="00EF746E" w:rsidP="00CE45AF"/>
    <w:p w:rsidR="00CE45AF" w:rsidRPr="00A834FF" w:rsidRDefault="003A535A" w:rsidP="00CE45AF">
      <w:r w:rsidRPr="00A834FF">
        <w:rPr>
          <w:u w:val="single"/>
        </w:rPr>
        <w:t>Referencia</w:t>
      </w:r>
      <w:r w:rsidR="00CE45AF" w:rsidRPr="00A834FF">
        <w:t xml:space="preserve">:  </w:t>
      </w:r>
      <w:hyperlink r:id="rId20" w:history="1">
        <w:r w:rsidR="00D13417" w:rsidRPr="00A834FF">
          <w:rPr>
            <w:rStyle w:val="Hyperlink"/>
            <w:color w:val="auto"/>
            <w:u w:val="none"/>
          </w:rPr>
          <w:t>http://unfccc.int/ttclear/support/technology-mechanism.html</w:t>
        </w:r>
      </w:hyperlink>
    </w:p>
    <w:p w:rsidR="00D13417" w:rsidRPr="00A834FF" w:rsidRDefault="00D13417" w:rsidP="00CE45AF"/>
    <w:p w:rsidR="00CE45AF" w:rsidRPr="00A834FF" w:rsidRDefault="00CE45AF" w:rsidP="00CE45AF"/>
    <w:p w:rsidR="002570DF" w:rsidRPr="00A834FF" w:rsidRDefault="002570DF" w:rsidP="00CE45AF"/>
    <w:p w:rsidR="00CE45AF" w:rsidRPr="00A834FF" w:rsidRDefault="00693CA8" w:rsidP="00CE45AF">
      <w:pPr>
        <w:rPr>
          <w:b/>
        </w:rPr>
      </w:pPr>
      <w:r w:rsidRPr="00A834FF">
        <w:rPr>
          <w:b/>
        </w:rPr>
        <w:t>Iniciativa de Transferencia de Tecnología de la Organización Mundial de la Salud (OMS</w:t>
      </w:r>
      <w:r w:rsidR="00CE45AF" w:rsidRPr="00A834FF">
        <w:rPr>
          <w:b/>
        </w:rPr>
        <w:t xml:space="preserve">):  </w:t>
      </w:r>
      <w:r w:rsidRPr="00A834FF">
        <w:rPr>
          <w:b/>
        </w:rPr>
        <w:t xml:space="preserve">reuniones de partes interesadas </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693CA8" w:rsidRPr="00A834FF">
        <w:t>Organización Mundial de la Salud (OMS)</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Salud pública</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 organizaciones no gubernamentales</w:t>
      </w:r>
    </w:p>
    <w:p w:rsidR="00CE45AF" w:rsidRPr="00A834FF" w:rsidRDefault="00CE45AF" w:rsidP="00CE45AF"/>
    <w:p w:rsidR="00CE45AF" w:rsidRPr="00A834FF" w:rsidRDefault="003A535A" w:rsidP="00CE45AF">
      <w:r w:rsidRPr="00A834FF">
        <w:rPr>
          <w:u w:val="single"/>
        </w:rPr>
        <w:t>Relación con la transferencia de tecnología</w:t>
      </w:r>
      <w:r w:rsidR="00CE45AF" w:rsidRPr="00A834FF">
        <w:t xml:space="preserve">:  </w:t>
      </w:r>
      <w:r w:rsidR="00693CA8" w:rsidRPr="00A834FF">
        <w:t xml:space="preserve">La Iniciativa de Transferencia de Tecnología </w:t>
      </w:r>
      <w:r w:rsidR="00CE45AF" w:rsidRPr="00A834FF">
        <w:t>“</w:t>
      </w:r>
      <w:r w:rsidR="00693CA8" w:rsidRPr="00A834FF">
        <w:t xml:space="preserve">celebra talleres con partes interesadas para abordar las </w:t>
      </w:r>
      <w:r w:rsidR="002570DF" w:rsidRPr="00A834FF">
        <w:t>deficiencias</w:t>
      </w:r>
      <w:r w:rsidR="00693CA8" w:rsidRPr="00A834FF">
        <w:t xml:space="preserve"> en la capacidad </w:t>
      </w:r>
      <w:r w:rsidR="002570DF" w:rsidRPr="00A834FF">
        <w:t>para</w:t>
      </w:r>
      <w:r w:rsidR="00693CA8" w:rsidRPr="00A834FF">
        <w:t xml:space="preserve"> recibir transferencia de tecnología</w:t>
      </w:r>
      <w:r w:rsidR="00CE45AF" w:rsidRPr="00A834FF">
        <w:t>.”</w:t>
      </w:r>
    </w:p>
    <w:p w:rsidR="00CE45AF" w:rsidRPr="00A834FF" w:rsidRDefault="00CE45AF" w:rsidP="00CE45AF"/>
    <w:p w:rsidR="00CE45AF" w:rsidRPr="00A834FF" w:rsidRDefault="003A535A" w:rsidP="00CE45AF">
      <w:r w:rsidRPr="00A834FF">
        <w:rPr>
          <w:u w:val="single"/>
        </w:rPr>
        <w:t>Descripción</w:t>
      </w:r>
      <w:r w:rsidR="00CE45AF" w:rsidRPr="00A834FF">
        <w:t>:  “</w:t>
      </w:r>
      <w:r w:rsidR="00693CA8" w:rsidRPr="00A834FF">
        <w:t xml:space="preserve">La Iniciativa de Transferencia de Tecnología </w:t>
      </w:r>
      <w:r w:rsidR="00CE45AF" w:rsidRPr="00A834FF">
        <w:t xml:space="preserve">[…] </w:t>
      </w:r>
      <w:r w:rsidR="00693CA8" w:rsidRPr="00A834FF">
        <w:t>trabaja para</w:t>
      </w:r>
      <w:r w:rsidR="00A834FF" w:rsidRPr="00A834FF">
        <w:t>:  i</w:t>
      </w:r>
      <w:r w:rsidR="00CE45AF" w:rsidRPr="00A834FF">
        <w:t>dentif</w:t>
      </w:r>
      <w:r w:rsidR="00693CA8" w:rsidRPr="00A834FF">
        <w:t xml:space="preserve">icar </w:t>
      </w:r>
      <w:r w:rsidR="000706C8" w:rsidRPr="00A834FF">
        <w:t>las</w:t>
      </w:r>
      <w:r w:rsidR="002570DF" w:rsidRPr="00A834FF">
        <w:t xml:space="preserve"> circunstancia</w:t>
      </w:r>
      <w:r w:rsidR="008272A1" w:rsidRPr="00A834FF">
        <w:t>s</w:t>
      </w:r>
      <w:r w:rsidR="002570DF" w:rsidRPr="00A834FF">
        <w:t xml:space="preserve"> </w:t>
      </w:r>
      <w:r w:rsidR="000706C8" w:rsidRPr="00A834FF">
        <w:t xml:space="preserve">en las que </w:t>
      </w:r>
      <w:r w:rsidR="002570DF" w:rsidRPr="00A834FF">
        <w:t>la</w:t>
      </w:r>
      <w:r w:rsidR="00693CA8" w:rsidRPr="00A834FF">
        <w:t xml:space="preserve"> transferencia de tecnología mejorará el acceso a estos productos y permitirá disponer de una sanidad mejorada y, cuando sea adecuado, promover y facilitar esa transferencia de tecnología</w:t>
      </w:r>
      <w:r w:rsidR="00CE45AF" w:rsidRPr="00A834FF">
        <w:t>.”</w:t>
      </w:r>
    </w:p>
    <w:p w:rsidR="00CE45AF" w:rsidRPr="00A834FF" w:rsidRDefault="00CE45AF" w:rsidP="00CE45AF"/>
    <w:p w:rsidR="00CE45AF" w:rsidRPr="00A834FF" w:rsidRDefault="003A535A" w:rsidP="00CE45AF">
      <w:r w:rsidRPr="00A834FF">
        <w:rPr>
          <w:u w:val="single"/>
        </w:rPr>
        <w:t>Nivel de actividad</w:t>
      </w:r>
      <w:r w:rsidR="00CE45AF" w:rsidRPr="00A834FF">
        <w:t xml:space="preserve">:  </w:t>
      </w:r>
      <w:r w:rsidR="000105D1" w:rsidRPr="00A834FF">
        <w:rPr>
          <w:i/>
        </w:rPr>
        <w:t>Ad hoc</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21" w:history="1">
        <w:r w:rsidR="002570DF" w:rsidRPr="00A834FF">
          <w:rPr>
            <w:rStyle w:val="Hyperlink"/>
            <w:color w:val="auto"/>
            <w:u w:val="none"/>
          </w:rPr>
          <w:t>http://www.who.int/phi/programme_technology_transfer/en/</w:t>
        </w:r>
      </w:hyperlink>
    </w:p>
    <w:p w:rsidR="002570DF" w:rsidRPr="00A834FF" w:rsidRDefault="002570DF" w:rsidP="00CE45AF"/>
    <w:p w:rsidR="00CE45AF" w:rsidRPr="00A834FF" w:rsidRDefault="00CE45AF" w:rsidP="00CE45AF"/>
    <w:p w:rsidR="00CE45AF" w:rsidRPr="00A834FF" w:rsidRDefault="00CE45AF" w:rsidP="00CE45AF"/>
    <w:p w:rsidR="00CE45AF" w:rsidRPr="00A834FF" w:rsidRDefault="00AA109D" w:rsidP="00CE45AF">
      <w:pPr>
        <w:rPr>
          <w:b/>
        </w:rPr>
      </w:pPr>
      <w:r w:rsidRPr="00A834FF">
        <w:rPr>
          <w:b/>
        </w:rPr>
        <w:t>Foro de la Cumbre Mundial sobre la Sociedad de la información (CMSI)</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3978EC" w:rsidRPr="00A834FF">
        <w:t xml:space="preserve">Unión </w:t>
      </w:r>
      <w:r w:rsidR="00CE45AF" w:rsidRPr="00A834FF">
        <w:t>Int</w:t>
      </w:r>
      <w:r w:rsidR="003978EC" w:rsidRPr="00A834FF">
        <w:t>ernac</w:t>
      </w:r>
      <w:r w:rsidR="00CE45AF" w:rsidRPr="00A834FF">
        <w:t xml:space="preserve">ional </w:t>
      </w:r>
      <w:r w:rsidR="003978EC" w:rsidRPr="00A834FF">
        <w:t xml:space="preserve">de Telecomunicaciones </w:t>
      </w:r>
      <w:r w:rsidR="00CE45AF" w:rsidRPr="00A834FF">
        <w:t>(</w:t>
      </w:r>
      <w:r w:rsidR="003978EC" w:rsidRPr="00A834FF">
        <w:t>UIT</w:t>
      </w:r>
      <w:r w:rsidR="00CE45AF" w:rsidRPr="00A834FF">
        <w:t>)</w:t>
      </w:r>
      <w:r w:rsidR="00A834FF" w:rsidRPr="00A834FF">
        <w:t>;  C</w:t>
      </w:r>
      <w:r w:rsidR="003978EC" w:rsidRPr="00A834FF">
        <w:t xml:space="preserve">onferencia de las Naciones Unidas sobre Comercio y Desarrollo </w:t>
      </w:r>
      <w:r w:rsidR="00CE45AF" w:rsidRPr="00A834FF">
        <w:t>(UNCTAD)</w:t>
      </w:r>
      <w:r w:rsidR="00A834FF" w:rsidRPr="00A834FF">
        <w:t>;  P</w:t>
      </w:r>
      <w:r w:rsidR="003978EC" w:rsidRPr="00A834FF">
        <w:t>rograma de las Naciones Unidas para el Desarrollo (PNUD)</w:t>
      </w:r>
      <w:r w:rsidR="00A834FF" w:rsidRPr="00A834FF">
        <w:t>;  O</w:t>
      </w:r>
      <w:r w:rsidR="003978EC" w:rsidRPr="00A834FF">
        <w:t xml:space="preserve">rganización de las Naciones Unidas para la Educación, la Ciencia y la Cultura </w:t>
      </w:r>
      <w:r w:rsidR="00CE45AF" w:rsidRPr="00A834FF">
        <w:t>(UNESCO)</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3978EC" w:rsidRPr="00A834FF">
        <w:t xml:space="preserve">Tecnología de la información y la comunicación </w:t>
      </w:r>
      <w:r w:rsidR="00CE45AF" w:rsidRPr="00A834FF">
        <w:t>(</w:t>
      </w:r>
      <w:r w:rsidR="003978EC" w:rsidRPr="00A834FF">
        <w:t>TIC</w:t>
      </w:r>
      <w:r w:rsidR="00CE45AF" w:rsidRPr="00A834FF">
        <w:t>)</w:t>
      </w:r>
    </w:p>
    <w:p w:rsidR="00CE45AF" w:rsidRPr="00A834FF" w:rsidRDefault="00CE45AF" w:rsidP="003978EC">
      <w:pPr>
        <w:jc w:val="center"/>
      </w:pPr>
    </w:p>
    <w:p w:rsidR="00CE45AF" w:rsidRPr="00A834FF" w:rsidRDefault="003A535A" w:rsidP="00CE45AF">
      <w:r w:rsidRPr="00A834FF">
        <w:rPr>
          <w:u w:val="single"/>
        </w:rPr>
        <w:t>Participantes</w:t>
      </w:r>
      <w:r w:rsidR="00CE45AF" w:rsidRPr="00A834FF">
        <w:t xml:space="preserve">:  </w:t>
      </w:r>
      <w:r w:rsidR="00BA1DBB" w:rsidRPr="00A834FF">
        <w:t>Estados, organizaciones intergubernamentales, organizaciones no gubernamentales</w:t>
      </w:r>
    </w:p>
    <w:p w:rsidR="00CE45AF" w:rsidRPr="00A834FF" w:rsidRDefault="00CE45AF" w:rsidP="00CE45AF"/>
    <w:p w:rsidR="00CE45AF" w:rsidRPr="00A834FF" w:rsidRDefault="003A535A" w:rsidP="00CE45AF">
      <w:r w:rsidRPr="00A834FF">
        <w:rPr>
          <w:u w:val="single"/>
        </w:rPr>
        <w:t>Relación con la transferencia de tecnología</w:t>
      </w:r>
      <w:r w:rsidR="00CE45AF" w:rsidRPr="00A834FF">
        <w:t xml:space="preserve">:  </w:t>
      </w:r>
      <w:r w:rsidR="00C50345" w:rsidRPr="00A834FF">
        <w:t>“Declaración de Principios:  Construir la Sociedad de la Información</w:t>
      </w:r>
      <w:r w:rsidR="00A834FF" w:rsidRPr="00A834FF">
        <w:t>:  u</w:t>
      </w:r>
      <w:r w:rsidR="00C50345" w:rsidRPr="00A834FF">
        <w:t>n desafío global para el nuevo milenio” acordada durante la Cumbre Mundial d</w:t>
      </w:r>
      <w:r w:rsidR="00A834FF" w:rsidRPr="00A834FF">
        <w:t>e 2</w:t>
      </w:r>
      <w:r w:rsidR="00C50345" w:rsidRPr="00A834FF">
        <w:t xml:space="preserve">003 reconoció que </w:t>
      </w:r>
      <w:r w:rsidR="00CE45AF" w:rsidRPr="00A834FF">
        <w:t>“</w:t>
      </w:r>
      <w:r w:rsidR="008059A5" w:rsidRPr="00A834FF">
        <w:t>las asociaciones, en particular entre países desarrollados y países en desarrollo, incluidos los países con economías en transición, con fines de investigación y desarrollo, transferencia de tecnología, fabricación y utilización de los productos y servicios TIC, son indispensables para la promoción de la creación de capacidad y una participación mundial en la Sociedad de la Información</w:t>
      </w:r>
      <w:r w:rsidR="00CE45AF" w:rsidRPr="00A834FF">
        <w:t>.”</w:t>
      </w:r>
    </w:p>
    <w:p w:rsidR="00CE45AF" w:rsidRPr="00A834FF" w:rsidRDefault="00CE45AF" w:rsidP="00CE45AF"/>
    <w:p w:rsidR="00C50345" w:rsidRPr="00A834FF" w:rsidRDefault="003A535A" w:rsidP="007A5362">
      <w:r w:rsidRPr="00A834FF">
        <w:rPr>
          <w:u w:val="single"/>
        </w:rPr>
        <w:t>Descripción</w:t>
      </w:r>
      <w:r w:rsidR="00CE45AF" w:rsidRPr="00A834FF">
        <w:t>:  “</w:t>
      </w:r>
      <w:r w:rsidR="00C50345" w:rsidRPr="00A834FF">
        <w:t xml:space="preserve">La Cumbre Mundial sobre la Sociedad de la Información (CMSI) </w:t>
      </w:r>
      <w:r w:rsidR="00AA109D" w:rsidRPr="00A834FF">
        <w:t xml:space="preserve">es un proceso […] </w:t>
      </w:r>
      <w:r w:rsidR="00C50345" w:rsidRPr="00A834FF">
        <w:t xml:space="preserve">iniciado para crear una plataforma </w:t>
      </w:r>
      <w:r w:rsidR="00AA109D" w:rsidRPr="00A834FF">
        <w:t>evolutiva</w:t>
      </w:r>
      <w:r w:rsidR="00C50345" w:rsidRPr="00A834FF">
        <w:t xml:space="preserve"> de múltiples interesados destinada a </w:t>
      </w:r>
      <w:r w:rsidR="007A5362" w:rsidRPr="00A834FF">
        <w:t xml:space="preserve">abordar </w:t>
      </w:r>
      <w:r w:rsidR="00AA109D" w:rsidRPr="00A834FF">
        <w:t xml:space="preserve">los </w:t>
      </w:r>
      <w:r w:rsidR="007A5362" w:rsidRPr="00A834FF">
        <w:t xml:space="preserve">asuntos </w:t>
      </w:r>
      <w:r w:rsidR="00AA109D" w:rsidRPr="00A834FF">
        <w:t xml:space="preserve">que plantean </w:t>
      </w:r>
      <w:r w:rsidR="007A5362" w:rsidRPr="00A834FF">
        <w:t xml:space="preserve">las tecnologías de la información y la comunicación (TIC) </w:t>
      </w:r>
      <w:r w:rsidR="00AA109D" w:rsidRPr="00A834FF">
        <w:t>aplicando</w:t>
      </w:r>
      <w:r w:rsidR="007A5362" w:rsidRPr="00A834FF">
        <w:t xml:space="preserve"> un enfoque estructurado e inclusivo </w:t>
      </w:r>
      <w:r w:rsidR="00C50345" w:rsidRPr="00A834FF">
        <w:t>a nivel nacional, regional e internacional</w:t>
      </w:r>
      <w:r w:rsidR="007A5362" w:rsidRPr="00A834FF">
        <w:t>.”</w:t>
      </w:r>
    </w:p>
    <w:p w:rsidR="00C50345" w:rsidRPr="00A834FF" w:rsidRDefault="00C50345" w:rsidP="00CE45AF"/>
    <w:p w:rsidR="00CE45AF" w:rsidRPr="00A834FF" w:rsidRDefault="003A535A" w:rsidP="00CE45AF">
      <w:r w:rsidRPr="00A834FF">
        <w:rPr>
          <w:u w:val="single"/>
        </w:rPr>
        <w:t>Nivel de actividad</w:t>
      </w:r>
      <w:r w:rsidR="00CE45AF" w:rsidRPr="00A834FF">
        <w:t xml:space="preserve">:  </w:t>
      </w:r>
      <w:r w:rsidRPr="00A834FF">
        <w:t>Anual</w:t>
      </w:r>
    </w:p>
    <w:p w:rsidR="00CE45AF" w:rsidRPr="00A834FF" w:rsidRDefault="00CE45AF" w:rsidP="00CE45AF"/>
    <w:p w:rsidR="00CE45AF" w:rsidRPr="00A834FF" w:rsidRDefault="003A535A" w:rsidP="00CE45AF">
      <w:r w:rsidRPr="00A834FF">
        <w:rPr>
          <w:u w:val="single"/>
        </w:rPr>
        <w:t>Referencia</w:t>
      </w:r>
      <w:r w:rsidR="00CE45AF" w:rsidRPr="00A834FF">
        <w:t>:</w:t>
      </w:r>
      <w:r w:rsidR="00AA109D" w:rsidRPr="00A834FF">
        <w:t xml:space="preserve">  </w:t>
      </w:r>
      <w:hyperlink r:id="rId22" w:history="1">
        <w:r w:rsidR="003978EC" w:rsidRPr="00A834FF">
          <w:rPr>
            <w:rStyle w:val="Hyperlink"/>
            <w:color w:val="auto"/>
            <w:u w:val="none"/>
          </w:rPr>
          <w:t>https://sustainabledevelopment.un.org/index.php?page=view&amp;type=30022&amp;nr=102&amp;menu=3170</w:t>
        </w:r>
      </w:hyperlink>
    </w:p>
    <w:p w:rsidR="003978EC" w:rsidRPr="00A834FF" w:rsidRDefault="003978EC" w:rsidP="00CE45AF"/>
    <w:p w:rsidR="00CE45AF" w:rsidRPr="00A834FF" w:rsidRDefault="00CE45AF" w:rsidP="00CE45AF"/>
    <w:p w:rsidR="003978EC" w:rsidRPr="00A834FF" w:rsidRDefault="003978EC" w:rsidP="00CE45AF"/>
    <w:p w:rsidR="00CE45AF" w:rsidRPr="00A834FF" w:rsidRDefault="00CE45AF" w:rsidP="00CE45AF"/>
    <w:p w:rsidR="00CE45AF" w:rsidRPr="00A834FF" w:rsidRDefault="009D112F" w:rsidP="00CE45AF">
      <w:pPr>
        <w:rPr>
          <w:b/>
        </w:rPr>
      </w:pPr>
      <w:r w:rsidRPr="00A834FF">
        <w:rPr>
          <w:b/>
        </w:rPr>
        <w:lastRenderedPageBreak/>
        <w:t xml:space="preserve">Grupo de trabajo sobre Comercio y Transferencia de Tecnología </w:t>
      </w:r>
      <w:r w:rsidR="00AA109D" w:rsidRPr="00A834FF">
        <w:rPr>
          <w:b/>
        </w:rPr>
        <w:t>de la Organización Mundial del Comercio (OMC)</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9D112F" w:rsidRPr="00A834FF">
        <w:t>Organización Mundial del Comercio (OMC</w:t>
      </w:r>
      <w:r w:rsidR="00CE45AF" w:rsidRPr="00A834FF">
        <w:t>)</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9D112F" w:rsidRPr="00A834FF">
        <w:t>Estados</w:t>
      </w:r>
    </w:p>
    <w:p w:rsidR="00CE45AF" w:rsidRPr="00A834FF" w:rsidRDefault="00CE45AF" w:rsidP="00CE45AF"/>
    <w:p w:rsidR="009D112F" w:rsidRPr="00A834FF" w:rsidRDefault="003A535A" w:rsidP="00CE45AF">
      <w:r w:rsidRPr="00A834FF">
        <w:rPr>
          <w:u w:val="single"/>
        </w:rPr>
        <w:t>Relación con la transferencia de tecnología</w:t>
      </w:r>
      <w:r w:rsidR="00CE45AF" w:rsidRPr="00A834FF">
        <w:t>:  “</w:t>
      </w:r>
      <w:r w:rsidR="009D112F" w:rsidRPr="00A834FF">
        <w:t>El Grupo de Trabajo sobre Comercio y Transferencia de Tecnología fue establecido […] con la finalidad de examinar la relación existente entre el comercio y la transferencia de tecnología de los países desarrollados a los países en desarrollo, así como las maneras de incrementar las corrientes de tecnología hacia los países en desarrollo.”</w:t>
      </w:r>
    </w:p>
    <w:p w:rsidR="009D112F" w:rsidRPr="00A834FF" w:rsidRDefault="009D112F" w:rsidP="00CE45AF"/>
    <w:p w:rsidR="00CE45AF" w:rsidRPr="00A834FF" w:rsidRDefault="003A535A" w:rsidP="00CE45AF">
      <w:r w:rsidRPr="00A834FF">
        <w:rPr>
          <w:u w:val="single"/>
        </w:rPr>
        <w:t>Descripción</w:t>
      </w:r>
      <w:r w:rsidR="00CE45AF" w:rsidRPr="00A834FF">
        <w:t>:  “</w:t>
      </w:r>
      <w:r w:rsidR="009D112F" w:rsidRPr="00A834FF">
        <w:t>El Grupo de Trabajo sobre Comercio y Transferencia de Tecnología fue establecido por los Ministros en Doha con la finalidad de examinar la relación existente entre el comercio y la transferencia de tecnología de los países desarrollados a los países en desarrollo, así como las maneras de incrementar las corrientes de tecnología hacia los países en desarrollo</w:t>
      </w:r>
      <w:r w:rsidR="00CE45AF" w:rsidRPr="00A834FF">
        <w:t>.”</w:t>
      </w:r>
    </w:p>
    <w:p w:rsidR="00CE45AF" w:rsidRPr="00A834FF" w:rsidRDefault="00CE45AF" w:rsidP="00266D6F">
      <w:pPr>
        <w:tabs>
          <w:tab w:val="left" w:pos="3887"/>
        </w:tabs>
      </w:pPr>
    </w:p>
    <w:p w:rsidR="00CE45AF" w:rsidRPr="00A834FF" w:rsidRDefault="003A535A" w:rsidP="00CE45AF">
      <w:r w:rsidRPr="00A834FF">
        <w:rPr>
          <w:u w:val="single"/>
        </w:rPr>
        <w:t>Nivel de actividad</w:t>
      </w:r>
      <w:r w:rsidR="00A834FF" w:rsidRPr="00A834FF">
        <w:t xml:space="preserve">:  </w:t>
      </w:r>
      <w:r w:rsidR="00A834FF" w:rsidRPr="00A834FF">
        <w:rPr>
          <w:i/>
        </w:rPr>
        <w:t>A</w:t>
      </w:r>
      <w:r w:rsidR="000105D1" w:rsidRPr="00A834FF">
        <w:rPr>
          <w:i/>
        </w:rPr>
        <w:t>d hoc</w:t>
      </w:r>
    </w:p>
    <w:p w:rsidR="00CE45AF" w:rsidRPr="00A834FF" w:rsidRDefault="00CE45AF" w:rsidP="00CE45AF"/>
    <w:p w:rsidR="00CE45AF" w:rsidRPr="00A834FF" w:rsidRDefault="003A535A" w:rsidP="00CE45AF">
      <w:r w:rsidRPr="00A834FF">
        <w:rPr>
          <w:u w:val="single"/>
        </w:rPr>
        <w:t>Referencia</w:t>
      </w:r>
      <w:r w:rsidR="00CE45AF" w:rsidRPr="00A834FF">
        <w:t xml:space="preserve">: </w:t>
      </w:r>
      <w:r w:rsidR="00AF5D25" w:rsidRPr="00A834FF">
        <w:t xml:space="preserve"> </w:t>
      </w:r>
      <w:hyperlink r:id="rId23" w:history="1">
        <w:r w:rsidR="00AA109D" w:rsidRPr="00A834FF">
          <w:rPr>
            <w:rStyle w:val="Hyperlink"/>
            <w:color w:val="auto"/>
            <w:u w:val="none"/>
          </w:rPr>
          <w:t>https://www.wto.org/english/tratop_e/devel_e/dev_wkgp_trade_transfer_technology_e.htm</w:t>
        </w:r>
      </w:hyperlink>
    </w:p>
    <w:p w:rsidR="00AA109D" w:rsidRPr="00A834FF" w:rsidRDefault="00AA109D" w:rsidP="00CE45AF"/>
    <w:p w:rsidR="00CE45AF" w:rsidRPr="00A834FF" w:rsidRDefault="00CE45AF" w:rsidP="00CE45AF"/>
    <w:p w:rsidR="00CE45AF" w:rsidRPr="00A834FF" w:rsidRDefault="00CE45AF" w:rsidP="00CE45AF">
      <w:pPr>
        <w:pStyle w:val="Heading2"/>
        <w:ind w:left="567" w:hanging="567"/>
      </w:pPr>
      <w:r w:rsidRPr="00A834FF">
        <w:t>IV.</w:t>
      </w:r>
      <w:r w:rsidRPr="00A834FF">
        <w:tab/>
      </w:r>
      <w:r w:rsidR="00E2410F" w:rsidRPr="00A834FF">
        <w:t xml:space="preserve">FOROS INTERGUBERNAMENTALES Y CONFERENCIAS REGIOnALES </w:t>
      </w:r>
      <w:r w:rsidR="00D13417" w:rsidRPr="00A834FF">
        <w:t xml:space="preserve">SELECCIONADAS EN EL MARCO DEL </w:t>
      </w:r>
      <w:r w:rsidR="00266D6F" w:rsidRPr="00A834FF">
        <w:t xml:space="preserve">SISTEMA DE LAS </w:t>
      </w:r>
      <w:r w:rsidR="00266D6F" w:rsidRPr="00A834FF">
        <w:rPr>
          <w:rFonts w:eastAsia="Arial"/>
          <w:spacing w:val="1"/>
        </w:rPr>
        <w:t>Naciones Unidas</w:t>
      </w:r>
      <w:r w:rsidR="00266D6F" w:rsidRPr="00A834FF">
        <w:t xml:space="preserve"> </w:t>
      </w:r>
    </w:p>
    <w:p w:rsidR="00CE45AF" w:rsidRPr="00A834FF" w:rsidRDefault="00CE45AF" w:rsidP="00CE45AF"/>
    <w:p w:rsidR="00CB7E5F" w:rsidRPr="00A834FF" w:rsidRDefault="00CB7E5F" w:rsidP="00CE45AF">
      <w:pPr>
        <w:rPr>
          <w:b/>
        </w:rPr>
      </w:pPr>
      <w:r w:rsidRPr="00A834FF">
        <w:rPr>
          <w:b/>
        </w:rPr>
        <w:t xml:space="preserve">Consejo de Administración del Centro de Asia-Pacífico para la Transferencia de Tecnología </w:t>
      </w:r>
      <w:r w:rsidR="00DF4AE2" w:rsidRPr="00A834FF">
        <w:rPr>
          <w:b/>
        </w:rPr>
        <w:t xml:space="preserve">(APCTT) de la Comisión Económica y Social para Asia y el Pacífico de las </w:t>
      </w:r>
      <w:r w:rsidR="00DF4AE2" w:rsidRPr="00A834FF">
        <w:rPr>
          <w:rFonts w:eastAsia="Arial"/>
          <w:b/>
          <w:spacing w:val="1"/>
        </w:rPr>
        <w:t>Naciones Unidas</w:t>
      </w:r>
      <w:r w:rsidR="00DF4AE2" w:rsidRPr="00A834FF">
        <w:rPr>
          <w:b/>
        </w:rPr>
        <w:t xml:space="preserve"> (CESPAP)</w:t>
      </w:r>
    </w:p>
    <w:p w:rsidR="00CB7E5F" w:rsidRPr="00A834FF" w:rsidRDefault="00CB7E5F" w:rsidP="00CE45AF">
      <w:pPr>
        <w:rPr>
          <w:b/>
        </w:rPr>
      </w:pPr>
    </w:p>
    <w:p w:rsidR="00CE45AF" w:rsidRPr="00A834FF" w:rsidRDefault="003A535A" w:rsidP="00CE45AF">
      <w:r w:rsidRPr="00A834FF">
        <w:rPr>
          <w:u w:val="single"/>
        </w:rPr>
        <w:t>Organización encargada de la coordinación</w:t>
      </w:r>
      <w:r w:rsidR="00CE45AF" w:rsidRPr="00A834FF">
        <w:t xml:space="preserve">:  </w:t>
      </w:r>
      <w:r w:rsidR="00DF4AE2" w:rsidRPr="00A834FF">
        <w:t>Consejo de Administración del Centro de Asia-Pacífico para la Transferencia de Tecnología (APCTT) de la Comisión Económica y Social para Asia y el Pacífico de las Naciones Unidas (CESPAP</w:t>
      </w:r>
      <w:r w:rsidR="00CE45AF" w:rsidRPr="00A834FF">
        <w:t>)</w:t>
      </w:r>
    </w:p>
    <w:p w:rsidR="00CE45AF" w:rsidRPr="00A834FF" w:rsidRDefault="00CE45AF" w:rsidP="00233327">
      <w:pPr>
        <w:jc w:val="center"/>
      </w:pPr>
    </w:p>
    <w:p w:rsidR="00CE45AF" w:rsidRPr="00A834FF" w:rsidRDefault="003A535A" w:rsidP="00CE45AF">
      <w:r w:rsidRPr="00A834FF">
        <w:rPr>
          <w:u w:val="single"/>
        </w:rPr>
        <w:t>Participantes</w:t>
      </w:r>
      <w:r w:rsidR="00CE45AF" w:rsidRPr="00A834FF">
        <w:t xml:space="preserve">:  </w:t>
      </w:r>
      <w:r w:rsidR="003053EF" w:rsidRPr="00A834FF">
        <w:t>Estados</w:t>
      </w:r>
    </w:p>
    <w:p w:rsidR="00CE45AF" w:rsidRPr="00A834FF" w:rsidRDefault="00CE45AF" w:rsidP="00CE45AF"/>
    <w:p w:rsidR="00DF4AE2" w:rsidRPr="00A834FF" w:rsidRDefault="003A535A" w:rsidP="00CE45AF">
      <w:r w:rsidRPr="00A834FF">
        <w:rPr>
          <w:u w:val="single"/>
        </w:rPr>
        <w:t>Relación con la transferencia de tecnología</w:t>
      </w:r>
      <w:r w:rsidR="00CE45AF" w:rsidRPr="00A834FF">
        <w:t>:  “</w:t>
      </w:r>
      <w:r w:rsidR="00DF4AE2" w:rsidRPr="00A834FF">
        <w:t>El objetivo del APCTT es fortalecer la</w:t>
      </w:r>
      <w:r w:rsidR="00266D6F" w:rsidRPr="00A834FF">
        <w:t>s</w:t>
      </w:r>
      <w:r w:rsidR="00DF4AE2" w:rsidRPr="00A834FF">
        <w:t xml:space="preserve"> capacidades de </w:t>
      </w:r>
      <w:r w:rsidR="00DF4AE2" w:rsidRPr="00A834FF">
        <w:rPr>
          <w:szCs w:val="22"/>
        </w:rPr>
        <w:t xml:space="preserve">transferencia de tecnología </w:t>
      </w:r>
      <w:r w:rsidR="00DF4AE2" w:rsidRPr="00A834FF">
        <w:t>en la región y facilitar la exportación/importación de tecnologías ecológicamente racionales a/desde los países miembros.”</w:t>
      </w:r>
    </w:p>
    <w:p w:rsidR="00DF4AE2" w:rsidRPr="00A834FF" w:rsidRDefault="00DF4AE2" w:rsidP="00CE45AF"/>
    <w:p w:rsidR="00DF4AE2" w:rsidRPr="00A834FF" w:rsidRDefault="003A535A" w:rsidP="00CE45AF">
      <w:r w:rsidRPr="00A834FF">
        <w:rPr>
          <w:u w:val="single"/>
        </w:rPr>
        <w:t>Descripción</w:t>
      </w:r>
      <w:r w:rsidR="00CE45AF" w:rsidRPr="00A834FF">
        <w:t>:  “</w:t>
      </w:r>
      <w:r w:rsidR="00DF4AE2" w:rsidRPr="00A834FF">
        <w:t xml:space="preserve">El </w:t>
      </w:r>
      <w:r w:rsidR="00CE45AF" w:rsidRPr="00A834FF">
        <w:t xml:space="preserve">APCTT </w:t>
      </w:r>
      <w:r w:rsidR="00DF4AE2" w:rsidRPr="00A834FF">
        <w:t xml:space="preserve">es una institución regional de las </w:t>
      </w:r>
      <w:r w:rsidR="00DF4AE2" w:rsidRPr="00A834FF">
        <w:rPr>
          <w:rFonts w:eastAsia="Arial"/>
          <w:spacing w:val="1"/>
        </w:rPr>
        <w:t>Naciones Unidas constituida al amparo de la Comisión Económica y Social para Asia y el Pacífico de las Naciones Unidas (CESPAP)</w:t>
      </w:r>
    </w:p>
    <w:p w:rsidR="00DF4AE2" w:rsidRPr="00A834FF" w:rsidRDefault="00DF4AE2" w:rsidP="00CE45AF"/>
    <w:p w:rsidR="00CE45AF" w:rsidRPr="00A834FF" w:rsidRDefault="003A535A" w:rsidP="00CE45AF">
      <w:r w:rsidRPr="00A834FF">
        <w:rPr>
          <w:u w:val="single"/>
        </w:rPr>
        <w:t>Nivel de actividad</w:t>
      </w:r>
      <w:r w:rsidR="00CE45AF" w:rsidRPr="00A834FF">
        <w:t xml:space="preserve">:  </w:t>
      </w:r>
      <w:r w:rsidRPr="00A834FF">
        <w:t>Anual</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24" w:history="1">
        <w:r w:rsidR="00D13417" w:rsidRPr="00A834FF">
          <w:rPr>
            <w:rStyle w:val="Hyperlink"/>
            <w:color w:val="auto"/>
            <w:u w:val="none"/>
          </w:rPr>
          <w:t>http://www.apctt.org/governance-of-apctt</w:t>
        </w:r>
      </w:hyperlink>
    </w:p>
    <w:p w:rsidR="00D13417" w:rsidRPr="00A834FF" w:rsidRDefault="00D13417" w:rsidP="00CE45AF"/>
    <w:p w:rsidR="00CE45AF" w:rsidRPr="00A834FF" w:rsidRDefault="00CE45AF" w:rsidP="00CE45AF">
      <w:pPr>
        <w:rPr>
          <w:b/>
        </w:rPr>
      </w:pPr>
    </w:p>
    <w:p w:rsidR="00266D6F" w:rsidRPr="00A834FF" w:rsidRDefault="00266D6F" w:rsidP="00CE45AF">
      <w:pPr>
        <w:rPr>
          <w:b/>
        </w:rPr>
      </w:pPr>
    </w:p>
    <w:p w:rsidR="00266D6F" w:rsidRPr="00A834FF" w:rsidRDefault="00266D6F">
      <w:pPr>
        <w:rPr>
          <w:b/>
        </w:rPr>
      </w:pPr>
      <w:r w:rsidRPr="00A834FF">
        <w:rPr>
          <w:b/>
        </w:rPr>
        <w:br w:type="page"/>
      </w:r>
    </w:p>
    <w:p w:rsidR="00CE45AF" w:rsidRPr="00A834FF" w:rsidRDefault="00B972C3" w:rsidP="00CE45AF">
      <w:pPr>
        <w:rPr>
          <w:b/>
        </w:rPr>
      </w:pPr>
      <w:r w:rsidRPr="00A834FF">
        <w:rPr>
          <w:b/>
        </w:rPr>
        <w:lastRenderedPageBreak/>
        <w:t xml:space="preserve">Mesas redondas de la iniciativa regional “Bio-Bridge” </w:t>
      </w:r>
    </w:p>
    <w:p w:rsidR="00CE45AF" w:rsidRPr="00A834FF" w:rsidRDefault="00CE45AF" w:rsidP="00EE4540"/>
    <w:p w:rsidR="00CE45AF" w:rsidRPr="00A834FF" w:rsidRDefault="003A535A" w:rsidP="00CE45AF">
      <w:r w:rsidRPr="00A834FF">
        <w:rPr>
          <w:u w:val="single"/>
        </w:rPr>
        <w:t>Organización encargada de la coordinación</w:t>
      </w:r>
      <w:r w:rsidR="00B972C3" w:rsidRPr="00A834FF">
        <w:t xml:space="preserve">:  Secretaría del Convenio sobre la Diversidad Biológica </w:t>
      </w:r>
      <w:r w:rsidR="00CE45AF" w:rsidRPr="00A834FF">
        <w:t>(C</w:t>
      </w:r>
      <w:r w:rsidR="00B972C3" w:rsidRPr="00A834FF">
        <w:t>DB</w:t>
      </w:r>
      <w:r w:rsidR="00CE45AF" w:rsidRPr="00A834FF">
        <w:t>)</w:t>
      </w:r>
    </w:p>
    <w:p w:rsidR="00CE45AF" w:rsidRPr="00A834FF" w:rsidRDefault="00CE45AF" w:rsidP="00B972C3">
      <w:pPr>
        <w:tabs>
          <w:tab w:val="left" w:pos="3299"/>
        </w:tabs>
      </w:pPr>
    </w:p>
    <w:p w:rsidR="00CE45AF" w:rsidRPr="00A834FF" w:rsidRDefault="003A535A" w:rsidP="00CE45AF">
      <w:r w:rsidRPr="00A834FF">
        <w:rPr>
          <w:u w:val="single"/>
        </w:rPr>
        <w:t>Participantes</w:t>
      </w:r>
      <w:r w:rsidR="00CE45AF" w:rsidRPr="00A834FF">
        <w:t xml:space="preserve">:  </w:t>
      </w:r>
      <w:r w:rsidR="003053EF" w:rsidRPr="00A834FF">
        <w:t>Estados</w:t>
      </w:r>
    </w:p>
    <w:p w:rsidR="00CE45AF" w:rsidRPr="00A834FF" w:rsidRDefault="00CE45AF" w:rsidP="00CE45AF"/>
    <w:p w:rsidR="00B972C3" w:rsidRPr="00A834FF" w:rsidRDefault="003A535A" w:rsidP="00CE45AF">
      <w:r w:rsidRPr="00A834FF">
        <w:rPr>
          <w:u w:val="single"/>
        </w:rPr>
        <w:t>Relación con la transferencia de tecnología</w:t>
      </w:r>
      <w:r w:rsidR="00CE45AF" w:rsidRPr="00A834FF">
        <w:t xml:space="preserve">:  </w:t>
      </w:r>
      <w:r w:rsidR="00B972C3" w:rsidRPr="00A834FF">
        <w:t>Artícul</w:t>
      </w:r>
      <w:r w:rsidR="00A834FF" w:rsidRPr="00A834FF">
        <w:t>o 1</w:t>
      </w:r>
      <w:r w:rsidR="00B972C3" w:rsidRPr="00A834FF">
        <w:t>6 del Convenio sobre la Diversidad Biológica</w:t>
      </w:r>
      <w:r w:rsidR="00A834FF" w:rsidRPr="00A834FF">
        <w:t>:  “</w:t>
      </w:r>
      <w:r w:rsidR="00B972C3" w:rsidRPr="00A834FF">
        <w:t>Cada Parte Contratante, reconociendo que la tecnología incluye la biotecnología, y que tanto el acceso a la tecnología como su transferencia entre Partes Contratantes son elementos esenciales para el logro de los objetivos del presente Convenio, se compromete, con sujeción a las disposiciones del presente artículo, a asegurar y/o facilitar a otras Partes Contratantes el acceso a tecnologías pertinentes para la conservación y utilización sostenible de la diversidad biológica o que utilicen recursos genéticos y no causen daños significativos al medio ambiente, así como la transferencia de esas tecnologías.”</w:t>
      </w:r>
    </w:p>
    <w:p w:rsidR="00B972C3" w:rsidRPr="00A834FF" w:rsidRDefault="00B972C3" w:rsidP="00CE45AF"/>
    <w:p w:rsidR="00B972C3" w:rsidRPr="00A834FF" w:rsidRDefault="003A535A" w:rsidP="00380574">
      <w:r w:rsidRPr="00A834FF">
        <w:rPr>
          <w:u w:val="single"/>
        </w:rPr>
        <w:t>Descripción</w:t>
      </w:r>
      <w:r w:rsidR="00CE45AF" w:rsidRPr="00A834FF">
        <w:t>:  “</w:t>
      </w:r>
      <w:r w:rsidR="00380574" w:rsidRPr="00A834FF">
        <w:t xml:space="preserve">La iniciativa </w:t>
      </w:r>
      <w:r w:rsidR="00B972C3" w:rsidRPr="00A834FF">
        <w:t xml:space="preserve">Bio-Bridge es un programa global </w:t>
      </w:r>
      <w:r w:rsidR="00380574" w:rsidRPr="00A834FF">
        <w:t>cuyo objetivo es</w:t>
      </w:r>
      <w:r w:rsidR="00B972C3" w:rsidRPr="00A834FF">
        <w:t xml:space="preserve"> cataliza</w:t>
      </w:r>
      <w:r w:rsidR="00266D6F" w:rsidRPr="00A834FF">
        <w:t>r y facilita</w:t>
      </w:r>
      <w:r w:rsidR="00B972C3" w:rsidRPr="00A834FF">
        <w:t xml:space="preserve">r la cooperación técnica y científica entre las Partes </w:t>
      </w:r>
      <w:r w:rsidR="00380574" w:rsidRPr="00A834FF">
        <w:t xml:space="preserve">Contratantes del Convenio sobre la Diversidad Biológica y de sus protocolos </w:t>
      </w:r>
      <w:r w:rsidR="00266D6F" w:rsidRPr="00A834FF">
        <w:t>en materia de</w:t>
      </w:r>
      <w:r w:rsidR="00380574" w:rsidRPr="00A834FF">
        <w:t xml:space="preserve"> seguridad de la biotecnolo</w:t>
      </w:r>
      <w:r w:rsidR="00266D6F" w:rsidRPr="00A834FF">
        <w:t xml:space="preserve">gía  (Protocolo de Cartagena), así como </w:t>
      </w:r>
      <w:r w:rsidR="00380574" w:rsidRPr="00A834FF">
        <w:t xml:space="preserve">sobre </w:t>
      </w:r>
      <w:r w:rsidR="00266D6F" w:rsidRPr="00A834FF">
        <w:t xml:space="preserve">el </w:t>
      </w:r>
      <w:r w:rsidR="00380574" w:rsidRPr="00A834FF">
        <w:t xml:space="preserve">acceso y </w:t>
      </w:r>
      <w:r w:rsidR="00266D6F" w:rsidRPr="00A834FF">
        <w:t xml:space="preserve">la </w:t>
      </w:r>
      <w:r w:rsidR="00380574" w:rsidRPr="00A834FF">
        <w:t>participación justa y equitativa (Protocolo de Nagoya).</w:t>
      </w:r>
      <w:r w:rsidR="000706C8" w:rsidRPr="00A834FF">
        <w:t xml:space="preserve">  </w:t>
      </w:r>
      <w:r w:rsidR="00380574" w:rsidRPr="00A834FF">
        <w:t xml:space="preserve">La iniciativa Bio-Bridge </w:t>
      </w:r>
      <w:r w:rsidR="00233327" w:rsidRPr="00A834FF">
        <w:t>fomenta</w:t>
      </w:r>
      <w:r w:rsidR="00380574" w:rsidRPr="00A834FF">
        <w:t xml:space="preserve"> la cooperación técnica y científica entre las Partes</w:t>
      </w:r>
      <w:r w:rsidR="00266D6F" w:rsidRPr="00A834FF">
        <w:t xml:space="preserve"> mediante</w:t>
      </w:r>
      <w:r w:rsidR="00380574" w:rsidRPr="00A834FF">
        <w:t xml:space="preserve"> […] </w:t>
      </w:r>
      <w:r w:rsidR="00266D6F" w:rsidRPr="00A834FF">
        <w:t>la creación de</w:t>
      </w:r>
      <w:r w:rsidR="00380574" w:rsidRPr="00A834FF">
        <w:t xml:space="preserve"> un espacio </w:t>
      </w:r>
      <w:r w:rsidR="00266D6F" w:rsidRPr="00A834FF">
        <w:t>en el</w:t>
      </w:r>
      <w:r w:rsidR="00380574" w:rsidRPr="00A834FF">
        <w:t xml:space="preserve"> que los países e instituciones compartan el conocimiento, las buenas prácticas y las lecciones adquiridas.”</w:t>
      </w:r>
    </w:p>
    <w:p w:rsidR="00B972C3" w:rsidRPr="00A834FF" w:rsidRDefault="00B972C3" w:rsidP="00CE45AF"/>
    <w:p w:rsidR="00CE45AF" w:rsidRPr="00A834FF" w:rsidRDefault="003A535A" w:rsidP="00CE45AF">
      <w:r w:rsidRPr="00A834FF">
        <w:rPr>
          <w:u w:val="single"/>
        </w:rPr>
        <w:t>Nivel de actividad</w:t>
      </w:r>
      <w:r w:rsidR="00CE45AF" w:rsidRPr="00A834FF">
        <w:t xml:space="preserve">:  </w:t>
      </w:r>
      <w:r w:rsidR="000105D1" w:rsidRPr="00A834FF">
        <w:rPr>
          <w:i/>
        </w:rPr>
        <w:t>Ad hoc</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25" w:history="1">
        <w:r w:rsidR="008567D7" w:rsidRPr="00A834FF">
          <w:rPr>
            <w:rStyle w:val="Hyperlink"/>
            <w:color w:val="auto"/>
            <w:u w:val="none"/>
          </w:rPr>
          <w:t>https://www.cbd.int/biobridge/</w:t>
        </w:r>
      </w:hyperlink>
    </w:p>
    <w:p w:rsidR="008567D7" w:rsidRPr="00A834FF" w:rsidRDefault="008567D7" w:rsidP="00CE45AF"/>
    <w:p w:rsidR="008567D7" w:rsidRPr="00A834FF" w:rsidRDefault="008567D7" w:rsidP="00CE45AF"/>
    <w:p w:rsidR="00CE45AF" w:rsidRPr="00A834FF" w:rsidRDefault="00CE45AF" w:rsidP="00CE45AF"/>
    <w:p w:rsidR="00CE45AF" w:rsidRPr="00A834FF" w:rsidRDefault="00233327" w:rsidP="00CE45AF">
      <w:pPr>
        <w:rPr>
          <w:b/>
        </w:rPr>
      </w:pPr>
      <w:r w:rsidRPr="00A834FF">
        <w:rPr>
          <w:b/>
        </w:rPr>
        <w:t>Comité sobre Tecnología de la Información y la Comunicación</w:t>
      </w:r>
      <w:r w:rsidR="00C17E2B" w:rsidRPr="00A834FF">
        <w:rPr>
          <w:b/>
        </w:rPr>
        <w:t xml:space="preserve">, </w:t>
      </w:r>
      <w:r w:rsidRPr="00A834FF">
        <w:rPr>
          <w:b/>
        </w:rPr>
        <w:t xml:space="preserve">Ciencia, Tecnología e Innovación de la </w:t>
      </w:r>
      <w:r w:rsidR="00380574" w:rsidRPr="00A834FF">
        <w:rPr>
          <w:b/>
        </w:rPr>
        <w:t xml:space="preserve">Comisión Económica y Social </w:t>
      </w:r>
      <w:r w:rsidR="0065666C" w:rsidRPr="00A834FF">
        <w:rPr>
          <w:b/>
        </w:rPr>
        <w:t xml:space="preserve">de las Naciones Unidas </w:t>
      </w:r>
      <w:r w:rsidR="00380574" w:rsidRPr="00A834FF">
        <w:rPr>
          <w:b/>
        </w:rPr>
        <w:t>para Asia y el Pacífico (CESPAP)</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233327" w:rsidRPr="00A834FF">
        <w:t xml:space="preserve">Comisión Económica y Social </w:t>
      </w:r>
      <w:r w:rsidR="000241EF" w:rsidRPr="00A834FF">
        <w:t xml:space="preserve">de las Naciones Unidas </w:t>
      </w:r>
      <w:r w:rsidR="00233327" w:rsidRPr="00A834FF">
        <w:t>para Asia y el Pacífico (CESPAP</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 xml:space="preserve">Tecnologías de la información y la comunicación </w:t>
      </w:r>
      <w:r w:rsidR="008C12DB">
        <w:t>(TIC</w:t>
      </w:r>
      <w:r w:rsidR="00CE45AF" w:rsidRPr="00A834FF">
        <w:t>)</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BA1DBB" w:rsidRPr="00A834FF">
        <w:t>Estados, organizaciones intergubernamentales</w:t>
      </w:r>
    </w:p>
    <w:p w:rsidR="00CE45AF" w:rsidRPr="00A834FF" w:rsidRDefault="00CE45AF" w:rsidP="00CE45AF"/>
    <w:p w:rsidR="00233327" w:rsidRPr="00A834FF" w:rsidRDefault="003A535A" w:rsidP="00CE45AF">
      <w:r w:rsidRPr="00A834FF">
        <w:rPr>
          <w:u w:val="single"/>
        </w:rPr>
        <w:t>Relación con la transferencia de tecnología</w:t>
      </w:r>
      <w:r w:rsidR="00CE45AF" w:rsidRPr="00A834FF">
        <w:t>:  “</w:t>
      </w:r>
      <w:r w:rsidR="00C17E2B" w:rsidRPr="00A834FF">
        <w:t>El Comité sobre Tecnología de la Información y la Comunicación</w:t>
      </w:r>
      <w:r w:rsidR="00242056" w:rsidRPr="00A834FF">
        <w:t xml:space="preserve">, </w:t>
      </w:r>
      <w:r w:rsidR="00C17E2B" w:rsidRPr="00A834FF">
        <w:t>Ciencia, Tecnología e Innovación</w:t>
      </w:r>
      <w:r w:rsidR="00242056" w:rsidRPr="00A834FF">
        <w:t xml:space="preserve"> aborda los asuntos siguientes</w:t>
      </w:r>
      <w:r w:rsidR="00A834FF" w:rsidRPr="00A834FF">
        <w:t>:  [</w:t>
      </w:r>
      <w:r w:rsidR="00242056" w:rsidRPr="00A834FF">
        <w:t xml:space="preserve">…] transferencia y aplicación de la tecnología de la información y la comunicación a nivel regional y subregional […] opciones políticas y estrategias para reforzar la cooperación </w:t>
      </w:r>
      <w:r w:rsidR="00B03BB7" w:rsidRPr="00A834FF">
        <w:t>en materia de</w:t>
      </w:r>
      <w:r w:rsidR="00242056" w:rsidRPr="00A834FF">
        <w:t xml:space="preserve"> generación y acceso a la ciencia, la tecnología y la innovación</w:t>
      </w:r>
      <w:r w:rsidR="002C6249" w:rsidRPr="00A834FF">
        <w:t>,</w:t>
      </w:r>
      <w:r w:rsidR="00242056" w:rsidRPr="00A834FF">
        <w:t xml:space="preserve"> para un desarrollo sostenible incluidos mecanismos regionales para la transferencia de la tecnología.”</w:t>
      </w:r>
    </w:p>
    <w:p w:rsidR="00233327" w:rsidRPr="00A834FF" w:rsidRDefault="00233327" w:rsidP="00CE45AF"/>
    <w:p w:rsidR="00242056" w:rsidRPr="00A834FF" w:rsidRDefault="003A535A" w:rsidP="00CE45AF">
      <w:r w:rsidRPr="00A834FF">
        <w:rPr>
          <w:u w:val="single"/>
        </w:rPr>
        <w:t>Descripción</w:t>
      </w:r>
      <w:r w:rsidR="00CE45AF" w:rsidRPr="00A834FF">
        <w:t>:  “</w:t>
      </w:r>
      <w:r w:rsidR="00242056" w:rsidRPr="00A834FF">
        <w:t>El Comité sobre Tecnología de la Información y la Comunicación, Ciencia, Tecnología e Innovación aborda los asuntos siguientes:  i) integración de los asuntos relativos a la tecnología de la información y la comunicación en políticas, planes y programas de desarrollo</w:t>
      </w:r>
      <w:r w:rsidR="00A834FF" w:rsidRPr="00A834FF">
        <w:t>;  i</w:t>
      </w:r>
      <w:r w:rsidR="00242056" w:rsidRPr="00A834FF">
        <w:t>i) transferencia y aplicación de la tecnología de la información y la comunicación a nivel regional y subregional;  iii) tecnología de la información y la comunicación, incluidas las aplicaciones espaciales para la reducción del riesgo de catástrofes</w:t>
      </w:r>
      <w:r w:rsidR="00A834FF" w:rsidRPr="00A834FF">
        <w:t>;  i</w:t>
      </w:r>
      <w:r w:rsidR="00242056" w:rsidRPr="00A834FF">
        <w:t xml:space="preserve">v) desarrollo de capacidad </w:t>
      </w:r>
      <w:r w:rsidR="00242056" w:rsidRPr="00A834FF">
        <w:lastRenderedPageBreak/>
        <w:t>humana e institucional en el uso de la tecnología de la información y la comunicación y de la ciencia y la tecnología para la innovación</w:t>
      </w:r>
      <w:r w:rsidR="00A834FF" w:rsidRPr="00A834FF">
        <w:t>;  v</w:t>
      </w:r>
      <w:r w:rsidR="00242056" w:rsidRPr="00A834FF">
        <w:t xml:space="preserve">) opciones políticas y estrategias para reforzar la cooperación </w:t>
      </w:r>
      <w:r w:rsidR="002C6249" w:rsidRPr="00A834FF">
        <w:t>en materia de</w:t>
      </w:r>
      <w:r w:rsidR="00242056" w:rsidRPr="00A834FF">
        <w:t xml:space="preserve"> generación y acceso a la ciencia, la tecnología y la innovación</w:t>
      </w:r>
      <w:r w:rsidR="002C6249" w:rsidRPr="00A834FF">
        <w:t>,</w:t>
      </w:r>
      <w:r w:rsidR="00242056" w:rsidRPr="00A834FF">
        <w:t xml:space="preserve"> para un desarrollo sostenible incluidos </w:t>
      </w:r>
      <w:r w:rsidR="002C6249" w:rsidRPr="00A834FF">
        <w:t xml:space="preserve">los </w:t>
      </w:r>
      <w:r w:rsidR="00242056" w:rsidRPr="00A834FF">
        <w:t>mecanismos regionales para la transferencia de la tecnología;  vi) integración de los asuntos de ciencia, tecnología e innovación en la</w:t>
      </w:r>
      <w:r w:rsidR="002C6249" w:rsidRPr="00A834FF">
        <w:t>s</w:t>
      </w:r>
      <w:r w:rsidR="00242056" w:rsidRPr="00A834FF">
        <w:t xml:space="preserve"> políticas, </w:t>
      </w:r>
      <w:r w:rsidR="002C6249" w:rsidRPr="00A834FF">
        <w:t xml:space="preserve">las </w:t>
      </w:r>
      <w:r w:rsidR="00242056" w:rsidRPr="00A834FF">
        <w:t xml:space="preserve">estrategias y </w:t>
      </w:r>
      <w:r w:rsidR="002C6249" w:rsidRPr="00A834FF">
        <w:t xml:space="preserve">los </w:t>
      </w:r>
      <w:r w:rsidR="00242056" w:rsidRPr="00A834FF">
        <w:t>planes de desarrollo.”</w:t>
      </w:r>
    </w:p>
    <w:p w:rsidR="00242056" w:rsidRPr="00A834FF" w:rsidRDefault="00242056" w:rsidP="00CE45AF"/>
    <w:p w:rsidR="00CE45AF" w:rsidRPr="00A834FF" w:rsidRDefault="003A535A" w:rsidP="00CE45AF">
      <w:r w:rsidRPr="00A834FF">
        <w:rPr>
          <w:u w:val="single"/>
        </w:rPr>
        <w:t>Nivel de actividad</w:t>
      </w:r>
      <w:r w:rsidR="00CE45AF" w:rsidRPr="00A834FF">
        <w:t xml:space="preserve">:  </w:t>
      </w:r>
      <w:r w:rsidR="00BA1DBB" w:rsidRPr="00A834FF">
        <w:t>Bienal</w:t>
      </w:r>
    </w:p>
    <w:p w:rsidR="00CE45AF" w:rsidRPr="00A834FF" w:rsidRDefault="00CE45AF" w:rsidP="00CE45AF"/>
    <w:p w:rsidR="00CE45AF" w:rsidRPr="00A834FF" w:rsidRDefault="003A535A" w:rsidP="00CE45AF">
      <w:r w:rsidRPr="00A834FF">
        <w:rPr>
          <w:u w:val="single"/>
        </w:rPr>
        <w:t>Referencia</w:t>
      </w:r>
      <w:r w:rsidR="00CE45AF" w:rsidRPr="00A834FF">
        <w:t xml:space="preserve">:  </w:t>
      </w:r>
      <w:hyperlink r:id="rId26" w:history="1">
        <w:r w:rsidR="002C6249" w:rsidRPr="00A834FF">
          <w:rPr>
            <w:rStyle w:val="Hyperlink"/>
            <w:color w:val="auto"/>
            <w:u w:val="none"/>
          </w:rPr>
          <w:t>http://www.unescap.org/committee/committee-information-and-communications-technology-science-technology-and-innovation</w:t>
        </w:r>
      </w:hyperlink>
    </w:p>
    <w:p w:rsidR="002C6249" w:rsidRPr="00A834FF" w:rsidRDefault="002C6249" w:rsidP="00CE45AF"/>
    <w:p w:rsidR="00CE45AF" w:rsidRPr="00A834FF" w:rsidRDefault="00CE45AF" w:rsidP="00CE45AF"/>
    <w:p w:rsidR="00CE45AF" w:rsidRPr="00A834FF" w:rsidRDefault="00CE45AF" w:rsidP="00CE45AF"/>
    <w:p w:rsidR="00CE45AF" w:rsidRPr="00A834FF" w:rsidRDefault="00456E7C" w:rsidP="00CE45AF">
      <w:pPr>
        <w:rPr>
          <w:b/>
        </w:rPr>
      </w:pPr>
      <w:r w:rsidRPr="00A834FF">
        <w:rPr>
          <w:b/>
        </w:rPr>
        <w:t xml:space="preserve">Comité sobre Tecnología para el Desarrollo de la Comisión Económica y Social para </w:t>
      </w:r>
      <w:r w:rsidR="00F30F5D" w:rsidRPr="00A834FF">
        <w:rPr>
          <w:b/>
        </w:rPr>
        <w:t>Asia</w:t>
      </w:r>
      <w:r w:rsidRPr="00A834FF">
        <w:rPr>
          <w:b/>
        </w:rPr>
        <w:t xml:space="preserve"> Occidental</w:t>
      </w:r>
      <w:r w:rsidR="00CE45AF" w:rsidRPr="00A834FF">
        <w:rPr>
          <w:b/>
        </w:rPr>
        <w:t xml:space="preserve"> </w:t>
      </w:r>
      <w:r w:rsidRPr="00A834FF">
        <w:rPr>
          <w:b/>
        </w:rPr>
        <w:t>(</w:t>
      </w:r>
      <w:r w:rsidR="00F30F5D" w:rsidRPr="00A834FF">
        <w:rPr>
          <w:b/>
        </w:rPr>
        <w:t>CESPAO</w:t>
      </w:r>
      <w:r w:rsidRPr="00A834FF">
        <w:rPr>
          <w:b/>
        </w:rPr>
        <w:t>)</w:t>
      </w:r>
    </w:p>
    <w:p w:rsidR="00CE45AF" w:rsidRPr="00A834FF" w:rsidRDefault="00CE45AF" w:rsidP="00CE45AF"/>
    <w:p w:rsidR="00CE45AF" w:rsidRPr="00A834FF" w:rsidRDefault="003A535A" w:rsidP="00CE45AF">
      <w:r w:rsidRPr="00A834FF">
        <w:rPr>
          <w:u w:val="single"/>
        </w:rPr>
        <w:t>Organización encargada de la coordinación</w:t>
      </w:r>
      <w:r w:rsidR="00CE45AF" w:rsidRPr="00A834FF">
        <w:t xml:space="preserve">:  </w:t>
      </w:r>
      <w:r w:rsidR="00456E7C" w:rsidRPr="00A834FF">
        <w:t xml:space="preserve">Comisión Económica y Social </w:t>
      </w:r>
      <w:r w:rsidR="000241EF" w:rsidRPr="00A834FF">
        <w:t xml:space="preserve">de las </w:t>
      </w:r>
      <w:r w:rsidR="000241EF" w:rsidRPr="00A834FF">
        <w:rPr>
          <w:rFonts w:eastAsia="Arial"/>
          <w:spacing w:val="1"/>
        </w:rPr>
        <w:t>Naciones Unidas</w:t>
      </w:r>
      <w:r w:rsidR="000241EF" w:rsidRPr="00A834FF">
        <w:t xml:space="preserve"> </w:t>
      </w:r>
      <w:r w:rsidR="00456E7C" w:rsidRPr="00A834FF">
        <w:t xml:space="preserve">para </w:t>
      </w:r>
      <w:r w:rsidR="00F30F5D" w:rsidRPr="00A834FF">
        <w:t>Asia</w:t>
      </w:r>
      <w:r w:rsidR="00456E7C" w:rsidRPr="00A834FF">
        <w:t xml:space="preserve"> Occidental </w:t>
      </w:r>
      <w:r w:rsidR="00CE45AF" w:rsidRPr="00A834FF">
        <w:t>(</w:t>
      </w:r>
      <w:r w:rsidR="00F30F5D" w:rsidRPr="00A834FF">
        <w:t>CESPAO</w:t>
      </w:r>
      <w:r w:rsidR="00CE45AF" w:rsidRPr="00A834FF">
        <w:t>)</w:t>
      </w:r>
    </w:p>
    <w:p w:rsidR="00CE45AF" w:rsidRPr="00A834FF" w:rsidRDefault="00CE45AF" w:rsidP="00CE45AF"/>
    <w:p w:rsidR="00CE45AF" w:rsidRPr="00A834FF" w:rsidRDefault="003A535A" w:rsidP="00CE45AF">
      <w:r w:rsidRPr="00A834FF">
        <w:rPr>
          <w:u w:val="single"/>
        </w:rPr>
        <w:t>Temática</w:t>
      </w:r>
      <w:r w:rsidR="00CE45AF" w:rsidRPr="00A834FF">
        <w:t xml:space="preserve">:  </w:t>
      </w:r>
      <w:r w:rsidR="00597B67" w:rsidRPr="00A834FF">
        <w:t>Ciencia, tecnología e innovación</w:t>
      </w:r>
    </w:p>
    <w:p w:rsidR="00CE45AF" w:rsidRPr="00A834FF" w:rsidRDefault="00CE45AF" w:rsidP="00CE45AF"/>
    <w:p w:rsidR="00CE45AF" w:rsidRPr="00A834FF" w:rsidRDefault="003A535A" w:rsidP="00CE45AF">
      <w:r w:rsidRPr="00A834FF">
        <w:rPr>
          <w:u w:val="single"/>
        </w:rPr>
        <w:t>Participantes</w:t>
      </w:r>
      <w:r w:rsidR="00CE45AF" w:rsidRPr="00A834FF">
        <w:t xml:space="preserve">:  </w:t>
      </w:r>
      <w:r w:rsidR="003053EF" w:rsidRPr="00A834FF">
        <w:t>Estados</w:t>
      </w:r>
    </w:p>
    <w:p w:rsidR="00CE45AF" w:rsidRPr="00A834FF" w:rsidRDefault="00CE45AF" w:rsidP="00CE45AF"/>
    <w:p w:rsidR="002B4651" w:rsidRPr="00A834FF" w:rsidRDefault="003A535A" w:rsidP="00CE45AF">
      <w:r w:rsidRPr="00A834FF">
        <w:rPr>
          <w:u w:val="single"/>
        </w:rPr>
        <w:t>Relación con la transferencia de tecnología</w:t>
      </w:r>
      <w:r w:rsidR="00CE45AF" w:rsidRPr="00A834FF">
        <w:t xml:space="preserve">:  </w:t>
      </w:r>
      <w:r w:rsidR="002B4651" w:rsidRPr="00A834FF">
        <w:t>Resolució</w:t>
      </w:r>
      <w:r w:rsidR="00A834FF" w:rsidRPr="00A834FF">
        <w:t>n 3</w:t>
      </w:r>
      <w:r w:rsidR="002B4651" w:rsidRPr="00A834FF">
        <w:t xml:space="preserve">15 </w:t>
      </w:r>
      <w:r w:rsidR="00CE45AF" w:rsidRPr="00A834FF">
        <w:t>(XXVIII</w:t>
      </w:r>
      <w:r w:rsidR="0025101D" w:rsidRPr="00A834FF">
        <w:t xml:space="preserve">) de la </w:t>
      </w:r>
      <w:r w:rsidR="00F30F5D" w:rsidRPr="00A834FF">
        <w:t>CESPAO</w:t>
      </w:r>
      <w:r w:rsidR="00A834FF" w:rsidRPr="00A834FF">
        <w:t>:  “</w:t>
      </w:r>
      <w:r w:rsidR="00E462D3" w:rsidRPr="00A834FF">
        <w:t>El Comité sobre Te</w:t>
      </w:r>
      <w:r w:rsidR="006F535D">
        <w:t>cnología para el Desarrollo […] emprenderá</w:t>
      </w:r>
      <w:r w:rsidR="00144EC0" w:rsidRPr="00A834FF">
        <w:t xml:space="preserve"> las tareas siguientes […]</w:t>
      </w:r>
      <w:r w:rsidR="006F535D">
        <w:t xml:space="preserve">: </w:t>
      </w:r>
      <w:r w:rsidR="00144EC0" w:rsidRPr="00A834FF">
        <w:t xml:space="preserve"> </w:t>
      </w:r>
      <w:r w:rsidR="006F535D">
        <w:t xml:space="preserve">supervisar los progresos alcanzados en la esfera de la </w:t>
      </w:r>
      <w:r w:rsidR="00E462D3" w:rsidRPr="00A834FF">
        <w:t>tecnología</w:t>
      </w:r>
      <w:r w:rsidR="006F535D">
        <w:t xml:space="preserve"> de la información y las comunicaciones</w:t>
      </w:r>
      <w:r w:rsidR="00E462D3" w:rsidRPr="00A834FF">
        <w:t xml:space="preserve">, la gobernanza de Internet, la economía digital y la sociedad de la información, </w:t>
      </w:r>
      <w:r w:rsidR="006F535D">
        <w:t xml:space="preserve">por una parte, y en las áreas </w:t>
      </w:r>
      <w:r w:rsidR="00E462D3" w:rsidRPr="00A834FF">
        <w:t xml:space="preserve">relacionadas con la investigación científica y la </w:t>
      </w:r>
      <w:r w:rsidR="00E462D3" w:rsidRPr="00A834FF">
        <w:rPr>
          <w:szCs w:val="22"/>
        </w:rPr>
        <w:t>transferencia de tecnología</w:t>
      </w:r>
      <w:r w:rsidR="006F535D">
        <w:rPr>
          <w:szCs w:val="22"/>
        </w:rPr>
        <w:t>, por otra parte</w:t>
      </w:r>
      <w:r w:rsidR="00A834FF" w:rsidRPr="00A834FF">
        <w:rPr>
          <w:szCs w:val="22"/>
        </w:rPr>
        <w:t xml:space="preserve">;  </w:t>
      </w:r>
      <w:r w:rsidR="006F535D">
        <w:rPr>
          <w:szCs w:val="22"/>
        </w:rPr>
        <w:t xml:space="preserve">y </w:t>
      </w:r>
      <w:r w:rsidR="00E462D3" w:rsidRPr="00A834FF">
        <w:rPr>
          <w:szCs w:val="22"/>
        </w:rPr>
        <w:t xml:space="preserve">formular recomendaciones </w:t>
      </w:r>
      <w:r w:rsidR="006F535D">
        <w:rPr>
          <w:szCs w:val="22"/>
        </w:rPr>
        <w:t xml:space="preserve">a fin de reforzar </w:t>
      </w:r>
      <w:r w:rsidR="00E462D3" w:rsidRPr="00A834FF">
        <w:rPr>
          <w:szCs w:val="22"/>
        </w:rPr>
        <w:t xml:space="preserve">el desarrollo </w:t>
      </w:r>
      <w:r w:rsidR="00F30F5D" w:rsidRPr="00A834FF">
        <w:rPr>
          <w:szCs w:val="22"/>
        </w:rPr>
        <w:t>de</w:t>
      </w:r>
      <w:r w:rsidR="006F535D">
        <w:rPr>
          <w:szCs w:val="22"/>
        </w:rPr>
        <w:t xml:space="preserve"> esas esferas</w:t>
      </w:r>
      <w:r w:rsidR="00E462D3" w:rsidRPr="00A834FF">
        <w:rPr>
          <w:szCs w:val="22"/>
        </w:rPr>
        <w:t>.”</w:t>
      </w:r>
    </w:p>
    <w:p w:rsidR="00CE45AF" w:rsidRPr="00A834FF" w:rsidRDefault="00CE45AF" w:rsidP="00CE45AF"/>
    <w:p w:rsidR="00431F71" w:rsidRPr="002D7E99" w:rsidRDefault="003A535A" w:rsidP="00431F71">
      <w:pPr>
        <w:rPr>
          <w:lang w:val="es-ES_tradnl"/>
        </w:rPr>
      </w:pPr>
      <w:r w:rsidRPr="00A834FF">
        <w:rPr>
          <w:u w:val="single"/>
        </w:rPr>
        <w:t>Descripción</w:t>
      </w:r>
      <w:r w:rsidR="00CE45AF" w:rsidRPr="00A834FF">
        <w:t xml:space="preserve">:  </w:t>
      </w:r>
      <w:r w:rsidR="0025101D" w:rsidRPr="00A834FF">
        <w:t>Resolució</w:t>
      </w:r>
      <w:r w:rsidR="00A834FF" w:rsidRPr="00A834FF">
        <w:t>n 3</w:t>
      </w:r>
      <w:r w:rsidR="0025101D" w:rsidRPr="00A834FF">
        <w:t xml:space="preserve">15 (XXVIII) de la </w:t>
      </w:r>
      <w:r w:rsidR="00144EC0" w:rsidRPr="00A834FF">
        <w:t>CESPAO</w:t>
      </w:r>
      <w:r w:rsidR="00A834FF" w:rsidRPr="00A834FF">
        <w:t>:  E</w:t>
      </w:r>
      <w:r w:rsidR="0025101D" w:rsidRPr="00A834FF">
        <w:t xml:space="preserve">l Comité sobre Tecnología para el Desarrollo […] </w:t>
      </w:r>
      <w:r w:rsidR="006F535D">
        <w:t>emprenderá</w:t>
      </w:r>
      <w:r w:rsidR="0025101D" w:rsidRPr="00A834FF">
        <w:t xml:space="preserve"> las tareas siguientes:  a) </w:t>
      </w:r>
      <w:r w:rsidR="00431F71" w:rsidRPr="002D7E99">
        <w:rPr>
          <w:lang w:val="es-ES_tradnl"/>
        </w:rPr>
        <w:t>determinar las prioridades del programa de trabajo de la Comisión y los planes de mediano plazo sobre tecnología para el desarrollo, incluidos la investigación científica y la innovación, la economía digital y la sociedad de la información, las economías basadas en los conocimientos y nuevas esferas;</w:t>
      </w:r>
      <w:r w:rsidR="00431F71">
        <w:rPr>
          <w:lang w:val="es-ES_tradnl"/>
        </w:rPr>
        <w:t xml:space="preserve"> </w:t>
      </w:r>
      <w:r w:rsidR="00431F71" w:rsidRPr="002D7E99">
        <w:rPr>
          <w:lang w:val="es-ES_tradnl"/>
        </w:rPr>
        <w:t>b) supervisar los progresos alcanzados en la esfera de la tecnología, incluida la tecnología de la información y las comunicaciones, la gobernanza de Internet, la economía digital y la sociedad de la información por una parte, y en las áreas relacionadas con la investigación científica y la transferencia de tecnología, por otra parte; y formular recomendaciones a fin de reforzar el desarrollo de esas esferas;</w:t>
      </w:r>
      <w:r w:rsidR="00431F71">
        <w:rPr>
          <w:lang w:val="es-ES_tradnl"/>
        </w:rPr>
        <w:t xml:space="preserve">  c) h</w:t>
      </w:r>
      <w:r w:rsidR="00431F71" w:rsidRPr="002D7E99">
        <w:rPr>
          <w:lang w:val="es-ES_tradnl"/>
        </w:rPr>
        <w:t>acer el seguimiento de los procesos, las conferencias y los foros</w:t>
      </w:r>
      <w:r w:rsidR="00431F71">
        <w:rPr>
          <w:lang w:val="es-ES_tradnl"/>
        </w:rPr>
        <w:t xml:space="preserve"> </w:t>
      </w:r>
      <w:r w:rsidR="00431F71" w:rsidRPr="002D7E99">
        <w:rPr>
          <w:lang w:val="es-ES_tradnl"/>
        </w:rPr>
        <w:t>regionales e internacionales pertinentes para el subprograma 4, y coordinar los</w:t>
      </w:r>
      <w:r w:rsidR="00431F71">
        <w:rPr>
          <w:lang w:val="es-ES_tradnl"/>
        </w:rPr>
        <w:t xml:space="preserve"> </w:t>
      </w:r>
      <w:r w:rsidR="00431F71" w:rsidRPr="002D7E99">
        <w:rPr>
          <w:lang w:val="es-ES_tradnl"/>
        </w:rPr>
        <w:t>esfuerzos regionales para poner en práctica las decisiones y recomendaciones de</w:t>
      </w:r>
      <w:r w:rsidR="00431F71">
        <w:rPr>
          <w:lang w:val="es-ES_tradnl"/>
        </w:rPr>
        <w:t xml:space="preserve"> </w:t>
      </w:r>
      <w:r w:rsidR="00431F71" w:rsidRPr="002D7E99">
        <w:rPr>
          <w:lang w:val="es-ES_tradnl"/>
        </w:rPr>
        <w:t>esas conferencias;</w:t>
      </w:r>
      <w:r w:rsidR="00431F71">
        <w:rPr>
          <w:lang w:val="es-ES_tradnl"/>
        </w:rPr>
        <w:t xml:space="preserve">  </w:t>
      </w:r>
      <w:r w:rsidR="00431F71" w:rsidRPr="002D7E99">
        <w:rPr>
          <w:lang w:val="es-ES_tradnl"/>
        </w:rPr>
        <w:t xml:space="preserve">d) </w:t>
      </w:r>
      <w:r w:rsidR="00431F71">
        <w:rPr>
          <w:lang w:val="es-ES_tradnl"/>
        </w:rPr>
        <w:t>p</w:t>
      </w:r>
      <w:r w:rsidR="00431F71" w:rsidRPr="002D7E99">
        <w:rPr>
          <w:lang w:val="es-ES_tradnl"/>
        </w:rPr>
        <w:t>restar apoyo a la secretaría de la Comisión para que continúe haciendo</w:t>
      </w:r>
      <w:r w:rsidR="00431F71">
        <w:rPr>
          <w:lang w:val="es-ES_tradnl"/>
        </w:rPr>
        <w:t xml:space="preserve"> </w:t>
      </w:r>
      <w:r w:rsidR="00431F71" w:rsidRPr="002D7E99">
        <w:rPr>
          <w:lang w:val="es-ES_tradnl"/>
        </w:rPr>
        <w:t>el seguimiento de la aplicación de la Agenda de Túnez para la Sociedad de la</w:t>
      </w:r>
      <w:r w:rsidR="00431F71">
        <w:rPr>
          <w:lang w:val="es-ES_tradnl"/>
        </w:rPr>
        <w:t xml:space="preserve"> </w:t>
      </w:r>
      <w:r w:rsidR="00431F71" w:rsidRPr="002D7E99">
        <w:rPr>
          <w:lang w:val="es-ES_tradnl"/>
        </w:rPr>
        <w:t>Información, aprobada por la Cumbre Mundial sobre la Sociedad de la Información</w:t>
      </w:r>
      <w:r w:rsidR="00431F71">
        <w:rPr>
          <w:lang w:val="es-ES_tradnl"/>
        </w:rPr>
        <w:t xml:space="preserve"> </w:t>
      </w:r>
      <w:r w:rsidR="00431F71" w:rsidRPr="002D7E99">
        <w:rPr>
          <w:lang w:val="es-ES_tradnl"/>
        </w:rPr>
        <w:t>y participando en las actividades y los proyectos relacionados con la Cumbre</w:t>
      </w:r>
      <w:r w:rsidR="00431F71">
        <w:rPr>
          <w:lang w:val="es-ES_tradnl"/>
        </w:rPr>
        <w:t xml:space="preserve"> </w:t>
      </w:r>
      <w:r w:rsidR="00431F71" w:rsidRPr="002D7E99">
        <w:rPr>
          <w:lang w:val="es-ES_tradnl"/>
        </w:rPr>
        <w:t>Mundial después de 2015;</w:t>
      </w:r>
      <w:r w:rsidR="00431F71">
        <w:rPr>
          <w:lang w:val="es-ES_tradnl"/>
        </w:rPr>
        <w:t xml:space="preserve">  </w:t>
      </w:r>
      <w:r w:rsidR="00431F71" w:rsidRPr="002D7E99">
        <w:rPr>
          <w:lang w:val="es-ES_tradnl"/>
        </w:rPr>
        <w:t xml:space="preserve">e) </w:t>
      </w:r>
      <w:r w:rsidR="00431F71">
        <w:rPr>
          <w:lang w:val="es-ES_tradnl"/>
        </w:rPr>
        <w:t>p</w:t>
      </w:r>
      <w:r w:rsidR="00431F71" w:rsidRPr="002D7E99">
        <w:rPr>
          <w:lang w:val="es-ES_tradnl"/>
        </w:rPr>
        <w:t>romover la labor que realiza la secretaría de apoyo a la cooperación con</w:t>
      </w:r>
      <w:r w:rsidR="00431F71">
        <w:rPr>
          <w:lang w:val="es-ES_tradnl"/>
        </w:rPr>
        <w:t xml:space="preserve"> </w:t>
      </w:r>
      <w:r w:rsidR="00431F71" w:rsidRPr="002D7E99">
        <w:rPr>
          <w:lang w:val="es-ES_tradnl"/>
        </w:rPr>
        <w:t>los consejos ministeriales y las organizaciones y sindicatos de la Liga de los Estados</w:t>
      </w:r>
      <w:r w:rsidR="00431F71">
        <w:rPr>
          <w:lang w:val="es-ES_tradnl"/>
        </w:rPr>
        <w:t xml:space="preserve"> </w:t>
      </w:r>
      <w:r w:rsidR="00431F71" w:rsidRPr="002D7E99">
        <w:rPr>
          <w:lang w:val="es-ES_tradnl"/>
        </w:rPr>
        <w:t>Árabes, incluido el Consejo de Ministros Árabes de Tecnología de la Información y</w:t>
      </w:r>
      <w:r w:rsidR="00431F71">
        <w:rPr>
          <w:lang w:val="es-ES_tradnl"/>
        </w:rPr>
        <w:t xml:space="preserve"> </w:t>
      </w:r>
      <w:r w:rsidR="00431F71" w:rsidRPr="002D7E99">
        <w:rPr>
          <w:lang w:val="es-ES_tradnl"/>
        </w:rPr>
        <w:t>las Comunicaciones, la Organización Árabe de Desarrollo Administrativo y otras</w:t>
      </w:r>
      <w:r w:rsidR="00431F71">
        <w:rPr>
          <w:lang w:val="es-ES_tradnl"/>
        </w:rPr>
        <w:t xml:space="preserve"> </w:t>
      </w:r>
      <w:r w:rsidR="00431F71" w:rsidRPr="002D7E99">
        <w:rPr>
          <w:lang w:val="es-ES_tradnl"/>
        </w:rPr>
        <w:t>organizaciones especializadas, de armonizar las políticas y estrategias, apoyar la</w:t>
      </w:r>
      <w:r w:rsidR="00431F71">
        <w:rPr>
          <w:lang w:val="es-ES_tradnl"/>
        </w:rPr>
        <w:t xml:space="preserve"> </w:t>
      </w:r>
      <w:r w:rsidR="00431F71" w:rsidRPr="002D7E99">
        <w:rPr>
          <w:lang w:val="es-ES_tradnl"/>
        </w:rPr>
        <w:t>comunicación y las alianzas y coordinar posturas en el plano internacional, además</w:t>
      </w:r>
      <w:r w:rsidR="00431F71">
        <w:rPr>
          <w:lang w:val="es-ES_tradnl"/>
        </w:rPr>
        <w:t xml:space="preserve"> </w:t>
      </w:r>
      <w:r w:rsidR="008332F4">
        <w:rPr>
          <w:lang w:val="es-ES_tradnl"/>
        </w:rPr>
        <w:t>de desarrollar la capacidad”</w:t>
      </w:r>
    </w:p>
    <w:p w:rsidR="00CE45AF" w:rsidRPr="00A834FF" w:rsidRDefault="003A535A" w:rsidP="0020317E">
      <w:pPr>
        <w:keepNext/>
      </w:pPr>
      <w:r w:rsidRPr="00A834FF">
        <w:rPr>
          <w:u w:val="single"/>
        </w:rPr>
        <w:lastRenderedPageBreak/>
        <w:t>Nivel de actividad</w:t>
      </w:r>
      <w:r w:rsidR="00CE45AF" w:rsidRPr="00A834FF">
        <w:t xml:space="preserve">: </w:t>
      </w:r>
      <w:r w:rsidR="0054520A" w:rsidRPr="00A834FF">
        <w:t xml:space="preserve"> </w:t>
      </w:r>
      <w:r w:rsidR="00BA1DBB" w:rsidRPr="00A834FF">
        <w:t>Bienal</w:t>
      </w:r>
    </w:p>
    <w:p w:rsidR="00144EC0" w:rsidRPr="00A834FF" w:rsidRDefault="00144EC0" w:rsidP="0020317E">
      <w:pPr>
        <w:keepNext/>
        <w:rPr>
          <w:u w:val="single"/>
        </w:rPr>
      </w:pPr>
    </w:p>
    <w:p w:rsidR="00CE45AF" w:rsidRPr="00A834FF" w:rsidRDefault="003A535A" w:rsidP="0020317E">
      <w:pPr>
        <w:keepNext/>
      </w:pPr>
      <w:r w:rsidRPr="00A834FF">
        <w:rPr>
          <w:u w:val="single"/>
        </w:rPr>
        <w:t>Referencia</w:t>
      </w:r>
      <w:r w:rsidR="00CE45AF" w:rsidRPr="00A834FF">
        <w:t>:</w:t>
      </w:r>
      <w:r w:rsidR="00FE4952" w:rsidRPr="00A834FF">
        <w:t xml:space="preserve"> </w:t>
      </w:r>
      <w:r w:rsidR="00CE45AF" w:rsidRPr="00A834FF">
        <w:t xml:space="preserve"> </w:t>
      </w:r>
      <w:hyperlink r:id="rId27" w:history="1">
        <w:r w:rsidR="00144EC0" w:rsidRPr="00A834FF">
          <w:rPr>
            <w:rStyle w:val="Hyperlink"/>
            <w:color w:val="auto"/>
            <w:u w:val="none"/>
          </w:rPr>
          <w:t>https://www.unescwa.org/events/committee-technology-development-1st-session</w:t>
        </w:r>
      </w:hyperlink>
    </w:p>
    <w:p w:rsidR="00144EC0" w:rsidRPr="00A834FF" w:rsidRDefault="00144EC0" w:rsidP="00CE45AF"/>
    <w:p w:rsidR="00CE45AF" w:rsidRDefault="00CE45AF" w:rsidP="00CE45AF"/>
    <w:p w:rsidR="00EE4540" w:rsidRPr="00A834FF" w:rsidRDefault="00EE4540" w:rsidP="00CE45AF"/>
    <w:p w:rsidR="00B876C6" w:rsidRPr="00EE4540" w:rsidRDefault="00CE45AF" w:rsidP="00EE4540">
      <w:pPr>
        <w:pStyle w:val="Endofdocument-Annex"/>
        <w:rPr>
          <w:lang w:val="es-ES"/>
        </w:rPr>
      </w:pPr>
      <w:r w:rsidRPr="00A834FF">
        <w:rPr>
          <w:lang w:val="es-ES"/>
        </w:rPr>
        <w:t>[</w:t>
      </w:r>
      <w:r w:rsidR="006178C3" w:rsidRPr="00A834FF">
        <w:rPr>
          <w:lang w:val="es-ES"/>
        </w:rPr>
        <w:t>Fin del Anexo y del documento</w:t>
      </w:r>
      <w:r w:rsidRPr="00A834FF">
        <w:rPr>
          <w:lang w:val="es-ES"/>
        </w:rPr>
        <w:t>]</w:t>
      </w:r>
    </w:p>
    <w:sectPr w:rsidR="00B876C6" w:rsidRPr="00EE4540" w:rsidSect="00D10D99">
      <w:headerReference w:type="default" r:id="rId28"/>
      <w:headerReference w:type="first" r:id="rId29"/>
      <w:footerReference w:type="first" r:id="rId3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5B" w:rsidRDefault="00536B5B">
      <w:r>
        <w:separator/>
      </w:r>
    </w:p>
  </w:endnote>
  <w:endnote w:type="continuationSeparator" w:id="0">
    <w:p w:rsidR="00536B5B" w:rsidRPr="009D30E6" w:rsidRDefault="00536B5B" w:rsidP="007E663E">
      <w:pPr>
        <w:rPr>
          <w:sz w:val="17"/>
          <w:szCs w:val="17"/>
        </w:rPr>
      </w:pPr>
      <w:r w:rsidRPr="009D30E6">
        <w:rPr>
          <w:sz w:val="17"/>
          <w:szCs w:val="17"/>
        </w:rPr>
        <w:separator/>
      </w:r>
    </w:p>
    <w:p w:rsidR="00536B5B" w:rsidRPr="007E663E" w:rsidRDefault="00536B5B" w:rsidP="007E663E">
      <w:pPr>
        <w:spacing w:after="60"/>
        <w:rPr>
          <w:sz w:val="17"/>
          <w:szCs w:val="17"/>
        </w:rPr>
      </w:pPr>
      <w:r>
        <w:rPr>
          <w:sz w:val="17"/>
        </w:rPr>
        <w:t>[Continuación de la nota de la página anterior]</w:t>
      </w:r>
    </w:p>
  </w:endnote>
  <w:endnote w:type="continuationNotice" w:id="1">
    <w:p w:rsidR="00536B5B" w:rsidRPr="007E663E" w:rsidRDefault="00536B5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DF" w:rsidRDefault="00257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5B" w:rsidRDefault="00536B5B">
      <w:r>
        <w:separator/>
      </w:r>
    </w:p>
  </w:footnote>
  <w:footnote w:type="continuationSeparator" w:id="0">
    <w:p w:rsidR="00536B5B" w:rsidRPr="009D30E6" w:rsidRDefault="00536B5B" w:rsidP="007E663E">
      <w:pPr>
        <w:rPr>
          <w:sz w:val="17"/>
          <w:szCs w:val="17"/>
        </w:rPr>
      </w:pPr>
      <w:r w:rsidRPr="009D30E6">
        <w:rPr>
          <w:sz w:val="17"/>
          <w:szCs w:val="17"/>
        </w:rPr>
        <w:separator/>
      </w:r>
    </w:p>
    <w:p w:rsidR="00536B5B" w:rsidRPr="007E663E" w:rsidRDefault="00536B5B" w:rsidP="007E663E">
      <w:pPr>
        <w:spacing w:after="60"/>
        <w:rPr>
          <w:sz w:val="17"/>
          <w:szCs w:val="17"/>
        </w:rPr>
      </w:pPr>
      <w:r>
        <w:rPr>
          <w:sz w:val="17"/>
        </w:rPr>
        <w:t>[Continuación de la nota de la página anterior]</w:t>
      </w:r>
    </w:p>
  </w:footnote>
  <w:footnote w:type="continuationNotice" w:id="1">
    <w:p w:rsidR="00536B5B" w:rsidRPr="007E663E" w:rsidRDefault="00536B5B" w:rsidP="007E663E">
      <w:pPr>
        <w:spacing w:before="60"/>
        <w:jc w:val="right"/>
        <w:rPr>
          <w:sz w:val="17"/>
          <w:szCs w:val="17"/>
        </w:rPr>
      </w:pPr>
      <w:r w:rsidRPr="007E663E">
        <w:rPr>
          <w:sz w:val="17"/>
          <w:szCs w:val="17"/>
        </w:rPr>
        <w:t>[Sigue la nota en la página siguiente]</w:t>
      </w:r>
    </w:p>
  </w:footnote>
  <w:footnote w:id="2">
    <w:p w:rsidR="002570DF" w:rsidRPr="00BA1DBB" w:rsidRDefault="002570DF" w:rsidP="00CE45AF">
      <w:pPr>
        <w:pStyle w:val="FootnoteText"/>
        <w:rPr>
          <w:lang w:val="fr-FR"/>
        </w:rPr>
      </w:pPr>
      <w:r>
        <w:rPr>
          <w:rStyle w:val="FootnoteReference"/>
        </w:rPr>
        <w:footnoteRef/>
      </w:r>
      <w:r w:rsidRPr="00BA1DBB">
        <w:rPr>
          <w:lang w:val="fr-FR"/>
        </w:rPr>
        <w:t xml:space="preserve"> </w:t>
      </w:r>
      <w:r w:rsidRPr="000706C8">
        <w:rPr>
          <w:lang w:val="fr-FR"/>
        </w:rPr>
        <w:t>Véase</w:t>
      </w:r>
      <w:r w:rsidRPr="00BA1DBB">
        <w:rPr>
          <w:lang w:val="fr-FR"/>
        </w:rPr>
        <w:t>: https://sustainabledevelopment.un.org/tfm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DF" w:rsidRDefault="002570DF" w:rsidP="00477D6B">
    <w:pPr>
      <w:jc w:val="right"/>
    </w:pPr>
    <w:bookmarkStart w:id="6" w:name="Code2"/>
    <w:bookmarkEnd w:id="6"/>
    <w:r>
      <w:t>CDIP/20/12</w:t>
    </w:r>
  </w:p>
  <w:p w:rsidR="002570DF" w:rsidRDefault="002570DF"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2570DF" w:rsidRDefault="002570D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DF" w:rsidRDefault="002570DF" w:rsidP="00477D6B">
    <w:pPr>
      <w:jc w:val="right"/>
    </w:pPr>
    <w:r>
      <w:t>CDIP/20/12</w:t>
    </w:r>
  </w:p>
  <w:p w:rsidR="002570DF" w:rsidRDefault="002570DF" w:rsidP="00D10D99">
    <w:pPr>
      <w:ind w:firstLine="567"/>
      <w:jc w:val="right"/>
    </w:pPr>
    <w:r>
      <w:t xml:space="preserve">Anexo, página </w:t>
    </w:r>
    <w:r>
      <w:fldChar w:fldCharType="begin"/>
    </w:r>
    <w:r>
      <w:instrText xml:space="preserve"> PAGE  \* MERGEFORMAT </w:instrText>
    </w:r>
    <w:r>
      <w:fldChar w:fldCharType="separate"/>
    </w:r>
    <w:r w:rsidR="006604F2">
      <w:rPr>
        <w:noProof/>
      </w:rPr>
      <w:t>2</w:t>
    </w:r>
    <w:r>
      <w:fldChar w:fldCharType="end"/>
    </w:r>
  </w:p>
  <w:p w:rsidR="002570DF" w:rsidRDefault="002570DF" w:rsidP="00477D6B">
    <w:pPr>
      <w:jc w:val="right"/>
    </w:pPr>
  </w:p>
  <w:p w:rsidR="002570DF" w:rsidRDefault="002570D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0DF" w:rsidRDefault="002570DF" w:rsidP="00EE4540">
    <w:pPr>
      <w:pStyle w:val="Header"/>
      <w:jc w:val="right"/>
    </w:pPr>
    <w:r>
      <w:t>CDIP/20/12</w:t>
    </w:r>
  </w:p>
  <w:p w:rsidR="002570DF" w:rsidRDefault="002570DF" w:rsidP="00EE4540">
    <w:pPr>
      <w:pStyle w:val="Header"/>
      <w:jc w:val="right"/>
    </w:pPr>
    <w:r>
      <w:t>ANEXO</w:t>
    </w:r>
  </w:p>
  <w:p w:rsidR="002570DF" w:rsidRDefault="002570DF" w:rsidP="00EE45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B5185C"/>
    <w:multiLevelType w:val="hybridMultilevel"/>
    <w:tmpl w:val="6A606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B2F40"/>
    <w:multiLevelType w:val="hybridMultilevel"/>
    <w:tmpl w:val="CD9A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52115"/>
    <w:multiLevelType w:val="hybridMultilevel"/>
    <w:tmpl w:val="DB42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B7CFE"/>
    <w:multiLevelType w:val="hybridMultilevel"/>
    <w:tmpl w:val="FC9CA96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0AF75808"/>
    <w:multiLevelType w:val="hybridMultilevel"/>
    <w:tmpl w:val="F1968B96"/>
    <w:lvl w:ilvl="0" w:tplc="F766A776">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0F433C63"/>
    <w:multiLevelType w:val="hybridMultilevel"/>
    <w:tmpl w:val="A668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2C7D21"/>
    <w:multiLevelType w:val="hybridMultilevel"/>
    <w:tmpl w:val="A33C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648B9"/>
    <w:multiLevelType w:val="multilevel"/>
    <w:tmpl w:val="61DE1C8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A8E6986"/>
    <w:multiLevelType w:val="hybridMultilevel"/>
    <w:tmpl w:val="CF1CFD7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2">
    <w:nsid w:val="1A8E6AE8"/>
    <w:multiLevelType w:val="hybridMultilevel"/>
    <w:tmpl w:val="3006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AA482F"/>
    <w:multiLevelType w:val="hybridMultilevel"/>
    <w:tmpl w:val="6B76023E"/>
    <w:lvl w:ilvl="0" w:tplc="77581152">
      <w:start w:val="1"/>
      <w:numFmt w:val="decimal"/>
      <w:lvlText w:val="%1."/>
      <w:lvlJc w:val="left"/>
      <w:pPr>
        <w:ind w:left="720" w:hanging="360"/>
      </w:pPr>
      <w:rPr>
        <w:rFonts w:ascii="Arial" w:eastAsia="Times New Roman" w:hAnsi="Arial"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82B24DD"/>
    <w:multiLevelType w:val="hybridMultilevel"/>
    <w:tmpl w:val="353E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971234"/>
    <w:multiLevelType w:val="hybridMultilevel"/>
    <w:tmpl w:val="EEDC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768F"/>
    <w:multiLevelType w:val="multilevel"/>
    <w:tmpl w:val="CC4288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heme="minorBidi" w:eastAsia="Times New Roman" w:hAnsiTheme="minorBidi" w:cstheme="minorBidi"/>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D23E0"/>
    <w:multiLevelType w:val="hybridMultilevel"/>
    <w:tmpl w:val="A10CC504"/>
    <w:lvl w:ilvl="0" w:tplc="4B3A5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C2F26"/>
    <w:multiLevelType w:val="multilevel"/>
    <w:tmpl w:val="DCE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722643F"/>
    <w:multiLevelType w:val="hybridMultilevel"/>
    <w:tmpl w:val="B450DE4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37755541"/>
    <w:multiLevelType w:val="hybridMultilevel"/>
    <w:tmpl w:val="C6DED23E"/>
    <w:lvl w:ilvl="0" w:tplc="F8AA4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373754"/>
    <w:multiLevelType w:val="hybridMultilevel"/>
    <w:tmpl w:val="98488C12"/>
    <w:lvl w:ilvl="0" w:tplc="0FD6C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5B7C6E"/>
    <w:multiLevelType w:val="hybridMultilevel"/>
    <w:tmpl w:val="A04E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3C40A7"/>
    <w:multiLevelType w:val="hybridMultilevel"/>
    <w:tmpl w:val="4A72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64AA8"/>
    <w:multiLevelType w:val="multilevel"/>
    <w:tmpl w:val="C30A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0701961"/>
    <w:multiLevelType w:val="hybridMultilevel"/>
    <w:tmpl w:val="AFC8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E6A03"/>
    <w:multiLevelType w:val="hybridMultilevel"/>
    <w:tmpl w:val="95963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CF1077"/>
    <w:multiLevelType w:val="hybridMultilevel"/>
    <w:tmpl w:val="A942BB40"/>
    <w:lvl w:ilvl="0" w:tplc="155606B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428E5"/>
    <w:multiLevelType w:val="hybridMultilevel"/>
    <w:tmpl w:val="A090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B26982"/>
    <w:multiLevelType w:val="hybridMultilevel"/>
    <w:tmpl w:val="9740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06429"/>
    <w:multiLevelType w:val="hybridMultilevel"/>
    <w:tmpl w:val="90B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977"/>
    <w:multiLevelType w:val="hybridMultilevel"/>
    <w:tmpl w:val="C6FC5648"/>
    <w:lvl w:ilvl="0" w:tplc="17B49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7B71CD"/>
    <w:multiLevelType w:val="hybridMultilevel"/>
    <w:tmpl w:val="52CCF5AE"/>
    <w:lvl w:ilvl="0" w:tplc="CDA49970">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B7951"/>
    <w:multiLevelType w:val="hybridMultilevel"/>
    <w:tmpl w:val="5BAC6A50"/>
    <w:lvl w:ilvl="0" w:tplc="D24AEC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65E6F07"/>
    <w:multiLevelType w:val="hybridMultilevel"/>
    <w:tmpl w:val="99B2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65E0B"/>
    <w:multiLevelType w:val="hybridMultilevel"/>
    <w:tmpl w:val="A3B0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AF6741"/>
    <w:multiLevelType w:val="hybridMultilevel"/>
    <w:tmpl w:val="D3CE0376"/>
    <w:lvl w:ilvl="0" w:tplc="B6BCFC8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nsid w:val="6B1603C9"/>
    <w:multiLevelType w:val="multilevel"/>
    <w:tmpl w:val="BF68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B933BDD"/>
    <w:multiLevelType w:val="hybridMultilevel"/>
    <w:tmpl w:val="5BAC6A50"/>
    <w:lvl w:ilvl="0" w:tplc="D24AEC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0357F87"/>
    <w:multiLevelType w:val="hybridMultilevel"/>
    <w:tmpl w:val="7886345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5">
    <w:nsid w:val="73A72DAC"/>
    <w:multiLevelType w:val="hybridMultilevel"/>
    <w:tmpl w:val="AC00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7">
    <w:nsid w:val="76B12BC5"/>
    <w:multiLevelType w:val="hybridMultilevel"/>
    <w:tmpl w:val="9FF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7D53BC"/>
    <w:multiLevelType w:val="hybridMultilevel"/>
    <w:tmpl w:val="4DB4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0"/>
  </w:num>
  <w:num w:numId="4">
    <w:abstractNumId w:val="25"/>
  </w:num>
  <w:num w:numId="5">
    <w:abstractNumId w:val="3"/>
  </w:num>
  <w:num w:numId="6">
    <w:abstractNumId w:val="14"/>
  </w:num>
  <w:num w:numId="7">
    <w:abstractNumId w:val="38"/>
  </w:num>
  <w:num w:numId="8">
    <w:abstractNumId w:val="46"/>
  </w:num>
  <w:num w:numId="9">
    <w:abstractNumId w:val="41"/>
  </w:num>
  <w:num w:numId="10">
    <w:abstractNumId w:val="32"/>
  </w:num>
  <w:num w:numId="11">
    <w:abstractNumId w:val="35"/>
  </w:num>
  <w:num w:numId="12">
    <w:abstractNumId w:val="6"/>
  </w:num>
  <w:num w:numId="13">
    <w:abstractNumId w:val="17"/>
  </w:num>
  <w:num w:numId="14">
    <w:abstractNumId w:val="22"/>
  </w:num>
  <w:num w:numId="15">
    <w:abstractNumId w:val="28"/>
  </w:num>
  <w:num w:numId="16">
    <w:abstractNumId w:val="29"/>
  </w:num>
  <w:num w:numId="17">
    <w:abstractNumId w:val="4"/>
  </w:num>
  <w:num w:numId="18">
    <w:abstractNumId w:val="40"/>
  </w:num>
  <w:num w:numId="19">
    <w:abstractNumId w:val="34"/>
  </w:num>
  <w:num w:numId="20">
    <w:abstractNumId w:val="47"/>
  </w:num>
  <w:num w:numId="21">
    <w:abstractNumId w:val="36"/>
  </w:num>
  <w:num w:numId="22">
    <w:abstractNumId w:val="2"/>
  </w:num>
  <w:num w:numId="23">
    <w:abstractNumId w:val="39"/>
  </w:num>
  <w:num w:numId="24">
    <w:abstractNumId w:val="24"/>
  </w:num>
  <w:num w:numId="25">
    <w:abstractNumId w:val="9"/>
  </w:num>
  <w:num w:numId="26">
    <w:abstractNumId w:val="7"/>
  </w:num>
  <w:num w:numId="27">
    <w:abstractNumId w:val="5"/>
  </w:num>
  <w:num w:numId="28">
    <w:abstractNumId w:val="1"/>
  </w:num>
  <w:num w:numId="29">
    <w:abstractNumId w:val="27"/>
  </w:num>
  <w:num w:numId="30">
    <w:abstractNumId w:val="11"/>
  </w:num>
  <w:num w:numId="31">
    <w:abstractNumId w:val="19"/>
  </w:num>
  <w:num w:numId="32">
    <w:abstractNumId w:val="16"/>
  </w:num>
  <w:num w:numId="33">
    <w:abstractNumId w:val="8"/>
  </w:num>
  <w:num w:numId="34">
    <w:abstractNumId w:val="45"/>
  </w:num>
  <w:num w:numId="35">
    <w:abstractNumId w:val="12"/>
  </w:num>
  <w:num w:numId="36">
    <w:abstractNumId w:val="42"/>
  </w:num>
  <w:num w:numId="37">
    <w:abstractNumId w:val="48"/>
  </w:num>
  <w:num w:numId="38">
    <w:abstractNumId w:val="15"/>
  </w:num>
  <w:num w:numId="39">
    <w:abstractNumId w:val="26"/>
  </w:num>
  <w:num w:numId="40">
    <w:abstractNumId w:val="31"/>
  </w:num>
  <w:num w:numId="41">
    <w:abstractNumId w:val="44"/>
  </w:num>
  <w:num w:numId="42">
    <w:abstractNumId w:val="20"/>
  </w:num>
  <w:num w:numId="43">
    <w:abstractNumId w:val="21"/>
  </w:num>
  <w:num w:numId="44">
    <w:abstractNumId w:val="18"/>
  </w:num>
  <w:num w:numId="45">
    <w:abstractNumId w:val="30"/>
  </w:num>
  <w:num w:numId="46">
    <w:abstractNumId w:val="33"/>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1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B1"/>
    <w:rsid w:val="00000583"/>
    <w:rsid w:val="0000285B"/>
    <w:rsid w:val="000105D1"/>
    <w:rsid w:val="00010686"/>
    <w:rsid w:val="000241EF"/>
    <w:rsid w:val="00052915"/>
    <w:rsid w:val="00067362"/>
    <w:rsid w:val="000706C8"/>
    <w:rsid w:val="000871E1"/>
    <w:rsid w:val="000D599A"/>
    <w:rsid w:val="000E0547"/>
    <w:rsid w:val="000E1D07"/>
    <w:rsid w:val="000E3BB3"/>
    <w:rsid w:val="000F5E56"/>
    <w:rsid w:val="0011504A"/>
    <w:rsid w:val="00117285"/>
    <w:rsid w:val="00131B3C"/>
    <w:rsid w:val="001362EE"/>
    <w:rsid w:val="00142833"/>
    <w:rsid w:val="00144EC0"/>
    <w:rsid w:val="00152CEA"/>
    <w:rsid w:val="00154A3A"/>
    <w:rsid w:val="00155B68"/>
    <w:rsid w:val="0016051B"/>
    <w:rsid w:val="00160D9A"/>
    <w:rsid w:val="00163DDE"/>
    <w:rsid w:val="0016783A"/>
    <w:rsid w:val="001679C5"/>
    <w:rsid w:val="001832A6"/>
    <w:rsid w:val="00190198"/>
    <w:rsid w:val="001C61AD"/>
    <w:rsid w:val="0020317E"/>
    <w:rsid w:val="00216E04"/>
    <w:rsid w:val="0021793F"/>
    <w:rsid w:val="00233327"/>
    <w:rsid w:val="002347D5"/>
    <w:rsid w:val="00242056"/>
    <w:rsid w:val="00243A00"/>
    <w:rsid w:val="0025069E"/>
    <w:rsid w:val="0025101D"/>
    <w:rsid w:val="002515B9"/>
    <w:rsid w:val="002570DF"/>
    <w:rsid w:val="002578DA"/>
    <w:rsid w:val="002634C4"/>
    <w:rsid w:val="00263ACD"/>
    <w:rsid w:val="00266D6F"/>
    <w:rsid w:val="00281D0A"/>
    <w:rsid w:val="00294107"/>
    <w:rsid w:val="002A1597"/>
    <w:rsid w:val="002B4651"/>
    <w:rsid w:val="002B7462"/>
    <w:rsid w:val="002C6249"/>
    <w:rsid w:val="002D23D1"/>
    <w:rsid w:val="002D2A7F"/>
    <w:rsid w:val="002E0F47"/>
    <w:rsid w:val="002F4E68"/>
    <w:rsid w:val="003053EF"/>
    <w:rsid w:val="00316741"/>
    <w:rsid w:val="0033029D"/>
    <w:rsid w:val="00337671"/>
    <w:rsid w:val="003421C9"/>
    <w:rsid w:val="003526CE"/>
    <w:rsid w:val="00354647"/>
    <w:rsid w:val="00355F50"/>
    <w:rsid w:val="00366EF5"/>
    <w:rsid w:val="00376349"/>
    <w:rsid w:val="00377273"/>
    <w:rsid w:val="00380574"/>
    <w:rsid w:val="003845C1"/>
    <w:rsid w:val="00387287"/>
    <w:rsid w:val="00391AD0"/>
    <w:rsid w:val="00394029"/>
    <w:rsid w:val="003978EC"/>
    <w:rsid w:val="003A535A"/>
    <w:rsid w:val="003B1190"/>
    <w:rsid w:val="003B7008"/>
    <w:rsid w:val="003C0EA9"/>
    <w:rsid w:val="003C20B6"/>
    <w:rsid w:val="003D3601"/>
    <w:rsid w:val="003E48F1"/>
    <w:rsid w:val="003F1B68"/>
    <w:rsid w:val="003F347A"/>
    <w:rsid w:val="00423E3E"/>
    <w:rsid w:val="00427AF4"/>
    <w:rsid w:val="00430DA2"/>
    <w:rsid w:val="00431F71"/>
    <w:rsid w:val="00450988"/>
    <w:rsid w:val="0045231F"/>
    <w:rsid w:val="00456E7C"/>
    <w:rsid w:val="004647DA"/>
    <w:rsid w:val="0046793F"/>
    <w:rsid w:val="00477808"/>
    <w:rsid w:val="00477D6B"/>
    <w:rsid w:val="00484AC7"/>
    <w:rsid w:val="0048765E"/>
    <w:rsid w:val="004A6C37"/>
    <w:rsid w:val="004B746C"/>
    <w:rsid w:val="004C002B"/>
    <w:rsid w:val="004C6636"/>
    <w:rsid w:val="004D3BE9"/>
    <w:rsid w:val="004E297D"/>
    <w:rsid w:val="004E2EC7"/>
    <w:rsid w:val="004E70DF"/>
    <w:rsid w:val="00502855"/>
    <w:rsid w:val="00507DAB"/>
    <w:rsid w:val="00517002"/>
    <w:rsid w:val="00531B02"/>
    <w:rsid w:val="005332F0"/>
    <w:rsid w:val="00536B5B"/>
    <w:rsid w:val="0054434B"/>
    <w:rsid w:val="0054520A"/>
    <w:rsid w:val="0055013B"/>
    <w:rsid w:val="00563A14"/>
    <w:rsid w:val="00571B99"/>
    <w:rsid w:val="00573419"/>
    <w:rsid w:val="005877E6"/>
    <w:rsid w:val="00590813"/>
    <w:rsid w:val="00597B67"/>
    <w:rsid w:val="005B553E"/>
    <w:rsid w:val="005C4C8C"/>
    <w:rsid w:val="005C7E0E"/>
    <w:rsid w:val="005D0FBE"/>
    <w:rsid w:val="005D414F"/>
    <w:rsid w:val="005E50E5"/>
    <w:rsid w:val="005F11AB"/>
    <w:rsid w:val="00605827"/>
    <w:rsid w:val="00605C47"/>
    <w:rsid w:val="00611196"/>
    <w:rsid w:val="006178C3"/>
    <w:rsid w:val="00621F49"/>
    <w:rsid w:val="00625BEF"/>
    <w:rsid w:val="00630E93"/>
    <w:rsid w:val="00637D02"/>
    <w:rsid w:val="0065666C"/>
    <w:rsid w:val="006604F2"/>
    <w:rsid w:val="006741A8"/>
    <w:rsid w:val="00675021"/>
    <w:rsid w:val="006859B9"/>
    <w:rsid w:val="00693CA8"/>
    <w:rsid w:val="00694781"/>
    <w:rsid w:val="006A06C6"/>
    <w:rsid w:val="006A1DA2"/>
    <w:rsid w:val="006A4083"/>
    <w:rsid w:val="006B4647"/>
    <w:rsid w:val="006E39B3"/>
    <w:rsid w:val="006F161D"/>
    <w:rsid w:val="006F535D"/>
    <w:rsid w:val="007146C9"/>
    <w:rsid w:val="007224C8"/>
    <w:rsid w:val="007348B1"/>
    <w:rsid w:val="00767617"/>
    <w:rsid w:val="00791C94"/>
    <w:rsid w:val="00794BE2"/>
    <w:rsid w:val="0079656A"/>
    <w:rsid w:val="007A5362"/>
    <w:rsid w:val="007A5581"/>
    <w:rsid w:val="007B3774"/>
    <w:rsid w:val="007B71FE"/>
    <w:rsid w:val="007C37B9"/>
    <w:rsid w:val="007C4ED0"/>
    <w:rsid w:val="007D50F0"/>
    <w:rsid w:val="007D781E"/>
    <w:rsid w:val="007E663E"/>
    <w:rsid w:val="007E78CD"/>
    <w:rsid w:val="00800AF3"/>
    <w:rsid w:val="008052F6"/>
    <w:rsid w:val="008059A5"/>
    <w:rsid w:val="00814C48"/>
    <w:rsid w:val="00815082"/>
    <w:rsid w:val="00815720"/>
    <w:rsid w:val="008272A1"/>
    <w:rsid w:val="008332F4"/>
    <w:rsid w:val="00836524"/>
    <w:rsid w:val="00845429"/>
    <w:rsid w:val="008567D7"/>
    <w:rsid w:val="00864A3B"/>
    <w:rsid w:val="00864F9F"/>
    <w:rsid w:val="0088395E"/>
    <w:rsid w:val="008B0906"/>
    <w:rsid w:val="008B2CC1"/>
    <w:rsid w:val="008B6C4D"/>
    <w:rsid w:val="008C12DB"/>
    <w:rsid w:val="008D5CC4"/>
    <w:rsid w:val="008E50EE"/>
    <w:rsid w:val="008E6BD6"/>
    <w:rsid w:val="008F1B0A"/>
    <w:rsid w:val="00900112"/>
    <w:rsid w:val="009008C7"/>
    <w:rsid w:val="0090731E"/>
    <w:rsid w:val="00921249"/>
    <w:rsid w:val="0096247A"/>
    <w:rsid w:val="00966A22"/>
    <w:rsid w:val="00972F03"/>
    <w:rsid w:val="0097680D"/>
    <w:rsid w:val="00996216"/>
    <w:rsid w:val="009A0C8B"/>
    <w:rsid w:val="009A425C"/>
    <w:rsid w:val="009B6241"/>
    <w:rsid w:val="009D112F"/>
    <w:rsid w:val="009D5EAD"/>
    <w:rsid w:val="009E24E7"/>
    <w:rsid w:val="009E4B2D"/>
    <w:rsid w:val="009E73F1"/>
    <w:rsid w:val="009F368A"/>
    <w:rsid w:val="00A16FC0"/>
    <w:rsid w:val="00A314EE"/>
    <w:rsid w:val="00A32C9E"/>
    <w:rsid w:val="00A44A35"/>
    <w:rsid w:val="00A62C2C"/>
    <w:rsid w:val="00A64688"/>
    <w:rsid w:val="00A834FF"/>
    <w:rsid w:val="00AA109D"/>
    <w:rsid w:val="00AB613D"/>
    <w:rsid w:val="00AE7F20"/>
    <w:rsid w:val="00AF5D25"/>
    <w:rsid w:val="00B03BB7"/>
    <w:rsid w:val="00B05837"/>
    <w:rsid w:val="00B24711"/>
    <w:rsid w:val="00B35370"/>
    <w:rsid w:val="00B65A0A"/>
    <w:rsid w:val="00B67CDC"/>
    <w:rsid w:val="00B72D36"/>
    <w:rsid w:val="00B876C6"/>
    <w:rsid w:val="00B972C3"/>
    <w:rsid w:val="00B97AFD"/>
    <w:rsid w:val="00BA1DBB"/>
    <w:rsid w:val="00BC082E"/>
    <w:rsid w:val="00BC4164"/>
    <w:rsid w:val="00BD2DCC"/>
    <w:rsid w:val="00C01871"/>
    <w:rsid w:val="00C17E2B"/>
    <w:rsid w:val="00C473FB"/>
    <w:rsid w:val="00C50345"/>
    <w:rsid w:val="00C76CBC"/>
    <w:rsid w:val="00C90559"/>
    <w:rsid w:val="00C945F6"/>
    <w:rsid w:val="00CA2251"/>
    <w:rsid w:val="00CA529D"/>
    <w:rsid w:val="00CA7306"/>
    <w:rsid w:val="00CB03AD"/>
    <w:rsid w:val="00CB2B43"/>
    <w:rsid w:val="00CB7E5F"/>
    <w:rsid w:val="00CC1FBE"/>
    <w:rsid w:val="00CE45AF"/>
    <w:rsid w:val="00D10D99"/>
    <w:rsid w:val="00D13417"/>
    <w:rsid w:val="00D278D5"/>
    <w:rsid w:val="00D36393"/>
    <w:rsid w:val="00D36C9E"/>
    <w:rsid w:val="00D44CF8"/>
    <w:rsid w:val="00D56C7C"/>
    <w:rsid w:val="00D56D59"/>
    <w:rsid w:val="00D71B4D"/>
    <w:rsid w:val="00D90289"/>
    <w:rsid w:val="00D93D55"/>
    <w:rsid w:val="00DA5B7A"/>
    <w:rsid w:val="00DC4C60"/>
    <w:rsid w:val="00DD3E4C"/>
    <w:rsid w:val="00DE4521"/>
    <w:rsid w:val="00DF4AE2"/>
    <w:rsid w:val="00E0079A"/>
    <w:rsid w:val="00E2410F"/>
    <w:rsid w:val="00E3223E"/>
    <w:rsid w:val="00E444DA"/>
    <w:rsid w:val="00E45C84"/>
    <w:rsid w:val="00E462D3"/>
    <w:rsid w:val="00E504E5"/>
    <w:rsid w:val="00E5506A"/>
    <w:rsid w:val="00E67548"/>
    <w:rsid w:val="00EA3D60"/>
    <w:rsid w:val="00EB5599"/>
    <w:rsid w:val="00EB688F"/>
    <w:rsid w:val="00EB7A3E"/>
    <w:rsid w:val="00EC401A"/>
    <w:rsid w:val="00ED5EB5"/>
    <w:rsid w:val="00EE230B"/>
    <w:rsid w:val="00EE4540"/>
    <w:rsid w:val="00EE6F53"/>
    <w:rsid w:val="00EF530A"/>
    <w:rsid w:val="00EF6622"/>
    <w:rsid w:val="00EF746E"/>
    <w:rsid w:val="00EF78A9"/>
    <w:rsid w:val="00F01EC0"/>
    <w:rsid w:val="00F1371D"/>
    <w:rsid w:val="00F30F5D"/>
    <w:rsid w:val="00F52A5A"/>
    <w:rsid w:val="00F55408"/>
    <w:rsid w:val="00F65B3D"/>
    <w:rsid w:val="00F66152"/>
    <w:rsid w:val="00F80142"/>
    <w:rsid w:val="00F80845"/>
    <w:rsid w:val="00F84474"/>
    <w:rsid w:val="00F868C5"/>
    <w:rsid w:val="00F876E0"/>
    <w:rsid w:val="00FA0F0D"/>
    <w:rsid w:val="00FD34AD"/>
    <w:rsid w:val="00FD59D1"/>
    <w:rsid w:val="00FE173F"/>
    <w:rsid w:val="00FE3759"/>
    <w:rsid w:val="00FE4952"/>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CE45AF"/>
    <w:pPr>
      <w:keepNext/>
      <w:keepLines/>
      <w:spacing w:before="200"/>
      <w:outlineLvl w:val="4"/>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B876C6"/>
    <w:pPr>
      <w:ind w:left="720"/>
      <w:contextualSpacing/>
    </w:pPr>
    <w:rPr>
      <w:lang w:val="en-US"/>
    </w:rPr>
  </w:style>
  <w:style w:type="character" w:customStyle="1" w:styleId="Heading5Char">
    <w:name w:val="Heading 5 Char"/>
    <w:basedOn w:val="DefaultParagraphFont"/>
    <w:link w:val="Heading5"/>
    <w:rsid w:val="00CE45AF"/>
    <w:rPr>
      <w:rFonts w:asciiTheme="majorHAnsi" w:eastAsiaTheme="majorEastAsia" w:hAnsiTheme="majorHAnsi" w:cstheme="majorBidi"/>
      <w:color w:val="243F60" w:themeColor="accent1" w:themeShade="7F"/>
      <w:sz w:val="22"/>
      <w:lang w:val="en-US" w:eastAsia="en-US"/>
    </w:rPr>
  </w:style>
  <w:style w:type="character" w:customStyle="1" w:styleId="Heading1Char">
    <w:name w:val="Heading 1 Char"/>
    <w:basedOn w:val="DefaultParagraphFont"/>
    <w:link w:val="Heading1"/>
    <w:rsid w:val="00CE45A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E45A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E45A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E45AF"/>
    <w:rPr>
      <w:rFonts w:ascii="Arial" w:eastAsia="SimSun" w:hAnsi="Arial" w:cs="Arial"/>
      <w:bCs/>
      <w:i/>
      <w:sz w:val="22"/>
      <w:szCs w:val="28"/>
      <w:lang w:val="es-ES" w:eastAsia="zh-CN"/>
    </w:rPr>
  </w:style>
  <w:style w:type="character" w:customStyle="1" w:styleId="HeaderChar">
    <w:name w:val="Header Char"/>
    <w:basedOn w:val="DefaultParagraphFont"/>
    <w:link w:val="Header"/>
    <w:semiHidden/>
    <w:rsid w:val="00CE45AF"/>
    <w:rPr>
      <w:rFonts w:ascii="Arial" w:eastAsia="SimSun" w:hAnsi="Arial" w:cs="Arial"/>
      <w:sz w:val="22"/>
      <w:lang w:val="es-ES" w:eastAsia="zh-CN"/>
    </w:rPr>
  </w:style>
  <w:style w:type="character" w:customStyle="1" w:styleId="FooterChar">
    <w:name w:val="Footer Char"/>
    <w:basedOn w:val="DefaultParagraphFont"/>
    <w:link w:val="Footer"/>
    <w:uiPriority w:val="99"/>
    <w:rsid w:val="00CE45AF"/>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E45AF"/>
    <w:rPr>
      <w:rFonts w:ascii="Arial" w:eastAsia="SimSun" w:hAnsi="Arial" w:cs="Arial"/>
      <w:sz w:val="22"/>
      <w:lang w:val="es-ES" w:eastAsia="zh-CN"/>
    </w:rPr>
  </w:style>
  <w:style w:type="character" w:customStyle="1" w:styleId="SignatureChar">
    <w:name w:val="Signature Char"/>
    <w:basedOn w:val="DefaultParagraphFont"/>
    <w:link w:val="Signature"/>
    <w:semiHidden/>
    <w:rsid w:val="00CE45A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E45AF"/>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CE45AF"/>
    <w:rPr>
      <w:rFonts w:ascii="Arial" w:eastAsia="SimSun" w:hAnsi="Arial" w:cs="Arial"/>
      <w:sz w:val="18"/>
      <w:lang w:val="es-ES" w:eastAsia="zh-CN"/>
    </w:rPr>
  </w:style>
  <w:style w:type="character" w:customStyle="1" w:styleId="CommentTextChar">
    <w:name w:val="Comment Text Char"/>
    <w:basedOn w:val="DefaultParagraphFont"/>
    <w:semiHidden/>
    <w:rsid w:val="00CE45AF"/>
    <w:rPr>
      <w:rFonts w:ascii="Arial" w:eastAsia="SimSun" w:hAnsi="Arial" w:cs="Arial"/>
      <w:sz w:val="18"/>
      <w:lang w:val="en-US" w:eastAsia="zh-CN"/>
    </w:rPr>
  </w:style>
  <w:style w:type="character" w:customStyle="1" w:styleId="BodyTextChar">
    <w:name w:val="Body Text Char"/>
    <w:basedOn w:val="DefaultParagraphFont"/>
    <w:link w:val="BodyText"/>
    <w:rsid w:val="00CE45AF"/>
    <w:rPr>
      <w:rFonts w:ascii="Arial" w:eastAsia="SimSun" w:hAnsi="Arial" w:cs="Arial"/>
      <w:sz w:val="22"/>
      <w:lang w:val="es-ES" w:eastAsia="zh-CN"/>
    </w:rPr>
  </w:style>
  <w:style w:type="paragraph" w:styleId="NormalWeb">
    <w:name w:val="Normal (Web)"/>
    <w:basedOn w:val="Normal"/>
    <w:rsid w:val="00CE45AF"/>
    <w:rPr>
      <w:rFonts w:ascii="Times New Roman" w:eastAsia="Times New Roman" w:hAnsi="Times New Roman" w:cs="Times New Roman"/>
      <w:sz w:val="24"/>
      <w:szCs w:val="24"/>
      <w:lang w:val="en-US" w:eastAsia="en-US"/>
    </w:rPr>
  </w:style>
  <w:style w:type="character" w:styleId="FootnoteReference">
    <w:name w:val="footnote reference"/>
    <w:basedOn w:val="DefaultParagraphFont"/>
    <w:rsid w:val="00CE45AF"/>
    <w:rPr>
      <w:vertAlign w:val="superscript"/>
    </w:rPr>
  </w:style>
  <w:style w:type="character" w:styleId="Hyperlink">
    <w:name w:val="Hyperlink"/>
    <w:basedOn w:val="DefaultParagraphFont"/>
    <w:rsid w:val="00CE45AF"/>
    <w:rPr>
      <w:color w:val="0000FF" w:themeColor="hyperlink"/>
      <w:u w:val="single"/>
    </w:rPr>
  </w:style>
  <w:style w:type="paragraph" w:styleId="TOC1">
    <w:name w:val="toc 1"/>
    <w:basedOn w:val="Normal"/>
    <w:next w:val="Normal"/>
    <w:autoRedefine/>
    <w:uiPriority w:val="39"/>
    <w:unhideWhenUsed/>
    <w:qFormat/>
    <w:rsid w:val="00CE45AF"/>
    <w:pPr>
      <w:spacing w:after="100"/>
    </w:pPr>
    <w:rPr>
      <w:rFonts w:eastAsia="Times New Roman"/>
      <w:lang w:val="en-US" w:eastAsia="en-US"/>
    </w:rPr>
  </w:style>
  <w:style w:type="paragraph" w:styleId="TOC2">
    <w:name w:val="toc 2"/>
    <w:basedOn w:val="Normal"/>
    <w:next w:val="Normal"/>
    <w:autoRedefine/>
    <w:uiPriority w:val="39"/>
    <w:unhideWhenUsed/>
    <w:qFormat/>
    <w:rsid w:val="00CE45AF"/>
    <w:pPr>
      <w:spacing w:after="100"/>
      <w:ind w:left="220"/>
    </w:pPr>
    <w:rPr>
      <w:rFonts w:eastAsia="Times New Roman"/>
      <w:lang w:val="en-US" w:eastAsia="en-US"/>
    </w:rPr>
  </w:style>
  <w:style w:type="paragraph" w:styleId="TOC3">
    <w:name w:val="toc 3"/>
    <w:basedOn w:val="Normal"/>
    <w:next w:val="Normal"/>
    <w:autoRedefine/>
    <w:uiPriority w:val="39"/>
    <w:unhideWhenUsed/>
    <w:qFormat/>
    <w:rsid w:val="00CE45AF"/>
    <w:pPr>
      <w:spacing w:after="100"/>
      <w:ind w:left="440"/>
    </w:pPr>
    <w:rPr>
      <w:rFonts w:eastAsia="Times New Roman"/>
      <w:lang w:val="en-US" w:eastAsia="en-US"/>
    </w:rPr>
  </w:style>
  <w:style w:type="paragraph" w:styleId="TOCHeading">
    <w:name w:val="TOC Heading"/>
    <w:basedOn w:val="Heading1"/>
    <w:next w:val="Normal"/>
    <w:uiPriority w:val="39"/>
    <w:semiHidden/>
    <w:unhideWhenUsed/>
    <w:qFormat/>
    <w:rsid w:val="00CE45AF"/>
    <w:pPr>
      <w:keepLines/>
      <w:spacing w:before="480" w:after="0" w:line="276" w:lineRule="auto"/>
      <w:outlineLvl w:val="9"/>
    </w:pPr>
    <w:rPr>
      <w:rFonts w:ascii="Cambria" w:eastAsia="Times New Roman" w:hAnsi="Cambria" w:cs="Times New Roman"/>
      <w:caps w:val="0"/>
      <w:color w:val="365F91" w:themeColor="accent1" w:themeShade="BF"/>
      <w:kern w:val="0"/>
      <w:sz w:val="28"/>
      <w:szCs w:val="28"/>
      <w:lang w:val="en-US" w:eastAsia="ja-JP"/>
    </w:rPr>
  </w:style>
  <w:style w:type="character" w:styleId="CommentReference">
    <w:name w:val="annotation reference"/>
    <w:basedOn w:val="DefaultParagraphFont"/>
    <w:rsid w:val="00CE45AF"/>
    <w:rPr>
      <w:sz w:val="16"/>
      <w:szCs w:val="16"/>
    </w:rPr>
  </w:style>
  <w:style w:type="paragraph" w:styleId="CommentSubject">
    <w:name w:val="annotation subject"/>
    <w:basedOn w:val="CommentText"/>
    <w:next w:val="CommentText"/>
    <w:link w:val="CommentSubjectChar"/>
    <w:rsid w:val="00CE45AF"/>
    <w:rPr>
      <w:b/>
      <w:bCs/>
      <w:sz w:val="20"/>
      <w:lang w:val="en-US"/>
    </w:rPr>
  </w:style>
  <w:style w:type="character" w:customStyle="1" w:styleId="CommentTextChar1">
    <w:name w:val="Comment Text Char1"/>
    <w:basedOn w:val="DefaultParagraphFont"/>
    <w:link w:val="CommentText"/>
    <w:semiHidden/>
    <w:rsid w:val="00CE45AF"/>
    <w:rPr>
      <w:rFonts w:ascii="Arial" w:eastAsia="SimSun" w:hAnsi="Arial" w:cs="Arial"/>
      <w:sz w:val="18"/>
      <w:lang w:val="es-ES" w:eastAsia="zh-CN"/>
    </w:rPr>
  </w:style>
  <w:style w:type="character" w:customStyle="1" w:styleId="CommentSubjectChar">
    <w:name w:val="Comment Subject Char"/>
    <w:basedOn w:val="CommentTextChar1"/>
    <w:link w:val="CommentSubject"/>
    <w:rsid w:val="00CE45AF"/>
    <w:rPr>
      <w:rFonts w:ascii="Arial" w:eastAsia="SimSun" w:hAnsi="Arial" w:cs="Arial"/>
      <w:b/>
      <w:bCs/>
      <w:sz w:val="18"/>
      <w:lang w:val="en-US" w:eastAsia="zh-CN"/>
    </w:rPr>
  </w:style>
  <w:style w:type="character" w:styleId="PlaceholderText">
    <w:name w:val="Placeholder Text"/>
    <w:basedOn w:val="DefaultParagraphFont"/>
    <w:uiPriority w:val="99"/>
    <w:semiHidden/>
    <w:rsid w:val="002347D5"/>
    <w:rPr>
      <w:color w:val="808080"/>
    </w:rPr>
  </w:style>
  <w:style w:type="paragraph" w:customStyle="1" w:styleId="Default">
    <w:name w:val="Default"/>
    <w:rsid w:val="00000583"/>
    <w:pPr>
      <w:autoSpaceDE w:val="0"/>
      <w:autoSpaceDN w:val="0"/>
      <w:adjustRightInd w:val="0"/>
    </w:pPr>
    <w:rPr>
      <w:rFonts w:ascii="Gotham Book" w:hAnsi="Gotham Book" w:cs="Gotham Book"/>
      <w:color w:val="000000"/>
      <w:sz w:val="24"/>
      <w:szCs w:val="24"/>
      <w:lang w:val="es-ES"/>
    </w:rPr>
  </w:style>
  <w:style w:type="character" w:styleId="FollowedHyperlink">
    <w:name w:val="FollowedHyperlink"/>
    <w:basedOn w:val="DefaultParagraphFont"/>
    <w:semiHidden/>
    <w:unhideWhenUsed/>
    <w:rsid w:val="009F36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CE45AF"/>
    <w:pPr>
      <w:keepNext/>
      <w:keepLines/>
      <w:spacing w:before="200"/>
      <w:outlineLvl w:val="4"/>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B876C6"/>
    <w:pPr>
      <w:ind w:left="720"/>
      <w:contextualSpacing/>
    </w:pPr>
    <w:rPr>
      <w:lang w:val="en-US"/>
    </w:rPr>
  </w:style>
  <w:style w:type="character" w:customStyle="1" w:styleId="Heading5Char">
    <w:name w:val="Heading 5 Char"/>
    <w:basedOn w:val="DefaultParagraphFont"/>
    <w:link w:val="Heading5"/>
    <w:rsid w:val="00CE45AF"/>
    <w:rPr>
      <w:rFonts w:asciiTheme="majorHAnsi" w:eastAsiaTheme="majorEastAsia" w:hAnsiTheme="majorHAnsi" w:cstheme="majorBidi"/>
      <w:color w:val="243F60" w:themeColor="accent1" w:themeShade="7F"/>
      <w:sz w:val="22"/>
      <w:lang w:val="en-US" w:eastAsia="en-US"/>
    </w:rPr>
  </w:style>
  <w:style w:type="character" w:customStyle="1" w:styleId="Heading1Char">
    <w:name w:val="Heading 1 Char"/>
    <w:basedOn w:val="DefaultParagraphFont"/>
    <w:link w:val="Heading1"/>
    <w:rsid w:val="00CE45A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E45A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E45A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E45AF"/>
    <w:rPr>
      <w:rFonts w:ascii="Arial" w:eastAsia="SimSun" w:hAnsi="Arial" w:cs="Arial"/>
      <w:bCs/>
      <w:i/>
      <w:sz w:val="22"/>
      <w:szCs w:val="28"/>
      <w:lang w:val="es-ES" w:eastAsia="zh-CN"/>
    </w:rPr>
  </w:style>
  <w:style w:type="character" w:customStyle="1" w:styleId="HeaderChar">
    <w:name w:val="Header Char"/>
    <w:basedOn w:val="DefaultParagraphFont"/>
    <w:link w:val="Header"/>
    <w:semiHidden/>
    <w:rsid w:val="00CE45AF"/>
    <w:rPr>
      <w:rFonts w:ascii="Arial" w:eastAsia="SimSun" w:hAnsi="Arial" w:cs="Arial"/>
      <w:sz w:val="22"/>
      <w:lang w:val="es-ES" w:eastAsia="zh-CN"/>
    </w:rPr>
  </w:style>
  <w:style w:type="character" w:customStyle="1" w:styleId="FooterChar">
    <w:name w:val="Footer Char"/>
    <w:basedOn w:val="DefaultParagraphFont"/>
    <w:link w:val="Footer"/>
    <w:uiPriority w:val="99"/>
    <w:rsid w:val="00CE45AF"/>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E45AF"/>
    <w:rPr>
      <w:rFonts w:ascii="Arial" w:eastAsia="SimSun" w:hAnsi="Arial" w:cs="Arial"/>
      <w:sz w:val="22"/>
      <w:lang w:val="es-ES" w:eastAsia="zh-CN"/>
    </w:rPr>
  </w:style>
  <w:style w:type="character" w:customStyle="1" w:styleId="SignatureChar">
    <w:name w:val="Signature Char"/>
    <w:basedOn w:val="DefaultParagraphFont"/>
    <w:link w:val="Signature"/>
    <w:semiHidden/>
    <w:rsid w:val="00CE45A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E45AF"/>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CE45AF"/>
    <w:rPr>
      <w:rFonts w:ascii="Arial" w:eastAsia="SimSun" w:hAnsi="Arial" w:cs="Arial"/>
      <w:sz w:val="18"/>
      <w:lang w:val="es-ES" w:eastAsia="zh-CN"/>
    </w:rPr>
  </w:style>
  <w:style w:type="character" w:customStyle="1" w:styleId="CommentTextChar">
    <w:name w:val="Comment Text Char"/>
    <w:basedOn w:val="DefaultParagraphFont"/>
    <w:semiHidden/>
    <w:rsid w:val="00CE45AF"/>
    <w:rPr>
      <w:rFonts w:ascii="Arial" w:eastAsia="SimSun" w:hAnsi="Arial" w:cs="Arial"/>
      <w:sz w:val="18"/>
      <w:lang w:val="en-US" w:eastAsia="zh-CN"/>
    </w:rPr>
  </w:style>
  <w:style w:type="character" w:customStyle="1" w:styleId="BodyTextChar">
    <w:name w:val="Body Text Char"/>
    <w:basedOn w:val="DefaultParagraphFont"/>
    <w:link w:val="BodyText"/>
    <w:rsid w:val="00CE45AF"/>
    <w:rPr>
      <w:rFonts w:ascii="Arial" w:eastAsia="SimSun" w:hAnsi="Arial" w:cs="Arial"/>
      <w:sz w:val="22"/>
      <w:lang w:val="es-ES" w:eastAsia="zh-CN"/>
    </w:rPr>
  </w:style>
  <w:style w:type="paragraph" w:styleId="NormalWeb">
    <w:name w:val="Normal (Web)"/>
    <w:basedOn w:val="Normal"/>
    <w:rsid w:val="00CE45AF"/>
    <w:rPr>
      <w:rFonts w:ascii="Times New Roman" w:eastAsia="Times New Roman" w:hAnsi="Times New Roman" w:cs="Times New Roman"/>
      <w:sz w:val="24"/>
      <w:szCs w:val="24"/>
      <w:lang w:val="en-US" w:eastAsia="en-US"/>
    </w:rPr>
  </w:style>
  <w:style w:type="character" w:styleId="FootnoteReference">
    <w:name w:val="footnote reference"/>
    <w:basedOn w:val="DefaultParagraphFont"/>
    <w:rsid w:val="00CE45AF"/>
    <w:rPr>
      <w:vertAlign w:val="superscript"/>
    </w:rPr>
  </w:style>
  <w:style w:type="character" w:styleId="Hyperlink">
    <w:name w:val="Hyperlink"/>
    <w:basedOn w:val="DefaultParagraphFont"/>
    <w:rsid w:val="00CE45AF"/>
    <w:rPr>
      <w:color w:val="0000FF" w:themeColor="hyperlink"/>
      <w:u w:val="single"/>
    </w:rPr>
  </w:style>
  <w:style w:type="paragraph" w:styleId="TOC1">
    <w:name w:val="toc 1"/>
    <w:basedOn w:val="Normal"/>
    <w:next w:val="Normal"/>
    <w:autoRedefine/>
    <w:uiPriority w:val="39"/>
    <w:unhideWhenUsed/>
    <w:qFormat/>
    <w:rsid w:val="00CE45AF"/>
    <w:pPr>
      <w:spacing w:after="100"/>
    </w:pPr>
    <w:rPr>
      <w:rFonts w:eastAsia="Times New Roman"/>
      <w:lang w:val="en-US" w:eastAsia="en-US"/>
    </w:rPr>
  </w:style>
  <w:style w:type="paragraph" w:styleId="TOC2">
    <w:name w:val="toc 2"/>
    <w:basedOn w:val="Normal"/>
    <w:next w:val="Normal"/>
    <w:autoRedefine/>
    <w:uiPriority w:val="39"/>
    <w:unhideWhenUsed/>
    <w:qFormat/>
    <w:rsid w:val="00CE45AF"/>
    <w:pPr>
      <w:spacing w:after="100"/>
      <w:ind w:left="220"/>
    </w:pPr>
    <w:rPr>
      <w:rFonts w:eastAsia="Times New Roman"/>
      <w:lang w:val="en-US" w:eastAsia="en-US"/>
    </w:rPr>
  </w:style>
  <w:style w:type="paragraph" w:styleId="TOC3">
    <w:name w:val="toc 3"/>
    <w:basedOn w:val="Normal"/>
    <w:next w:val="Normal"/>
    <w:autoRedefine/>
    <w:uiPriority w:val="39"/>
    <w:unhideWhenUsed/>
    <w:qFormat/>
    <w:rsid w:val="00CE45AF"/>
    <w:pPr>
      <w:spacing w:after="100"/>
      <w:ind w:left="440"/>
    </w:pPr>
    <w:rPr>
      <w:rFonts w:eastAsia="Times New Roman"/>
      <w:lang w:val="en-US" w:eastAsia="en-US"/>
    </w:rPr>
  </w:style>
  <w:style w:type="paragraph" w:styleId="TOCHeading">
    <w:name w:val="TOC Heading"/>
    <w:basedOn w:val="Heading1"/>
    <w:next w:val="Normal"/>
    <w:uiPriority w:val="39"/>
    <w:semiHidden/>
    <w:unhideWhenUsed/>
    <w:qFormat/>
    <w:rsid w:val="00CE45AF"/>
    <w:pPr>
      <w:keepLines/>
      <w:spacing w:before="480" w:after="0" w:line="276" w:lineRule="auto"/>
      <w:outlineLvl w:val="9"/>
    </w:pPr>
    <w:rPr>
      <w:rFonts w:ascii="Cambria" w:eastAsia="Times New Roman" w:hAnsi="Cambria" w:cs="Times New Roman"/>
      <w:caps w:val="0"/>
      <w:color w:val="365F91" w:themeColor="accent1" w:themeShade="BF"/>
      <w:kern w:val="0"/>
      <w:sz w:val="28"/>
      <w:szCs w:val="28"/>
      <w:lang w:val="en-US" w:eastAsia="ja-JP"/>
    </w:rPr>
  </w:style>
  <w:style w:type="character" w:styleId="CommentReference">
    <w:name w:val="annotation reference"/>
    <w:basedOn w:val="DefaultParagraphFont"/>
    <w:rsid w:val="00CE45AF"/>
    <w:rPr>
      <w:sz w:val="16"/>
      <w:szCs w:val="16"/>
    </w:rPr>
  </w:style>
  <w:style w:type="paragraph" w:styleId="CommentSubject">
    <w:name w:val="annotation subject"/>
    <w:basedOn w:val="CommentText"/>
    <w:next w:val="CommentText"/>
    <w:link w:val="CommentSubjectChar"/>
    <w:rsid w:val="00CE45AF"/>
    <w:rPr>
      <w:b/>
      <w:bCs/>
      <w:sz w:val="20"/>
      <w:lang w:val="en-US"/>
    </w:rPr>
  </w:style>
  <w:style w:type="character" w:customStyle="1" w:styleId="CommentTextChar1">
    <w:name w:val="Comment Text Char1"/>
    <w:basedOn w:val="DefaultParagraphFont"/>
    <w:link w:val="CommentText"/>
    <w:semiHidden/>
    <w:rsid w:val="00CE45AF"/>
    <w:rPr>
      <w:rFonts w:ascii="Arial" w:eastAsia="SimSun" w:hAnsi="Arial" w:cs="Arial"/>
      <w:sz w:val="18"/>
      <w:lang w:val="es-ES" w:eastAsia="zh-CN"/>
    </w:rPr>
  </w:style>
  <w:style w:type="character" w:customStyle="1" w:styleId="CommentSubjectChar">
    <w:name w:val="Comment Subject Char"/>
    <w:basedOn w:val="CommentTextChar1"/>
    <w:link w:val="CommentSubject"/>
    <w:rsid w:val="00CE45AF"/>
    <w:rPr>
      <w:rFonts w:ascii="Arial" w:eastAsia="SimSun" w:hAnsi="Arial" w:cs="Arial"/>
      <w:b/>
      <w:bCs/>
      <w:sz w:val="18"/>
      <w:lang w:val="en-US" w:eastAsia="zh-CN"/>
    </w:rPr>
  </w:style>
  <w:style w:type="character" w:styleId="PlaceholderText">
    <w:name w:val="Placeholder Text"/>
    <w:basedOn w:val="DefaultParagraphFont"/>
    <w:uiPriority w:val="99"/>
    <w:semiHidden/>
    <w:rsid w:val="002347D5"/>
    <w:rPr>
      <w:color w:val="808080"/>
    </w:rPr>
  </w:style>
  <w:style w:type="paragraph" w:customStyle="1" w:styleId="Default">
    <w:name w:val="Default"/>
    <w:rsid w:val="00000583"/>
    <w:pPr>
      <w:autoSpaceDE w:val="0"/>
      <w:autoSpaceDN w:val="0"/>
      <w:adjustRightInd w:val="0"/>
    </w:pPr>
    <w:rPr>
      <w:rFonts w:ascii="Gotham Book" w:hAnsi="Gotham Book" w:cs="Gotham Book"/>
      <w:color w:val="000000"/>
      <w:sz w:val="24"/>
      <w:szCs w:val="24"/>
      <w:lang w:val="es-ES"/>
    </w:rPr>
  </w:style>
  <w:style w:type="character" w:styleId="FollowedHyperlink">
    <w:name w:val="FollowedHyperlink"/>
    <w:basedOn w:val="DefaultParagraphFont"/>
    <w:semiHidden/>
    <w:unhideWhenUsed/>
    <w:rsid w:val="009F3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619">
      <w:bodyDiv w:val="1"/>
      <w:marLeft w:val="0"/>
      <w:marRight w:val="0"/>
      <w:marTop w:val="0"/>
      <w:marBottom w:val="0"/>
      <w:divBdr>
        <w:top w:val="none" w:sz="0" w:space="0" w:color="auto"/>
        <w:left w:val="none" w:sz="0" w:space="0" w:color="auto"/>
        <w:bottom w:val="none" w:sz="0" w:space="0" w:color="auto"/>
        <w:right w:val="none" w:sz="0" w:space="0" w:color="auto"/>
      </w:divBdr>
      <w:divsChild>
        <w:div w:id="1879664201">
          <w:marLeft w:val="0"/>
          <w:marRight w:val="0"/>
          <w:marTop w:val="0"/>
          <w:marBottom w:val="0"/>
          <w:divBdr>
            <w:top w:val="none" w:sz="0" w:space="0" w:color="auto"/>
            <w:left w:val="none" w:sz="0" w:space="0" w:color="auto"/>
            <w:bottom w:val="none" w:sz="0" w:space="0" w:color="auto"/>
            <w:right w:val="none" w:sz="0" w:space="0" w:color="auto"/>
          </w:divBdr>
        </w:div>
        <w:div w:id="802621153">
          <w:marLeft w:val="0"/>
          <w:marRight w:val="0"/>
          <w:marTop w:val="0"/>
          <w:marBottom w:val="0"/>
          <w:divBdr>
            <w:top w:val="none" w:sz="0" w:space="0" w:color="auto"/>
            <w:left w:val="none" w:sz="0" w:space="0" w:color="auto"/>
            <w:bottom w:val="none" w:sz="0" w:space="0" w:color="auto"/>
            <w:right w:val="none" w:sz="0" w:space="0" w:color="auto"/>
          </w:divBdr>
        </w:div>
        <w:div w:id="1833333454">
          <w:marLeft w:val="0"/>
          <w:marRight w:val="0"/>
          <w:marTop w:val="0"/>
          <w:marBottom w:val="0"/>
          <w:divBdr>
            <w:top w:val="none" w:sz="0" w:space="0" w:color="auto"/>
            <w:left w:val="none" w:sz="0" w:space="0" w:color="auto"/>
            <w:bottom w:val="none" w:sz="0" w:space="0" w:color="auto"/>
            <w:right w:val="none" w:sz="0" w:space="0" w:color="auto"/>
          </w:divBdr>
        </w:div>
        <w:div w:id="8719963">
          <w:marLeft w:val="0"/>
          <w:marRight w:val="0"/>
          <w:marTop w:val="0"/>
          <w:marBottom w:val="0"/>
          <w:divBdr>
            <w:top w:val="none" w:sz="0" w:space="0" w:color="auto"/>
            <w:left w:val="none" w:sz="0" w:space="0" w:color="auto"/>
            <w:bottom w:val="none" w:sz="0" w:space="0" w:color="auto"/>
            <w:right w:val="none" w:sz="0" w:space="0" w:color="auto"/>
          </w:divBdr>
        </w:div>
        <w:div w:id="1149177740">
          <w:marLeft w:val="0"/>
          <w:marRight w:val="0"/>
          <w:marTop w:val="0"/>
          <w:marBottom w:val="0"/>
          <w:divBdr>
            <w:top w:val="none" w:sz="0" w:space="0" w:color="auto"/>
            <w:left w:val="none" w:sz="0" w:space="0" w:color="auto"/>
            <w:bottom w:val="none" w:sz="0" w:space="0" w:color="auto"/>
            <w:right w:val="none" w:sz="0" w:space="0" w:color="auto"/>
          </w:divBdr>
        </w:div>
        <w:div w:id="21056780">
          <w:marLeft w:val="0"/>
          <w:marRight w:val="0"/>
          <w:marTop w:val="0"/>
          <w:marBottom w:val="0"/>
          <w:divBdr>
            <w:top w:val="none" w:sz="0" w:space="0" w:color="auto"/>
            <w:left w:val="none" w:sz="0" w:space="0" w:color="auto"/>
            <w:bottom w:val="none" w:sz="0" w:space="0" w:color="auto"/>
            <w:right w:val="none" w:sz="0" w:space="0" w:color="auto"/>
          </w:divBdr>
        </w:div>
        <w:div w:id="1383670059">
          <w:marLeft w:val="0"/>
          <w:marRight w:val="0"/>
          <w:marTop w:val="0"/>
          <w:marBottom w:val="0"/>
          <w:divBdr>
            <w:top w:val="none" w:sz="0" w:space="0" w:color="auto"/>
            <w:left w:val="none" w:sz="0" w:space="0" w:color="auto"/>
            <w:bottom w:val="none" w:sz="0" w:space="0" w:color="auto"/>
            <w:right w:val="none" w:sz="0" w:space="0" w:color="auto"/>
          </w:divBdr>
        </w:div>
        <w:div w:id="2121139069">
          <w:marLeft w:val="0"/>
          <w:marRight w:val="0"/>
          <w:marTop w:val="0"/>
          <w:marBottom w:val="0"/>
          <w:divBdr>
            <w:top w:val="none" w:sz="0" w:space="0" w:color="auto"/>
            <w:left w:val="none" w:sz="0" w:space="0" w:color="auto"/>
            <w:bottom w:val="none" w:sz="0" w:space="0" w:color="auto"/>
            <w:right w:val="none" w:sz="0" w:space="0" w:color="auto"/>
          </w:divBdr>
        </w:div>
        <w:div w:id="1383559149">
          <w:marLeft w:val="0"/>
          <w:marRight w:val="0"/>
          <w:marTop w:val="0"/>
          <w:marBottom w:val="0"/>
          <w:divBdr>
            <w:top w:val="none" w:sz="0" w:space="0" w:color="auto"/>
            <w:left w:val="none" w:sz="0" w:space="0" w:color="auto"/>
            <w:bottom w:val="none" w:sz="0" w:space="0" w:color="auto"/>
            <w:right w:val="none" w:sz="0" w:space="0" w:color="auto"/>
          </w:divBdr>
        </w:div>
        <w:div w:id="2110003165">
          <w:marLeft w:val="0"/>
          <w:marRight w:val="0"/>
          <w:marTop w:val="0"/>
          <w:marBottom w:val="0"/>
          <w:divBdr>
            <w:top w:val="none" w:sz="0" w:space="0" w:color="auto"/>
            <w:left w:val="none" w:sz="0" w:space="0" w:color="auto"/>
            <w:bottom w:val="none" w:sz="0" w:space="0" w:color="auto"/>
            <w:right w:val="none" w:sz="0" w:space="0" w:color="auto"/>
          </w:divBdr>
        </w:div>
      </w:divsChild>
    </w:div>
    <w:div w:id="329529450">
      <w:bodyDiv w:val="1"/>
      <w:marLeft w:val="0"/>
      <w:marRight w:val="0"/>
      <w:marTop w:val="0"/>
      <w:marBottom w:val="0"/>
      <w:divBdr>
        <w:top w:val="none" w:sz="0" w:space="0" w:color="auto"/>
        <w:left w:val="none" w:sz="0" w:space="0" w:color="auto"/>
        <w:bottom w:val="none" w:sz="0" w:space="0" w:color="auto"/>
        <w:right w:val="none" w:sz="0" w:space="0" w:color="auto"/>
      </w:divBdr>
      <w:divsChild>
        <w:div w:id="824979501">
          <w:marLeft w:val="0"/>
          <w:marRight w:val="0"/>
          <w:marTop w:val="0"/>
          <w:marBottom w:val="0"/>
          <w:divBdr>
            <w:top w:val="none" w:sz="0" w:space="0" w:color="auto"/>
            <w:left w:val="none" w:sz="0" w:space="0" w:color="auto"/>
            <w:bottom w:val="none" w:sz="0" w:space="0" w:color="auto"/>
            <w:right w:val="none" w:sz="0" w:space="0" w:color="auto"/>
          </w:divBdr>
        </w:div>
        <w:div w:id="1408070926">
          <w:marLeft w:val="0"/>
          <w:marRight w:val="0"/>
          <w:marTop w:val="0"/>
          <w:marBottom w:val="0"/>
          <w:divBdr>
            <w:top w:val="none" w:sz="0" w:space="0" w:color="auto"/>
            <w:left w:val="none" w:sz="0" w:space="0" w:color="auto"/>
            <w:bottom w:val="none" w:sz="0" w:space="0" w:color="auto"/>
            <w:right w:val="none" w:sz="0" w:space="0" w:color="auto"/>
          </w:divBdr>
        </w:div>
        <w:div w:id="1419212639">
          <w:marLeft w:val="0"/>
          <w:marRight w:val="0"/>
          <w:marTop w:val="0"/>
          <w:marBottom w:val="0"/>
          <w:divBdr>
            <w:top w:val="none" w:sz="0" w:space="0" w:color="auto"/>
            <w:left w:val="none" w:sz="0" w:space="0" w:color="auto"/>
            <w:bottom w:val="none" w:sz="0" w:space="0" w:color="auto"/>
            <w:right w:val="none" w:sz="0" w:space="0" w:color="auto"/>
          </w:divBdr>
        </w:div>
      </w:divsChild>
    </w:div>
    <w:div w:id="1864511891">
      <w:bodyDiv w:val="1"/>
      <w:marLeft w:val="0"/>
      <w:marRight w:val="0"/>
      <w:marTop w:val="0"/>
      <w:marBottom w:val="0"/>
      <w:divBdr>
        <w:top w:val="none" w:sz="0" w:space="0" w:color="auto"/>
        <w:left w:val="none" w:sz="0" w:space="0" w:color="auto"/>
        <w:bottom w:val="none" w:sz="0" w:space="0" w:color="auto"/>
        <w:right w:val="none" w:sz="0" w:space="0" w:color="auto"/>
      </w:divBdr>
      <w:divsChild>
        <w:div w:id="1815952043">
          <w:marLeft w:val="0"/>
          <w:marRight w:val="0"/>
          <w:marTop w:val="0"/>
          <w:marBottom w:val="0"/>
          <w:divBdr>
            <w:top w:val="none" w:sz="0" w:space="0" w:color="auto"/>
            <w:left w:val="none" w:sz="0" w:space="0" w:color="auto"/>
            <w:bottom w:val="none" w:sz="0" w:space="0" w:color="auto"/>
            <w:right w:val="none" w:sz="0" w:space="0" w:color="auto"/>
          </w:divBdr>
        </w:div>
        <w:div w:id="1428424187">
          <w:marLeft w:val="0"/>
          <w:marRight w:val="0"/>
          <w:marTop w:val="0"/>
          <w:marBottom w:val="0"/>
          <w:divBdr>
            <w:top w:val="none" w:sz="0" w:space="0" w:color="auto"/>
            <w:left w:val="none" w:sz="0" w:space="0" w:color="auto"/>
            <w:bottom w:val="none" w:sz="0" w:space="0" w:color="auto"/>
            <w:right w:val="none" w:sz="0" w:space="0" w:color="auto"/>
          </w:divBdr>
        </w:div>
        <w:div w:id="106313957">
          <w:marLeft w:val="0"/>
          <w:marRight w:val="0"/>
          <w:marTop w:val="0"/>
          <w:marBottom w:val="0"/>
          <w:divBdr>
            <w:top w:val="none" w:sz="0" w:space="0" w:color="auto"/>
            <w:left w:val="none" w:sz="0" w:space="0" w:color="auto"/>
            <w:bottom w:val="none" w:sz="0" w:space="0" w:color="auto"/>
            <w:right w:val="none" w:sz="0" w:space="0" w:color="auto"/>
          </w:divBdr>
        </w:div>
        <w:div w:id="813137820">
          <w:marLeft w:val="0"/>
          <w:marRight w:val="0"/>
          <w:marTop w:val="0"/>
          <w:marBottom w:val="0"/>
          <w:divBdr>
            <w:top w:val="none" w:sz="0" w:space="0" w:color="auto"/>
            <w:left w:val="none" w:sz="0" w:space="0" w:color="auto"/>
            <w:bottom w:val="none" w:sz="0" w:space="0" w:color="auto"/>
            <w:right w:val="none" w:sz="0" w:space="0" w:color="auto"/>
          </w:divBdr>
        </w:div>
        <w:div w:id="784227989">
          <w:marLeft w:val="0"/>
          <w:marRight w:val="0"/>
          <w:marTop w:val="0"/>
          <w:marBottom w:val="0"/>
          <w:divBdr>
            <w:top w:val="none" w:sz="0" w:space="0" w:color="auto"/>
            <w:left w:val="none" w:sz="0" w:space="0" w:color="auto"/>
            <w:bottom w:val="none" w:sz="0" w:space="0" w:color="auto"/>
            <w:right w:val="none" w:sz="0" w:space="0" w:color="auto"/>
          </w:divBdr>
        </w:div>
        <w:div w:id="763111310">
          <w:marLeft w:val="0"/>
          <w:marRight w:val="0"/>
          <w:marTop w:val="0"/>
          <w:marBottom w:val="0"/>
          <w:divBdr>
            <w:top w:val="none" w:sz="0" w:space="0" w:color="auto"/>
            <w:left w:val="none" w:sz="0" w:space="0" w:color="auto"/>
            <w:bottom w:val="none" w:sz="0" w:space="0" w:color="auto"/>
            <w:right w:val="none" w:sz="0" w:space="0" w:color="auto"/>
          </w:divBdr>
        </w:div>
        <w:div w:id="2038193178">
          <w:marLeft w:val="0"/>
          <w:marRight w:val="0"/>
          <w:marTop w:val="0"/>
          <w:marBottom w:val="0"/>
          <w:divBdr>
            <w:top w:val="none" w:sz="0" w:space="0" w:color="auto"/>
            <w:left w:val="none" w:sz="0" w:space="0" w:color="auto"/>
            <w:bottom w:val="none" w:sz="0" w:space="0" w:color="auto"/>
            <w:right w:val="none" w:sz="0" w:space="0" w:color="auto"/>
          </w:divBdr>
        </w:div>
        <w:div w:id="10585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nohrlls.org/technologybank/" TargetMode="External"/><Relationship Id="rId18" Type="http://schemas.openxmlformats.org/officeDocument/2006/relationships/hyperlink" Target="http://unctad.org/en/Pages/CSTD.aspx" TargetMode="External"/><Relationship Id="rId26" Type="http://schemas.openxmlformats.org/officeDocument/2006/relationships/hyperlink" Target="http://www.unescap.org/committee/committee-information-and-communications-technology-science-technology-and-innovation" TargetMode="External"/><Relationship Id="rId3" Type="http://schemas.microsoft.com/office/2007/relationships/stylesWithEffects" Target="stylesWithEffects.xml"/><Relationship Id="rId21" Type="http://schemas.openxmlformats.org/officeDocument/2006/relationships/hyperlink" Target="http://www.who.int/phi/programme_technology_transfer/en/" TargetMode="External"/><Relationship Id="rId7" Type="http://schemas.openxmlformats.org/officeDocument/2006/relationships/endnotes" Target="endnotes.xml"/><Relationship Id="rId12" Type="http://schemas.openxmlformats.org/officeDocument/2006/relationships/hyperlink" Target="http://unfccc.int/bodies/body/6383.php" TargetMode="External"/><Relationship Id="rId17" Type="http://schemas.openxmlformats.org/officeDocument/2006/relationships/hyperlink" Target="http://www.who.int/antimicrobial-resistance/interagency-coordination-group/en" TargetMode="External"/><Relationship Id="rId25" Type="http://schemas.openxmlformats.org/officeDocument/2006/relationships/hyperlink" Target="https://www.cbd.int/biobridge/" TargetMode="External"/><Relationship Id="rId2" Type="http://schemas.openxmlformats.org/officeDocument/2006/relationships/styles" Target="styles.xml"/><Relationship Id="rId16" Type="http://schemas.openxmlformats.org/officeDocument/2006/relationships/hyperlink" Target="https://sustainabledevelopment.un.org/topics/sids/iacg" TargetMode="External"/><Relationship Id="rId20" Type="http://schemas.openxmlformats.org/officeDocument/2006/relationships/hyperlink" Target="http://unfccc.int/ttclear/support/technology-mechanism.html"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rcuryconvention.org" TargetMode="External"/><Relationship Id="rId24" Type="http://schemas.openxmlformats.org/officeDocument/2006/relationships/hyperlink" Target="http://www.apctt.org/governance-of-apct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ho.int/phi/implementation/assistive_technology/great_summit/en" TargetMode="External"/><Relationship Id="rId23" Type="http://schemas.openxmlformats.org/officeDocument/2006/relationships/hyperlink" Target="https://www.wto.org/english/tratop_e/devel_e/dev_wkgp_trade_transfer_technology_e.htm" TargetMode="External"/><Relationship Id="rId28" Type="http://schemas.openxmlformats.org/officeDocument/2006/relationships/header" Target="header2.xml"/><Relationship Id="rId10" Type="http://schemas.openxmlformats.org/officeDocument/2006/relationships/hyperlink" Target="https://www.cbd.int/cop/" TargetMode="External"/><Relationship Id="rId19" Type="http://schemas.openxmlformats.org/officeDocument/2006/relationships/hyperlink" Target="http://www.unido.org/what-we-do/advancing-economic-competitiveness/investing-in-technology-and-innovation/o51610/science-technology-and-innovation.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ids2014.org/partnershipframework" TargetMode="External"/><Relationship Id="rId22" Type="http://schemas.openxmlformats.org/officeDocument/2006/relationships/hyperlink" Target="https://sustainabledevelopment.un.org/index.php?page=view&amp;type=30022&amp;nr=102&amp;menu=3170" TargetMode="External"/><Relationship Id="rId27" Type="http://schemas.openxmlformats.org/officeDocument/2006/relationships/hyperlink" Target="https://www.unescwa.org/events/committee-technology-development-1st-sess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5835</Words>
  <Characters>37586</Characters>
  <Application>Microsoft Office Word</Application>
  <DocSecurity>4</DocSecurity>
  <Lines>313</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CDIP/20/12</vt:lpstr>
      <vt:lpstr>CDIP/20/12</vt:lpstr>
    </vt:vector>
  </TitlesOfParts>
  <Company>WIPO</Company>
  <LinksUpToDate>false</LinksUpToDate>
  <CharactersWithSpaces>43335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CDIP/20/12</dc:title>
  <dc:creator>BRACI Biljana</dc:creator>
  <dc:description>AGM (trad.ext.) 20.10.2017
- JC(QC) - 31.10.2017</dc:description>
  <cp:lastModifiedBy>BRACI Biljana</cp:lastModifiedBy>
  <cp:revision>2</cp:revision>
  <dcterms:created xsi:type="dcterms:W3CDTF">2017-11-01T15:18:00Z</dcterms:created>
  <dcterms:modified xsi:type="dcterms:W3CDTF">2017-11-01T15:18:00Z</dcterms:modified>
</cp:coreProperties>
</file>