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797098" w:rsidTr="0088395E">
        <w:tc>
          <w:tcPr>
            <w:tcW w:w="4513" w:type="dxa"/>
            <w:tcBorders>
              <w:bottom w:val="single" w:sz="4" w:space="0" w:color="auto"/>
            </w:tcBorders>
            <w:tcMar>
              <w:bottom w:w="170" w:type="dxa"/>
            </w:tcMar>
          </w:tcPr>
          <w:p w:rsidR="00E504E5" w:rsidRPr="00797098" w:rsidRDefault="00E504E5" w:rsidP="00AB613D">
            <w:bookmarkStart w:id="0" w:name="_GoBack"/>
            <w:bookmarkEnd w:id="0"/>
          </w:p>
        </w:tc>
        <w:tc>
          <w:tcPr>
            <w:tcW w:w="4337" w:type="dxa"/>
            <w:tcBorders>
              <w:bottom w:val="single" w:sz="4" w:space="0" w:color="auto"/>
            </w:tcBorders>
            <w:tcMar>
              <w:left w:w="0" w:type="dxa"/>
              <w:right w:w="0" w:type="dxa"/>
            </w:tcMar>
          </w:tcPr>
          <w:p w:rsidR="00E504E5" w:rsidRPr="00797098" w:rsidRDefault="00693BF1" w:rsidP="00AB613D">
            <w:r w:rsidRPr="00797098">
              <w:rPr>
                <w:noProof/>
                <w:lang w:val="en-US" w:eastAsia="en-US"/>
              </w:rPr>
              <w:drawing>
                <wp:inline distT="0" distB="0" distL="0" distR="0" wp14:anchorId="09BF5992" wp14:editId="0CDBDD28">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797098" w:rsidRDefault="00E504E5" w:rsidP="00AB613D">
            <w:pPr>
              <w:jc w:val="right"/>
            </w:pPr>
            <w:r w:rsidRPr="00797098">
              <w:rPr>
                <w:b/>
                <w:sz w:val="40"/>
                <w:szCs w:val="40"/>
              </w:rPr>
              <w:t>S</w:t>
            </w:r>
          </w:p>
        </w:tc>
      </w:tr>
      <w:tr w:rsidR="008B2CC1" w:rsidRPr="00797098"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797098" w:rsidRDefault="00693BF1" w:rsidP="005719AF">
            <w:pPr>
              <w:jc w:val="right"/>
              <w:rPr>
                <w:rFonts w:ascii="Arial Black" w:hAnsi="Arial Black"/>
                <w:caps/>
                <w:sz w:val="15"/>
              </w:rPr>
            </w:pPr>
            <w:bookmarkStart w:id="1" w:name="Code"/>
            <w:bookmarkEnd w:id="1"/>
            <w:r w:rsidRPr="00797098">
              <w:rPr>
                <w:rFonts w:ascii="Arial Black" w:hAnsi="Arial Black"/>
                <w:caps/>
                <w:sz w:val="15"/>
              </w:rPr>
              <w:t>cdip/14/</w:t>
            </w:r>
            <w:r w:rsidR="005719AF" w:rsidRPr="00797098">
              <w:rPr>
                <w:rFonts w:ascii="Arial Black" w:hAnsi="Arial Black"/>
                <w:caps/>
                <w:sz w:val="15"/>
              </w:rPr>
              <w:t>inf/13</w:t>
            </w:r>
          </w:p>
        </w:tc>
      </w:tr>
      <w:tr w:rsidR="008B2CC1" w:rsidRPr="00797098" w:rsidTr="00AB613D">
        <w:trPr>
          <w:trHeight w:hRule="exact" w:val="170"/>
        </w:trPr>
        <w:tc>
          <w:tcPr>
            <w:tcW w:w="9356" w:type="dxa"/>
            <w:gridSpan w:val="3"/>
            <w:noWrap/>
            <w:tcMar>
              <w:left w:w="0" w:type="dxa"/>
              <w:right w:w="0" w:type="dxa"/>
            </w:tcMar>
            <w:vAlign w:val="bottom"/>
          </w:tcPr>
          <w:p w:rsidR="008B2CC1" w:rsidRPr="00797098" w:rsidRDefault="008B2CC1" w:rsidP="00AB613D">
            <w:pPr>
              <w:jc w:val="right"/>
              <w:rPr>
                <w:rFonts w:ascii="Arial Black" w:hAnsi="Arial Black"/>
                <w:caps/>
                <w:sz w:val="15"/>
              </w:rPr>
            </w:pPr>
            <w:r w:rsidRPr="00797098">
              <w:rPr>
                <w:rFonts w:ascii="Arial Black" w:hAnsi="Arial Black"/>
                <w:caps/>
                <w:sz w:val="15"/>
              </w:rPr>
              <w:t>ORIGINAL:</w:t>
            </w:r>
            <w:r w:rsidR="00F84474" w:rsidRPr="00797098">
              <w:rPr>
                <w:rFonts w:ascii="Arial Black" w:hAnsi="Arial Black"/>
                <w:caps/>
                <w:sz w:val="15"/>
              </w:rPr>
              <w:t xml:space="preserve"> </w:t>
            </w:r>
            <w:r w:rsidRPr="00797098">
              <w:rPr>
                <w:rFonts w:ascii="Arial Black" w:hAnsi="Arial Black"/>
                <w:caps/>
                <w:sz w:val="15"/>
              </w:rPr>
              <w:t xml:space="preserve"> </w:t>
            </w:r>
            <w:bookmarkStart w:id="2" w:name="Original"/>
            <w:bookmarkEnd w:id="2"/>
            <w:r w:rsidR="005719AF" w:rsidRPr="00797098">
              <w:rPr>
                <w:rFonts w:ascii="Arial Black" w:hAnsi="Arial Black"/>
                <w:caps/>
                <w:sz w:val="15"/>
              </w:rPr>
              <w:t>INGLÉS</w:t>
            </w:r>
          </w:p>
        </w:tc>
      </w:tr>
      <w:tr w:rsidR="008B2CC1" w:rsidRPr="00797098" w:rsidTr="00AB613D">
        <w:trPr>
          <w:trHeight w:hRule="exact" w:val="198"/>
        </w:trPr>
        <w:tc>
          <w:tcPr>
            <w:tcW w:w="9356" w:type="dxa"/>
            <w:gridSpan w:val="3"/>
            <w:tcMar>
              <w:left w:w="0" w:type="dxa"/>
              <w:right w:w="0" w:type="dxa"/>
            </w:tcMar>
            <w:vAlign w:val="bottom"/>
          </w:tcPr>
          <w:p w:rsidR="008B2CC1" w:rsidRPr="00797098" w:rsidRDefault="00675021" w:rsidP="00AB613D">
            <w:pPr>
              <w:jc w:val="right"/>
              <w:rPr>
                <w:rFonts w:ascii="Arial Black" w:hAnsi="Arial Black"/>
                <w:caps/>
                <w:sz w:val="15"/>
              </w:rPr>
            </w:pPr>
            <w:r w:rsidRPr="00797098">
              <w:rPr>
                <w:rFonts w:ascii="Arial Black" w:hAnsi="Arial Black"/>
                <w:caps/>
                <w:sz w:val="15"/>
              </w:rPr>
              <w:t>fecha</w:t>
            </w:r>
            <w:r w:rsidR="008B2CC1" w:rsidRPr="00797098">
              <w:rPr>
                <w:rFonts w:ascii="Arial Black" w:hAnsi="Arial Black"/>
                <w:caps/>
                <w:sz w:val="15"/>
              </w:rPr>
              <w:t>:</w:t>
            </w:r>
            <w:r w:rsidR="00F84474" w:rsidRPr="00797098">
              <w:rPr>
                <w:rFonts w:ascii="Arial Black" w:hAnsi="Arial Black"/>
                <w:caps/>
                <w:sz w:val="15"/>
              </w:rPr>
              <w:t xml:space="preserve"> </w:t>
            </w:r>
            <w:r w:rsidR="008B2CC1" w:rsidRPr="00797098">
              <w:rPr>
                <w:rFonts w:ascii="Arial Black" w:hAnsi="Arial Black"/>
                <w:caps/>
                <w:sz w:val="15"/>
              </w:rPr>
              <w:t xml:space="preserve"> </w:t>
            </w:r>
            <w:bookmarkStart w:id="3" w:name="Date"/>
            <w:bookmarkEnd w:id="3"/>
            <w:r w:rsidR="005719AF" w:rsidRPr="00797098">
              <w:rPr>
                <w:rFonts w:ascii="Arial Black" w:hAnsi="Arial Black"/>
                <w:caps/>
                <w:sz w:val="15"/>
              </w:rPr>
              <w:t>19 DE SEPTIEMBRE DE 2014</w:t>
            </w:r>
          </w:p>
        </w:tc>
      </w:tr>
    </w:tbl>
    <w:p w:rsidR="008B2CC1" w:rsidRPr="00797098" w:rsidRDefault="008B2CC1" w:rsidP="008B2CC1"/>
    <w:p w:rsidR="008B2CC1" w:rsidRPr="00797098" w:rsidRDefault="008B2CC1" w:rsidP="008B2CC1"/>
    <w:p w:rsidR="008B2CC1" w:rsidRPr="00797098" w:rsidRDefault="008B2CC1" w:rsidP="008B2CC1"/>
    <w:p w:rsidR="008B2CC1" w:rsidRPr="00797098" w:rsidRDefault="008B2CC1" w:rsidP="008B2CC1"/>
    <w:p w:rsidR="008B2CC1" w:rsidRPr="00797098" w:rsidRDefault="008B2CC1" w:rsidP="008B2CC1"/>
    <w:p w:rsidR="00693BF1" w:rsidRPr="00797098" w:rsidRDefault="00693BF1" w:rsidP="00693BF1">
      <w:pPr>
        <w:rPr>
          <w:b/>
          <w:sz w:val="28"/>
          <w:szCs w:val="28"/>
        </w:rPr>
      </w:pPr>
      <w:r w:rsidRPr="00797098">
        <w:rPr>
          <w:b/>
          <w:sz w:val="28"/>
          <w:szCs w:val="28"/>
        </w:rPr>
        <w:t>Comité de Desarrollo y Propiedad Intelectual (CDIP)</w:t>
      </w:r>
    </w:p>
    <w:p w:rsidR="003845C1" w:rsidRPr="00797098" w:rsidRDefault="003845C1" w:rsidP="003845C1"/>
    <w:p w:rsidR="003845C1" w:rsidRPr="00797098" w:rsidRDefault="003845C1" w:rsidP="003845C1"/>
    <w:p w:rsidR="00693BF1" w:rsidRPr="00797098" w:rsidRDefault="00693BF1" w:rsidP="00693BF1">
      <w:pPr>
        <w:rPr>
          <w:b/>
          <w:sz w:val="24"/>
          <w:szCs w:val="24"/>
        </w:rPr>
      </w:pPr>
      <w:r w:rsidRPr="00797098">
        <w:rPr>
          <w:b/>
          <w:sz w:val="24"/>
          <w:szCs w:val="24"/>
        </w:rPr>
        <w:t>Decimocuarta sesión</w:t>
      </w:r>
    </w:p>
    <w:p w:rsidR="00693BF1" w:rsidRPr="00797098" w:rsidRDefault="00693BF1" w:rsidP="00693BF1">
      <w:pPr>
        <w:rPr>
          <w:b/>
          <w:sz w:val="24"/>
          <w:szCs w:val="24"/>
        </w:rPr>
      </w:pPr>
      <w:r w:rsidRPr="00797098">
        <w:rPr>
          <w:b/>
          <w:sz w:val="24"/>
          <w:szCs w:val="24"/>
        </w:rPr>
        <w:t>Ginebra, 10 a 14 de noviembre de 2014</w:t>
      </w:r>
    </w:p>
    <w:p w:rsidR="00693BF1" w:rsidRPr="00797098" w:rsidRDefault="00693BF1" w:rsidP="00693BF1"/>
    <w:p w:rsidR="008B2CC1" w:rsidRPr="00797098" w:rsidRDefault="008B2CC1" w:rsidP="008B2CC1"/>
    <w:p w:rsidR="008B2CC1" w:rsidRPr="00797098" w:rsidRDefault="008B2CC1" w:rsidP="008B2CC1"/>
    <w:p w:rsidR="008B2CC1" w:rsidRPr="00797098" w:rsidRDefault="008B2CC1" w:rsidP="008B2CC1"/>
    <w:p w:rsidR="008B2CC1" w:rsidRPr="00797098" w:rsidRDefault="005719AF" w:rsidP="008B2CC1">
      <w:pPr>
        <w:rPr>
          <w:caps/>
          <w:sz w:val="24"/>
        </w:rPr>
      </w:pPr>
      <w:bookmarkStart w:id="4" w:name="TitleOfDoc"/>
      <w:bookmarkEnd w:id="4"/>
      <w:r w:rsidRPr="00797098">
        <w:rPr>
          <w:caps/>
          <w:sz w:val="24"/>
        </w:rPr>
        <w:t>RESUMEN DEL INFORME SOBRE CORRIENTES MUNDIALES DE CONOCIMIENTOS</w:t>
      </w:r>
    </w:p>
    <w:p w:rsidR="008B2CC1" w:rsidRPr="00797098" w:rsidRDefault="008B2CC1" w:rsidP="008B2CC1"/>
    <w:p w:rsidR="008B2CC1" w:rsidRPr="00797098" w:rsidRDefault="005719AF" w:rsidP="008B2CC1">
      <w:pPr>
        <w:rPr>
          <w:i/>
        </w:rPr>
      </w:pPr>
      <w:bookmarkStart w:id="5" w:name="Prepared"/>
      <w:bookmarkEnd w:id="5"/>
      <w:r w:rsidRPr="00797098">
        <w:rPr>
          <w:i/>
        </w:rPr>
        <w:t>encargado por la Secretaría</w:t>
      </w:r>
    </w:p>
    <w:p w:rsidR="008B2CC1" w:rsidRPr="00797098" w:rsidRDefault="008B2CC1" w:rsidP="003845C1"/>
    <w:p w:rsidR="000F5E56" w:rsidRPr="00797098" w:rsidRDefault="000F5E56"/>
    <w:p w:rsidR="00F84474" w:rsidRPr="00797098" w:rsidRDefault="00F84474"/>
    <w:p w:rsidR="00F84474" w:rsidRPr="00797098" w:rsidRDefault="00F84474" w:rsidP="00E84867"/>
    <w:p w:rsidR="005719AF" w:rsidRPr="00797098" w:rsidRDefault="0048189B" w:rsidP="00E84867">
      <w:pPr>
        <w:pStyle w:val="ONUME"/>
      </w:pPr>
      <w:r w:rsidRPr="00797098">
        <w:t>El Anexo de</w:t>
      </w:r>
      <w:r w:rsidR="00081D10">
        <w:t>l presente</w:t>
      </w:r>
      <w:r w:rsidRPr="00797098">
        <w:t xml:space="preserve"> document</w:t>
      </w:r>
      <w:r w:rsidR="00081D10">
        <w:t>o</w:t>
      </w:r>
      <w:r w:rsidRPr="00797098">
        <w:t xml:space="preserve"> contiene un resumen del </w:t>
      </w:r>
      <w:r w:rsidR="00DA38DB" w:rsidRPr="00797098">
        <w:t xml:space="preserve">informe </w:t>
      </w:r>
      <w:r w:rsidRPr="00797098">
        <w:t>titulado “Global Knowledge Flows”</w:t>
      </w:r>
      <w:r w:rsidR="009047AC" w:rsidRPr="00797098">
        <w:t xml:space="preserve"> (Corrientes mundiales de conocimiento</w:t>
      </w:r>
      <w:r w:rsidR="00081D10">
        <w:t>s</w:t>
      </w:r>
      <w:r w:rsidR="009047AC" w:rsidRPr="00797098">
        <w:t>)</w:t>
      </w:r>
      <w:r w:rsidRPr="00797098">
        <w:t>, preparado por el</w:t>
      </w:r>
      <w:r w:rsidR="005719AF" w:rsidRPr="00797098">
        <w:t xml:space="preserve"> </w:t>
      </w:r>
      <w:r w:rsidRPr="00797098">
        <w:t>Sr.</w:t>
      </w:r>
      <w:r w:rsidR="005719AF" w:rsidRPr="00797098">
        <w:t xml:space="preserve"> Gary Goldman, </w:t>
      </w:r>
      <w:r w:rsidRPr="00797098">
        <w:t>el Sr.</w:t>
      </w:r>
      <w:r w:rsidR="005719AF" w:rsidRPr="00797098">
        <w:t xml:space="preserve"> Kris Oswalt, </w:t>
      </w:r>
      <w:r w:rsidRPr="00797098">
        <w:t>la Sra</w:t>
      </w:r>
      <w:r w:rsidR="005719AF" w:rsidRPr="00797098">
        <w:t xml:space="preserve">. Adriana Valdez Young, </w:t>
      </w:r>
      <w:r w:rsidRPr="00797098">
        <w:t>la Sra</w:t>
      </w:r>
      <w:r w:rsidR="005719AF" w:rsidRPr="00797098">
        <w:t xml:space="preserve">. Becky Band </w:t>
      </w:r>
      <w:proofErr w:type="spellStart"/>
      <w:r w:rsidR="005719AF" w:rsidRPr="00797098">
        <w:t>Jain</w:t>
      </w:r>
      <w:proofErr w:type="spellEnd"/>
      <w:r w:rsidR="005719AF" w:rsidRPr="00797098">
        <w:t>,</w:t>
      </w:r>
      <w:r w:rsidRPr="00797098">
        <w:t xml:space="preserve"> el</w:t>
      </w:r>
      <w:r w:rsidR="005719AF" w:rsidRPr="00797098">
        <w:t xml:space="preserve"> </w:t>
      </w:r>
      <w:r w:rsidRPr="00797098">
        <w:t>Sr.</w:t>
      </w:r>
      <w:r w:rsidR="00081D10">
        <w:t> </w:t>
      </w:r>
      <w:r w:rsidR="005719AF" w:rsidRPr="00797098">
        <w:t xml:space="preserve">Alexandre </w:t>
      </w:r>
      <w:proofErr w:type="spellStart"/>
      <w:r w:rsidR="005719AF" w:rsidRPr="00797098">
        <w:t>Toureh</w:t>
      </w:r>
      <w:proofErr w:type="spellEnd"/>
      <w:r w:rsidR="005719AF" w:rsidRPr="00797098">
        <w:t xml:space="preserve">, </w:t>
      </w:r>
      <w:r w:rsidRPr="00797098">
        <w:t>el Sr.</w:t>
      </w:r>
      <w:r w:rsidR="005719AF" w:rsidRPr="00797098">
        <w:t xml:space="preserve"> John Toner, </w:t>
      </w:r>
      <w:r w:rsidRPr="00797098">
        <w:t>el Sr.</w:t>
      </w:r>
      <w:r w:rsidR="005719AF" w:rsidRPr="00797098">
        <w:t xml:space="preserve"> Gaurav Sharma, </w:t>
      </w:r>
      <w:r w:rsidR="009047AC" w:rsidRPr="00797098">
        <w:t xml:space="preserve">la </w:t>
      </w:r>
      <w:r w:rsidRPr="00797098">
        <w:t>Sra</w:t>
      </w:r>
      <w:r w:rsidR="005719AF" w:rsidRPr="00797098">
        <w:t xml:space="preserve">. Irene Inouye, </w:t>
      </w:r>
      <w:r w:rsidR="009047AC" w:rsidRPr="00797098">
        <w:t xml:space="preserve">la </w:t>
      </w:r>
      <w:r w:rsidRPr="00797098">
        <w:t>Sra</w:t>
      </w:r>
      <w:r w:rsidR="005719AF" w:rsidRPr="00797098">
        <w:t>. Haya Shaath,</w:t>
      </w:r>
      <w:r w:rsidR="009047AC" w:rsidRPr="00797098">
        <w:t xml:space="preserve"> el </w:t>
      </w:r>
      <w:r w:rsidRPr="00797098">
        <w:t>Sr.</w:t>
      </w:r>
      <w:r w:rsidR="005719AF" w:rsidRPr="00797098">
        <w:t xml:space="preserve"> Jitesh Dhoot </w:t>
      </w:r>
      <w:r w:rsidR="009047AC" w:rsidRPr="00797098">
        <w:t xml:space="preserve">y el </w:t>
      </w:r>
      <w:r w:rsidRPr="00797098">
        <w:t>Sr.</w:t>
      </w:r>
      <w:r w:rsidR="005719AF" w:rsidRPr="00797098">
        <w:t xml:space="preserve"> Vikesh Ojh, </w:t>
      </w:r>
      <w:r w:rsidR="005719AF" w:rsidRPr="00797098">
        <w:rPr>
          <w:i/>
        </w:rPr>
        <w:t>Community Systems Foundation</w:t>
      </w:r>
      <w:r w:rsidR="005719AF" w:rsidRPr="00797098">
        <w:t>, N</w:t>
      </w:r>
      <w:r w:rsidR="009047AC" w:rsidRPr="00797098">
        <w:t>ueva</w:t>
      </w:r>
      <w:r w:rsidR="005719AF" w:rsidRPr="00797098">
        <w:t xml:space="preserve"> York, NY, </w:t>
      </w:r>
      <w:r w:rsidR="009047AC" w:rsidRPr="00797098">
        <w:t>EE.UU.</w:t>
      </w:r>
      <w:r w:rsidR="005719AF" w:rsidRPr="00797098">
        <w:t xml:space="preserve">, </w:t>
      </w:r>
      <w:r w:rsidR="00817F8C">
        <w:t xml:space="preserve">que constituye </w:t>
      </w:r>
      <w:r w:rsidR="009047AC" w:rsidRPr="00797098">
        <w:t xml:space="preserve">uno de los aportes concretos </w:t>
      </w:r>
      <w:r w:rsidR="00081D10">
        <w:t>del proyecto</w:t>
      </w:r>
      <w:r w:rsidR="005719AF" w:rsidRPr="00797098">
        <w:t xml:space="preserve"> “</w:t>
      </w:r>
      <w:r w:rsidR="009047AC" w:rsidRPr="00797098">
        <w:t>Proyectos de colaboración abierta y modelos de P.I.</w:t>
      </w:r>
      <w:r w:rsidR="005719AF" w:rsidRPr="00797098">
        <w:t xml:space="preserve">”.  </w:t>
      </w:r>
    </w:p>
    <w:p w:rsidR="005719AF" w:rsidRPr="00797098" w:rsidRDefault="009047AC" w:rsidP="00081D10">
      <w:pPr>
        <w:pStyle w:val="ONUME"/>
        <w:tabs>
          <w:tab w:val="left" w:pos="5103"/>
        </w:tabs>
        <w:ind w:left="4536"/>
        <w:rPr>
          <w:i/>
        </w:rPr>
      </w:pPr>
      <w:r w:rsidRPr="00797098">
        <w:rPr>
          <w:rStyle w:val="DecisionInvitingParaChar"/>
          <w:szCs w:val="22"/>
        </w:rPr>
        <w:t>Se invita al CDIP a tomar nota de la información contenida en el Anexo de</w:t>
      </w:r>
      <w:r w:rsidR="00081D10">
        <w:rPr>
          <w:rStyle w:val="DecisionInvitingParaChar"/>
          <w:szCs w:val="22"/>
        </w:rPr>
        <w:t>l presente</w:t>
      </w:r>
      <w:r w:rsidRPr="00797098">
        <w:rPr>
          <w:rStyle w:val="DecisionInvitingParaChar"/>
          <w:szCs w:val="22"/>
        </w:rPr>
        <w:t xml:space="preserve"> documento. </w:t>
      </w:r>
    </w:p>
    <w:p w:rsidR="005719AF" w:rsidRPr="00797098" w:rsidRDefault="005719AF" w:rsidP="00E84867">
      <w:pPr>
        <w:rPr>
          <w:szCs w:val="24"/>
        </w:rPr>
      </w:pPr>
    </w:p>
    <w:p w:rsidR="005719AF" w:rsidRPr="00797098" w:rsidRDefault="005719AF" w:rsidP="00E84867">
      <w:pPr>
        <w:rPr>
          <w:szCs w:val="24"/>
        </w:rPr>
      </w:pPr>
    </w:p>
    <w:p w:rsidR="005719AF" w:rsidRPr="00797098" w:rsidRDefault="005719AF" w:rsidP="00E84867">
      <w:pPr>
        <w:tabs>
          <w:tab w:val="left" w:pos="4536"/>
        </w:tabs>
        <w:rPr>
          <w:szCs w:val="24"/>
        </w:rPr>
      </w:pPr>
      <w:r w:rsidRPr="00797098">
        <w:rPr>
          <w:szCs w:val="24"/>
        </w:rPr>
        <w:tab/>
        <w:t>[</w:t>
      </w:r>
      <w:r w:rsidR="009047AC" w:rsidRPr="00797098">
        <w:rPr>
          <w:szCs w:val="24"/>
        </w:rPr>
        <w:t>Sigue el Anexo</w:t>
      </w:r>
      <w:r w:rsidRPr="00797098">
        <w:rPr>
          <w:szCs w:val="24"/>
        </w:rPr>
        <w:t>]</w:t>
      </w:r>
    </w:p>
    <w:p w:rsidR="005719AF" w:rsidRPr="00797098" w:rsidRDefault="005719AF" w:rsidP="00E84867">
      <w:pPr>
        <w:tabs>
          <w:tab w:val="left" w:pos="4536"/>
        </w:tabs>
        <w:rPr>
          <w:szCs w:val="24"/>
        </w:rPr>
      </w:pPr>
    </w:p>
    <w:p w:rsidR="005719AF" w:rsidRPr="00797098" w:rsidRDefault="005719AF" w:rsidP="00E84867">
      <w:pPr>
        <w:tabs>
          <w:tab w:val="left" w:pos="4536"/>
        </w:tabs>
        <w:rPr>
          <w:szCs w:val="24"/>
        </w:rPr>
      </w:pPr>
    </w:p>
    <w:p w:rsidR="005719AF" w:rsidRPr="00797098" w:rsidRDefault="005719AF" w:rsidP="00E84867">
      <w:pPr>
        <w:tabs>
          <w:tab w:val="left" w:pos="4536"/>
        </w:tabs>
        <w:rPr>
          <w:szCs w:val="24"/>
        </w:rPr>
      </w:pPr>
    </w:p>
    <w:p w:rsidR="005719AF" w:rsidRPr="00797098" w:rsidRDefault="005719AF" w:rsidP="00E84867">
      <w:pPr>
        <w:tabs>
          <w:tab w:val="left" w:pos="4536"/>
        </w:tabs>
        <w:rPr>
          <w:szCs w:val="24"/>
        </w:rPr>
      </w:pPr>
    </w:p>
    <w:p w:rsidR="005719AF" w:rsidRPr="00797098" w:rsidRDefault="005719AF" w:rsidP="00E84867">
      <w:pPr>
        <w:tabs>
          <w:tab w:val="left" w:pos="4536"/>
        </w:tabs>
        <w:rPr>
          <w:szCs w:val="24"/>
        </w:rPr>
      </w:pPr>
    </w:p>
    <w:p w:rsidR="005719AF" w:rsidRPr="00797098" w:rsidRDefault="005719AF" w:rsidP="00E84867">
      <w:pPr>
        <w:tabs>
          <w:tab w:val="left" w:pos="4536"/>
        </w:tabs>
        <w:rPr>
          <w:szCs w:val="24"/>
        </w:rPr>
      </w:pPr>
    </w:p>
    <w:p w:rsidR="005719AF" w:rsidRPr="00797098" w:rsidRDefault="00081D10" w:rsidP="00E84867">
      <w:pPr>
        <w:pStyle w:val="ONUME"/>
        <w:numPr>
          <w:ilvl w:val="0"/>
          <w:numId w:val="0"/>
        </w:numPr>
        <w:tabs>
          <w:tab w:val="left" w:pos="720"/>
        </w:tabs>
        <w:rPr>
          <w:b/>
          <w:szCs w:val="24"/>
        </w:rPr>
        <w:sectPr w:rsidR="005719AF" w:rsidRPr="00797098">
          <w:headerReference w:type="first" r:id="rId10"/>
          <w:endnotePr>
            <w:numFmt w:val="decimal"/>
          </w:endnotePr>
          <w:pgSz w:w="11907" w:h="16839"/>
          <w:pgMar w:top="567" w:right="1134" w:bottom="1418" w:left="1418" w:header="510" w:footer="1021" w:gutter="0"/>
          <w:pgNumType w:start="1"/>
          <w:cols w:space="720"/>
        </w:sectPr>
      </w:pPr>
      <w:r>
        <w:rPr>
          <w:b/>
        </w:rPr>
        <w:t>Nota</w:t>
      </w:r>
      <w:proofErr w:type="gramStart"/>
      <w:r>
        <w:rPr>
          <w:b/>
        </w:rPr>
        <w:t xml:space="preserve">:  </w:t>
      </w:r>
      <w:r w:rsidRPr="007D2F14">
        <w:rPr>
          <w:b/>
        </w:rPr>
        <w:t>Las</w:t>
      </w:r>
      <w:proofErr w:type="gramEnd"/>
      <w:r w:rsidRPr="007D2F14">
        <w:rPr>
          <w:b/>
        </w:rPr>
        <w:t xml:space="preserve"> opiniones expresadas en este estudio pertenecen al autor y no reflejan necesariamente la opinión de la Secretaría de la Organización Mundial de la Propiedad Intelectual ni la de </w:t>
      </w:r>
      <w:r>
        <w:rPr>
          <w:b/>
        </w:rPr>
        <w:t>sus</w:t>
      </w:r>
      <w:r w:rsidRPr="007D2F14">
        <w:rPr>
          <w:b/>
        </w:rPr>
        <w:t xml:space="preserve"> Est</w:t>
      </w:r>
      <w:r>
        <w:rPr>
          <w:b/>
        </w:rPr>
        <w:t>ados miembros</w:t>
      </w:r>
      <w:r w:rsidR="00817F8C">
        <w:rPr>
          <w:b/>
          <w:szCs w:val="24"/>
        </w:rPr>
        <w:t>.</w:t>
      </w:r>
    </w:p>
    <w:p w:rsidR="005719AF" w:rsidRPr="00797098" w:rsidRDefault="009047AC" w:rsidP="00E84867">
      <w:pPr>
        <w:pStyle w:val="Heading1"/>
        <w:rPr>
          <w:lang w:eastAsia="en-US" w:bidi="en-US"/>
        </w:rPr>
      </w:pPr>
      <w:r w:rsidRPr="00797098">
        <w:rPr>
          <w:lang w:eastAsia="en-US" w:bidi="en-US"/>
        </w:rPr>
        <w:lastRenderedPageBreak/>
        <w:t>RESUMEN</w:t>
      </w:r>
      <w:r w:rsidR="005719AF" w:rsidRPr="00797098">
        <w:rPr>
          <w:lang w:eastAsia="en-US" w:bidi="en-US"/>
        </w:rPr>
        <w:br/>
      </w:r>
    </w:p>
    <w:p w:rsidR="005719AF" w:rsidRPr="00797098" w:rsidRDefault="00DA38DB" w:rsidP="00E84867">
      <w:pPr>
        <w:pStyle w:val="ONUME"/>
        <w:numPr>
          <w:ilvl w:val="0"/>
          <w:numId w:val="7"/>
        </w:numPr>
        <w:rPr>
          <w:lang w:eastAsia="en-US" w:bidi="en-US"/>
        </w:rPr>
      </w:pPr>
      <w:r w:rsidRPr="00797098">
        <w:rPr>
          <w:lang w:eastAsia="en-US" w:bidi="en-US"/>
        </w:rPr>
        <w:t xml:space="preserve">El fuerte aumento del acceso a Internet en todo el mundo y la instauración de las tecnologías digitales han alterado radicalmente las corrientes de conocimientos entre los países desarrollados y los países en desarrollo, han acentuado </w:t>
      </w:r>
      <w:r w:rsidR="00817F8C">
        <w:rPr>
          <w:lang w:eastAsia="en-US" w:bidi="en-US"/>
        </w:rPr>
        <w:t>la colaboración</w:t>
      </w:r>
      <w:r w:rsidRPr="00797098">
        <w:rPr>
          <w:lang w:eastAsia="en-US" w:bidi="en-US"/>
        </w:rPr>
        <w:t xml:space="preserve"> entre l</w:t>
      </w:r>
      <w:r w:rsidR="00817F8C">
        <w:rPr>
          <w:lang w:eastAsia="en-US" w:bidi="en-US"/>
        </w:rPr>
        <w:t>os</w:t>
      </w:r>
      <w:r w:rsidRPr="00797098">
        <w:rPr>
          <w:lang w:eastAsia="en-US" w:bidi="en-US"/>
        </w:rPr>
        <w:t xml:space="preserve"> sector</w:t>
      </w:r>
      <w:r w:rsidR="00817F8C">
        <w:rPr>
          <w:lang w:eastAsia="en-US" w:bidi="en-US"/>
        </w:rPr>
        <w:t>es</w:t>
      </w:r>
      <w:r w:rsidRPr="00797098">
        <w:rPr>
          <w:lang w:eastAsia="en-US" w:bidi="en-US"/>
        </w:rPr>
        <w:t xml:space="preserve"> público y privado y han reforzado la capacidad de los </w:t>
      </w:r>
      <w:r w:rsidR="00191CE8" w:rsidRPr="00797098">
        <w:rPr>
          <w:lang w:eastAsia="en-US" w:bidi="en-US"/>
        </w:rPr>
        <w:t>ciudadanos</w:t>
      </w:r>
      <w:r w:rsidRPr="00797098">
        <w:rPr>
          <w:lang w:eastAsia="en-US" w:bidi="en-US"/>
        </w:rPr>
        <w:t xml:space="preserve"> de contribuir al ecosistema de innovación.  A continuación, se presentan las </w:t>
      </w:r>
      <w:r w:rsidR="00191CE8" w:rsidRPr="00797098">
        <w:rPr>
          <w:lang w:eastAsia="en-US" w:bidi="en-US"/>
        </w:rPr>
        <w:t>conclusiones</w:t>
      </w:r>
      <w:r w:rsidRPr="00797098">
        <w:rPr>
          <w:lang w:eastAsia="en-US" w:bidi="en-US"/>
        </w:rPr>
        <w:t xml:space="preserve"> clave </w:t>
      </w:r>
      <w:r w:rsidR="00817F8C">
        <w:rPr>
          <w:lang w:eastAsia="en-US" w:bidi="en-US"/>
        </w:rPr>
        <w:t xml:space="preserve">acerca </w:t>
      </w:r>
      <w:r w:rsidRPr="00797098">
        <w:rPr>
          <w:lang w:eastAsia="en-US" w:bidi="en-US"/>
        </w:rPr>
        <w:t xml:space="preserve">de las diversas </w:t>
      </w:r>
      <w:r w:rsidR="00817F8C">
        <w:rPr>
          <w:lang w:eastAsia="en-US" w:bidi="en-US"/>
        </w:rPr>
        <w:t>cuesti</w:t>
      </w:r>
      <w:r w:rsidRPr="00797098">
        <w:rPr>
          <w:lang w:eastAsia="en-US" w:bidi="en-US"/>
        </w:rPr>
        <w:t>ones examinadas en el informe</w:t>
      </w:r>
      <w:r w:rsidR="00191CE8" w:rsidRPr="00797098">
        <w:rPr>
          <w:lang w:eastAsia="en-US" w:bidi="en-US"/>
        </w:rPr>
        <w:t xml:space="preserve"> sobre corrientes mundiales de conocimientos. </w:t>
      </w:r>
      <w:r w:rsidRPr="00797098">
        <w:rPr>
          <w:lang w:eastAsia="en-US" w:bidi="en-US"/>
        </w:rPr>
        <w:t xml:space="preserve"> </w:t>
      </w:r>
      <w:r w:rsidR="00191CE8" w:rsidRPr="00797098">
        <w:rPr>
          <w:lang w:eastAsia="en-US" w:bidi="en-US"/>
        </w:rPr>
        <w:t>Los diversos sectores que participan en la innovación (</w:t>
      </w:r>
      <w:r w:rsidR="005E468C">
        <w:rPr>
          <w:lang w:eastAsia="en-US" w:bidi="en-US"/>
        </w:rPr>
        <w:t>instituciones</w:t>
      </w:r>
      <w:r w:rsidR="00191CE8" w:rsidRPr="00797098">
        <w:rPr>
          <w:lang w:eastAsia="en-US" w:bidi="en-US"/>
        </w:rPr>
        <w:t xml:space="preserve"> académic</w:t>
      </w:r>
      <w:r w:rsidR="005E468C">
        <w:rPr>
          <w:lang w:eastAsia="en-US" w:bidi="en-US"/>
        </w:rPr>
        <w:t>as</w:t>
      </w:r>
      <w:r w:rsidR="00191CE8" w:rsidRPr="00797098">
        <w:rPr>
          <w:lang w:eastAsia="en-US" w:bidi="en-US"/>
        </w:rPr>
        <w:t>, gobiernos, industria, OIG/ONG y ciudadanos) contribuyen de forma activa en cada una de las c</w:t>
      </w:r>
      <w:r w:rsidR="00817F8C">
        <w:rPr>
          <w:lang w:eastAsia="en-US" w:bidi="en-US"/>
        </w:rPr>
        <w:t>uest</w:t>
      </w:r>
      <w:r w:rsidR="00191CE8" w:rsidRPr="00797098">
        <w:rPr>
          <w:lang w:eastAsia="en-US" w:bidi="en-US"/>
        </w:rPr>
        <w:t xml:space="preserve">iones que se presentan a continuación. </w:t>
      </w:r>
      <w:r w:rsidR="005719AF" w:rsidRPr="00797098">
        <w:rPr>
          <w:lang w:eastAsia="en-US" w:bidi="en-US"/>
        </w:rPr>
        <w:t xml:space="preserve"> </w:t>
      </w:r>
      <w:r w:rsidR="00191CE8" w:rsidRPr="00797098">
        <w:rPr>
          <w:lang w:eastAsia="en-US" w:bidi="en-US"/>
        </w:rPr>
        <w:t>El primer capítulo del informe comprende una descripción detallada de cada uno de estos grupos.</w:t>
      </w:r>
    </w:p>
    <w:p w:rsidR="005719AF" w:rsidRPr="00797098" w:rsidRDefault="00595AC5" w:rsidP="00E84867">
      <w:pPr>
        <w:pStyle w:val="Heading2"/>
        <w:rPr>
          <w:lang w:eastAsia="en-US" w:bidi="en-US"/>
        </w:rPr>
      </w:pPr>
      <w:r w:rsidRPr="00797098">
        <w:rPr>
          <w:lang w:eastAsia="en-US" w:bidi="en-US"/>
        </w:rPr>
        <w:t>CONCES</w:t>
      </w:r>
      <w:r w:rsidR="00DA55CA" w:rsidRPr="00797098">
        <w:rPr>
          <w:lang w:eastAsia="en-US" w:bidi="en-US"/>
        </w:rPr>
        <w:t>IÓN DE LICENCIAS Y MANCOMUNACIÓN DE PATENTES</w:t>
      </w:r>
      <w:r w:rsidR="005719AF" w:rsidRPr="00797098">
        <w:rPr>
          <w:lang w:eastAsia="en-US" w:bidi="en-US"/>
        </w:rPr>
        <w:br/>
      </w:r>
    </w:p>
    <w:p w:rsidR="005719AF" w:rsidRPr="00D702BF" w:rsidRDefault="005719AF" w:rsidP="00E84867">
      <w:pPr>
        <w:pStyle w:val="ONUME"/>
        <w:rPr>
          <w:lang w:eastAsia="en-US" w:bidi="en-US"/>
        </w:rPr>
      </w:pPr>
      <w:r w:rsidRPr="00797098">
        <w:rPr>
          <w:rFonts w:eastAsia="MS Mincho"/>
          <w:noProof/>
          <w:szCs w:val="22"/>
          <w:lang w:val="en-US" w:eastAsia="en-US"/>
        </w:rPr>
        <w:drawing>
          <wp:anchor distT="0" distB="0" distL="114300" distR="114300" simplePos="0" relativeHeight="251659264" behindDoc="0" locked="0" layoutInCell="1" allowOverlap="1" wp14:anchorId="1E78AA82" wp14:editId="1631F6D9">
            <wp:simplePos x="0" y="0"/>
            <wp:positionH relativeFrom="column">
              <wp:posOffset>3111500</wp:posOffset>
            </wp:positionH>
            <wp:positionV relativeFrom="paragraph">
              <wp:posOffset>129540</wp:posOffset>
            </wp:positionV>
            <wp:extent cx="2813050" cy="31546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050"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5CA" w:rsidRPr="00797098">
        <w:rPr>
          <w:lang w:eastAsia="en-US" w:bidi="en-US"/>
        </w:rPr>
        <w:t xml:space="preserve">La transferencia de conocimientos y los ecosistemas de innovación están cambiando a un ritmo acelerado, </w:t>
      </w:r>
      <w:r w:rsidR="00817F8C">
        <w:rPr>
          <w:lang w:eastAsia="en-US" w:bidi="en-US"/>
        </w:rPr>
        <w:t>a consecuencia de lo cual</w:t>
      </w:r>
      <w:r w:rsidR="00DA55CA" w:rsidRPr="00797098">
        <w:rPr>
          <w:lang w:eastAsia="en-US" w:bidi="en-US"/>
        </w:rPr>
        <w:t xml:space="preserve"> el ámbito de la </w:t>
      </w:r>
      <w:r w:rsidR="00817F8C">
        <w:rPr>
          <w:lang w:eastAsia="en-US" w:bidi="en-US"/>
        </w:rPr>
        <w:t>conces</w:t>
      </w:r>
      <w:r w:rsidR="00DA55CA" w:rsidRPr="00797098">
        <w:rPr>
          <w:lang w:eastAsia="en-US" w:bidi="en-US"/>
        </w:rPr>
        <w:t xml:space="preserve">ión de licencias es más complejo y heterogéneo que nunca. </w:t>
      </w:r>
      <w:r w:rsidRPr="00797098">
        <w:rPr>
          <w:lang w:eastAsia="en-US" w:bidi="en-US"/>
        </w:rPr>
        <w:t xml:space="preserve"> </w:t>
      </w:r>
      <w:r w:rsidR="00DA55CA" w:rsidRPr="00797098">
        <w:rPr>
          <w:lang w:eastAsia="en-US" w:bidi="en-US"/>
        </w:rPr>
        <w:t xml:space="preserve">Por ejemplo, el número de solicitudes PCT que </w:t>
      </w:r>
      <w:r w:rsidR="005E468C">
        <w:rPr>
          <w:lang w:eastAsia="en-US" w:bidi="en-US"/>
        </w:rPr>
        <w:t xml:space="preserve">se </w:t>
      </w:r>
      <w:r w:rsidR="00DA55CA" w:rsidRPr="00797098">
        <w:rPr>
          <w:lang w:eastAsia="en-US" w:bidi="en-US"/>
        </w:rPr>
        <w:t>presenta</w:t>
      </w:r>
      <w:r w:rsidR="00817F8C">
        <w:rPr>
          <w:lang w:eastAsia="en-US" w:bidi="en-US"/>
        </w:rPr>
        <w:t>n</w:t>
      </w:r>
      <w:r w:rsidR="00DA55CA" w:rsidRPr="00797098">
        <w:rPr>
          <w:lang w:eastAsia="en-US" w:bidi="en-US"/>
        </w:rPr>
        <w:t xml:space="preserve"> ha aumentado de forma vertiginosa en los últimos cinco años.  En 2012 se presentaron 194.400 solicitudes internacionales, lo que representa un aumento considerable con respecto a las 110.000 que se presentaron en 2003.  China y la República de Corea están ahora entre los cinco países que más solicitudes </w:t>
      </w:r>
      <w:r w:rsidR="00817F8C">
        <w:rPr>
          <w:lang w:eastAsia="en-US" w:bidi="en-US"/>
        </w:rPr>
        <w:t>PCT presentan</w:t>
      </w:r>
      <w:r w:rsidR="00DA55CA" w:rsidRPr="00797098">
        <w:rPr>
          <w:lang w:eastAsia="en-US" w:bidi="en-US"/>
        </w:rPr>
        <w:t xml:space="preserve">.  A escala mundial, </w:t>
      </w:r>
      <w:r w:rsidR="00595AC5" w:rsidRPr="00797098">
        <w:rPr>
          <w:lang w:eastAsia="en-US" w:bidi="en-US"/>
        </w:rPr>
        <w:t>los ingresos</w:t>
      </w:r>
      <w:r w:rsidR="00DA55CA" w:rsidRPr="00797098">
        <w:rPr>
          <w:lang w:eastAsia="en-US" w:bidi="en-US"/>
        </w:rPr>
        <w:t xml:space="preserve"> internacionales </w:t>
      </w:r>
      <w:r w:rsidR="00595AC5" w:rsidRPr="00797098">
        <w:rPr>
          <w:lang w:eastAsia="en-US" w:bidi="en-US"/>
        </w:rPr>
        <w:t>por</w:t>
      </w:r>
      <w:r w:rsidR="00DA55CA" w:rsidRPr="00797098">
        <w:rPr>
          <w:lang w:eastAsia="en-US" w:bidi="en-US"/>
        </w:rPr>
        <w:t xml:space="preserve"> </w:t>
      </w:r>
      <w:r w:rsidR="00595AC5" w:rsidRPr="00797098">
        <w:rPr>
          <w:lang w:eastAsia="en-US" w:bidi="en-US"/>
        </w:rPr>
        <w:t>conces</w:t>
      </w:r>
      <w:r w:rsidR="00DA55CA" w:rsidRPr="00797098">
        <w:rPr>
          <w:lang w:eastAsia="en-US" w:bidi="en-US"/>
        </w:rPr>
        <w:t>ión de licencias (contando las patentes, las marcas y los derechos de autor)</w:t>
      </w:r>
      <w:r w:rsidRPr="00797098">
        <w:rPr>
          <w:lang w:eastAsia="en-US" w:bidi="en-US"/>
        </w:rPr>
        <w:t xml:space="preserve"> </w:t>
      </w:r>
      <w:r w:rsidR="00595AC5" w:rsidRPr="00797098">
        <w:rPr>
          <w:lang w:eastAsia="en-US" w:bidi="en-US"/>
        </w:rPr>
        <w:t xml:space="preserve">ascendieron de 10.000 millones de dólares de los EE.UU. en 1985 a 110.000 millones de dólares de los EE.UU. en 2014, de los cuales más del 90% de los ingresos </w:t>
      </w:r>
      <w:r w:rsidR="00817F8C">
        <w:rPr>
          <w:lang w:eastAsia="en-US" w:bidi="en-US"/>
        </w:rPr>
        <w:t>revierten</w:t>
      </w:r>
      <w:r w:rsidR="00595AC5" w:rsidRPr="00797098">
        <w:rPr>
          <w:lang w:eastAsia="en-US" w:bidi="en-US"/>
        </w:rPr>
        <w:t xml:space="preserve"> en la Unión Europea, el Japón y los Estados Unidos</w:t>
      </w:r>
      <w:r w:rsidR="00EC6D0E">
        <w:rPr>
          <w:lang w:eastAsia="en-US" w:bidi="en-US"/>
        </w:rPr>
        <w:t xml:space="preserve"> de América</w:t>
      </w:r>
      <w:r w:rsidR="00595AC5" w:rsidRPr="00797098">
        <w:rPr>
          <w:lang w:eastAsia="en-US" w:bidi="en-US"/>
        </w:rPr>
        <w:t xml:space="preserve">.  Las economías emergentes como China y la India están cobrando protagonismo, debido a la fuerte inversión en I+D y la presentación de </w:t>
      </w:r>
      <w:r w:rsidR="00817F8C">
        <w:rPr>
          <w:lang w:eastAsia="en-US" w:bidi="en-US"/>
        </w:rPr>
        <w:t xml:space="preserve">numerosas </w:t>
      </w:r>
      <w:r w:rsidR="00595AC5" w:rsidRPr="00797098">
        <w:rPr>
          <w:lang w:eastAsia="en-US" w:bidi="en-US"/>
        </w:rPr>
        <w:t>solicitudes de patentes</w:t>
      </w:r>
      <w:r w:rsidR="005379FF" w:rsidRPr="00797098">
        <w:rPr>
          <w:lang w:eastAsia="en-US" w:bidi="en-US"/>
        </w:rPr>
        <w:t>.</w:t>
      </w:r>
      <w:r w:rsidRPr="00797098">
        <w:rPr>
          <w:lang w:eastAsia="en-US" w:bidi="en-US"/>
        </w:rPr>
        <w:t xml:space="preserve">  </w:t>
      </w:r>
      <w:r w:rsidR="005379FF" w:rsidRPr="00797098">
        <w:rPr>
          <w:lang w:eastAsia="en-US" w:bidi="en-US"/>
        </w:rPr>
        <w:t xml:space="preserve">Se ha calculado que en 2010 los ingresos </w:t>
      </w:r>
      <w:r w:rsidR="00817F8C">
        <w:rPr>
          <w:lang w:eastAsia="en-US" w:bidi="en-US"/>
        </w:rPr>
        <w:t xml:space="preserve">mundiales </w:t>
      </w:r>
      <w:r w:rsidR="005379FF" w:rsidRPr="00797098">
        <w:rPr>
          <w:lang w:eastAsia="en-US" w:bidi="en-US"/>
        </w:rPr>
        <w:t xml:space="preserve">en concepto de regalías por P.I. fueron de 350.000 millones de dólares de los EE.UU., cifra que está muy por debajo de su potencial pleno. </w:t>
      </w:r>
      <w:r w:rsidRPr="00797098">
        <w:rPr>
          <w:lang w:eastAsia="en-US" w:bidi="en-US"/>
        </w:rPr>
        <w:t xml:space="preserve"> </w:t>
      </w:r>
      <w:r w:rsidR="005379FF" w:rsidRPr="00797098">
        <w:rPr>
          <w:lang w:eastAsia="en-US" w:bidi="en-US"/>
        </w:rPr>
        <w:t xml:space="preserve">En este complejo entorno en el que las empresas colaboran cada vez más entre sí, se está recurriendo a la mancomunación de patentes como mecanismo eficaz para compartir activos de P.I., que permite descubrir nuevos productos y </w:t>
      </w:r>
      <w:r w:rsidR="005379FF" w:rsidRPr="00D702BF">
        <w:rPr>
          <w:lang w:eastAsia="en-US" w:bidi="en-US"/>
        </w:rPr>
        <w:t>reducir los costos de transacción y las costas judiciales.</w:t>
      </w:r>
      <w:r w:rsidR="00F47DC4" w:rsidRPr="00D702BF">
        <w:rPr>
          <w:lang w:eastAsia="en-US" w:bidi="en-US"/>
        </w:rPr>
        <w:t xml:space="preserve"> </w:t>
      </w:r>
      <w:r w:rsidRPr="00D702BF">
        <w:rPr>
          <w:lang w:eastAsia="en-US" w:bidi="en-US"/>
        </w:rPr>
        <w:t xml:space="preserve"> </w:t>
      </w:r>
      <w:r w:rsidR="005379FF" w:rsidRPr="00D702BF">
        <w:rPr>
          <w:lang w:eastAsia="en-US" w:bidi="en-US"/>
        </w:rPr>
        <w:t>Un ejemplo conocido es la mancomunación de patentes MPEG-2</w:t>
      </w:r>
      <w:r w:rsidR="00F47DC4" w:rsidRPr="00D702BF">
        <w:rPr>
          <w:lang w:eastAsia="en-US" w:bidi="en-US"/>
        </w:rPr>
        <w:t>, que da acceso a 27 patentes de nueve organizaciones que son esenciales para el grupo de estándares de codificación de audio y vídeo MPEG-2.</w:t>
      </w:r>
    </w:p>
    <w:p w:rsidR="005719AF" w:rsidRPr="00D702BF" w:rsidRDefault="005719AF" w:rsidP="00E84867">
      <w:pPr>
        <w:pStyle w:val="Heading2"/>
        <w:rPr>
          <w:lang w:eastAsia="en-US" w:bidi="en-US"/>
        </w:rPr>
      </w:pPr>
      <w:r w:rsidRPr="00D702BF">
        <w:rPr>
          <w:noProof/>
          <w:lang w:val="en-US" w:eastAsia="en-US"/>
        </w:rPr>
        <w:drawing>
          <wp:anchor distT="0" distB="0" distL="114300" distR="114300" simplePos="0" relativeHeight="251663360" behindDoc="0" locked="0" layoutInCell="1" allowOverlap="1" wp14:anchorId="278033BC" wp14:editId="7C4D7C93">
            <wp:simplePos x="0" y="0"/>
            <wp:positionH relativeFrom="column">
              <wp:posOffset>0</wp:posOffset>
            </wp:positionH>
            <wp:positionV relativeFrom="paragraph">
              <wp:posOffset>43180</wp:posOffset>
            </wp:positionV>
            <wp:extent cx="2973070" cy="2493645"/>
            <wp:effectExtent l="0" t="0" r="0" b="0"/>
            <wp:wrapThrough wrapText="bothSides">
              <wp:wrapPolygon edited="0">
                <wp:start x="0" y="0"/>
                <wp:lineTo x="0" y="21341"/>
                <wp:lineTo x="21406" y="21341"/>
                <wp:lineTo x="21406" y="0"/>
                <wp:lineTo x="0" y="0"/>
              </wp:wrapPolygon>
            </wp:wrapThrough>
            <wp:docPr id="10" name="Picture 1" descr="Macintosh HD:Users:garygoldman89:Desktop:Screen Shot 2014-09-11 at 3.36.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rygoldman89:Desktop:Screen Shot 2014-09-11 at 3.36.3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3070"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C4" w:rsidRPr="00D702BF">
        <w:rPr>
          <w:lang w:eastAsia="en-US" w:bidi="en-US"/>
        </w:rPr>
        <w:t xml:space="preserve">CONCESIÓN DE LICENCIAS </w:t>
      </w:r>
      <w:r w:rsidR="00081D10" w:rsidRPr="00D702BF">
        <w:rPr>
          <w:lang w:eastAsia="en-US" w:bidi="en-US"/>
        </w:rPr>
        <w:t>SOBRE</w:t>
      </w:r>
      <w:r w:rsidR="00F47DC4" w:rsidRPr="00D702BF">
        <w:rPr>
          <w:lang w:eastAsia="en-US" w:bidi="en-US"/>
        </w:rPr>
        <w:t xml:space="preserve"> SECRETOS COMERCIALES</w:t>
      </w:r>
      <w:r w:rsidRPr="00D702BF">
        <w:rPr>
          <w:lang w:eastAsia="en-US" w:bidi="en-US"/>
        </w:rPr>
        <w:br/>
      </w:r>
    </w:p>
    <w:p w:rsidR="005719AF" w:rsidRPr="00797098" w:rsidRDefault="00817F8C" w:rsidP="00E84867">
      <w:pPr>
        <w:pStyle w:val="ONUME"/>
        <w:rPr>
          <w:lang w:eastAsia="en-US" w:bidi="en-US"/>
        </w:rPr>
      </w:pPr>
      <w:r w:rsidRPr="00D702BF">
        <w:rPr>
          <w:lang w:eastAsia="en-US" w:bidi="en-US"/>
        </w:rPr>
        <w:t>Entre</w:t>
      </w:r>
      <w:r w:rsidR="00AA57D3" w:rsidRPr="00D702BF">
        <w:rPr>
          <w:lang w:eastAsia="en-US" w:bidi="en-US"/>
        </w:rPr>
        <w:t xml:space="preserve"> 2001 </w:t>
      </w:r>
      <w:r w:rsidRPr="00D702BF">
        <w:rPr>
          <w:lang w:eastAsia="en-US" w:bidi="en-US"/>
        </w:rPr>
        <w:t>y</w:t>
      </w:r>
      <w:r w:rsidR="00AA57D3" w:rsidRPr="00D702BF">
        <w:rPr>
          <w:lang w:eastAsia="en-US" w:bidi="en-US"/>
        </w:rPr>
        <w:t xml:space="preserve"> 2011, el número de </w:t>
      </w:r>
      <w:r w:rsidR="00D702BF" w:rsidRPr="00D702BF">
        <w:rPr>
          <w:lang w:eastAsia="en-US" w:bidi="en-US"/>
        </w:rPr>
        <w:t xml:space="preserve">resoluciones judiciales </w:t>
      </w:r>
      <w:r w:rsidR="00AA57D3" w:rsidRPr="00D702BF">
        <w:rPr>
          <w:lang w:eastAsia="en-US" w:bidi="en-US"/>
        </w:rPr>
        <w:t xml:space="preserve">sobre secretos comerciales y </w:t>
      </w:r>
      <w:r w:rsidR="00D702BF" w:rsidRPr="00D702BF">
        <w:rPr>
          <w:lang w:eastAsia="en-US" w:bidi="en-US"/>
        </w:rPr>
        <w:t xml:space="preserve">el número combinado </w:t>
      </w:r>
      <w:r w:rsidR="00AA57D3" w:rsidRPr="00D702BF">
        <w:rPr>
          <w:lang w:eastAsia="en-US" w:bidi="en-US"/>
        </w:rPr>
        <w:t xml:space="preserve">de </w:t>
      </w:r>
      <w:r w:rsidR="00D702BF" w:rsidRPr="00D702BF">
        <w:rPr>
          <w:lang w:eastAsia="en-US" w:bidi="en-US"/>
        </w:rPr>
        <w:lastRenderedPageBreak/>
        <w:t>resoluciones</w:t>
      </w:r>
      <w:r w:rsidR="00D702BF">
        <w:rPr>
          <w:lang w:eastAsia="en-US" w:bidi="en-US"/>
        </w:rPr>
        <w:t xml:space="preserve"> judiciales </w:t>
      </w:r>
      <w:r w:rsidR="00AA57D3" w:rsidRPr="00D702BF">
        <w:rPr>
          <w:lang w:eastAsia="en-US" w:bidi="en-US"/>
        </w:rPr>
        <w:t xml:space="preserve">sobre secretos comerciales y </w:t>
      </w:r>
      <w:r w:rsidR="00D702BF" w:rsidRPr="00D702BF">
        <w:rPr>
          <w:lang w:eastAsia="en-US" w:bidi="en-US"/>
        </w:rPr>
        <w:t xml:space="preserve">resoluciones sobre la prohibición </w:t>
      </w:r>
      <w:r w:rsidR="00AA57D3" w:rsidRPr="00D702BF">
        <w:rPr>
          <w:lang w:eastAsia="en-US" w:bidi="en-US"/>
        </w:rPr>
        <w:t>de no competi</w:t>
      </w:r>
      <w:r w:rsidR="00D702BF" w:rsidRPr="00D702BF">
        <w:rPr>
          <w:lang w:eastAsia="en-US" w:bidi="en-US"/>
        </w:rPr>
        <w:t>r</w:t>
      </w:r>
      <w:r w:rsidR="00D702BF">
        <w:rPr>
          <w:lang w:eastAsia="en-US" w:bidi="en-US"/>
        </w:rPr>
        <w:t xml:space="preserve"> han aumentado</w:t>
      </w:r>
      <w:r w:rsidR="00AA57D3" w:rsidRPr="00797098">
        <w:rPr>
          <w:lang w:eastAsia="en-US" w:bidi="en-US"/>
        </w:rPr>
        <w:t xml:space="preserve"> </w:t>
      </w:r>
      <w:r w:rsidRPr="00797098">
        <w:rPr>
          <w:lang w:eastAsia="en-US" w:bidi="en-US"/>
        </w:rPr>
        <w:t>en los Estados Unidos</w:t>
      </w:r>
      <w:r w:rsidR="00EC6D0E">
        <w:rPr>
          <w:lang w:eastAsia="en-US" w:bidi="en-US"/>
        </w:rPr>
        <w:t xml:space="preserve"> de América</w:t>
      </w:r>
      <w:r w:rsidRPr="00797098">
        <w:rPr>
          <w:lang w:eastAsia="en-US" w:bidi="en-US"/>
        </w:rPr>
        <w:t xml:space="preserve"> </w:t>
      </w:r>
      <w:r w:rsidR="00AA57D3" w:rsidRPr="00797098">
        <w:rPr>
          <w:lang w:eastAsia="en-US" w:bidi="en-US"/>
        </w:rPr>
        <w:t>en</w:t>
      </w:r>
      <w:r>
        <w:rPr>
          <w:lang w:eastAsia="en-US" w:bidi="en-US"/>
        </w:rPr>
        <w:t xml:space="preserve"> un</w:t>
      </w:r>
      <w:r w:rsidR="00AA57D3" w:rsidRPr="00797098">
        <w:rPr>
          <w:lang w:eastAsia="en-US" w:bidi="en-US"/>
        </w:rPr>
        <w:t> 190% y</w:t>
      </w:r>
      <w:r>
        <w:rPr>
          <w:lang w:eastAsia="en-US" w:bidi="en-US"/>
        </w:rPr>
        <w:t xml:space="preserve"> un</w:t>
      </w:r>
      <w:r w:rsidR="00AA57D3" w:rsidRPr="00797098">
        <w:rPr>
          <w:lang w:eastAsia="en-US" w:bidi="en-US"/>
        </w:rPr>
        <w:t xml:space="preserve"> 142% respectivamente. </w:t>
      </w:r>
      <w:r w:rsidR="005719AF" w:rsidRPr="00797098">
        <w:rPr>
          <w:lang w:eastAsia="en-US" w:bidi="en-US"/>
        </w:rPr>
        <w:t xml:space="preserve"> </w:t>
      </w:r>
      <w:r w:rsidR="00AA57D3" w:rsidRPr="00797098">
        <w:rPr>
          <w:lang w:eastAsia="en-US" w:bidi="en-US"/>
        </w:rPr>
        <w:t xml:space="preserve">Esto </w:t>
      </w:r>
      <w:r w:rsidR="0044615C" w:rsidRPr="00797098">
        <w:rPr>
          <w:lang w:eastAsia="en-US" w:bidi="en-US"/>
        </w:rPr>
        <w:t>es</w:t>
      </w:r>
      <w:r w:rsidR="00AA57D3" w:rsidRPr="00797098">
        <w:rPr>
          <w:lang w:eastAsia="en-US" w:bidi="en-US"/>
        </w:rPr>
        <w:t xml:space="preserve"> el resultado de la suma de dos factores:  una mayor movilidad de la fuerza de trabajo con un centro de equilibrio en materia de innovación que </w:t>
      </w:r>
      <w:r w:rsidR="0044615C" w:rsidRPr="00797098">
        <w:rPr>
          <w:lang w:eastAsia="en-US" w:bidi="en-US"/>
        </w:rPr>
        <w:t xml:space="preserve">ha ido </w:t>
      </w:r>
      <w:r>
        <w:rPr>
          <w:lang w:eastAsia="en-US" w:bidi="en-US"/>
        </w:rPr>
        <w:t>desplazándose</w:t>
      </w:r>
      <w:r w:rsidR="00AA57D3" w:rsidRPr="00797098">
        <w:rPr>
          <w:lang w:eastAsia="en-US" w:bidi="en-US"/>
        </w:rPr>
        <w:t xml:space="preserve"> hacia el este</w:t>
      </w:r>
      <w:r w:rsidR="0044615C" w:rsidRPr="00797098">
        <w:rPr>
          <w:lang w:eastAsia="en-US" w:bidi="en-US"/>
        </w:rPr>
        <w:t xml:space="preserve">;  y los progresos tecnológicos, </w:t>
      </w:r>
      <w:r>
        <w:rPr>
          <w:lang w:eastAsia="en-US" w:bidi="en-US"/>
        </w:rPr>
        <w:t>a causa de los cuales</w:t>
      </w:r>
      <w:r w:rsidR="00AA57D3" w:rsidRPr="00797098">
        <w:rPr>
          <w:lang w:eastAsia="en-US" w:bidi="en-US"/>
        </w:rPr>
        <w:t xml:space="preserve"> </w:t>
      </w:r>
      <w:r w:rsidR="0044615C" w:rsidRPr="00797098">
        <w:rPr>
          <w:lang w:eastAsia="en-US" w:bidi="en-US"/>
        </w:rPr>
        <w:t xml:space="preserve">la información </w:t>
      </w:r>
      <w:r>
        <w:rPr>
          <w:lang w:eastAsia="en-US" w:bidi="en-US"/>
        </w:rPr>
        <w:t>e</w:t>
      </w:r>
      <w:r w:rsidR="0044615C" w:rsidRPr="00797098">
        <w:rPr>
          <w:lang w:eastAsia="en-US" w:bidi="en-US"/>
        </w:rPr>
        <w:t>s</w:t>
      </w:r>
      <w:r w:rsidR="005E468C">
        <w:rPr>
          <w:lang w:eastAsia="en-US" w:bidi="en-US"/>
        </w:rPr>
        <w:t xml:space="preserve"> tanto</w:t>
      </w:r>
      <w:r w:rsidR="0044615C" w:rsidRPr="00797098">
        <w:rPr>
          <w:lang w:eastAsia="en-US" w:bidi="en-US"/>
        </w:rPr>
        <w:t xml:space="preserve"> más valiosa </w:t>
      </w:r>
      <w:r w:rsidR="005E468C">
        <w:rPr>
          <w:lang w:eastAsia="en-US" w:bidi="en-US"/>
        </w:rPr>
        <w:t>como</w:t>
      </w:r>
      <w:r w:rsidR="0044615C" w:rsidRPr="00797098">
        <w:rPr>
          <w:lang w:eastAsia="en-US" w:bidi="en-US"/>
        </w:rPr>
        <w:t xml:space="preserve"> más accesible. </w:t>
      </w:r>
      <w:r w:rsidR="00AA57D3" w:rsidRPr="00797098">
        <w:rPr>
          <w:lang w:eastAsia="en-US" w:bidi="en-US"/>
        </w:rPr>
        <w:t xml:space="preserve"> </w:t>
      </w:r>
      <w:r w:rsidR="0044615C" w:rsidRPr="00797098">
        <w:rPr>
          <w:lang w:eastAsia="en-US" w:bidi="en-US"/>
        </w:rPr>
        <w:t xml:space="preserve">Como las cadenas de suministro y las operaciones se extienden a escala mundial, la capacidad de una empresa de proteger sus secretos comerciales puede reducirse considerablemente </w:t>
      </w:r>
      <w:r w:rsidR="000C65C7" w:rsidRPr="00797098">
        <w:rPr>
          <w:lang w:eastAsia="en-US" w:bidi="en-US"/>
        </w:rPr>
        <w:t>de</w:t>
      </w:r>
      <w:r>
        <w:rPr>
          <w:lang w:eastAsia="en-US" w:bidi="en-US"/>
        </w:rPr>
        <w:t>bido a</w:t>
      </w:r>
      <w:r w:rsidR="000C65C7" w:rsidRPr="00797098">
        <w:rPr>
          <w:lang w:eastAsia="en-US" w:bidi="en-US"/>
        </w:rPr>
        <w:t xml:space="preserve"> un sistema jurídico poco eficaz o </w:t>
      </w:r>
      <w:r>
        <w:rPr>
          <w:lang w:eastAsia="en-US" w:bidi="en-US"/>
        </w:rPr>
        <w:t xml:space="preserve">a </w:t>
      </w:r>
      <w:r w:rsidR="000C65C7" w:rsidRPr="00797098">
        <w:rPr>
          <w:lang w:eastAsia="en-US" w:bidi="en-US"/>
        </w:rPr>
        <w:t>una observancia de la ley débil o inexistente.</w:t>
      </w:r>
    </w:p>
    <w:p w:rsidR="005719AF" w:rsidRPr="00797098" w:rsidRDefault="000C65C7" w:rsidP="00E84867">
      <w:pPr>
        <w:pStyle w:val="ONUME"/>
        <w:numPr>
          <w:ilvl w:val="0"/>
          <w:numId w:val="0"/>
        </w:numPr>
        <w:rPr>
          <w:lang w:eastAsia="en-US" w:bidi="en-US"/>
        </w:rPr>
      </w:pPr>
      <w:r w:rsidRPr="00797098">
        <w:rPr>
          <w:lang w:eastAsia="en-US" w:bidi="en-US"/>
        </w:rPr>
        <w:t xml:space="preserve">La </w:t>
      </w:r>
      <w:r w:rsidRPr="00081D10">
        <w:rPr>
          <w:lang w:eastAsia="en-US" w:bidi="en-US"/>
        </w:rPr>
        <w:t xml:space="preserve">concesión de licencias </w:t>
      </w:r>
      <w:r w:rsidR="00081D10" w:rsidRPr="00081D10">
        <w:rPr>
          <w:lang w:eastAsia="en-US" w:bidi="en-US"/>
        </w:rPr>
        <w:t>sobr</w:t>
      </w:r>
      <w:r w:rsidRPr="00081D10">
        <w:rPr>
          <w:lang w:eastAsia="en-US" w:bidi="en-US"/>
        </w:rPr>
        <w:t>e secretos comerciales entre</w:t>
      </w:r>
      <w:r w:rsidRPr="00797098">
        <w:rPr>
          <w:lang w:eastAsia="en-US" w:bidi="en-US"/>
        </w:rPr>
        <w:t xml:space="preserve"> países desarrollados y países en desarrollo representa un gran potencial para crear nuevas alianzas y encontrar otras fuentes de ingresos.</w:t>
      </w:r>
    </w:p>
    <w:p w:rsidR="005719AF" w:rsidRDefault="000C65C7" w:rsidP="00E84867">
      <w:pPr>
        <w:pStyle w:val="Heading2"/>
        <w:rPr>
          <w:lang w:eastAsia="en-US" w:bidi="en-US"/>
        </w:rPr>
      </w:pPr>
      <w:r w:rsidRPr="00797098">
        <w:rPr>
          <w:lang w:eastAsia="en-US" w:bidi="en-US"/>
        </w:rPr>
        <w:t>franquicias y empresas conjuntas</w:t>
      </w:r>
    </w:p>
    <w:p w:rsidR="00D702BF" w:rsidRPr="00D702BF" w:rsidRDefault="00D702BF" w:rsidP="00D702BF">
      <w:pPr>
        <w:rPr>
          <w:lang w:eastAsia="en-US" w:bidi="en-US"/>
        </w:rPr>
      </w:pPr>
    </w:p>
    <w:p w:rsidR="005719AF" w:rsidRPr="00797098" w:rsidRDefault="005719AF" w:rsidP="00E84867">
      <w:pPr>
        <w:pStyle w:val="ONUME"/>
        <w:rPr>
          <w:lang w:eastAsia="en-US" w:bidi="en-US"/>
        </w:rPr>
      </w:pPr>
      <w:r w:rsidRPr="00797098">
        <w:rPr>
          <w:noProof/>
          <w:lang w:val="en-US" w:eastAsia="en-US"/>
        </w:rPr>
        <w:drawing>
          <wp:anchor distT="0" distB="0" distL="114300" distR="114300" simplePos="0" relativeHeight="251661312" behindDoc="0" locked="0" layoutInCell="1" allowOverlap="1" wp14:anchorId="2C013FBF" wp14:editId="46F739E9">
            <wp:simplePos x="0" y="0"/>
            <wp:positionH relativeFrom="column">
              <wp:posOffset>0</wp:posOffset>
            </wp:positionH>
            <wp:positionV relativeFrom="paragraph">
              <wp:posOffset>162560</wp:posOffset>
            </wp:positionV>
            <wp:extent cx="2857500" cy="2465070"/>
            <wp:effectExtent l="0" t="0" r="12700" b="0"/>
            <wp:wrapSquare wrapText="bothSides"/>
            <wp:docPr id="11" name="Picture 10" descr="Macintosh HD:Users:garygoldman89:Desktop:Top 15 P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arygoldman89:Desktop:Top 15 PC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46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5C7" w:rsidRPr="00797098">
        <w:rPr>
          <w:lang w:eastAsia="en-US" w:bidi="en-US"/>
        </w:rPr>
        <w:t>Las franquicias han experimentado un crecimiento notable desde la recesión, y se espera que se cuadriplique</w:t>
      </w:r>
      <w:r w:rsidR="009034D4" w:rsidRPr="00797098">
        <w:rPr>
          <w:lang w:eastAsia="en-US" w:bidi="en-US"/>
        </w:rPr>
        <w:t>n</w:t>
      </w:r>
      <w:r w:rsidR="000C65C7" w:rsidRPr="00797098">
        <w:rPr>
          <w:lang w:eastAsia="en-US" w:bidi="en-US"/>
        </w:rPr>
        <w:t xml:space="preserve"> entre 2012 y 2017, </w:t>
      </w:r>
      <w:r w:rsidR="009034D4" w:rsidRPr="00797098">
        <w:rPr>
          <w:lang w:eastAsia="en-US" w:bidi="en-US"/>
        </w:rPr>
        <w:t xml:space="preserve">pasando a representar una parte cada vez mayor del PIB de economías emergentes como el Brasil y la India. </w:t>
      </w:r>
      <w:r w:rsidRPr="00797098">
        <w:rPr>
          <w:lang w:eastAsia="en-US" w:bidi="en-US"/>
        </w:rPr>
        <w:t xml:space="preserve"> </w:t>
      </w:r>
      <w:r w:rsidR="009034D4" w:rsidRPr="00797098">
        <w:rPr>
          <w:lang w:eastAsia="en-US" w:bidi="en-US"/>
        </w:rPr>
        <w:t xml:space="preserve">Los beneficios de las franquicias no se limitan a las oportunidades económicas y de empleo, sino que pueden ampliarse al intercambio de conocimientos entre los </w:t>
      </w:r>
      <w:r w:rsidR="009034D4" w:rsidRPr="00817F8C">
        <w:rPr>
          <w:lang w:eastAsia="en-US" w:bidi="en-US"/>
        </w:rPr>
        <w:t>franquiciadores</w:t>
      </w:r>
      <w:r w:rsidR="009034D4" w:rsidRPr="00797098">
        <w:rPr>
          <w:lang w:eastAsia="en-US" w:bidi="en-US"/>
        </w:rPr>
        <w:t xml:space="preserve"> y los </w:t>
      </w:r>
      <w:r w:rsidR="009034D4" w:rsidRPr="00817F8C">
        <w:rPr>
          <w:lang w:eastAsia="en-US" w:bidi="en-US"/>
        </w:rPr>
        <w:t>franquiciados</w:t>
      </w:r>
      <w:r w:rsidR="009034D4" w:rsidRPr="00797098">
        <w:rPr>
          <w:lang w:eastAsia="en-US" w:bidi="en-US"/>
        </w:rPr>
        <w:t>. Las franquicias internacionales han demostrado ser un método eficaz de intercambio de conocimientos, tanto para que el franquiciador aprenda más sobre el país anfitrión, como para que el franquiciado</w:t>
      </w:r>
      <w:r w:rsidRPr="00797098">
        <w:rPr>
          <w:lang w:eastAsia="en-US" w:bidi="en-US"/>
        </w:rPr>
        <w:t xml:space="preserve"> </w:t>
      </w:r>
      <w:r w:rsidR="001B633A" w:rsidRPr="00797098">
        <w:rPr>
          <w:lang w:eastAsia="en-US" w:bidi="en-US"/>
        </w:rPr>
        <w:t xml:space="preserve">refuerce el desarrollo de </w:t>
      </w:r>
      <w:r w:rsidR="00817F8C">
        <w:rPr>
          <w:lang w:eastAsia="en-US" w:bidi="en-US"/>
        </w:rPr>
        <w:t xml:space="preserve">los </w:t>
      </w:r>
      <w:r w:rsidR="001B633A" w:rsidRPr="00797098">
        <w:rPr>
          <w:lang w:eastAsia="en-US" w:bidi="en-US"/>
        </w:rPr>
        <w:t xml:space="preserve">recursos humanos, los métodos de gestión, el control de calidad y </w:t>
      </w:r>
      <w:r w:rsidR="00817F8C">
        <w:rPr>
          <w:lang w:eastAsia="en-US" w:bidi="en-US"/>
        </w:rPr>
        <w:t>los</w:t>
      </w:r>
      <w:r w:rsidR="001B633A" w:rsidRPr="00797098">
        <w:rPr>
          <w:lang w:eastAsia="en-US" w:bidi="en-US"/>
        </w:rPr>
        <w:t xml:space="preserve"> modelos empresariales</w:t>
      </w:r>
      <w:r w:rsidR="00817F8C">
        <w:rPr>
          <w:lang w:eastAsia="en-US" w:bidi="en-US"/>
        </w:rPr>
        <w:t xml:space="preserve"> establecidos</w:t>
      </w:r>
      <w:r w:rsidR="001B633A" w:rsidRPr="00797098">
        <w:rPr>
          <w:lang w:eastAsia="en-US" w:bidi="en-US"/>
        </w:rPr>
        <w:t>.  Una empresa conjunta es distinta de una franquicia en el sentido de que</w:t>
      </w:r>
      <w:r w:rsidR="00817F8C">
        <w:rPr>
          <w:lang w:eastAsia="en-US" w:bidi="en-US"/>
        </w:rPr>
        <w:t xml:space="preserve"> en la primera</w:t>
      </w:r>
      <w:r w:rsidR="001B633A" w:rsidRPr="00797098">
        <w:rPr>
          <w:lang w:eastAsia="en-US" w:bidi="en-US"/>
        </w:rPr>
        <w:t xml:space="preserve"> dos partes comparten sus recursos con un objetivo común.  </w:t>
      </w:r>
      <w:r w:rsidR="00817F8C" w:rsidRPr="00797098">
        <w:rPr>
          <w:lang w:eastAsia="en-US" w:bidi="en-US"/>
        </w:rPr>
        <w:t>Recientemente</w:t>
      </w:r>
      <w:r w:rsidR="00817F8C">
        <w:rPr>
          <w:lang w:eastAsia="en-US" w:bidi="en-US"/>
        </w:rPr>
        <w:t>,</w:t>
      </w:r>
      <w:r w:rsidR="00817F8C" w:rsidRPr="00797098">
        <w:rPr>
          <w:lang w:eastAsia="en-US" w:bidi="en-US"/>
        </w:rPr>
        <w:t xml:space="preserve"> </w:t>
      </w:r>
      <w:r w:rsidR="00817F8C">
        <w:rPr>
          <w:lang w:eastAsia="en-US" w:bidi="en-US"/>
        </w:rPr>
        <w:t>el número de empresas conjuntas ha</w:t>
      </w:r>
      <w:r w:rsidR="001B633A" w:rsidRPr="00797098">
        <w:rPr>
          <w:lang w:eastAsia="en-US" w:bidi="en-US"/>
        </w:rPr>
        <w:t xml:space="preserve"> aumentado de forma llamativa en regiones clave como Europa, Asia y el Pacífico, Oriente Medio y África Septentrional.</w:t>
      </w:r>
    </w:p>
    <w:p w:rsidR="005719AF" w:rsidRPr="00797098" w:rsidRDefault="001C2AEE" w:rsidP="00E84867">
      <w:pPr>
        <w:pStyle w:val="Heading2"/>
        <w:rPr>
          <w:lang w:eastAsia="en-US" w:bidi="en-US"/>
        </w:rPr>
      </w:pPr>
      <w:r w:rsidRPr="00797098">
        <w:rPr>
          <w:lang w:eastAsia="en-US" w:bidi="en-US"/>
        </w:rPr>
        <w:t>CONTRATOS DE COLABORACIÓN EN I+D</w:t>
      </w:r>
      <w:r w:rsidR="005719AF" w:rsidRPr="00797098">
        <w:rPr>
          <w:lang w:eastAsia="en-US" w:bidi="en-US"/>
        </w:rPr>
        <w:br/>
      </w:r>
    </w:p>
    <w:p w:rsidR="005719AF" w:rsidRPr="00797098" w:rsidRDefault="00EC6D0E" w:rsidP="00E84867">
      <w:pPr>
        <w:pStyle w:val="ONUME"/>
        <w:rPr>
          <w:lang w:eastAsia="en-US" w:bidi="en-US"/>
        </w:rPr>
      </w:pPr>
      <w:r>
        <w:rPr>
          <w:lang w:eastAsia="en-US" w:bidi="en-US"/>
        </w:rPr>
        <w:t xml:space="preserve">El </w:t>
      </w:r>
      <w:r w:rsidR="001C2AEE" w:rsidRPr="00797098">
        <w:rPr>
          <w:lang w:eastAsia="en-US" w:bidi="en-US"/>
        </w:rPr>
        <w:t>gasto g</w:t>
      </w:r>
      <w:r>
        <w:rPr>
          <w:lang w:eastAsia="en-US" w:bidi="en-US"/>
        </w:rPr>
        <w:t>lobal</w:t>
      </w:r>
      <w:r w:rsidR="001C2AEE" w:rsidRPr="00797098">
        <w:rPr>
          <w:lang w:eastAsia="en-US" w:bidi="en-US"/>
        </w:rPr>
        <w:t xml:space="preserve"> de I+D ha aumentado en los últimos cinco años en todo el mundo;  el crecimiento más rápido se ha registrado en los países del </w:t>
      </w:r>
      <w:r w:rsidR="00A67320" w:rsidRPr="00797098">
        <w:rPr>
          <w:lang w:eastAsia="en-US" w:bidi="en-US"/>
        </w:rPr>
        <w:t>sur</w:t>
      </w:r>
      <w:r w:rsidR="001C2AEE" w:rsidRPr="00797098">
        <w:rPr>
          <w:lang w:eastAsia="en-US" w:bidi="en-US"/>
        </w:rPr>
        <w:t>.</w:t>
      </w:r>
      <w:r w:rsidR="005719AF" w:rsidRPr="00797098">
        <w:rPr>
          <w:lang w:eastAsia="en-US" w:bidi="en-US"/>
        </w:rPr>
        <w:t xml:space="preserve"> </w:t>
      </w:r>
      <w:r w:rsidR="003D7BCD" w:rsidRPr="00797098">
        <w:rPr>
          <w:lang w:eastAsia="en-US" w:bidi="en-US"/>
        </w:rPr>
        <w:t xml:space="preserve"> </w:t>
      </w:r>
      <w:r w:rsidR="001C2AEE" w:rsidRPr="00797098">
        <w:rPr>
          <w:lang w:eastAsia="en-US" w:bidi="en-US"/>
        </w:rPr>
        <w:t>L</w:t>
      </w:r>
      <w:r w:rsidR="003D7BCD" w:rsidRPr="00797098">
        <w:rPr>
          <w:lang w:eastAsia="en-US" w:bidi="en-US"/>
        </w:rPr>
        <w:t>o</w:t>
      </w:r>
      <w:r w:rsidR="001C2AEE" w:rsidRPr="00797098">
        <w:rPr>
          <w:lang w:eastAsia="en-US" w:bidi="en-US"/>
        </w:rPr>
        <w:t xml:space="preserve">s principales </w:t>
      </w:r>
      <w:r w:rsidR="003D7BCD" w:rsidRPr="00797098">
        <w:rPr>
          <w:lang w:eastAsia="en-US" w:bidi="en-US"/>
        </w:rPr>
        <w:t>campo</w:t>
      </w:r>
      <w:r w:rsidR="001C2AEE" w:rsidRPr="00797098">
        <w:rPr>
          <w:lang w:eastAsia="en-US" w:bidi="en-US"/>
        </w:rPr>
        <w:t xml:space="preserve">s de investigación en los países en desarrollo son la agricultura, la salud, el transporte y la energía.  </w:t>
      </w:r>
      <w:r w:rsidR="003D7BCD" w:rsidRPr="00797098">
        <w:rPr>
          <w:lang w:eastAsia="en-US" w:bidi="en-US"/>
        </w:rPr>
        <w:t xml:space="preserve">La mayor parte de la investigación fruto de colaboraciones en I+D se hace de acuerdo a la división geográfica tradicional Norte-Sur, en la que los países desarrollados del </w:t>
      </w:r>
      <w:r w:rsidR="00D96B55" w:rsidRPr="00797098">
        <w:rPr>
          <w:lang w:eastAsia="en-US" w:bidi="en-US"/>
        </w:rPr>
        <w:t xml:space="preserve">norte </w:t>
      </w:r>
      <w:r w:rsidR="003D7BCD" w:rsidRPr="00797098">
        <w:rPr>
          <w:lang w:eastAsia="en-US" w:bidi="en-US"/>
        </w:rPr>
        <w:t xml:space="preserve">colaboran </w:t>
      </w:r>
      <w:r w:rsidR="005E468C">
        <w:rPr>
          <w:lang w:eastAsia="en-US" w:bidi="en-US"/>
        </w:rPr>
        <w:t xml:space="preserve">en </w:t>
      </w:r>
      <w:r w:rsidR="003D7BCD" w:rsidRPr="00797098">
        <w:rPr>
          <w:lang w:eastAsia="en-US" w:bidi="en-US"/>
        </w:rPr>
        <w:t xml:space="preserve">mercados emergentes </w:t>
      </w:r>
      <w:r w:rsidR="005E468C">
        <w:rPr>
          <w:lang w:eastAsia="en-US" w:bidi="en-US"/>
        </w:rPr>
        <w:t>d</w:t>
      </w:r>
      <w:r w:rsidR="003D7BCD" w:rsidRPr="00797098">
        <w:rPr>
          <w:lang w:eastAsia="en-US" w:bidi="en-US"/>
        </w:rPr>
        <w:t xml:space="preserve">e los países en desarrollo del </w:t>
      </w:r>
      <w:r w:rsidR="00A67320" w:rsidRPr="00797098">
        <w:rPr>
          <w:lang w:eastAsia="en-US" w:bidi="en-US"/>
        </w:rPr>
        <w:t>sur</w:t>
      </w:r>
      <w:r w:rsidR="003D7BCD" w:rsidRPr="00797098">
        <w:rPr>
          <w:lang w:eastAsia="en-US" w:bidi="en-US"/>
        </w:rPr>
        <w:t xml:space="preserve">. </w:t>
      </w:r>
      <w:r w:rsidR="005719AF" w:rsidRPr="00797098">
        <w:rPr>
          <w:lang w:eastAsia="en-US" w:bidi="en-US"/>
        </w:rPr>
        <w:t xml:space="preserve"> </w:t>
      </w:r>
      <w:r w:rsidR="003D7BCD" w:rsidRPr="00797098">
        <w:rPr>
          <w:lang w:eastAsia="en-US" w:bidi="en-US"/>
        </w:rPr>
        <w:t xml:space="preserve">Sin embargo, en las últimas décadas, ha habido un aumento considerable del número de iniciativas de colaboración entre empresas e instituciones en las que todas las partes están radicadas en países en desarrollo. </w:t>
      </w:r>
      <w:r w:rsidR="005719AF" w:rsidRPr="00797098">
        <w:rPr>
          <w:lang w:eastAsia="en-US" w:bidi="en-US"/>
        </w:rPr>
        <w:t xml:space="preserve"> </w:t>
      </w:r>
      <w:r w:rsidR="003D7BCD" w:rsidRPr="00797098">
        <w:rPr>
          <w:lang w:eastAsia="en-US" w:bidi="en-US"/>
        </w:rPr>
        <w:t>Este tipo de colaboración en I+D entre países en desarrollo se suele denominar cooperación Sur-Sur.</w:t>
      </w:r>
    </w:p>
    <w:p w:rsidR="0089013E" w:rsidRDefault="0089013E">
      <w:pPr>
        <w:rPr>
          <w:bCs/>
          <w:iCs/>
          <w:caps/>
          <w:szCs w:val="28"/>
          <w:lang w:eastAsia="en-US" w:bidi="en-US"/>
        </w:rPr>
      </w:pPr>
      <w:r>
        <w:rPr>
          <w:lang w:eastAsia="en-US" w:bidi="en-US"/>
        </w:rPr>
        <w:br w:type="page"/>
      </w:r>
    </w:p>
    <w:p w:rsidR="005719AF" w:rsidRDefault="003D7BCD" w:rsidP="00E84867">
      <w:pPr>
        <w:pStyle w:val="Heading2"/>
        <w:rPr>
          <w:lang w:eastAsia="en-US" w:bidi="en-US"/>
        </w:rPr>
      </w:pPr>
      <w:r w:rsidRPr="00797098">
        <w:rPr>
          <w:lang w:eastAsia="en-US" w:bidi="en-US"/>
        </w:rPr>
        <w:lastRenderedPageBreak/>
        <w:t>PLEITOS</w:t>
      </w:r>
    </w:p>
    <w:p w:rsidR="00EC6D0E" w:rsidRPr="00EC6D0E" w:rsidRDefault="00EC6D0E" w:rsidP="00EC6D0E">
      <w:pPr>
        <w:rPr>
          <w:lang w:eastAsia="en-US" w:bidi="en-US"/>
        </w:rPr>
      </w:pPr>
    </w:p>
    <w:p w:rsidR="005719AF" w:rsidRPr="00797098" w:rsidRDefault="005719AF" w:rsidP="00E84867">
      <w:pPr>
        <w:pStyle w:val="ONUME"/>
        <w:rPr>
          <w:lang w:eastAsia="en-US" w:bidi="en-US"/>
        </w:rPr>
      </w:pPr>
      <w:r w:rsidRPr="00797098">
        <w:rPr>
          <w:noProof/>
          <w:lang w:val="en-US" w:eastAsia="en-US"/>
        </w:rPr>
        <w:drawing>
          <wp:anchor distT="0" distB="0" distL="114300" distR="114300" simplePos="0" relativeHeight="251664384" behindDoc="0" locked="0" layoutInCell="1" allowOverlap="1" wp14:anchorId="017F68CF" wp14:editId="0FE49043">
            <wp:simplePos x="0" y="0"/>
            <wp:positionH relativeFrom="column">
              <wp:posOffset>3048000</wp:posOffset>
            </wp:positionH>
            <wp:positionV relativeFrom="paragraph">
              <wp:posOffset>410845</wp:posOffset>
            </wp:positionV>
            <wp:extent cx="3035300" cy="2987675"/>
            <wp:effectExtent l="0" t="0" r="12700" b="9525"/>
            <wp:wrapThrough wrapText="bothSides">
              <wp:wrapPolygon edited="0">
                <wp:start x="0" y="0"/>
                <wp:lineTo x="0" y="21485"/>
                <wp:lineTo x="21510" y="21485"/>
                <wp:lineTo x="21510" y="0"/>
                <wp:lineTo x="0" y="0"/>
              </wp:wrapPolygon>
            </wp:wrapThrough>
            <wp:docPr id="12" name="Picture 2" descr="Macintosh HD:Users:garygoldman89:Desktop:Screen Shot 2014-09-11 at 3.39.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rygoldman89:Desktop:Screen Shot 2014-09-11 at 3.39.3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300" cy="298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566" w:rsidRPr="00797098">
        <w:rPr>
          <w:lang w:eastAsia="en-US" w:bidi="en-US"/>
        </w:rPr>
        <w:t xml:space="preserve">Ha habido un aumento marcado de los conflictos </w:t>
      </w:r>
      <w:r w:rsidR="00A1015F" w:rsidRPr="00797098">
        <w:rPr>
          <w:lang w:eastAsia="en-US" w:bidi="en-US"/>
        </w:rPr>
        <w:t xml:space="preserve">relacionados con la P.I.  De 1.100 litigios registrados en todo el mundo en 2003, </w:t>
      </w:r>
      <w:r w:rsidR="005437BC">
        <w:rPr>
          <w:lang w:eastAsia="en-US" w:bidi="en-US"/>
        </w:rPr>
        <w:t>se pasó a</w:t>
      </w:r>
      <w:r w:rsidR="00A1015F" w:rsidRPr="00797098">
        <w:rPr>
          <w:lang w:eastAsia="en-US" w:bidi="en-US"/>
        </w:rPr>
        <w:t xml:space="preserve"> más de 2.500 en 2013.</w:t>
      </w:r>
      <w:r w:rsidRPr="00797098">
        <w:rPr>
          <w:lang w:eastAsia="en-US" w:bidi="en-US"/>
        </w:rPr>
        <w:t xml:space="preserve"> </w:t>
      </w:r>
      <w:r w:rsidR="001E04F4" w:rsidRPr="00797098">
        <w:rPr>
          <w:lang w:eastAsia="en-US" w:bidi="en-US"/>
        </w:rPr>
        <w:t xml:space="preserve"> </w:t>
      </w:r>
      <w:r w:rsidR="005437BC" w:rsidRPr="00797098">
        <w:rPr>
          <w:lang w:eastAsia="en-US" w:bidi="en-US"/>
        </w:rPr>
        <w:t>A menudo</w:t>
      </w:r>
      <w:r w:rsidR="005437BC">
        <w:rPr>
          <w:lang w:eastAsia="en-US" w:bidi="en-US"/>
        </w:rPr>
        <w:t>,</w:t>
      </w:r>
      <w:r w:rsidR="005437BC" w:rsidRPr="00797098">
        <w:rPr>
          <w:lang w:eastAsia="en-US" w:bidi="en-US"/>
        </w:rPr>
        <w:t xml:space="preserve"> </w:t>
      </w:r>
      <w:r w:rsidR="005437BC">
        <w:rPr>
          <w:lang w:eastAsia="en-US" w:bidi="en-US"/>
        </w:rPr>
        <w:t>e</w:t>
      </w:r>
      <w:r w:rsidR="00A1015F" w:rsidRPr="00797098">
        <w:rPr>
          <w:lang w:eastAsia="en-US" w:bidi="en-US"/>
        </w:rPr>
        <w:t xml:space="preserve">ste tipo de conflictos relacionados con la P.I. </w:t>
      </w:r>
      <w:r w:rsidR="005437BC" w:rsidRPr="00797098">
        <w:rPr>
          <w:lang w:eastAsia="en-US" w:bidi="en-US"/>
        </w:rPr>
        <w:t xml:space="preserve">son </w:t>
      </w:r>
      <w:r w:rsidR="00A1015F" w:rsidRPr="00797098">
        <w:rPr>
          <w:lang w:eastAsia="en-US" w:bidi="en-US"/>
        </w:rPr>
        <w:t>transfronterizos y afectan tanto a inventores como a fabricantes, así como a entidad</w:t>
      </w:r>
      <w:r w:rsidR="005437BC">
        <w:rPr>
          <w:lang w:eastAsia="en-US" w:bidi="en-US"/>
        </w:rPr>
        <w:t xml:space="preserve">es que </w:t>
      </w:r>
      <w:r w:rsidR="00A1015F" w:rsidRPr="00797098">
        <w:rPr>
          <w:lang w:eastAsia="en-US" w:bidi="en-US"/>
        </w:rPr>
        <w:t xml:space="preserve">forman </w:t>
      </w:r>
      <w:r w:rsidR="005437BC">
        <w:rPr>
          <w:lang w:eastAsia="en-US" w:bidi="en-US"/>
        </w:rPr>
        <w:t xml:space="preserve">parte de </w:t>
      </w:r>
      <w:r w:rsidR="00A1015F" w:rsidRPr="00797098">
        <w:rPr>
          <w:lang w:eastAsia="en-US" w:bidi="en-US"/>
        </w:rPr>
        <w:t xml:space="preserve">empresas conjuntas. </w:t>
      </w:r>
      <w:r w:rsidRPr="00797098">
        <w:rPr>
          <w:lang w:eastAsia="en-US" w:bidi="en-US"/>
        </w:rPr>
        <w:t xml:space="preserve"> </w:t>
      </w:r>
      <w:r w:rsidR="00A1015F" w:rsidRPr="00797098">
        <w:rPr>
          <w:lang w:eastAsia="en-US" w:bidi="en-US"/>
        </w:rPr>
        <w:t xml:space="preserve">Una de las cuestiones principales que atañen a los litigios internacionales en materia de P.I. consiste en determinar qué corpus </w:t>
      </w:r>
      <w:r w:rsidR="00EC6D0E">
        <w:rPr>
          <w:lang w:eastAsia="en-US" w:bidi="en-US"/>
        </w:rPr>
        <w:t>jurídico</w:t>
      </w:r>
      <w:r w:rsidR="0051766A" w:rsidRPr="00797098">
        <w:rPr>
          <w:lang w:eastAsia="en-US" w:bidi="en-US"/>
        </w:rPr>
        <w:t xml:space="preserve"> rige las controversias.</w:t>
      </w:r>
      <w:r w:rsidR="00A1015F" w:rsidRPr="00797098">
        <w:rPr>
          <w:lang w:eastAsia="en-US" w:bidi="en-US"/>
        </w:rPr>
        <w:t xml:space="preserve"> </w:t>
      </w:r>
      <w:r w:rsidRPr="00797098">
        <w:rPr>
          <w:lang w:eastAsia="en-US" w:bidi="en-US"/>
        </w:rPr>
        <w:t xml:space="preserve"> </w:t>
      </w:r>
      <w:r w:rsidR="0051766A" w:rsidRPr="00797098">
        <w:rPr>
          <w:lang w:eastAsia="en-US" w:bidi="en-US"/>
        </w:rPr>
        <w:t>El Acuerdo sobre los ADPIC de 1995, que administra la Organización Mundial del Comercio, sigue siendo el acuerdo multilateral más completo sobre cuestiones relativas a la P.I.  En la actualidad el Brasil, Rusia, la India, China y Sudáfrica (BRICS) tienen todos ellos departamentos especializados que solo conocen de casos relacionados con derechos de P.I.</w:t>
      </w:r>
    </w:p>
    <w:p w:rsidR="005719AF" w:rsidRDefault="00FC6E86" w:rsidP="00E84867">
      <w:pPr>
        <w:pStyle w:val="Heading2"/>
        <w:keepLines/>
        <w:rPr>
          <w:lang w:eastAsia="en-US" w:bidi="en-US"/>
        </w:rPr>
      </w:pPr>
      <w:r w:rsidRPr="00797098">
        <w:rPr>
          <w:lang w:eastAsia="en-US" w:bidi="en-US"/>
        </w:rPr>
        <w:t>innovación social colaborativa</w:t>
      </w:r>
    </w:p>
    <w:p w:rsidR="00EC6D0E" w:rsidRPr="00EC6D0E" w:rsidRDefault="00EC6D0E" w:rsidP="00EC6D0E">
      <w:pPr>
        <w:rPr>
          <w:lang w:eastAsia="en-US" w:bidi="en-US"/>
        </w:rPr>
      </w:pPr>
    </w:p>
    <w:p w:rsidR="005719AF" w:rsidRPr="00797098" w:rsidRDefault="00FC6E86" w:rsidP="00E84867">
      <w:pPr>
        <w:pStyle w:val="ONUME"/>
        <w:keepNext/>
        <w:keepLines/>
        <w:rPr>
          <w:lang w:eastAsia="en-US" w:bidi="en-US"/>
        </w:rPr>
      </w:pPr>
      <w:r w:rsidRPr="00797098">
        <w:rPr>
          <w:lang w:eastAsia="en-US" w:bidi="en-US"/>
        </w:rPr>
        <w:t>La innovación social colaborativa es una estrategia en la que todas las partes salen ganando</w:t>
      </w:r>
      <w:proofErr w:type="gramStart"/>
      <w:r w:rsidRPr="00797098">
        <w:rPr>
          <w:lang w:eastAsia="en-US" w:bidi="en-US"/>
        </w:rPr>
        <w:t>:  ofrece</w:t>
      </w:r>
      <w:proofErr w:type="gramEnd"/>
      <w:r w:rsidRPr="00797098">
        <w:rPr>
          <w:lang w:eastAsia="en-US" w:bidi="en-US"/>
        </w:rPr>
        <w:t xml:space="preserve"> a las empresas y los organismos públicos la oportunidad de desarrollar nuevas ideas a un </w:t>
      </w:r>
      <w:r w:rsidR="00EC6D0E">
        <w:rPr>
          <w:lang w:eastAsia="en-US" w:bidi="en-US"/>
        </w:rPr>
        <w:t xml:space="preserve">bajo </w:t>
      </w:r>
      <w:r w:rsidRPr="00797098">
        <w:rPr>
          <w:lang w:eastAsia="en-US" w:bidi="en-US"/>
        </w:rPr>
        <w:t xml:space="preserve">costo. </w:t>
      </w:r>
      <w:r w:rsidR="005719AF" w:rsidRPr="00797098">
        <w:rPr>
          <w:lang w:eastAsia="en-US" w:bidi="en-US"/>
        </w:rPr>
        <w:t xml:space="preserve"> </w:t>
      </w:r>
      <w:r w:rsidRPr="00797098">
        <w:rPr>
          <w:lang w:eastAsia="en-US" w:bidi="en-US"/>
        </w:rPr>
        <w:t>Los partic</w:t>
      </w:r>
      <w:r w:rsidR="00A67320" w:rsidRPr="00797098">
        <w:rPr>
          <w:lang w:eastAsia="en-US" w:bidi="en-US"/>
        </w:rPr>
        <w:t>i</w:t>
      </w:r>
      <w:r w:rsidRPr="00797098">
        <w:rPr>
          <w:lang w:eastAsia="en-US" w:bidi="en-US"/>
        </w:rPr>
        <w:t>pantes</w:t>
      </w:r>
      <w:r w:rsidR="00A67320" w:rsidRPr="00797098">
        <w:rPr>
          <w:lang w:eastAsia="en-US" w:bidi="en-US"/>
        </w:rPr>
        <w:t xml:space="preserve"> de la colaboración se implican en la iniciativa, ya se trate de lanzar un producto al mercado o de promover la democracia. </w:t>
      </w:r>
      <w:r w:rsidR="005719AF" w:rsidRPr="00797098">
        <w:rPr>
          <w:lang w:eastAsia="en-US" w:bidi="en-US"/>
        </w:rPr>
        <w:t xml:space="preserve"> </w:t>
      </w:r>
      <w:r w:rsidR="00A67320" w:rsidRPr="00797098">
        <w:rPr>
          <w:lang w:eastAsia="en-US" w:bidi="en-US"/>
        </w:rPr>
        <w:t>En los últimos cinco años se han creado muchas plataformas de innovación social colaborativa, que</w:t>
      </w:r>
      <w:r w:rsidR="00EC6D0E">
        <w:rPr>
          <w:lang w:eastAsia="en-US" w:bidi="en-US"/>
        </w:rPr>
        <w:t xml:space="preserve"> ha llegado a mover</w:t>
      </w:r>
      <w:r w:rsidR="005437BC">
        <w:rPr>
          <w:lang w:eastAsia="en-US" w:bidi="en-US"/>
        </w:rPr>
        <w:t xml:space="preserve"> un total de</w:t>
      </w:r>
      <w:r w:rsidR="00A67320" w:rsidRPr="00797098">
        <w:rPr>
          <w:lang w:eastAsia="en-US" w:bidi="en-US"/>
        </w:rPr>
        <w:t> 2.700 millones</w:t>
      </w:r>
      <w:r w:rsidR="00EC6D0E">
        <w:rPr>
          <w:lang w:eastAsia="en-US" w:bidi="en-US"/>
        </w:rPr>
        <w:t xml:space="preserve"> de dólares EE.UU.</w:t>
      </w:r>
      <w:r w:rsidR="00A67320" w:rsidRPr="00797098">
        <w:rPr>
          <w:lang w:eastAsia="en-US" w:bidi="en-US"/>
        </w:rPr>
        <w:t xml:space="preserve"> en 2012. </w:t>
      </w:r>
      <w:r w:rsidR="005719AF" w:rsidRPr="00797098">
        <w:rPr>
          <w:lang w:eastAsia="en-US" w:bidi="en-US"/>
        </w:rPr>
        <w:t xml:space="preserve"> </w:t>
      </w:r>
      <w:r w:rsidR="00A67320" w:rsidRPr="00797098">
        <w:rPr>
          <w:lang w:eastAsia="en-US" w:bidi="en-US"/>
        </w:rPr>
        <w:t xml:space="preserve">Aunque sigue habiendo una gran desigualdad entre los participantes de los países del </w:t>
      </w:r>
      <w:r w:rsidR="00D96B55" w:rsidRPr="00797098">
        <w:rPr>
          <w:lang w:eastAsia="en-US" w:bidi="en-US"/>
        </w:rPr>
        <w:t xml:space="preserve">norte </w:t>
      </w:r>
      <w:r w:rsidR="00A67320" w:rsidRPr="00797098">
        <w:rPr>
          <w:lang w:eastAsia="en-US" w:bidi="en-US"/>
        </w:rPr>
        <w:t xml:space="preserve">y los del </w:t>
      </w:r>
      <w:r w:rsidR="00D96B55" w:rsidRPr="00797098">
        <w:rPr>
          <w:lang w:eastAsia="en-US" w:bidi="en-US"/>
        </w:rPr>
        <w:t>sur, la innovación social colaborativa se está usando como manera de impulsar la agenda internacional para el desarrollo.</w:t>
      </w:r>
      <w:r w:rsidR="00CB1633" w:rsidRPr="00797098">
        <w:rPr>
          <w:lang w:eastAsia="en-US" w:bidi="en-US"/>
        </w:rPr>
        <w:t xml:space="preserve"> </w:t>
      </w:r>
      <w:r w:rsidR="00D96B55" w:rsidRPr="00797098">
        <w:rPr>
          <w:lang w:eastAsia="en-US" w:bidi="en-US"/>
        </w:rPr>
        <w:t xml:space="preserve"> Se podría decir incluso que estas iniciativas se han convertido en la nueva forma de mostrar que se aprueba un proyecto;  el nuevo “me gusta”.</w:t>
      </w:r>
    </w:p>
    <w:p w:rsidR="005719AF" w:rsidRDefault="00CB1633" w:rsidP="00E84867">
      <w:pPr>
        <w:pStyle w:val="Heading2"/>
        <w:rPr>
          <w:lang w:eastAsia="en-US" w:bidi="en-US"/>
        </w:rPr>
      </w:pPr>
      <w:r w:rsidRPr="00797098">
        <w:rPr>
          <w:lang w:eastAsia="en-US" w:bidi="en-US"/>
        </w:rPr>
        <w:t xml:space="preserve">PREMIOS </w:t>
      </w:r>
      <w:r w:rsidR="00715A45" w:rsidRPr="00797098">
        <w:rPr>
          <w:lang w:eastAsia="en-US" w:bidi="en-US"/>
        </w:rPr>
        <w:t>DE INCENTIVO A</w:t>
      </w:r>
      <w:r w:rsidRPr="00797098">
        <w:rPr>
          <w:lang w:eastAsia="en-US" w:bidi="en-US"/>
        </w:rPr>
        <w:t xml:space="preserve"> la innovación</w:t>
      </w:r>
    </w:p>
    <w:p w:rsidR="00EC6D0E" w:rsidRPr="00EC6D0E" w:rsidRDefault="00EC6D0E" w:rsidP="00EC6D0E">
      <w:pPr>
        <w:rPr>
          <w:lang w:eastAsia="en-US" w:bidi="en-US"/>
        </w:rPr>
      </w:pPr>
    </w:p>
    <w:p w:rsidR="005719AF" w:rsidRPr="00797098" w:rsidRDefault="005719AF" w:rsidP="00E84867">
      <w:pPr>
        <w:pStyle w:val="ONUME"/>
        <w:rPr>
          <w:lang w:eastAsia="en-US" w:bidi="en-US"/>
        </w:rPr>
      </w:pPr>
      <w:r w:rsidRPr="00797098">
        <w:rPr>
          <w:noProof/>
          <w:lang w:val="en-US" w:eastAsia="en-US"/>
        </w:rPr>
        <w:drawing>
          <wp:anchor distT="0" distB="0" distL="114300" distR="114300" simplePos="0" relativeHeight="251662336" behindDoc="0" locked="0" layoutInCell="1" allowOverlap="1" wp14:anchorId="4E55DBDE" wp14:editId="4EE0A10C">
            <wp:simplePos x="0" y="0"/>
            <wp:positionH relativeFrom="column">
              <wp:posOffset>0</wp:posOffset>
            </wp:positionH>
            <wp:positionV relativeFrom="paragraph">
              <wp:posOffset>1479550</wp:posOffset>
            </wp:positionV>
            <wp:extent cx="3099435" cy="2541905"/>
            <wp:effectExtent l="0" t="0" r="0" b="0"/>
            <wp:wrapSquare wrapText="bothSides"/>
            <wp:docPr id="13" name="Picture 11" descr="Macintosh HD:Users:garygoldman89:Desktop:Living La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arygoldman89:Desktop:Living Lab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9435" cy="254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B1633" w:rsidRPr="00797098">
        <w:rPr>
          <w:lang w:eastAsia="en-US" w:bidi="en-US"/>
        </w:rPr>
        <w:t xml:space="preserve">Los </w:t>
      </w:r>
      <w:r w:rsidR="00715A45" w:rsidRPr="00797098">
        <w:rPr>
          <w:lang w:eastAsia="en-US" w:bidi="en-US"/>
        </w:rPr>
        <w:t>prem</w:t>
      </w:r>
      <w:r w:rsidR="00CB1633" w:rsidRPr="00797098">
        <w:rPr>
          <w:lang w:eastAsia="en-US" w:bidi="en-US"/>
        </w:rPr>
        <w:t xml:space="preserve">ios </w:t>
      </w:r>
      <w:r w:rsidR="00715A45" w:rsidRPr="00797098">
        <w:rPr>
          <w:lang w:eastAsia="en-US" w:bidi="en-US"/>
        </w:rPr>
        <w:t xml:space="preserve">de incentivo a la </w:t>
      </w:r>
      <w:r w:rsidR="00CB1633" w:rsidRPr="00797098">
        <w:rPr>
          <w:lang w:eastAsia="en-US" w:bidi="en-US"/>
        </w:rPr>
        <w:t>innova</w:t>
      </w:r>
      <w:r w:rsidR="00715A45" w:rsidRPr="00797098">
        <w:rPr>
          <w:lang w:eastAsia="en-US" w:bidi="en-US"/>
        </w:rPr>
        <w:t>ción</w:t>
      </w:r>
      <w:r w:rsidR="00CB1633" w:rsidRPr="00797098">
        <w:rPr>
          <w:lang w:eastAsia="en-US" w:bidi="en-US"/>
        </w:rPr>
        <w:t xml:space="preserve"> son un medio eficaz de fomentar el conocimiento de una marca y la lealtad</w:t>
      </w:r>
      <w:r w:rsidR="0038142F">
        <w:rPr>
          <w:lang w:eastAsia="en-US" w:bidi="en-US"/>
        </w:rPr>
        <w:t xml:space="preserve"> a la marca</w:t>
      </w:r>
      <w:r w:rsidR="00CB1633" w:rsidRPr="00797098">
        <w:rPr>
          <w:lang w:eastAsia="en-US" w:bidi="en-US"/>
        </w:rPr>
        <w:t xml:space="preserve">, así como </w:t>
      </w:r>
      <w:r w:rsidR="00715A45" w:rsidRPr="00797098">
        <w:rPr>
          <w:lang w:eastAsia="en-US" w:bidi="en-US"/>
        </w:rPr>
        <w:t xml:space="preserve">de </w:t>
      </w:r>
      <w:r w:rsidR="00CB1633" w:rsidRPr="00797098">
        <w:rPr>
          <w:lang w:eastAsia="en-US" w:bidi="en-US"/>
        </w:rPr>
        <w:t>capta</w:t>
      </w:r>
      <w:r w:rsidR="00715A45" w:rsidRPr="00797098">
        <w:rPr>
          <w:lang w:eastAsia="en-US" w:bidi="en-US"/>
        </w:rPr>
        <w:t>r</w:t>
      </w:r>
      <w:r w:rsidR="00CB1633" w:rsidRPr="00797098">
        <w:rPr>
          <w:lang w:eastAsia="en-US" w:bidi="en-US"/>
        </w:rPr>
        <w:t xml:space="preserve"> talento.  Muchos sectores est</w:t>
      </w:r>
      <w:r w:rsidR="00715A45" w:rsidRPr="00797098">
        <w:rPr>
          <w:lang w:eastAsia="en-US" w:bidi="en-US"/>
        </w:rPr>
        <w:t>án recurriendo a los prem</w:t>
      </w:r>
      <w:r w:rsidR="00CB1633" w:rsidRPr="00797098">
        <w:rPr>
          <w:lang w:eastAsia="en-US" w:bidi="en-US"/>
        </w:rPr>
        <w:t xml:space="preserve">ios </w:t>
      </w:r>
      <w:r w:rsidR="00715A45" w:rsidRPr="00797098">
        <w:rPr>
          <w:lang w:eastAsia="en-US" w:bidi="en-US"/>
        </w:rPr>
        <w:t>de incentivo a</w:t>
      </w:r>
      <w:r w:rsidR="00CB1633" w:rsidRPr="00797098">
        <w:rPr>
          <w:lang w:eastAsia="en-US" w:bidi="en-US"/>
        </w:rPr>
        <w:t xml:space="preserve"> la innovación</w:t>
      </w:r>
      <w:r w:rsidR="00715A45" w:rsidRPr="00797098">
        <w:rPr>
          <w:lang w:eastAsia="en-US" w:bidi="en-US"/>
        </w:rPr>
        <w:t xml:space="preserve">:  el sector privado (por ejemplo, </w:t>
      </w:r>
      <w:r w:rsidR="00715A45" w:rsidRPr="00797098">
        <w:rPr>
          <w:i/>
          <w:lang w:eastAsia="en-US" w:bidi="en-US"/>
        </w:rPr>
        <w:t>Microsoft Imagine Cup</w:t>
      </w:r>
      <w:r w:rsidR="00715A45" w:rsidRPr="00797098">
        <w:rPr>
          <w:lang w:eastAsia="en-US" w:bidi="en-US"/>
        </w:rPr>
        <w:t xml:space="preserve">, que recompensa a innovadores jóvenes </w:t>
      </w:r>
      <w:r w:rsidR="005E468C">
        <w:rPr>
          <w:lang w:eastAsia="en-US" w:bidi="en-US"/>
        </w:rPr>
        <w:t>eminente</w:t>
      </w:r>
      <w:r w:rsidR="00715A45" w:rsidRPr="00797098">
        <w:rPr>
          <w:lang w:eastAsia="en-US" w:bidi="en-US"/>
        </w:rPr>
        <w:t xml:space="preserve">s), el sector humanitario (por ejemplo, </w:t>
      </w:r>
      <w:r w:rsidR="00715A45" w:rsidRPr="00797098">
        <w:rPr>
          <w:i/>
          <w:lang w:eastAsia="en-US" w:bidi="en-US"/>
        </w:rPr>
        <w:t>Innovation Prize for Africa</w:t>
      </w:r>
      <w:r w:rsidR="00715A45" w:rsidRPr="00797098">
        <w:rPr>
          <w:lang w:eastAsia="en-US" w:bidi="en-US"/>
        </w:rPr>
        <w:t xml:space="preserve">, iniciativa de la </w:t>
      </w:r>
      <w:r w:rsidR="00605340" w:rsidRPr="005437BC">
        <w:rPr>
          <w:i/>
          <w:lang w:eastAsia="en-US" w:bidi="en-US"/>
        </w:rPr>
        <w:t>African Innovation Foundation</w:t>
      </w:r>
      <w:r w:rsidR="00605340" w:rsidRPr="00797098">
        <w:rPr>
          <w:lang w:eastAsia="en-US" w:bidi="en-US"/>
        </w:rPr>
        <w:t xml:space="preserve"> que premia a los mejores innovadores africanos en el desarrollo de soluciones con salidas comerciales</w:t>
      </w:r>
      <w:r w:rsidR="00715A45" w:rsidRPr="00797098">
        <w:rPr>
          <w:lang w:eastAsia="en-US" w:bidi="en-US"/>
        </w:rPr>
        <w:t>)</w:t>
      </w:r>
      <w:r w:rsidR="00605340" w:rsidRPr="00797098">
        <w:rPr>
          <w:lang w:eastAsia="en-US" w:bidi="en-US"/>
        </w:rPr>
        <w:t xml:space="preserve">, ONG internacionales (por ejemplo, </w:t>
      </w:r>
      <w:r w:rsidR="00605340" w:rsidRPr="00797098">
        <w:rPr>
          <w:i/>
          <w:lang w:eastAsia="en-US" w:bidi="en-US"/>
        </w:rPr>
        <w:t>World Bank Youth Summit</w:t>
      </w:r>
      <w:r w:rsidR="00605340" w:rsidRPr="00797098">
        <w:rPr>
          <w:lang w:eastAsia="en-US" w:bidi="en-US"/>
        </w:rPr>
        <w:t>, que se inauguró en 2013), entre otros.</w:t>
      </w:r>
      <w:r w:rsidRPr="00797098">
        <w:rPr>
          <w:lang w:eastAsia="en-US" w:bidi="en-US"/>
        </w:rPr>
        <w:t xml:space="preserve"> </w:t>
      </w:r>
      <w:r w:rsidR="00605340" w:rsidRPr="00797098">
        <w:rPr>
          <w:lang w:eastAsia="en-US" w:bidi="en-US"/>
        </w:rPr>
        <w:t xml:space="preserve"> Los premios de </w:t>
      </w:r>
      <w:r w:rsidR="005437BC">
        <w:rPr>
          <w:lang w:eastAsia="en-US" w:bidi="en-US"/>
        </w:rPr>
        <w:t>incentivo</w:t>
      </w:r>
      <w:r w:rsidR="00605340" w:rsidRPr="00797098">
        <w:rPr>
          <w:lang w:eastAsia="en-US" w:bidi="en-US"/>
        </w:rPr>
        <w:t xml:space="preserve"> a la innovación son maneras rentables de llevar a cabo </w:t>
      </w:r>
      <w:r w:rsidR="005437BC">
        <w:rPr>
          <w:lang w:eastAsia="en-US" w:bidi="en-US"/>
        </w:rPr>
        <w:t>innova</w:t>
      </w:r>
      <w:r w:rsidR="00605340" w:rsidRPr="00797098">
        <w:rPr>
          <w:lang w:eastAsia="en-US" w:bidi="en-US"/>
        </w:rPr>
        <w:t xml:space="preserve">ción social colaborativa y resolver </w:t>
      </w:r>
      <w:r w:rsidR="005437BC">
        <w:rPr>
          <w:lang w:eastAsia="en-US" w:bidi="en-US"/>
        </w:rPr>
        <w:t>grand</w:t>
      </w:r>
      <w:r w:rsidR="00605340" w:rsidRPr="00797098">
        <w:rPr>
          <w:lang w:eastAsia="en-US" w:bidi="en-US"/>
        </w:rPr>
        <w:t xml:space="preserve">es retos en sectores que </w:t>
      </w:r>
      <w:r w:rsidR="005437BC">
        <w:rPr>
          <w:lang w:eastAsia="en-US" w:bidi="en-US"/>
        </w:rPr>
        <w:t>abarc</w:t>
      </w:r>
      <w:r w:rsidR="00605340" w:rsidRPr="00797098">
        <w:rPr>
          <w:lang w:eastAsia="en-US" w:bidi="en-US"/>
        </w:rPr>
        <w:t>an desde la educación al medio ambiente.</w:t>
      </w:r>
      <w:r w:rsidRPr="00797098">
        <w:rPr>
          <w:lang w:eastAsia="en-US" w:bidi="en-US"/>
        </w:rPr>
        <w:t xml:space="preserve"> </w:t>
      </w:r>
      <w:r w:rsidR="00605340" w:rsidRPr="00797098">
        <w:rPr>
          <w:lang w:eastAsia="en-US" w:bidi="en-US"/>
        </w:rPr>
        <w:t>Sin embargo, un problema que presenta esta solución es que el acceso a Internet limitado impide que l</w:t>
      </w:r>
      <w:r w:rsidR="0038142F">
        <w:rPr>
          <w:lang w:eastAsia="en-US" w:bidi="en-US"/>
        </w:rPr>
        <w:t>as personas</w:t>
      </w:r>
      <w:r w:rsidR="00605340" w:rsidRPr="00797098">
        <w:rPr>
          <w:lang w:eastAsia="en-US" w:bidi="en-US"/>
        </w:rPr>
        <w:t xml:space="preserve"> de </w:t>
      </w:r>
      <w:r w:rsidR="0038142F">
        <w:rPr>
          <w:lang w:eastAsia="en-US" w:bidi="en-US"/>
        </w:rPr>
        <w:t>p</w:t>
      </w:r>
      <w:r w:rsidR="00605340" w:rsidRPr="00797098">
        <w:rPr>
          <w:lang w:eastAsia="en-US" w:bidi="en-US"/>
        </w:rPr>
        <w:t xml:space="preserve">aíses en desarrollo participen al mismo nivel que </w:t>
      </w:r>
      <w:r w:rsidR="0038142F">
        <w:rPr>
          <w:lang w:eastAsia="en-US" w:bidi="en-US"/>
        </w:rPr>
        <w:t xml:space="preserve">las </w:t>
      </w:r>
      <w:r w:rsidR="00797098" w:rsidRPr="00797098">
        <w:rPr>
          <w:lang w:eastAsia="en-US" w:bidi="en-US"/>
        </w:rPr>
        <w:t>de países desarrollados</w:t>
      </w:r>
      <w:r w:rsidR="00605340" w:rsidRPr="00797098">
        <w:rPr>
          <w:lang w:eastAsia="en-US" w:bidi="en-US"/>
        </w:rPr>
        <w:t>.</w:t>
      </w:r>
    </w:p>
    <w:p w:rsidR="005719AF" w:rsidRPr="00797098" w:rsidRDefault="00605340" w:rsidP="00E84867">
      <w:pPr>
        <w:pStyle w:val="Heading2"/>
        <w:rPr>
          <w:lang w:eastAsia="en-US" w:bidi="en-US"/>
        </w:rPr>
      </w:pPr>
      <w:r w:rsidRPr="00797098">
        <w:rPr>
          <w:lang w:eastAsia="en-US" w:bidi="en-US"/>
        </w:rPr>
        <w:lastRenderedPageBreak/>
        <w:t>PROYECTOS DE COLABORACIÓN ABIERTA</w:t>
      </w:r>
      <w:r w:rsidR="005719AF" w:rsidRPr="00797098">
        <w:rPr>
          <w:lang w:eastAsia="en-US" w:bidi="en-US"/>
        </w:rPr>
        <w:br/>
      </w:r>
    </w:p>
    <w:p w:rsidR="005719AF" w:rsidRPr="00797098" w:rsidRDefault="00605340" w:rsidP="00E84867">
      <w:pPr>
        <w:pStyle w:val="ONUME"/>
        <w:rPr>
          <w:lang w:eastAsia="en-US" w:bidi="en-US"/>
        </w:rPr>
      </w:pPr>
      <w:r w:rsidRPr="00797098">
        <w:rPr>
          <w:lang w:eastAsia="en-US" w:bidi="en-US"/>
        </w:rPr>
        <w:t xml:space="preserve">En 2003 el Proyecto del Genoma Humano </w:t>
      </w:r>
      <w:r w:rsidR="00F244F7" w:rsidRPr="00797098">
        <w:rPr>
          <w:lang w:eastAsia="en-US" w:bidi="en-US"/>
        </w:rPr>
        <w:t xml:space="preserve">se convirtió en el único gran proyecto de colaboración en </w:t>
      </w:r>
      <w:r w:rsidR="005E468C">
        <w:rPr>
          <w:lang w:eastAsia="en-US" w:bidi="en-US"/>
        </w:rPr>
        <w:t>el campo</w:t>
      </w:r>
      <w:r w:rsidR="00F244F7" w:rsidRPr="00797098">
        <w:rPr>
          <w:lang w:eastAsia="en-US" w:bidi="en-US"/>
        </w:rPr>
        <w:t xml:space="preserve"> de</w:t>
      </w:r>
      <w:r w:rsidR="005E468C">
        <w:rPr>
          <w:lang w:eastAsia="en-US" w:bidi="en-US"/>
        </w:rPr>
        <w:t xml:space="preserve"> la</w:t>
      </w:r>
      <w:r w:rsidR="00F244F7" w:rsidRPr="00797098">
        <w:rPr>
          <w:lang w:eastAsia="en-US" w:bidi="en-US"/>
        </w:rPr>
        <w:t xml:space="preserve"> biología que se hubiese llevado a cabo. </w:t>
      </w:r>
      <w:r w:rsidRPr="00797098">
        <w:rPr>
          <w:lang w:eastAsia="en-US" w:bidi="en-US"/>
        </w:rPr>
        <w:t xml:space="preserve"> </w:t>
      </w:r>
      <w:r w:rsidR="00F244F7" w:rsidRPr="00797098">
        <w:rPr>
          <w:lang w:eastAsia="en-US" w:bidi="en-US"/>
        </w:rPr>
        <w:t xml:space="preserve">Desde entonces, ha aumentado de forma radical el número de proyectos de colaboración abierta que son intersectoriales y en los que participan muchas partes de las esferas privada y pública. </w:t>
      </w:r>
      <w:r w:rsidR="0018697D" w:rsidRPr="00797098">
        <w:rPr>
          <w:lang w:eastAsia="en-US" w:bidi="en-US"/>
        </w:rPr>
        <w:t xml:space="preserve"> </w:t>
      </w:r>
      <w:r w:rsidR="00172F2D" w:rsidRPr="00797098">
        <w:rPr>
          <w:lang w:eastAsia="en-US" w:bidi="en-US"/>
        </w:rPr>
        <w:t>Las i</w:t>
      </w:r>
      <w:r w:rsidR="00F244F7" w:rsidRPr="00797098">
        <w:rPr>
          <w:lang w:eastAsia="en-US" w:bidi="en-US"/>
        </w:rPr>
        <w:t xml:space="preserve">niciativas como los concursos de ideas y las redes de innovación han </w:t>
      </w:r>
      <w:r w:rsidR="00172F2D" w:rsidRPr="00797098">
        <w:rPr>
          <w:lang w:eastAsia="en-US" w:bidi="en-US"/>
        </w:rPr>
        <w:t>enriquecido enormemente</w:t>
      </w:r>
      <w:r w:rsidR="00F244F7" w:rsidRPr="00797098">
        <w:rPr>
          <w:lang w:eastAsia="en-US" w:bidi="en-US"/>
        </w:rPr>
        <w:t xml:space="preserve"> l</w:t>
      </w:r>
      <w:r w:rsidR="00172F2D" w:rsidRPr="00797098">
        <w:rPr>
          <w:lang w:eastAsia="en-US" w:bidi="en-US"/>
        </w:rPr>
        <w:t>a experiencia</w:t>
      </w:r>
      <w:r w:rsidR="00F244F7" w:rsidRPr="00797098">
        <w:rPr>
          <w:lang w:eastAsia="en-US" w:bidi="en-US"/>
        </w:rPr>
        <w:t xml:space="preserve"> de los usuarios finales y los investigadores </w:t>
      </w:r>
      <w:r w:rsidR="00172F2D" w:rsidRPr="00797098">
        <w:rPr>
          <w:lang w:eastAsia="en-US" w:bidi="en-US"/>
        </w:rPr>
        <w:t xml:space="preserve">a la hora de </w:t>
      </w:r>
      <w:r w:rsidR="00F244F7" w:rsidRPr="00797098">
        <w:rPr>
          <w:lang w:eastAsia="en-US" w:bidi="en-US"/>
        </w:rPr>
        <w:t xml:space="preserve">dar impulso a soluciones fruto de la innovación. </w:t>
      </w:r>
      <w:r w:rsidR="005719AF" w:rsidRPr="00797098">
        <w:rPr>
          <w:lang w:eastAsia="en-US" w:bidi="en-US"/>
        </w:rPr>
        <w:t xml:space="preserve"> </w:t>
      </w:r>
      <w:r w:rsidR="00172F2D" w:rsidRPr="00797098">
        <w:rPr>
          <w:lang w:eastAsia="en-US" w:bidi="en-US"/>
        </w:rPr>
        <w:t xml:space="preserve">Entre los </w:t>
      </w:r>
      <w:r w:rsidR="005437BC">
        <w:rPr>
          <w:lang w:eastAsia="en-US" w:bidi="en-US"/>
        </w:rPr>
        <w:t>variad</w:t>
      </w:r>
      <w:r w:rsidR="00172F2D" w:rsidRPr="00797098">
        <w:rPr>
          <w:lang w:eastAsia="en-US" w:bidi="en-US"/>
        </w:rPr>
        <w:t>os ejemplos, se encuentran los espacios para la coinnovación</w:t>
      </w:r>
      <w:r w:rsidR="005437BC">
        <w:rPr>
          <w:lang w:eastAsia="en-US" w:bidi="en-US"/>
        </w:rPr>
        <w:t xml:space="preserve"> como el proyecto </w:t>
      </w:r>
      <w:r w:rsidR="005437BC" w:rsidRPr="005437BC">
        <w:rPr>
          <w:i/>
          <w:lang w:eastAsia="en-US" w:bidi="en-US"/>
        </w:rPr>
        <w:t>Open Living Labs</w:t>
      </w:r>
      <w:r w:rsidR="00172F2D" w:rsidRPr="00797098">
        <w:rPr>
          <w:lang w:eastAsia="en-US" w:bidi="en-US"/>
        </w:rPr>
        <w:t xml:space="preserve">, así como </w:t>
      </w:r>
      <w:r w:rsidR="005437BC">
        <w:rPr>
          <w:lang w:eastAsia="en-US" w:bidi="en-US"/>
        </w:rPr>
        <w:t xml:space="preserve">los </w:t>
      </w:r>
      <w:r w:rsidR="00172F2D" w:rsidRPr="00797098">
        <w:rPr>
          <w:lang w:eastAsia="en-US" w:bidi="en-US"/>
        </w:rPr>
        <w:t>mercados de la innovación</w:t>
      </w:r>
      <w:r w:rsidR="005437BC">
        <w:rPr>
          <w:lang w:eastAsia="en-US" w:bidi="en-US"/>
        </w:rPr>
        <w:t>,</w:t>
      </w:r>
      <w:r w:rsidR="00172F2D" w:rsidRPr="00797098">
        <w:rPr>
          <w:lang w:eastAsia="en-US" w:bidi="en-US"/>
        </w:rPr>
        <w:t xml:space="preserve"> que ponen en contacto a las personas que buscan soluciones con los que las idean, como </w:t>
      </w:r>
      <w:r w:rsidR="00172F2D" w:rsidRPr="00797098">
        <w:rPr>
          <w:i/>
          <w:lang w:eastAsia="en-US" w:bidi="en-US"/>
        </w:rPr>
        <w:t>Innocentive</w:t>
      </w:r>
      <w:r w:rsidR="00172F2D" w:rsidRPr="00797098">
        <w:rPr>
          <w:lang w:eastAsia="en-US" w:bidi="en-US"/>
        </w:rPr>
        <w:t xml:space="preserve">. </w:t>
      </w:r>
      <w:r w:rsidR="005719AF" w:rsidRPr="00797098">
        <w:rPr>
          <w:lang w:eastAsia="en-US" w:bidi="en-US"/>
        </w:rPr>
        <w:t xml:space="preserve"> </w:t>
      </w:r>
      <w:r w:rsidR="00172F2D" w:rsidRPr="00797098">
        <w:rPr>
          <w:lang w:eastAsia="en-US" w:bidi="en-US"/>
        </w:rPr>
        <w:t xml:space="preserve">En la actualidad, la mayor parte de las formas de innovación abierta en la era de los </w:t>
      </w:r>
      <w:r w:rsidR="0018697D" w:rsidRPr="00797098">
        <w:rPr>
          <w:lang w:eastAsia="en-US" w:bidi="en-US"/>
        </w:rPr>
        <w:t xml:space="preserve">datos masivos </w:t>
      </w:r>
      <w:r w:rsidR="005437BC">
        <w:rPr>
          <w:lang w:eastAsia="en-US" w:bidi="en-US"/>
        </w:rPr>
        <w:t>requieren</w:t>
      </w:r>
      <w:r w:rsidR="0018697D" w:rsidRPr="00797098">
        <w:rPr>
          <w:lang w:eastAsia="en-US" w:bidi="en-US"/>
        </w:rPr>
        <w:t xml:space="preserve"> regímenes de P.I. sólidos para la protección y la divulgación de innovaciones que </w:t>
      </w:r>
      <w:r w:rsidR="005E468C">
        <w:rPr>
          <w:lang w:eastAsia="en-US" w:bidi="en-US"/>
        </w:rPr>
        <w:t>surgen</w:t>
      </w:r>
      <w:r w:rsidR="0018697D" w:rsidRPr="00797098">
        <w:rPr>
          <w:lang w:eastAsia="en-US" w:bidi="en-US"/>
        </w:rPr>
        <w:t xml:space="preserve"> de colaboraciones a escala mundial y de esfuerzos comunitarios.</w:t>
      </w:r>
    </w:p>
    <w:p w:rsidR="005719AF" w:rsidRPr="00797098" w:rsidRDefault="005719AF" w:rsidP="00E84867">
      <w:pPr>
        <w:pStyle w:val="Heading2"/>
        <w:rPr>
          <w:lang w:eastAsia="en-US" w:bidi="en-US"/>
        </w:rPr>
      </w:pPr>
      <w:r w:rsidRPr="00797098">
        <w:rPr>
          <w:noProof/>
          <w:lang w:val="en-US" w:eastAsia="en-US"/>
        </w:rPr>
        <w:drawing>
          <wp:anchor distT="0" distB="0" distL="114300" distR="114300" simplePos="0" relativeHeight="251660288" behindDoc="0" locked="0" layoutInCell="1" allowOverlap="1" wp14:anchorId="1A8F3B8D" wp14:editId="03EC632C">
            <wp:simplePos x="0" y="0"/>
            <wp:positionH relativeFrom="column">
              <wp:posOffset>3111500</wp:posOffset>
            </wp:positionH>
            <wp:positionV relativeFrom="paragraph">
              <wp:posOffset>114300</wp:posOffset>
            </wp:positionV>
            <wp:extent cx="2698115" cy="2392680"/>
            <wp:effectExtent l="0" t="0" r="0" b="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8115"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97D" w:rsidRPr="00797098">
        <w:rPr>
          <w:lang w:eastAsia="en-US" w:bidi="en-US"/>
        </w:rPr>
        <w:t>recursos educativos abiertos</w:t>
      </w:r>
      <w:r w:rsidRPr="00797098">
        <w:rPr>
          <w:lang w:eastAsia="en-US" w:bidi="en-US"/>
        </w:rPr>
        <w:br/>
      </w:r>
    </w:p>
    <w:p w:rsidR="005719AF" w:rsidRPr="00797098" w:rsidRDefault="0018697D" w:rsidP="00E84867">
      <w:pPr>
        <w:pStyle w:val="ONUME"/>
        <w:rPr>
          <w:lang w:eastAsia="en-US" w:bidi="en-US"/>
        </w:rPr>
      </w:pPr>
      <w:r w:rsidRPr="00797098">
        <w:rPr>
          <w:lang w:eastAsia="en-US" w:bidi="en-US"/>
        </w:rPr>
        <w:t>Los recursos educativos abiertos</w:t>
      </w:r>
      <w:r w:rsidR="009133B6" w:rsidRPr="00797098">
        <w:rPr>
          <w:lang w:eastAsia="en-US" w:bidi="en-US"/>
        </w:rPr>
        <w:t xml:space="preserve"> (OER, por sus siglas en inglés)</w:t>
      </w:r>
      <w:r w:rsidRPr="00797098">
        <w:rPr>
          <w:lang w:eastAsia="en-US" w:bidi="en-US"/>
        </w:rPr>
        <w:t xml:space="preserve"> son material pedagógico que está disponible </w:t>
      </w:r>
      <w:r w:rsidR="00ED6E94" w:rsidRPr="00797098">
        <w:rPr>
          <w:lang w:eastAsia="en-US" w:bidi="en-US"/>
        </w:rPr>
        <w:t xml:space="preserve">tanto en Internet como por otros medios y que puede usarse y modificarse de forma gratuita. </w:t>
      </w:r>
      <w:r w:rsidR="005719AF" w:rsidRPr="00797098">
        <w:rPr>
          <w:lang w:eastAsia="en-US" w:bidi="en-US"/>
        </w:rPr>
        <w:t xml:space="preserve"> </w:t>
      </w:r>
      <w:r w:rsidR="00ED6E94" w:rsidRPr="00797098">
        <w:rPr>
          <w:lang w:eastAsia="en-US" w:bidi="en-US"/>
        </w:rPr>
        <w:t xml:space="preserve">En los últimos cinco años, un número cada vez mayor de educadores vienen compartiendo su material como recursos educativos abiertos y concediendo licencias gratuitas para explotarlo.  Hay nuevas plataformas, como </w:t>
      </w:r>
      <w:r w:rsidR="00ED6E94" w:rsidRPr="00797098">
        <w:rPr>
          <w:i/>
          <w:lang w:eastAsia="en-US" w:bidi="en-US"/>
        </w:rPr>
        <w:t>OER Africa</w:t>
      </w:r>
      <w:r w:rsidR="00ED6E94" w:rsidRPr="00797098">
        <w:rPr>
          <w:lang w:eastAsia="en-US" w:bidi="en-US"/>
        </w:rPr>
        <w:t xml:space="preserve">, que ofrecen material que se ajusta a contextos y alumnos de regiones específicas, y pueden </w:t>
      </w:r>
      <w:r w:rsidR="0038142F">
        <w:rPr>
          <w:lang w:eastAsia="en-US" w:bidi="en-US"/>
        </w:rPr>
        <w:t>ser usados por</w:t>
      </w:r>
      <w:r w:rsidR="00ED6E94" w:rsidRPr="00797098">
        <w:rPr>
          <w:lang w:eastAsia="en-US" w:bidi="en-US"/>
        </w:rPr>
        <w:t xml:space="preserve"> universidades y redes sin costo</w:t>
      </w:r>
      <w:r w:rsidR="0038142F">
        <w:rPr>
          <w:lang w:eastAsia="en-US" w:bidi="en-US"/>
        </w:rPr>
        <w:t xml:space="preserve"> alguno</w:t>
      </w:r>
      <w:r w:rsidR="00ED6E94" w:rsidRPr="00797098">
        <w:rPr>
          <w:lang w:eastAsia="en-US" w:bidi="en-US"/>
        </w:rPr>
        <w:t>.</w:t>
      </w:r>
      <w:r w:rsidR="009E7143" w:rsidRPr="00797098">
        <w:rPr>
          <w:lang w:eastAsia="en-US" w:bidi="en-US"/>
        </w:rPr>
        <w:t xml:space="preserve"> </w:t>
      </w:r>
      <w:r w:rsidR="00ED6E94" w:rsidRPr="00797098">
        <w:rPr>
          <w:lang w:eastAsia="en-US" w:bidi="en-US"/>
        </w:rPr>
        <w:t xml:space="preserve"> </w:t>
      </w:r>
      <w:r w:rsidR="005437BC">
        <w:rPr>
          <w:lang w:eastAsia="en-US" w:bidi="en-US"/>
        </w:rPr>
        <w:t xml:space="preserve">Los </w:t>
      </w:r>
      <w:r w:rsidR="00ED6E94" w:rsidRPr="00797098">
        <w:rPr>
          <w:i/>
          <w:lang w:eastAsia="en-US" w:bidi="en-US"/>
        </w:rPr>
        <w:t>Massive Open Online Courses</w:t>
      </w:r>
      <w:r w:rsidR="009133B6" w:rsidRPr="00797098">
        <w:rPr>
          <w:lang w:eastAsia="en-US" w:bidi="en-US"/>
        </w:rPr>
        <w:t xml:space="preserve"> (cursos en línea masivos y abiertos) han surgido del movimiento en torno a los recursos educativos abiertos y proponen cursos por Internet de forma gratuita de muchas instituciones, entre otras, la Universidad de Harvard. </w:t>
      </w:r>
      <w:r w:rsidR="005719AF" w:rsidRPr="00797098">
        <w:rPr>
          <w:lang w:eastAsia="en-US" w:bidi="en-US"/>
        </w:rPr>
        <w:t xml:space="preserve"> </w:t>
      </w:r>
      <w:r w:rsidR="009133B6" w:rsidRPr="00797098">
        <w:rPr>
          <w:lang w:eastAsia="en-US" w:bidi="en-US"/>
        </w:rPr>
        <w:t xml:space="preserve">Las enciclopedias digitales han sustituido prácticamente a las enciclopedias en papel. </w:t>
      </w:r>
      <w:r w:rsidR="005719AF" w:rsidRPr="00797098">
        <w:rPr>
          <w:lang w:eastAsia="en-US" w:bidi="en-US"/>
        </w:rPr>
        <w:t xml:space="preserve"> </w:t>
      </w:r>
      <w:r w:rsidR="009133B6" w:rsidRPr="00797098">
        <w:rPr>
          <w:lang w:eastAsia="en-US" w:bidi="en-US"/>
        </w:rPr>
        <w:t xml:space="preserve">Sin embargo, la separación geográfica entre los contribuidores </w:t>
      </w:r>
      <w:r w:rsidR="005437BC">
        <w:rPr>
          <w:lang w:eastAsia="en-US" w:bidi="en-US"/>
        </w:rPr>
        <w:t xml:space="preserve">de Wikipedia </w:t>
      </w:r>
      <w:r w:rsidR="009133B6" w:rsidRPr="00797098">
        <w:rPr>
          <w:lang w:eastAsia="en-US" w:bidi="en-US"/>
        </w:rPr>
        <w:t>de países desarroll</w:t>
      </w:r>
      <w:r w:rsidR="005437BC">
        <w:rPr>
          <w:lang w:eastAsia="en-US" w:bidi="en-US"/>
        </w:rPr>
        <w:t>ad</w:t>
      </w:r>
      <w:r w:rsidR="009133B6" w:rsidRPr="00797098">
        <w:rPr>
          <w:lang w:eastAsia="en-US" w:bidi="en-US"/>
        </w:rPr>
        <w:t>o</w:t>
      </w:r>
      <w:r w:rsidR="005437BC">
        <w:rPr>
          <w:lang w:eastAsia="en-US" w:bidi="en-US"/>
        </w:rPr>
        <w:t>s</w:t>
      </w:r>
      <w:r w:rsidR="009133B6" w:rsidRPr="00797098">
        <w:rPr>
          <w:lang w:eastAsia="en-US" w:bidi="en-US"/>
        </w:rPr>
        <w:t xml:space="preserve"> y los de países en desarrollo sigue siendo </w:t>
      </w:r>
      <w:r w:rsidR="009E7143" w:rsidRPr="00797098">
        <w:rPr>
          <w:lang w:eastAsia="en-US" w:bidi="en-US"/>
        </w:rPr>
        <w:t>muy marcada</w:t>
      </w:r>
      <w:r w:rsidR="009133B6" w:rsidRPr="00797098">
        <w:rPr>
          <w:lang w:eastAsia="en-US" w:bidi="en-US"/>
        </w:rPr>
        <w:t xml:space="preserve">:  el 70% viven en los países del norte y el 27,7% viven en los países del sur.  </w:t>
      </w:r>
    </w:p>
    <w:p w:rsidR="005719AF" w:rsidRPr="00797098" w:rsidRDefault="005437BC" w:rsidP="00E84867">
      <w:pPr>
        <w:pStyle w:val="Heading2"/>
        <w:rPr>
          <w:lang w:eastAsia="en-US" w:bidi="en-US"/>
        </w:rPr>
      </w:pPr>
      <w:r>
        <w:rPr>
          <w:lang w:eastAsia="en-US" w:bidi="en-US"/>
        </w:rPr>
        <w:t>i</w:t>
      </w:r>
      <w:r w:rsidR="009E7143" w:rsidRPr="00797098">
        <w:rPr>
          <w:lang w:eastAsia="en-US" w:bidi="en-US"/>
        </w:rPr>
        <w:t>nnovación en materia de energías renovables</w:t>
      </w:r>
      <w:r w:rsidR="005719AF" w:rsidRPr="00797098">
        <w:rPr>
          <w:lang w:eastAsia="en-US" w:bidi="en-US"/>
        </w:rPr>
        <w:br/>
      </w:r>
    </w:p>
    <w:p w:rsidR="005719AF" w:rsidRPr="00797098" w:rsidRDefault="009E7143" w:rsidP="00E84867">
      <w:pPr>
        <w:pStyle w:val="ONUME"/>
        <w:rPr>
          <w:lang w:eastAsia="en-US" w:bidi="en-US"/>
        </w:rPr>
      </w:pPr>
      <w:r w:rsidRPr="00797098">
        <w:rPr>
          <w:lang w:eastAsia="en-US" w:bidi="en-US"/>
        </w:rPr>
        <w:t xml:space="preserve">Si las corrientes de innovación y conocimientos en el siglo XXI se definen por la multiplicidad de partes que intervienen en ellas, el campo de las energías renovables sirve perfectamente de modelo para esas tendencias.  En el </w:t>
      </w:r>
      <w:r w:rsidRPr="00797098">
        <w:rPr>
          <w:i/>
          <w:lang w:eastAsia="en-US" w:bidi="en-US"/>
        </w:rPr>
        <w:t xml:space="preserve">Renewables 2014 Global Status Report </w:t>
      </w:r>
      <w:r w:rsidR="005E468C">
        <w:rPr>
          <w:lang w:eastAsia="en-US" w:bidi="en-US"/>
        </w:rPr>
        <w:t xml:space="preserve">(Informe sobre la situación de las energías renovables en el mundo de 2014) </w:t>
      </w:r>
      <w:r w:rsidRPr="00797098">
        <w:rPr>
          <w:lang w:eastAsia="en-US" w:bidi="en-US"/>
        </w:rPr>
        <w:t xml:space="preserve">se destaca que en los países en desarrollo se registrará más de dos tercios del aumento total </w:t>
      </w:r>
      <w:r w:rsidR="005437BC">
        <w:rPr>
          <w:lang w:eastAsia="en-US" w:bidi="en-US"/>
        </w:rPr>
        <w:t>del uso mundial de</w:t>
      </w:r>
      <w:r w:rsidRPr="00797098">
        <w:rPr>
          <w:lang w:eastAsia="en-US" w:bidi="en-US"/>
        </w:rPr>
        <w:t xml:space="preserve"> energías renovables, con China a la cabeza. </w:t>
      </w:r>
      <w:r w:rsidR="005719AF" w:rsidRPr="00797098">
        <w:rPr>
          <w:i/>
          <w:lang w:eastAsia="en-US" w:bidi="en-US"/>
        </w:rPr>
        <w:t xml:space="preserve"> </w:t>
      </w:r>
      <w:r w:rsidRPr="00797098">
        <w:rPr>
          <w:lang w:eastAsia="en-US" w:bidi="en-US"/>
        </w:rPr>
        <w:t xml:space="preserve">Los proyectos de colaboración entre </w:t>
      </w:r>
      <w:r w:rsidR="00004E02" w:rsidRPr="00797098">
        <w:rPr>
          <w:lang w:eastAsia="en-US" w:bidi="en-US"/>
        </w:rPr>
        <w:t>los sectores</w:t>
      </w:r>
      <w:r w:rsidRPr="00797098">
        <w:rPr>
          <w:lang w:eastAsia="en-US" w:bidi="en-US"/>
        </w:rPr>
        <w:t xml:space="preserve"> </w:t>
      </w:r>
      <w:r w:rsidR="00004E02" w:rsidRPr="00797098">
        <w:rPr>
          <w:lang w:eastAsia="en-US" w:bidi="en-US"/>
        </w:rPr>
        <w:t>pú</w:t>
      </w:r>
      <w:r w:rsidRPr="00797098">
        <w:rPr>
          <w:lang w:eastAsia="en-US" w:bidi="en-US"/>
        </w:rPr>
        <w:t>blic</w:t>
      </w:r>
      <w:r w:rsidR="00004E02" w:rsidRPr="00797098">
        <w:rPr>
          <w:lang w:eastAsia="en-US" w:bidi="en-US"/>
        </w:rPr>
        <w:t>o</w:t>
      </w:r>
      <w:r w:rsidRPr="00797098">
        <w:rPr>
          <w:lang w:eastAsia="en-US" w:bidi="en-US"/>
        </w:rPr>
        <w:t xml:space="preserve"> y privado </w:t>
      </w:r>
      <w:r w:rsidR="00004E02" w:rsidRPr="00797098">
        <w:rPr>
          <w:lang w:eastAsia="en-US" w:bidi="en-US"/>
        </w:rPr>
        <w:t xml:space="preserve">más destacados se dan en los países del sur, en concreto en Argentina, Bangladesh, China, la India, Indonesia, Mongolia y Viet Nam. </w:t>
      </w:r>
      <w:r w:rsidR="005719AF" w:rsidRPr="00797098">
        <w:rPr>
          <w:lang w:eastAsia="en-US" w:bidi="en-US"/>
        </w:rPr>
        <w:t xml:space="preserve"> </w:t>
      </w:r>
      <w:r w:rsidR="00740DD8" w:rsidRPr="00797098">
        <w:rPr>
          <w:lang w:eastAsia="en-US" w:bidi="en-US"/>
        </w:rPr>
        <w:t xml:space="preserve">La </w:t>
      </w:r>
      <w:r w:rsidR="00740DD8" w:rsidRPr="00797098">
        <w:rPr>
          <w:i/>
          <w:lang w:eastAsia="en-US" w:bidi="en-US"/>
        </w:rPr>
        <w:t xml:space="preserve">Renewable Energy Network for the 21st Century </w:t>
      </w:r>
      <w:r w:rsidR="00740DD8" w:rsidRPr="00797098">
        <w:rPr>
          <w:lang w:eastAsia="en-US" w:bidi="en-US"/>
        </w:rPr>
        <w:t>(REN21, por sus siglas en inglés) (</w:t>
      </w:r>
      <w:r w:rsidR="005437BC" w:rsidRPr="00797098">
        <w:rPr>
          <w:lang w:eastAsia="en-US" w:bidi="en-US"/>
        </w:rPr>
        <w:t xml:space="preserve">Red </w:t>
      </w:r>
      <w:r w:rsidR="00740DD8" w:rsidRPr="00797098">
        <w:rPr>
          <w:lang w:eastAsia="en-US" w:bidi="en-US"/>
        </w:rPr>
        <w:t xml:space="preserve">de energías renovables para el siglo XXI) es un ejemplo de red mundial de </w:t>
      </w:r>
      <w:r w:rsidR="00797098" w:rsidRPr="00797098">
        <w:rPr>
          <w:lang w:eastAsia="en-US" w:bidi="en-US"/>
        </w:rPr>
        <w:t>múltiples</w:t>
      </w:r>
      <w:r w:rsidR="00740DD8" w:rsidRPr="00797098">
        <w:rPr>
          <w:lang w:eastAsia="en-US" w:bidi="en-US"/>
        </w:rPr>
        <w:t xml:space="preserve"> partes interesadas de los se</w:t>
      </w:r>
      <w:r w:rsidR="008E682C" w:rsidRPr="00797098">
        <w:rPr>
          <w:lang w:eastAsia="en-US" w:bidi="en-US"/>
        </w:rPr>
        <w:t>c</w:t>
      </w:r>
      <w:r w:rsidR="00740DD8" w:rsidRPr="00797098">
        <w:rPr>
          <w:lang w:eastAsia="en-US" w:bidi="en-US"/>
        </w:rPr>
        <w:t xml:space="preserve">tores </w:t>
      </w:r>
      <w:r w:rsidR="00797098" w:rsidRPr="00797098">
        <w:rPr>
          <w:lang w:eastAsia="en-US" w:bidi="en-US"/>
        </w:rPr>
        <w:t>público</w:t>
      </w:r>
      <w:r w:rsidR="00740DD8" w:rsidRPr="00797098">
        <w:rPr>
          <w:lang w:eastAsia="en-US" w:bidi="en-US"/>
        </w:rPr>
        <w:t xml:space="preserve"> y privado </w:t>
      </w:r>
      <w:r w:rsidR="008E682C" w:rsidRPr="00797098">
        <w:rPr>
          <w:lang w:eastAsia="en-US" w:bidi="en-US"/>
        </w:rPr>
        <w:t xml:space="preserve">que </w:t>
      </w:r>
      <w:r w:rsidR="005E468C">
        <w:rPr>
          <w:lang w:eastAsia="en-US" w:bidi="en-US"/>
        </w:rPr>
        <w:t>reúne</w:t>
      </w:r>
      <w:r w:rsidR="008E682C" w:rsidRPr="00797098">
        <w:rPr>
          <w:lang w:eastAsia="en-US" w:bidi="en-US"/>
        </w:rPr>
        <w:t xml:space="preserve"> a organizaciones internacionales, gobiernos, asociaciones sectoriales, institutos científicos, instituciones académicas y ONG que trabajan en el ámbito de las energías renovables. </w:t>
      </w:r>
      <w:r w:rsidR="005719AF" w:rsidRPr="00797098">
        <w:rPr>
          <w:lang w:eastAsia="en-US" w:bidi="en-US"/>
        </w:rPr>
        <w:t xml:space="preserve"> </w:t>
      </w:r>
      <w:r w:rsidR="008E682C" w:rsidRPr="00797098">
        <w:rPr>
          <w:lang w:eastAsia="en-US" w:bidi="en-US"/>
        </w:rPr>
        <w:t xml:space="preserve">En el sector </w:t>
      </w:r>
      <w:r w:rsidR="004B07D7" w:rsidRPr="00797098">
        <w:rPr>
          <w:lang w:eastAsia="en-US" w:bidi="en-US"/>
        </w:rPr>
        <w:t>privado</w:t>
      </w:r>
      <w:r w:rsidR="008E682C" w:rsidRPr="00797098">
        <w:rPr>
          <w:lang w:eastAsia="en-US" w:bidi="en-US"/>
        </w:rPr>
        <w:t xml:space="preserve"> de los países en desarrollo, están aumentando las iniciativas comerciales o cuasicomerciales en materia de energías renovables en América </w:t>
      </w:r>
      <w:r w:rsidR="008E682C" w:rsidRPr="00797098">
        <w:rPr>
          <w:lang w:eastAsia="en-US" w:bidi="en-US"/>
        </w:rPr>
        <w:lastRenderedPageBreak/>
        <w:t>Latina, África y la India, al tiempo que las empresas de energías renovables radicadas en los países del norte están viendo en los países del sur una oportunidad de inve</w:t>
      </w:r>
      <w:r w:rsidR="004B07D7" w:rsidRPr="00797098">
        <w:rPr>
          <w:lang w:eastAsia="en-US" w:bidi="en-US"/>
        </w:rPr>
        <w:t>rtir</w:t>
      </w:r>
      <w:r w:rsidR="008E682C" w:rsidRPr="00797098">
        <w:rPr>
          <w:lang w:eastAsia="en-US" w:bidi="en-US"/>
        </w:rPr>
        <w:t>.</w:t>
      </w:r>
    </w:p>
    <w:p w:rsidR="005719AF" w:rsidRPr="00797098" w:rsidRDefault="004B07D7" w:rsidP="00E84867">
      <w:pPr>
        <w:pStyle w:val="Heading1"/>
      </w:pPr>
      <w:r w:rsidRPr="00797098">
        <w:t xml:space="preserve">INFORME SOBRE CORRIENTES </w:t>
      </w:r>
      <w:r w:rsidR="005437BC">
        <w:t xml:space="preserve">MUNDIALES </w:t>
      </w:r>
      <w:r w:rsidRPr="00797098">
        <w:t>DE CONOCIMIENTOS</w:t>
      </w:r>
      <w:r w:rsidR="005719AF" w:rsidRPr="00797098">
        <w:br/>
      </w:r>
    </w:p>
    <w:p w:rsidR="005719AF" w:rsidRPr="00797098" w:rsidRDefault="004B07D7" w:rsidP="00E84867">
      <w:pPr>
        <w:pStyle w:val="ONUME"/>
      </w:pPr>
      <w:r w:rsidRPr="00797098">
        <w:t xml:space="preserve">El informe completo sobre </w:t>
      </w:r>
      <w:r w:rsidR="00797098" w:rsidRPr="00797098">
        <w:t xml:space="preserve">corrientes mundiales de conocimientos </w:t>
      </w:r>
      <w:r w:rsidRPr="00797098">
        <w:t xml:space="preserve">figura en el </w:t>
      </w:r>
      <w:r w:rsidR="00797098" w:rsidRPr="00797098">
        <w:t>siguiente Apéndice.  Por razones técnicas, ninguna de las páginas del Apéndice lleva la signatura de documento de la OMPI (“</w:t>
      </w:r>
      <w:r w:rsidR="005437BC">
        <w:t>CDIP/</w:t>
      </w:r>
      <w:r w:rsidR="00797098" w:rsidRPr="00797098">
        <w:t>14/INF/13”).</w:t>
      </w:r>
    </w:p>
    <w:p w:rsidR="005719AF" w:rsidRPr="00797098" w:rsidRDefault="005719AF" w:rsidP="00E84867">
      <w:pPr>
        <w:pStyle w:val="ONUME"/>
        <w:numPr>
          <w:ilvl w:val="0"/>
          <w:numId w:val="0"/>
        </w:numPr>
      </w:pPr>
    </w:p>
    <w:p w:rsidR="005719AF" w:rsidRPr="00797098" w:rsidRDefault="005719AF" w:rsidP="00E84867">
      <w:pPr>
        <w:pStyle w:val="Endofdocument-Annex"/>
        <w:rPr>
          <w:lang w:val="es-ES"/>
        </w:rPr>
      </w:pPr>
      <w:r w:rsidRPr="00797098">
        <w:rPr>
          <w:lang w:val="es-ES"/>
        </w:rPr>
        <w:t>[</w:t>
      </w:r>
      <w:r w:rsidR="00797098" w:rsidRPr="00797098">
        <w:rPr>
          <w:lang w:val="es-ES"/>
        </w:rPr>
        <w:t>Fin del Anexo y del documento</w:t>
      </w:r>
      <w:r w:rsidRPr="00797098">
        <w:rPr>
          <w:lang w:val="es-ES"/>
        </w:rPr>
        <w:t>]</w:t>
      </w:r>
    </w:p>
    <w:p w:rsidR="00152CEA" w:rsidRPr="00797098" w:rsidRDefault="00152CEA"/>
    <w:sectPr w:rsidR="00152CEA" w:rsidRPr="00797098" w:rsidSect="0089013E">
      <w:headerReference w:type="default" r:id="rId17"/>
      <w:headerReference w:type="first" r:id="rId18"/>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563" w:rsidRDefault="00A54563">
      <w:r>
        <w:separator/>
      </w:r>
    </w:p>
  </w:endnote>
  <w:endnote w:type="continuationSeparator" w:id="0">
    <w:p w:rsidR="00A54563" w:rsidRPr="009D30E6" w:rsidRDefault="00A54563" w:rsidP="007E663E">
      <w:pPr>
        <w:rPr>
          <w:sz w:val="17"/>
          <w:szCs w:val="17"/>
        </w:rPr>
      </w:pPr>
      <w:r w:rsidRPr="009D30E6">
        <w:rPr>
          <w:sz w:val="17"/>
          <w:szCs w:val="17"/>
        </w:rPr>
        <w:separator/>
      </w:r>
    </w:p>
    <w:p w:rsidR="00A54563" w:rsidRPr="007E663E" w:rsidRDefault="00A54563" w:rsidP="007E663E">
      <w:pPr>
        <w:spacing w:after="60"/>
        <w:rPr>
          <w:sz w:val="17"/>
          <w:szCs w:val="17"/>
        </w:rPr>
      </w:pPr>
      <w:r>
        <w:rPr>
          <w:sz w:val="17"/>
        </w:rPr>
        <w:t>[Continuación de la nota de la página anterior]</w:t>
      </w:r>
    </w:p>
  </w:endnote>
  <w:endnote w:type="continuationNotice" w:id="1">
    <w:p w:rsidR="00A54563" w:rsidRPr="007E663E" w:rsidRDefault="00A54563"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563" w:rsidRDefault="00A54563">
      <w:r>
        <w:separator/>
      </w:r>
    </w:p>
  </w:footnote>
  <w:footnote w:type="continuationSeparator" w:id="0">
    <w:p w:rsidR="00A54563" w:rsidRPr="009D30E6" w:rsidRDefault="00A54563" w:rsidP="007E663E">
      <w:pPr>
        <w:rPr>
          <w:sz w:val="17"/>
          <w:szCs w:val="17"/>
        </w:rPr>
      </w:pPr>
      <w:r w:rsidRPr="009D30E6">
        <w:rPr>
          <w:sz w:val="17"/>
          <w:szCs w:val="17"/>
        </w:rPr>
        <w:separator/>
      </w:r>
    </w:p>
    <w:p w:rsidR="00A54563" w:rsidRPr="007E663E" w:rsidRDefault="00A54563" w:rsidP="007E663E">
      <w:pPr>
        <w:spacing w:after="60"/>
        <w:rPr>
          <w:sz w:val="17"/>
          <w:szCs w:val="17"/>
        </w:rPr>
      </w:pPr>
      <w:r>
        <w:rPr>
          <w:sz w:val="17"/>
        </w:rPr>
        <w:t>[Continuación de la nota de la página anterior]</w:t>
      </w:r>
    </w:p>
  </w:footnote>
  <w:footnote w:type="continuationNotice" w:id="1">
    <w:p w:rsidR="00A54563" w:rsidRPr="007E663E" w:rsidRDefault="00A54563" w:rsidP="007E663E">
      <w:pPr>
        <w:spacing w:before="60"/>
        <w:jc w:val="right"/>
        <w:rPr>
          <w:sz w:val="17"/>
          <w:szCs w:val="17"/>
        </w:rPr>
      </w:pPr>
      <w:r w:rsidRPr="007E663E">
        <w:rPr>
          <w:sz w:val="17"/>
          <w:szCs w:val="17"/>
        </w:rPr>
        <w:t>[Sigue la nota en la página siguiente]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050526"/>
      <w:docPartObj>
        <w:docPartGallery w:val="Page Numbers (Top of Page)"/>
        <w:docPartUnique/>
      </w:docPartObj>
    </w:sdtPr>
    <w:sdtEndPr>
      <w:rPr>
        <w:noProof/>
      </w:rPr>
    </w:sdtEndPr>
    <w:sdtContent>
      <w:p w:rsidR="0089013E" w:rsidRDefault="0089013E">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89013E" w:rsidRDefault="008901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20" w:rsidRDefault="005719AF" w:rsidP="00477D6B">
    <w:pPr>
      <w:jc w:val="right"/>
    </w:pPr>
    <w:bookmarkStart w:id="6" w:name="Code2"/>
    <w:bookmarkEnd w:id="6"/>
    <w:r>
      <w:t>CDIP/14/INF/13</w:t>
    </w:r>
  </w:p>
  <w:p w:rsidR="00AE7F20" w:rsidRDefault="0089013E" w:rsidP="00477D6B">
    <w:pPr>
      <w:jc w:val="right"/>
    </w:pPr>
    <w:r>
      <w:t xml:space="preserve">Anexo, </w:t>
    </w:r>
    <w:r w:rsidR="00AE7F20">
      <w:t xml:space="preserve">página </w:t>
    </w:r>
    <w:r w:rsidR="00AE7F20">
      <w:fldChar w:fldCharType="begin"/>
    </w:r>
    <w:r w:rsidR="00AE7F20">
      <w:instrText xml:space="preserve"> PAGE  \* MERGEFORMAT </w:instrText>
    </w:r>
    <w:r w:rsidR="00AE7F20">
      <w:fldChar w:fldCharType="separate"/>
    </w:r>
    <w:r w:rsidR="00837AF4">
      <w:rPr>
        <w:noProof/>
      </w:rPr>
      <w:t>5</w:t>
    </w:r>
    <w:r w:rsidR="00AE7F20">
      <w:fldChar w:fldCharType="end"/>
    </w:r>
  </w:p>
  <w:p w:rsidR="00AE7F20" w:rsidRDefault="00AE7F20"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981789"/>
      <w:docPartObj>
        <w:docPartGallery w:val="Page Numbers (Top of Page)"/>
        <w:docPartUnique/>
      </w:docPartObj>
    </w:sdtPr>
    <w:sdtEndPr>
      <w:rPr>
        <w:noProof/>
      </w:rPr>
    </w:sdtEndPr>
    <w:sdtContent>
      <w:p w:rsidR="0089013E" w:rsidRDefault="0089013E" w:rsidP="0089013E">
        <w:pPr>
          <w:jc w:val="right"/>
        </w:pPr>
        <w:r>
          <w:t>CDIP/14/INF/13</w:t>
        </w:r>
      </w:p>
      <w:p w:rsidR="0089013E" w:rsidRDefault="0089013E">
        <w:pPr>
          <w:pStyle w:val="Header"/>
          <w:jc w:val="right"/>
        </w:pPr>
        <w:r>
          <w:t>ANEXO</w:t>
        </w:r>
      </w:p>
    </w:sdtContent>
  </w:sdt>
  <w:p w:rsidR="0089013E" w:rsidRDefault="008901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0"/>
  </w:num>
  <w:num w:numId="4">
    <w:abstractNumId w:val="5"/>
  </w:num>
  <w:num w:numId="5">
    <w:abstractNumId w:val="1"/>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9AF"/>
    <w:rsid w:val="00004E02"/>
    <w:rsid w:val="00010686"/>
    <w:rsid w:val="00052915"/>
    <w:rsid w:val="00081D10"/>
    <w:rsid w:val="000C65C7"/>
    <w:rsid w:val="000E3BB3"/>
    <w:rsid w:val="000F5E56"/>
    <w:rsid w:val="001362EE"/>
    <w:rsid w:val="00152CEA"/>
    <w:rsid w:val="00172F2D"/>
    <w:rsid w:val="001832A6"/>
    <w:rsid w:val="0018697D"/>
    <w:rsid w:val="00191CE8"/>
    <w:rsid w:val="001B633A"/>
    <w:rsid w:val="001C2AEE"/>
    <w:rsid w:val="001C665F"/>
    <w:rsid w:val="001E04F4"/>
    <w:rsid w:val="002634C4"/>
    <w:rsid w:val="002E0F47"/>
    <w:rsid w:val="002F4E68"/>
    <w:rsid w:val="00354647"/>
    <w:rsid w:val="00377273"/>
    <w:rsid w:val="0038142F"/>
    <w:rsid w:val="003845C1"/>
    <w:rsid w:val="00387287"/>
    <w:rsid w:val="003D7BCD"/>
    <w:rsid w:val="003E48F1"/>
    <w:rsid w:val="003F347A"/>
    <w:rsid w:val="00423E3E"/>
    <w:rsid w:val="00427AF4"/>
    <w:rsid w:val="0044615C"/>
    <w:rsid w:val="0045231F"/>
    <w:rsid w:val="004647DA"/>
    <w:rsid w:val="00473349"/>
    <w:rsid w:val="00477808"/>
    <w:rsid w:val="00477D6B"/>
    <w:rsid w:val="0048189B"/>
    <w:rsid w:val="004A6C37"/>
    <w:rsid w:val="004B07D7"/>
    <w:rsid w:val="004E297D"/>
    <w:rsid w:val="0051766A"/>
    <w:rsid w:val="005332F0"/>
    <w:rsid w:val="005379FF"/>
    <w:rsid w:val="005437BC"/>
    <w:rsid w:val="0055013B"/>
    <w:rsid w:val="005719AF"/>
    <w:rsid w:val="00571B99"/>
    <w:rsid w:val="00595AC5"/>
    <w:rsid w:val="005E468C"/>
    <w:rsid w:val="00605340"/>
    <w:rsid w:val="00605827"/>
    <w:rsid w:val="00631566"/>
    <w:rsid w:val="00675021"/>
    <w:rsid w:val="00693BF1"/>
    <w:rsid w:val="006A06C6"/>
    <w:rsid w:val="00715A45"/>
    <w:rsid w:val="007224C8"/>
    <w:rsid w:val="00740DD8"/>
    <w:rsid w:val="00794BE2"/>
    <w:rsid w:val="00797098"/>
    <w:rsid w:val="007B71FE"/>
    <w:rsid w:val="007D781E"/>
    <w:rsid w:val="007E663E"/>
    <w:rsid w:val="00815082"/>
    <w:rsid w:val="00817F8C"/>
    <w:rsid w:val="00837AF4"/>
    <w:rsid w:val="0088395E"/>
    <w:rsid w:val="0089013E"/>
    <w:rsid w:val="008B2CC1"/>
    <w:rsid w:val="008E24DA"/>
    <w:rsid w:val="008E682C"/>
    <w:rsid w:val="008E6BD6"/>
    <w:rsid w:val="009034D4"/>
    <w:rsid w:val="009047AC"/>
    <w:rsid w:val="0090731E"/>
    <w:rsid w:val="009133B6"/>
    <w:rsid w:val="00966A22"/>
    <w:rsid w:val="00972F03"/>
    <w:rsid w:val="009A0C8B"/>
    <w:rsid w:val="009B6241"/>
    <w:rsid w:val="009E7143"/>
    <w:rsid w:val="00A1015F"/>
    <w:rsid w:val="00A16FC0"/>
    <w:rsid w:val="00A32C9E"/>
    <w:rsid w:val="00A54563"/>
    <w:rsid w:val="00A67320"/>
    <w:rsid w:val="00AA57D3"/>
    <w:rsid w:val="00AB613D"/>
    <w:rsid w:val="00AE7F20"/>
    <w:rsid w:val="00B65A0A"/>
    <w:rsid w:val="00B67CDC"/>
    <w:rsid w:val="00B72D36"/>
    <w:rsid w:val="00B91F31"/>
    <w:rsid w:val="00BC4164"/>
    <w:rsid w:val="00BD2DCC"/>
    <w:rsid w:val="00C90559"/>
    <w:rsid w:val="00CA2251"/>
    <w:rsid w:val="00CB1633"/>
    <w:rsid w:val="00D56C7C"/>
    <w:rsid w:val="00D702BF"/>
    <w:rsid w:val="00D71B4D"/>
    <w:rsid w:val="00D90289"/>
    <w:rsid w:val="00D93D55"/>
    <w:rsid w:val="00D96B55"/>
    <w:rsid w:val="00DA38DB"/>
    <w:rsid w:val="00DA55CA"/>
    <w:rsid w:val="00DC4C60"/>
    <w:rsid w:val="00DD1BDF"/>
    <w:rsid w:val="00E0079A"/>
    <w:rsid w:val="00E444DA"/>
    <w:rsid w:val="00E45C84"/>
    <w:rsid w:val="00E504E5"/>
    <w:rsid w:val="00E61A54"/>
    <w:rsid w:val="00E84867"/>
    <w:rsid w:val="00EB7A3E"/>
    <w:rsid w:val="00EC401A"/>
    <w:rsid w:val="00EC6D0E"/>
    <w:rsid w:val="00ED6E94"/>
    <w:rsid w:val="00EF530A"/>
    <w:rsid w:val="00EF6622"/>
    <w:rsid w:val="00F244F7"/>
    <w:rsid w:val="00F47DC4"/>
    <w:rsid w:val="00F55408"/>
    <w:rsid w:val="00F66152"/>
    <w:rsid w:val="00F80845"/>
    <w:rsid w:val="00F84474"/>
    <w:rsid w:val="00FA0F0D"/>
    <w:rsid w:val="00FC6E86"/>
    <w:rsid w:val="00FD59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uiPriority w:val="9"/>
    <w:qFormat/>
    <w:rsid w:val="00A32C9E"/>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rsid w:val="00B91F31"/>
    <w:rPr>
      <w:rFonts w:ascii="Tahoma" w:hAnsi="Tahoma" w:cs="Tahoma"/>
      <w:sz w:val="16"/>
      <w:szCs w:val="16"/>
    </w:rPr>
  </w:style>
  <w:style w:type="character" w:customStyle="1" w:styleId="BalloonTextChar">
    <w:name w:val="Balloon Text Char"/>
    <w:basedOn w:val="DefaultParagraphFont"/>
    <w:link w:val="BalloonText"/>
    <w:rsid w:val="00B91F31"/>
    <w:rPr>
      <w:rFonts w:ascii="Tahoma" w:eastAsia="SimSun" w:hAnsi="Tahoma" w:cs="Tahoma"/>
      <w:sz w:val="16"/>
      <w:szCs w:val="16"/>
      <w:lang w:val="es-ES" w:eastAsia="zh-CN"/>
    </w:rPr>
  </w:style>
  <w:style w:type="paragraph" w:customStyle="1" w:styleId="DecisionInvitingPara">
    <w:name w:val="Decision Inviting Para."/>
    <w:basedOn w:val="Normal"/>
    <w:link w:val="DecisionInvitingParaChar"/>
    <w:rsid w:val="005719AF"/>
    <w:pPr>
      <w:spacing w:after="120" w:line="260" w:lineRule="atLeast"/>
      <w:ind w:left="5534"/>
      <w:contextualSpacing/>
    </w:pPr>
    <w:rPr>
      <w:rFonts w:eastAsia="Times New Roman" w:cs="Times New Roman"/>
      <w:i/>
      <w:sz w:val="20"/>
      <w:lang w:val="en-US" w:eastAsia="en-US"/>
    </w:rPr>
  </w:style>
  <w:style w:type="character" w:customStyle="1" w:styleId="DecisionInvitingParaChar">
    <w:name w:val="Decision Inviting Para. Char"/>
    <w:link w:val="DecisionInvitingPara"/>
    <w:rsid w:val="005719AF"/>
    <w:rPr>
      <w:rFonts w:ascii="Arial" w:hAnsi="Arial"/>
      <w:i/>
    </w:rPr>
  </w:style>
  <w:style w:type="character" w:customStyle="1" w:styleId="Heading1Char">
    <w:name w:val="Heading 1 Char"/>
    <w:link w:val="Heading1"/>
    <w:uiPriority w:val="9"/>
    <w:rsid w:val="005719AF"/>
    <w:rPr>
      <w:rFonts w:ascii="Arial" w:eastAsia="SimSun" w:hAnsi="Arial" w:cs="Arial"/>
      <w:b/>
      <w:bCs/>
      <w:caps/>
      <w:kern w:val="32"/>
      <w:sz w:val="22"/>
      <w:szCs w:val="32"/>
      <w:lang w:val="es-ES" w:eastAsia="zh-CN"/>
    </w:rPr>
  </w:style>
  <w:style w:type="character" w:customStyle="1" w:styleId="Heading2Char">
    <w:name w:val="Heading 2 Char"/>
    <w:link w:val="Heading2"/>
    <w:uiPriority w:val="9"/>
    <w:rsid w:val="005719AF"/>
    <w:rPr>
      <w:rFonts w:ascii="Arial" w:eastAsia="SimSun" w:hAnsi="Arial" w:cs="Arial"/>
      <w:bCs/>
      <w:iCs/>
      <w:caps/>
      <w:sz w:val="22"/>
      <w:szCs w:val="28"/>
      <w:lang w:val="es-ES" w:eastAsia="zh-CN"/>
    </w:rPr>
  </w:style>
  <w:style w:type="character" w:customStyle="1" w:styleId="HeaderChar">
    <w:name w:val="Header Char"/>
    <w:basedOn w:val="DefaultParagraphFont"/>
    <w:link w:val="Header"/>
    <w:uiPriority w:val="99"/>
    <w:rsid w:val="0089013E"/>
    <w:rPr>
      <w:rFonts w:ascii="Arial" w:eastAsia="SimSun" w:hAnsi="Arial" w:cs="Arial"/>
      <w:sz w:val="22"/>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uiPriority w:val="9"/>
    <w:qFormat/>
    <w:rsid w:val="00A32C9E"/>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rsid w:val="00B91F31"/>
    <w:rPr>
      <w:rFonts w:ascii="Tahoma" w:hAnsi="Tahoma" w:cs="Tahoma"/>
      <w:sz w:val="16"/>
      <w:szCs w:val="16"/>
    </w:rPr>
  </w:style>
  <w:style w:type="character" w:customStyle="1" w:styleId="BalloonTextChar">
    <w:name w:val="Balloon Text Char"/>
    <w:basedOn w:val="DefaultParagraphFont"/>
    <w:link w:val="BalloonText"/>
    <w:rsid w:val="00B91F31"/>
    <w:rPr>
      <w:rFonts w:ascii="Tahoma" w:eastAsia="SimSun" w:hAnsi="Tahoma" w:cs="Tahoma"/>
      <w:sz w:val="16"/>
      <w:szCs w:val="16"/>
      <w:lang w:val="es-ES" w:eastAsia="zh-CN"/>
    </w:rPr>
  </w:style>
  <w:style w:type="paragraph" w:customStyle="1" w:styleId="DecisionInvitingPara">
    <w:name w:val="Decision Inviting Para."/>
    <w:basedOn w:val="Normal"/>
    <w:link w:val="DecisionInvitingParaChar"/>
    <w:rsid w:val="005719AF"/>
    <w:pPr>
      <w:spacing w:after="120" w:line="260" w:lineRule="atLeast"/>
      <w:ind w:left="5534"/>
      <w:contextualSpacing/>
    </w:pPr>
    <w:rPr>
      <w:rFonts w:eastAsia="Times New Roman" w:cs="Times New Roman"/>
      <w:i/>
      <w:sz w:val="20"/>
      <w:lang w:val="en-US" w:eastAsia="en-US"/>
    </w:rPr>
  </w:style>
  <w:style w:type="character" w:customStyle="1" w:styleId="DecisionInvitingParaChar">
    <w:name w:val="Decision Inviting Para. Char"/>
    <w:link w:val="DecisionInvitingPara"/>
    <w:rsid w:val="005719AF"/>
    <w:rPr>
      <w:rFonts w:ascii="Arial" w:hAnsi="Arial"/>
      <w:i/>
    </w:rPr>
  </w:style>
  <w:style w:type="character" w:customStyle="1" w:styleId="Heading1Char">
    <w:name w:val="Heading 1 Char"/>
    <w:link w:val="Heading1"/>
    <w:uiPriority w:val="9"/>
    <w:rsid w:val="005719AF"/>
    <w:rPr>
      <w:rFonts w:ascii="Arial" w:eastAsia="SimSun" w:hAnsi="Arial" w:cs="Arial"/>
      <w:b/>
      <w:bCs/>
      <w:caps/>
      <w:kern w:val="32"/>
      <w:sz w:val="22"/>
      <w:szCs w:val="32"/>
      <w:lang w:val="es-ES" w:eastAsia="zh-CN"/>
    </w:rPr>
  </w:style>
  <w:style w:type="character" w:customStyle="1" w:styleId="Heading2Char">
    <w:name w:val="Heading 2 Char"/>
    <w:link w:val="Heading2"/>
    <w:uiPriority w:val="9"/>
    <w:rsid w:val="005719AF"/>
    <w:rPr>
      <w:rFonts w:ascii="Arial" w:eastAsia="SimSun" w:hAnsi="Arial" w:cs="Arial"/>
      <w:bCs/>
      <w:iCs/>
      <w:caps/>
      <w:sz w:val="22"/>
      <w:szCs w:val="28"/>
      <w:lang w:val="es-ES" w:eastAsia="zh-CN"/>
    </w:rPr>
  </w:style>
  <w:style w:type="character" w:customStyle="1" w:styleId="HeaderChar">
    <w:name w:val="Header Char"/>
    <w:basedOn w:val="DefaultParagraphFont"/>
    <w:link w:val="Header"/>
    <w:uiPriority w:val="99"/>
    <w:rsid w:val="0089013E"/>
    <w:rPr>
      <w:rFonts w:ascii="Arial" w:eastAsia="SimSun" w:hAnsi="Arial" w:cs="Arial"/>
      <w:sz w:val="22"/>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14%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7D59A-124F-4125-B92F-03724958C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 14 (S).dotm</Template>
  <TotalTime>1</TotalTime>
  <Pages>6</Pages>
  <Words>2209</Words>
  <Characters>11789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CDIP/14/</vt:lpstr>
    </vt:vector>
  </TitlesOfParts>
  <Company>WIPO</Company>
  <LinksUpToDate>false</LinksUpToDate>
  <CharactersWithSpaces>13971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CDIP/14/</dc:title>
  <dc:creator>CARRASCO MESTREIT Eva</dc:creator>
  <cp:lastModifiedBy>SHOUSHA Sally</cp:lastModifiedBy>
  <cp:revision>3</cp:revision>
  <cp:lastPrinted>2014-10-08T14:41:00Z</cp:lastPrinted>
  <dcterms:created xsi:type="dcterms:W3CDTF">2014-10-08T14:41:00Z</dcterms:created>
  <dcterms:modified xsi:type="dcterms:W3CDTF">2014-10-08T14:41:00Z</dcterms:modified>
</cp:coreProperties>
</file>