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30760" w:rsidRPr="00D44271" w14:paraId="753A3B90" w14:textId="77777777" w:rsidTr="00B30760">
        <w:tc>
          <w:tcPr>
            <w:tcW w:w="4513" w:type="dxa"/>
            <w:tcBorders>
              <w:bottom w:val="single" w:sz="4" w:space="0" w:color="auto"/>
            </w:tcBorders>
            <w:tcMar>
              <w:bottom w:w="170" w:type="dxa"/>
            </w:tcMar>
          </w:tcPr>
          <w:p w14:paraId="6281EDA0" w14:textId="77777777" w:rsidR="00B30760" w:rsidRPr="00D44271" w:rsidRDefault="00B30760" w:rsidP="00B30760">
            <w:pPr>
              <w:rPr>
                <w:lang w:val="es-ES"/>
              </w:rPr>
            </w:pPr>
          </w:p>
        </w:tc>
        <w:tc>
          <w:tcPr>
            <w:tcW w:w="4337" w:type="dxa"/>
            <w:tcBorders>
              <w:bottom w:val="single" w:sz="4" w:space="0" w:color="auto"/>
            </w:tcBorders>
            <w:tcMar>
              <w:left w:w="0" w:type="dxa"/>
              <w:right w:w="0" w:type="dxa"/>
            </w:tcMar>
          </w:tcPr>
          <w:p w14:paraId="2D85FEF3" w14:textId="1B376F98" w:rsidR="00B30760" w:rsidRPr="00D44271" w:rsidRDefault="004E4164" w:rsidP="00B30760">
            <w:pPr>
              <w:rPr>
                <w:lang w:val="es-ES"/>
              </w:rPr>
            </w:pPr>
            <w:r w:rsidRPr="00D44271">
              <w:rPr>
                <w:noProof/>
                <w:lang w:eastAsia="en-US"/>
              </w:rPr>
              <w:drawing>
                <wp:inline distT="0" distB="0" distL="0" distR="0" wp14:anchorId="38C0DB42" wp14:editId="59A83FE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892725E" w14:textId="494F04C7" w:rsidR="00B30760" w:rsidRPr="00D44271" w:rsidRDefault="004E4164" w:rsidP="004E4164">
            <w:pPr>
              <w:jc w:val="right"/>
              <w:rPr>
                <w:lang w:val="es-ES"/>
              </w:rPr>
            </w:pPr>
            <w:r w:rsidRPr="00D44271">
              <w:rPr>
                <w:b/>
                <w:sz w:val="40"/>
                <w:szCs w:val="40"/>
                <w:lang w:val="es-ES"/>
              </w:rPr>
              <w:t>S</w:t>
            </w:r>
          </w:p>
        </w:tc>
      </w:tr>
      <w:tr w:rsidR="00B30760" w:rsidRPr="00D44271" w14:paraId="262C0DE9" w14:textId="77777777" w:rsidTr="00B30760">
        <w:trPr>
          <w:trHeight w:hRule="exact" w:val="340"/>
        </w:trPr>
        <w:tc>
          <w:tcPr>
            <w:tcW w:w="9356" w:type="dxa"/>
            <w:gridSpan w:val="3"/>
            <w:tcBorders>
              <w:top w:val="single" w:sz="4" w:space="0" w:color="auto"/>
            </w:tcBorders>
            <w:tcMar>
              <w:top w:w="170" w:type="dxa"/>
              <w:left w:w="0" w:type="dxa"/>
              <w:right w:w="0" w:type="dxa"/>
            </w:tcMar>
            <w:vAlign w:val="bottom"/>
          </w:tcPr>
          <w:p w14:paraId="560C0516" w14:textId="629ADA86" w:rsidR="00B30760" w:rsidRPr="00D44271" w:rsidRDefault="00B30760" w:rsidP="00B30760">
            <w:pPr>
              <w:jc w:val="right"/>
              <w:rPr>
                <w:rFonts w:ascii="Arial Black" w:hAnsi="Arial Black"/>
                <w:caps/>
                <w:sz w:val="15"/>
                <w:lang w:val="es-ES"/>
              </w:rPr>
            </w:pPr>
            <w:r w:rsidRPr="00D44271">
              <w:rPr>
                <w:rFonts w:ascii="Arial Black" w:hAnsi="Arial Black"/>
                <w:caps/>
                <w:sz w:val="15"/>
                <w:lang w:val="es-ES"/>
              </w:rPr>
              <w:t>cdip/14/</w:t>
            </w:r>
            <w:bookmarkStart w:id="0" w:name="Code"/>
            <w:bookmarkEnd w:id="0"/>
            <w:r w:rsidRPr="00D44271">
              <w:rPr>
                <w:rFonts w:ascii="Arial Black" w:hAnsi="Arial Black"/>
                <w:caps/>
                <w:sz w:val="15"/>
                <w:lang w:val="es-ES"/>
              </w:rPr>
              <w:t xml:space="preserve">6    </w:t>
            </w:r>
          </w:p>
        </w:tc>
      </w:tr>
      <w:tr w:rsidR="00B30760" w:rsidRPr="00D44271" w14:paraId="42370170" w14:textId="77777777" w:rsidTr="00B30760">
        <w:trPr>
          <w:trHeight w:hRule="exact" w:val="170"/>
        </w:trPr>
        <w:tc>
          <w:tcPr>
            <w:tcW w:w="9356" w:type="dxa"/>
            <w:gridSpan w:val="3"/>
            <w:noWrap/>
            <w:tcMar>
              <w:left w:w="0" w:type="dxa"/>
              <w:right w:w="0" w:type="dxa"/>
            </w:tcMar>
            <w:vAlign w:val="bottom"/>
          </w:tcPr>
          <w:p w14:paraId="031E7339" w14:textId="3689CE58" w:rsidR="00B30760" w:rsidRPr="00D44271" w:rsidRDefault="00B30760" w:rsidP="004E4164">
            <w:pPr>
              <w:jc w:val="right"/>
              <w:rPr>
                <w:rFonts w:ascii="Arial Black" w:hAnsi="Arial Black"/>
                <w:caps/>
                <w:sz w:val="15"/>
                <w:lang w:val="es-ES"/>
              </w:rPr>
            </w:pPr>
            <w:r w:rsidRPr="00D44271">
              <w:rPr>
                <w:rFonts w:ascii="Arial Black" w:hAnsi="Arial Black"/>
                <w:caps/>
                <w:sz w:val="15"/>
                <w:lang w:val="es-ES"/>
              </w:rPr>
              <w:t xml:space="preserve">ORIGINAL:  </w:t>
            </w:r>
            <w:bookmarkStart w:id="1" w:name="Original"/>
            <w:bookmarkEnd w:id="1"/>
            <w:r w:rsidR="004E4164" w:rsidRPr="00D44271">
              <w:rPr>
                <w:rFonts w:ascii="Arial Black" w:hAnsi="Arial Black"/>
                <w:caps/>
                <w:sz w:val="15"/>
                <w:lang w:val="es-ES"/>
              </w:rPr>
              <w:t>Inglés</w:t>
            </w:r>
          </w:p>
        </w:tc>
      </w:tr>
      <w:tr w:rsidR="00B30760" w:rsidRPr="00D44271" w14:paraId="312BBA3F" w14:textId="77777777" w:rsidTr="00B30760">
        <w:trPr>
          <w:trHeight w:hRule="exact" w:val="198"/>
        </w:trPr>
        <w:tc>
          <w:tcPr>
            <w:tcW w:w="9356" w:type="dxa"/>
            <w:gridSpan w:val="3"/>
            <w:tcMar>
              <w:left w:w="0" w:type="dxa"/>
              <w:right w:w="0" w:type="dxa"/>
            </w:tcMar>
            <w:vAlign w:val="bottom"/>
          </w:tcPr>
          <w:p w14:paraId="533EF437" w14:textId="0D69B1EA" w:rsidR="00B30760" w:rsidRPr="00D44271" w:rsidRDefault="004E4164" w:rsidP="004E4164">
            <w:pPr>
              <w:jc w:val="right"/>
              <w:rPr>
                <w:rFonts w:ascii="Arial Black" w:hAnsi="Arial Black"/>
                <w:caps/>
                <w:sz w:val="15"/>
                <w:lang w:val="es-ES"/>
              </w:rPr>
            </w:pPr>
            <w:r w:rsidRPr="00D44271">
              <w:rPr>
                <w:rFonts w:ascii="Arial Black" w:hAnsi="Arial Black"/>
                <w:caps/>
                <w:sz w:val="15"/>
                <w:lang w:val="es-ES"/>
              </w:rPr>
              <w:t>Fech</w:t>
            </w:r>
            <w:r w:rsidR="00B30760" w:rsidRPr="00D44271">
              <w:rPr>
                <w:rFonts w:ascii="Arial Black" w:hAnsi="Arial Black"/>
                <w:caps/>
                <w:sz w:val="15"/>
                <w:lang w:val="es-ES"/>
              </w:rPr>
              <w:t xml:space="preserve">A: </w:t>
            </w:r>
            <w:bookmarkStart w:id="2" w:name="Date"/>
            <w:bookmarkEnd w:id="2"/>
            <w:r w:rsidRPr="00D44271">
              <w:rPr>
                <w:rFonts w:ascii="Arial Black" w:hAnsi="Arial Black"/>
                <w:caps/>
                <w:sz w:val="15"/>
                <w:lang w:val="es-ES"/>
              </w:rPr>
              <w:t xml:space="preserve">22 de </w:t>
            </w:r>
            <w:r w:rsidR="00B30760" w:rsidRPr="00D44271">
              <w:rPr>
                <w:rFonts w:ascii="Arial Black" w:hAnsi="Arial Black"/>
                <w:caps/>
                <w:sz w:val="15"/>
                <w:lang w:val="es-ES"/>
              </w:rPr>
              <w:t>sept</w:t>
            </w:r>
            <w:r w:rsidRPr="00D44271">
              <w:rPr>
                <w:rFonts w:ascii="Arial Black" w:hAnsi="Arial Black"/>
                <w:caps/>
                <w:sz w:val="15"/>
                <w:lang w:val="es-ES"/>
              </w:rPr>
              <w:t>i</w:t>
            </w:r>
            <w:r w:rsidR="00B30760" w:rsidRPr="00D44271">
              <w:rPr>
                <w:rFonts w:ascii="Arial Black" w:hAnsi="Arial Black"/>
                <w:caps/>
                <w:sz w:val="15"/>
                <w:lang w:val="es-ES"/>
              </w:rPr>
              <w:t>emb</w:t>
            </w:r>
            <w:r w:rsidRPr="00D44271">
              <w:rPr>
                <w:rFonts w:ascii="Arial Black" w:hAnsi="Arial Black"/>
                <w:caps/>
                <w:sz w:val="15"/>
                <w:lang w:val="es-ES"/>
              </w:rPr>
              <w:t>r</w:t>
            </w:r>
            <w:r w:rsidR="00B30760" w:rsidRPr="00D44271">
              <w:rPr>
                <w:rFonts w:ascii="Arial Black" w:hAnsi="Arial Black"/>
                <w:caps/>
                <w:sz w:val="15"/>
                <w:lang w:val="es-ES"/>
              </w:rPr>
              <w:t>e</w:t>
            </w:r>
            <w:r w:rsidRPr="00D44271">
              <w:rPr>
                <w:rFonts w:ascii="Arial Black" w:hAnsi="Arial Black"/>
                <w:caps/>
                <w:sz w:val="15"/>
                <w:lang w:val="es-ES"/>
              </w:rPr>
              <w:t xml:space="preserve"> de</w:t>
            </w:r>
            <w:r w:rsidR="00B30760" w:rsidRPr="00D44271">
              <w:rPr>
                <w:rFonts w:ascii="Arial Black" w:hAnsi="Arial Black"/>
                <w:caps/>
                <w:sz w:val="15"/>
                <w:lang w:val="es-ES"/>
              </w:rPr>
              <w:t xml:space="preserve"> 2014</w:t>
            </w:r>
          </w:p>
        </w:tc>
      </w:tr>
    </w:tbl>
    <w:p w14:paraId="7594DBAC" w14:textId="77777777" w:rsidR="00B30760" w:rsidRPr="00D44271" w:rsidRDefault="00B30760" w:rsidP="00B30760">
      <w:pPr>
        <w:rPr>
          <w:lang w:val="es-ES"/>
        </w:rPr>
      </w:pPr>
    </w:p>
    <w:p w14:paraId="6ABC5F0D" w14:textId="77777777" w:rsidR="00B30760" w:rsidRPr="00D44271" w:rsidRDefault="00B30760" w:rsidP="00B30760">
      <w:pPr>
        <w:rPr>
          <w:lang w:val="es-ES"/>
        </w:rPr>
      </w:pPr>
    </w:p>
    <w:p w14:paraId="57976271" w14:textId="77777777" w:rsidR="00B30760" w:rsidRPr="00D44271" w:rsidRDefault="00B30760" w:rsidP="00B30760">
      <w:pPr>
        <w:rPr>
          <w:lang w:val="es-ES"/>
        </w:rPr>
      </w:pPr>
    </w:p>
    <w:p w14:paraId="65A87864" w14:textId="77777777" w:rsidR="00B30760" w:rsidRPr="00D44271" w:rsidRDefault="00B30760" w:rsidP="00B30760">
      <w:pPr>
        <w:rPr>
          <w:lang w:val="es-ES"/>
        </w:rPr>
      </w:pPr>
    </w:p>
    <w:p w14:paraId="0B1F9163" w14:textId="77777777" w:rsidR="00B30760" w:rsidRPr="00D44271" w:rsidRDefault="00B30760" w:rsidP="00B30760">
      <w:pPr>
        <w:rPr>
          <w:lang w:val="es-ES"/>
        </w:rPr>
      </w:pPr>
    </w:p>
    <w:p w14:paraId="64F4C985" w14:textId="77777777" w:rsidR="004E4164" w:rsidRPr="00D44271" w:rsidRDefault="004E4164" w:rsidP="004E4164">
      <w:pPr>
        <w:rPr>
          <w:b/>
          <w:sz w:val="28"/>
          <w:szCs w:val="28"/>
          <w:lang w:val="es-ES"/>
        </w:rPr>
      </w:pPr>
      <w:r w:rsidRPr="00D44271">
        <w:rPr>
          <w:b/>
          <w:sz w:val="28"/>
          <w:szCs w:val="28"/>
          <w:lang w:val="es-ES"/>
        </w:rPr>
        <w:t>Comité de Desarrollo y Propiedad Intelectual (CDIP)</w:t>
      </w:r>
    </w:p>
    <w:p w14:paraId="1DE3D82C" w14:textId="77777777" w:rsidR="004E4164" w:rsidRPr="00D44271" w:rsidRDefault="004E4164" w:rsidP="004E4164">
      <w:pPr>
        <w:rPr>
          <w:lang w:val="es-ES"/>
        </w:rPr>
      </w:pPr>
    </w:p>
    <w:p w14:paraId="48E8D631" w14:textId="77777777" w:rsidR="004E4164" w:rsidRPr="00D44271" w:rsidRDefault="004E4164" w:rsidP="004E4164">
      <w:pPr>
        <w:rPr>
          <w:lang w:val="es-ES"/>
        </w:rPr>
      </w:pPr>
    </w:p>
    <w:p w14:paraId="276DF736" w14:textId="77777777" w:rsidR="004E4164" w:rsidRPr="00D44271" w:rsidRDefault="004E4164" w:rsidP="004E4164">
      <w:pPr>
        <w:rPr>
          <w:b/>
          <w:sz w:val="24"/>
          <w:szCs w:val="24"/>
          <w:lang w:val="es-ES"/>
        </w:rPr>
      </w:pPr>
      <w:r w:rsidRPr="00D44271">
        <w:rPr>
          <w:b/>
          <w:sz w:val="24"/>
          <w:szCs w:val="24"/>
          <w:lang w:val="es-ES"/>
        </w:rPr>
        <w:t>Decimocuarta sesión</w:t>
      </w:r>
    </w:p>
    <w:p w14:paraId="40B18B30" w14:textId="77777777" w:rsidR="004E4164" w:rsidRPr="00D44271" w:rsidRDefault="004E4164" w:rsidP="004E4164">
      <w:pPr>
        <w:rPr>
          <w:b/>
          <w:sz w:val="24"/>
          <w:szCs w:val="24"/>
          <w:lang w:val="es-ES"/>
        </w:rPr>
      </w:pPr>
      <w:r w:rsidRPr="00D44271">
        <w:rPr>
          <w:b/>
          <w:sz w:val="24"/>
          <w:szCs w:val="24"/>
          <w:lang w:val="es-ES"/>
        </w:rPr>
        <w:t>Ginebra, 10 a 14 de noviembre de 2014</w:t>
      </w:r>
    </w:p>
    <w:p w14:paraId="43DA62E9" w14:textId="77777777" w:rsidR="00B30760" w:rsidRPr="00D44271" w:rsidRDefault="00B30760" w:rsidP="00B30760">
      <w:pPr>
        <w:rPr>
          <w:b/>
          <w:sz w:val="24"/>
          <w:szCs w:val="24"/>
          <w:lang w:val="es-ES"/>
        </w:rPr>
      </w:pPr>
    </w:p>
    <w:p w14:paraId="2C115FAF" w14:textId="77777777" w:rsidR="00B30760" w:rsidRPr="00D44271" w:rsidRDefault="00B30760" w:rsidP="00B30760">
      <w:pPr>
        <w:rPr>
          <w:lang w:val="es-ES"/>
        </w:rPr>
      </w:pPr>
    </w:p>
    <w:p w14:paraId="31908AA7" w14:textId="77777777" w:rsidR="00B30760" w:rsidRPr="00D44271" w:rsidRDefault="00B30760" w:rsidP="00B30760">
      <w:pPr>
        <w:rPr>
          <w:lang w:val="es-ES"/>
        </w:rPr>
      </w:pPr>
    </w:p>
    <w:p w14:paraId="1123E67D" w14:textId="77777777" w:rsidR="00B30760" w:rsidRPr="00D44271" w:rsidRDefault="00B30760" w:rsidP="00B30760">
      <w:pPr>
        <w:rPr>
          <w:lang w:val="es-ES"/>
        </w:rPr>
      </w:pPr>
    </w:p>
    <w:p w14:paraId="294DF745" w14:textId="3BF70766" w:rsidR="00B30760" w:rsidRPr="00D44271" w:rsidRDefault="004E4164" w:rsidP="00B30760">
      <w:pPr>
        <w:rPr>
          <w:caps/>
          <w:sz w:val="24"/>
          <w:lang w:val="es-ES"/>
        </w:rPr>
      </w:pPr>
      <w:bookmarkStart w:id="3" w:name="TitleOfDoc"/>
      <w:bookmarkEnd w:id="3"/>
      <w:r w:rsidRPr="00D44271">
        <w:rPr>
          <w:caps/>
          <w:sz w:val="24"/>
          <w:lang w:val="es-ES"/>
        </w:rPr>
        <w:t>Resumen del informe de evaluación del proyecto sobre creación de instrumentos de acceso a la información sobre patentes</w:t>
      </w:r>
      <w:r w:rsidR="00B30760" w:rsidRPr="00D44271">
        <w:rPr>
          <w:caps/>
          <w:sz w:val="24"/>
          <w:lang w:val="es-ES"/>
        </w:rPr>
        <w:t xml:space="preserve"> - </w:t>
      </w:r>
      <w:r w:rsidRPr="00D44271">
        <w:rPr>
          <w:caps/>
          <w:sz w:val="24"/>
          <w:lang w:val="es-ES"/>
        </w:rPr>
        <w:t>F</w:t>
      </w:r>
      <w:r w:rsidR="00B30760" w:rsidRPr="00D44271">
        <w:rPr>
          <w:caps/>
          <w:sz w:val="24"/>
          <w:lang w:val="es-ES"/>
        </w:rPr>
        <w:t>ase</w:t>
      </w:r>
      <w:r w:rsidRPr="00D44271">
        <w:rPr>
          <w:caps/>
          <w:sz w:val="24"/>
          <w:lang w:val="es-ES"/>
        </w:rPr>
        <w:t> </w:t>
      </w:r>
      <w:r w:rsidR="00F61F52" w:rsidRPr="00D44271">
        <w:rPr>
          <w:caps/>
          <w:sz w:val="24"/>
          <w:lang w:val="es-ES"/>
        </w:rPr>
        <w:t>II</w:t>
      </w:r>
    </w:p>
    <w:p w14:paraId="2F13CBD6" w14:textId="77777777" w:rsidR="00B30760" w:rsidRPr="00D44271" w:rsidRDefault="00B30760" w:rsidP="00B30760">
      <w:pPr>
        <w:rPr>
          <w:lang w:val="es-ES"/>
        </w:rPr>
      </w:pPr>
    </w:p>
    <w:p w14:paraId="257FAC4E" w14:textId="62DE7461" w:rsidR="00B30760" w:rsidRPr="00D44271" w:rsidRDefault="00B30760" w:rsidP="00B30760">
      <w:pPr>
        <w:rPr>
          <w:i/>
          <w:lang w:val="es-ES"/>
        </w:rPr>
      </w:pPr>
      <w:bookmarkStart w:id="4" w:name="Prepared"/>
      <w:bookmarkEnd w:id="4"/>
      <w:r w:rsidRPr="00D44271">
        <w:rPr>
          <w:i/>
          <w:lang w:val="es-ES"/>
        </w:rPr>
        <w:t>prepar</w:t>
      </w:r>
      <w:r w:rsidR="004E4164" w:rsidRPr="00D44271">
        <w:rPr>
          <w:i/>
          <w:lang w:val="es-ES"/>
        </w:rPr>
        <w:t>a</w:t>
      </w:r>
      <w:r w:rsidRPr="00D44271">
        <w:rPr>
          <w:i/>
          <w:lang w:val="es-ES"/>
        </w:rPr>
        <w:t>d</w:t>
      </w:r>
      <w:r w:rsidR="004E4164" w:rsidRPr="00D44271">
        <w:rPr>
          <w:i/>
          <w:lang w:val="es-ES"/>
        </w:rPr>
        <w:t xml:space="preserve">o por la Sra. </w:t>
      </w:r>
      <w:r w:rsidRPr="00D44271">
        <w:rPr>
          <w:i/>
          <w:lang w:val="es-ES"/>
        </w:rPr>
        <w:t xml:space="preserve">Catherine </w:t>
      </w:r>
      <w:proofErr w:type="spellStart"/>
      <w:r w:rsidRPr="00D44271">
        <w:rPr>
          <w:i/>
          <w:lang w:val="es-ES"/>
        </w:rPr>
        <w:t>Monagle</w:t>
      </w:r>
      <w:proofErr w:type="spellEnd"/>
      <w:r w:rsidRPr="00D44271">
        <w:rPr>
          <w:i/>
          <w:lang w:val="es-ES"/>
        </w:rPr>
        <w:t>, Consult</w:t>
      </w:r>
      <w:r w:rsidR="004E4164" w:rsidRPr="00D44271">
        <w:rPr>
          <w:i/>
          <w:lang w:val="es-ES"/>
        </w:rPr>
        <w:t>or</w:t>
      </w:r>
      <w:r w:rsidRPr="00D44271">
        <w:rPr>
          <w:i/>
          <w:lang w:val="es-ES"/>
        </w:rPr>
        <w:t>a, G</w:t>
      </w:r>
      <w:r w:rsidR="004E4164" w:rsidRPr="00D44271">
        <w:rPr>
          <w:i/>
          <w:lang w:val="es-ES"/>
        </w:rPr>
        <w:t>i</w:t>
      </w:r>
      <w:r w:rsidRPr="00D44271">
        <w:rPr>
          <w:i/>
          <w:lang w:val="es-ES"/>
        </w:rPr>
        <w:t>ne</w:t>
      </w:r>
      <w:r w:rsidR="004E4164" w:rsidRPr="00D44271">
        <w:rPr>
          <w:i/>
          <w:lang w:val="es-ES"/>
        </w:rPr>
        <w:t>br</w:t>
      </w:r>
      <w:r w:rsidRPr="00D44271">
        <w:rPr>
          <w:i/>
          <w:lang w:val="es-ES"/>
        </w:rPr>
        <w:t>a</w:t>
      </w:r>
    </w:p>
    <w:p w14:paraId="2E0204D4" w14:textId="77777777" w:rsidR="00B30760" w:rsidRPr="00D44271" w:rsidRDefault="00B30760" w:rsidP="00B30760">
      <w:pPr>
        <w:rPr>
          <w:lang w:val="es-ES"/>
        </w:rPr>
      </w:pPr>
    </w:p>
    <w:p w14:paraId="1E80005A" w14:textId="77777777" w:rsidR="00B30760" w:rsidRPr="00D44271" w:rsidRDefault="00B30760" w:rsidP="00B30760">
      <w:pPr>
        <w:rPr>
          <w:lang w:val="es-ES"/>
        </w:rPr>
      </w:pPr>
    </w:p>
    <w:p w14:paraId="2F9A2D2D" w14:textId="77777777" w:rsidR="00B30760" w:rsidRPr="00D44271" w:rsidRDefault="00B30760" w:rsidP="00B30760">
      <w:pPr>
        <w:rPr>
          <w:lang w:val="es-ES"/>
        </w:rPr>
      </w:pPr>
    </w:p>
    <w:p w14:paraId="48C3DED4" w14:textId="77777777" w:rsidR="00B30760" w:rsidRPr="00D44271" w:rsidRDefault="00B30760" w:rsidP="00B30760">
      <w:pPr>
        <w:rPr>
          <w:lang w:val="es-ES"/>
        </w:rPr>
      </w:pPr>
    </w:p>
    <w:p w14:paraId="1D484FCC" w14:textId="64FD65E2" w:rsidR="00B30760" w:rsidRPr="00D44271" w:rsidRDefault="004E4164" w:rsidP="004E4164">
      <w:pPr>
        <w:pStyle w:val="ListParagraph"/>
        <w:numPr>
          <w:ilvl w:val="0"/>
          <w:numId w:val="67"/>
        </w:numPr>
        <w:ind w:left="0" w:firstLine="0"/>
        <w:contextualSpacing/>
        <w:rPr>
          <w:lang w:val="es-ES"/>
        </w:rPr>
      </w:pPr>
      <w:r w:rsidRPr="00D44271">
        <w:rPr>
          <w:lang w:val="es-ES"/>
        </w:rPr>
        <w:t xml:space="preserve">El </w:t>
      </w:r>
      <w:r w:rsidR="00B30760" w:rsidRPr="00D44271">
        <w:rPr>
          <w:lang w:val="es-ES"/>
        </w:rPr>
        <w:t>Anexo</w:t>
      </w:r>
      <w:r w:rsidRPr="00D44271">
        <w:rPr>
          <w:lang w:val="es-ES"/>
        </w:rPr>
        <w:t xml:space="preserve"> del presente </w:t>
      </w:r>
      <w:r w:rsidR="00B30760" w:rsidRPr="00D44271">
        <w:rPr>
          <w:lang w:val="es-ES"/>
        </w:rPr>
        <w:t>document</w:t>
      </w:r>
      <w:r w:rsidRPr="00D44271">
        <w:rPr>
          <w:lang w:val="es-ES"/>
        </w:rPr>
        <w:t>o</w:t>
      </w:r>
      <w:r w:rsidR="00B30760" w:rsidRPr="00D44271">
        <w:rPr>
          <w:lang w:val="es-ES"/>
        </w:rPr>
        <w:t xml:space="preserve"> conti</w:t>
      </w:r>
      <w:r w:rsidRPr="00D44271">
        <w:rPr>
          <w:lang w:val="es-ES"/>
        </w:rPr>
        <w:t>e</w:t>
      </w:r>
      <w:r w:rsidR="00B30760" w:rsidRPr="00D44271">
        <w:rPr>
          <w:lang w:val="es-ES"/>
        </w:rPr>
        <w:t>n</w:t>
      </w:r>
      <w:r w:rsidRPr="00D44271">
        <w:rPr>
          <w:lang w:val="es-ES"/>
        </w:rPr>
        <w:t>e un resumen del informe de evaluación externa e independiente del</w:t>
      </w:r>
      <w:r w:rsidR="00B30760" w:rsidRPr="00D44271">
        <w:rPr>
          <w:szCs w:val="22"/>
          <w:lang w:val="es-ES"/>
        </w:rPr>
        <w:t xml:space="preserve"> </w:t>
      </w:r>
      <w:r w:rsidRPr="00D44271">
        <w:rPr>
          <w:szCs w:val="22"/>
          <w:lang w:val="es-ES"/>
        </w:rPr>
        <w:t>proyecto de “</w:t>
      </w:r>
      <w:r w:rsidR="00067492" w:rsidRPr="00D44271">
        <w:rPr>
          <w:szCs w:val="22"/>
          <w:lang w:val="es-ES"/>
        </w:rPr>
        <w:t>C</w:t>
      </w:r>
      <w:r w:rsidRPr="00D44271">
        <w:rPr>
          <w:szCs w:val="22"/>
          <w:lang w:val="es-ES"/>
        </w:rPr>
        <w:t xml:space="preserve">reación de instrumentos de acceso a la información sobre patentes” </w:t>
      </w:r>
      <w:r w:rsidR="00B30760" w:rsidRPr="00D44271">
        <w:rPr>
          <w:szCs w:val="22"/>
          <w:lang w:val="es-ES"/>
        </w:rPr>
        <w:t xml:space="preserve">- </w:t>
      </w:r>
      <w:r w:rsidR="00067492" w:rsidRPr="00D44271">
        <w:rPr>
          <w:szCs w:val="22"/>
          <w:lang w:val="es-ES"/>
        </w:rPr>
        <w:t>F</w:t>
      </w:r>
      <w:r w:rsidR="00B30760" w:rsidRPr="00D44271">
        <w:rPr>
          <w:szCs w:val="22"/>
          <w:lang w:val="es-ES"/>
        </w:rPr>
        <w:t xml:space="preserve">ase II, </w:t>
      </w:r>
      <w:r w:rsidRPr="00D44271">
        <w:rPr>
          <w:szCs w:val="22"/>
          <w:lang w:val="es-ES"/>
        </w:rPr>
        <w:t>realizado por la Sra.</w:t>
      </w:r>
      <w:r w:rsidR="00B30760" w:rsidRPr="00D44271">
        <w:rPr>
          <w:szCs w:val="22"/>
          <w:lang w:val="es-ES"/>
        </w:rPr>
        <w:t xml:space="preserve"> Catherine </w:t>
      </w:r>
      <w:proofErr w:type="spellStart"/>
      <w:r w:rsidR="00B30760" w:rsidRPr="00D44271">
        <w:rPr>
          <w:szCs w:val="22"/>
          <w:lang w:val="es-ES"/>
        </w:rPr>
        <w:t>Monagle</w:t>
      </w:r>
      <w:proofErr w:type="spellEnd"/>
      <w:r w:rsidR="00B30760" w:rsidRPr="00D44271">
        <w:rPr>
          <w:szCs w:val="22"/>
          <w:lang w:val="es-ES"/>
        </w:rPr>
        <w:t>, Consult</w:t>
      </w:r>
      <w:r w:rsidRPr="00D44271">
        <w:rPr>
          <w:szCs w:val="22"/>
          <w:lang w:val="es-ES"/>
        </w:rPr>
        <w:t>or</w:t>
      </w:r>
      <w:r w:rsidR="00B30760" w:rsidRPr="00D44271">
        <w:rPr>
          <w:szCs w:val="22"/>
          <w:lang w:val="es-ES"/>
        </w:rPr>
        <w:t>a, G</w:t>
      </w:r>
      <w:r w:rsidRPr="00D44271">
        <w:rPr>
          <w:szCs w:val="22"/>
          <w:lang w:val="es-ES"/>
        </w:rPr>
        <w:t>i</w:t>
      </w:r>
      <w:r w:rsidR="00B30760" w:rsidRPr="00D44271">
        <w:rPr>
          <w:szCs w:val="22"/>
          <w:lang w:val="es-ES"/>
        </w:rPr>
        <w:t>ne</w:t>
      </w:r>
      <w:r w:rsidRPr="00D44271">
        <w:rPr>
          <w:szCs w:val="22"/>
          <w:lang w:val="es-ES"/>
        </w:rPr>
        <w:t>br</w:t>
      </w:r>
      <w:r w:rsidR="00B30760" w:rsidRPr="00D44271">
        <w:rPr>
          <w:szCs w:val="22"/>
          <w:lang w:val="es-ES"/>
        </w:rPr>
        <w:t>a.</w:t>
      </w:r>
    </w:p>
    <w:p w14:paraId="7A2A0458" w14:textId="77777777" w:rsidR="00B30760" w:rsidRPr="00D44271" w:rsidRDefault="00B30760" w:rsidP="00B30760">
      <w:pPr>
        <w:pStyle w:val="ListParagraph"/>
        <w:ind w:left="0"/>
        <w:rPr>
          <w:lang w:val="es-ES"/>
        </w:rPr>
      </w:pPr>
    </w:p>
    <w:p w14:paraId="38F5AFDC" w14:textId="222D1870" w:rsidR="00B30760" w:rsidRPr="00D44271" w:rsidRDefault="004E4164" w:rsidP="004E4164">
      <w:pPr>
        <w:pStyle w:val="ListParagraph"/>
        <w:numPr>
          <w:ilvl w:val="0"/>
          <w:numId w:val="67"/>
        </w:numPr>
        <w:tabs>
          <w:tab w:val="left" w:pos="5387"/>
        </w:tabs>
        <w:ind w:left="4900" w:firstLine="3"/>
        <w:contextualSpacing/>
        <w:rPr>
          <w:i/>
          <w:iCs/>
          <w:lang w:val="es-ES"/>
        </w:rPr>
      </w:pPr>
      <w:r w:rsidRPr="00D44271">
        <w:rPr>
          <w:i/>
          <w:iCs/>
          <w:lang w:val="es-ES"/>
        </w:rPr>
        <w:t>Se invita al</w:t>
      </w:r>
      <w:r w:rsidR="00B30760" w:rsidRPr="00D44271">
        <w:rPr>
          <w:i/>
          <w:iCs/>
          <w:lang w:val="es-ES"/>
        </w:rPr>
        <w:t xml:space="preserve"> CDIP </w:t>
      </w:r>
      <w:r w:rsidRPr="00D44271">
        <w:rPr>
          <w:i/>
          <w:iCs/>
          <w:lang w:val="es-ES"/>
        </w:rPr>
        <w:t xml:space="preserve">a tomar nota de la información contenida en el </w:t>
      </w:r>
      <w:r w:rsidR="00B30760" w:rsidRPr="00D44271">
        <w:rPr>
          <w:i/>
          <w:iCs/>
          <w:lang w:val="es-ES"/>
        </w:rPr>
        <w:t>Anexo</w:t>
      </w:r>
      <w:r w:rsidRPr="00D44271">
        <w:rPr>
          <w:i/>
          <w:iCs/>
          <w:lang w:val="es-ES"/>
        </w:rPr>
        <w:t xml:space="preserve"> del presente </w:t>
      </w:r>
      <w:r w:rsidR="00B30760" w:rsidRPr="00D44271">
        <w:rPr>
          <w:i/>
          <w:iCs/>
          <w:lang w:val="es-ES"/>
        </w:rPr>
        <w:t>document</w:t>
      </w:r>
      <w:r w:rsidRPr="00D44271">
        <w:rPr>
          <w:i/>
          <w:iCs/>
          <w:lang w:val="es-ES"/>
        </w:rPr>
        <w:t>o</w:t>
      </w:r>
      <w:r w:rsidR="00B30760" w:rsidRPr="00D44271">
        <w:rPr>
          <w:i/>
          <w:iCs/>
          <w:lang w:val="es-ES"/>
        </w:rPr>
        <w:t>.</w:t>
      </w:r>
    </w:p>
    <w:p w14:paraId="4468698E" w14:textId="77777777" w:rsidR="00B30760" w:rsidRPr="00D44271" w:rsidRDefault="00B30760" w:rsidP="00B30760">
      <w:pPr>
        <w:ind w:left="4903"/>
        <w:rPr>
          <w:lang w:val="es-ES"/>
        </w:rPr>
      </w:pPr>
    </w:p>
    <w:p w14:paraId="74A6563B" w14:textId="77777777" w:rsidR="00B30760" w:rsidRPr="00D44271" w:rsidRDefault="00B30760" w:rsidP="00B30760">
      <w:pPr>
        <w:ind w:left="4903"/>
        <w:rPr>
          <w:lang w:val="es-ES"/>
        </w:rPr>
      </w:pPr>
    </w:p>
    <w:p w14:paraId="2C4719FC" w14:textId="77777777" w:rsidR="00B30760" w:rsidRPr="00D44271" w:rsidRDefault="00B30760" w:rsidP="00B30760">
      <w:pPr>
        <w:ind w:left="4903"/>
        <w:rPr>
          <w:lang w:val="es-ES"/>
        </w:rPr>
      </w:pPr>
    </w:p>
    <w:p w14:paraId="3EBC9876" w14:textId="550C7B67" w:rsidR="00B30760" w:rsidRPr="00D44271" w:rsidRDefault="00B30760" w:rsidP="00B30760">
      <w:pPr>
        <w:ind w:left="4903"/>
        <w:rPr>
          <w:lang w:val="es-ES"/>
        </w:rPr>
      </w:pPr>
      <w:r w:rsidRPr="00D44271">
        <w:rPr>
          <w:lang w:val="es-ES"/>
        </w:rPr>
        <w:t>[</w:t>
      </w:r>
      <w:r w:rsidR="004E4164" w:rsidRPr="00D44271">
        <w:rPr>
          <w:lang w:val="es-ES"/>
        </w:rPr>
        <w:t xml:space="preserve">Sigue el </w:t>
      </w:r>
      <w:r w:rsidRPr="00D44271">
        <w:rPr>
          <w:lang w:val="es-ES"/>
        </w:rPr>
        <w:t>Anexo]</w:t>
      </w:r>
    </w:p>
    <w:p w14:paraId="0AF917AE" w14:textId="77777777" w:rsidR="00D66FDA" w:rsidRPr="00D44271" w:rsidRDefault="00D66FDA">
      <w:pPr>
        <w:rPr>
          <w:lang w:val="es-ES"/>
        </w:rPr>
      </w:pPr>
    </w:p>
    <w:p w14:paraId="110E2E94" w14:textId="77777777" w:rsidR="00D66FDA" w:rsidRPr="00D44271" w:rsidRDefault="00D66FDA">
      <w:pPr>
        <w:rPr>
          <w:lang w:val="es-ES"/>
        </w:rPr>
        <w:sectPr w:rsidR="00D66FDA" w:rsidRPr="00D44271" w:rsidSect="00D66FDA">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cols w:space="720"/>
          <w:titlePg/>
          <w:docGrid w:linePitch="299"/>
        </w:sectPr>
      </w:pPr>
    </w:p>
    <w:p w14:paraId="0298D514" w14:textId="0BADA553" w:rsidR="005A5B76" w:rsidRPr="00D44271" w:rsidRDefault="004E4164" w:rsidP="00F27F13">
      <w:pPr>
        <w:pStyle w:val="Heading1"/>
        <w:rPr>
          <w:lang w:val="es-ES"/>
        </w:rPr>
      </w:pPr>
      <w:bookmarkStart w:id="5" w:name="_Toc272749893"/>
      <w:r w:rsidRPr="00D44271">
        <w:rPr>
          <w:lang w:val="es-ES"/>
        </w:rPr>
        <w:lastRenderedPageBreak/>
        <w:t>RESUMEN</w:t>
      </w:r>
      <w:bookmarkEnd w:id="5"/>
    </w:p>
    <w:p w14:paraId="2DD61B3C" w14:textId="77777777" w:rsidR="0028072A" w:rsidRPr="00D44271" w:rsidRDefault="0028072A" w:rsidP="0028072A">
      <w:pPr>
        <w:rPr>
          <w:lang w:val="es-ES"/>
        </w:rPr>
      </w:pPr>
    </w:p>
    <w:p w14:paraId="09DF9B2D" w14:textId="25685DA6" w:rsidR="0028072A" w:rsidRPr="00D44271" w:rsidRDefault="004E4164" w:rsidP="0028072A">
      <w:pPr>
        <w:rPr>
          <w:b/>
          <w:lang w:val="es-ES"/>
        </w:rPr>
      </w:pPr>
      <w:r w:rsidRPr="00D44271">
        <w:rPr>
          <w:b/>
          <w:lang w:val="es-ES"/>
        </w:rPr>
        <w:t>El proyecto</w:t>
      </w:r>
      <w:r w:rsidR="0028072A" w:rsidRPr="00D44271">
        <w:rPr>
          <w:b/>
          <w:lang w:val="es-ES"/>
        </w:rPr>
        <w:t xml:space="preserve"> </w:t>
      </w:r>
    </w:p>
    <w:p w14:paraId="7F9CFBB7" w14:textId="77777777" w:rsidR="0028072A" w:rsidRPr="00D44271" w:rsidRDefault="0028072A" w:rsidP="0028072A">
      <w:pPr>
        <w:rPr>
          <w:lang w:val="es-ES"/>
        </w:rPr>
      </w:pPr>
    </w:p>
    <w:p w14:paraId="234B28AD" w14:textId="26B5B63F" w:rsidR="0028072A" w:rsidRPr="00D44271" w:rsidRDefault="004E4164" w:rsidP="0028072A">
      <w:pPr>
        <w:rPr>
          <w:bCs/>
          <w:lang w:val="es-ES"/>
        </w:rPr>
      </w:pPr>
      <w:r w:rsidRPr="00D44271">
        <w:rPr>
          <w:lang w:val="es-ES"/>
        </w:rPr>
        <w:t xml:space="preserve">En este informe se consignan los resultados de la evaluación externa e independiente del proyecto de la Agenda para el Desarrollo relativo a la </w:t>
      </w:r>
      <w:r w:rsidR="00067492" w:rsidRPr="00D44271">
        <w:rPr>
          <w:lang w:val="es-ES"/>
        </w:rPr>
        <w:t>C</w:t>
      </w:r>
      <w:r w:rsidRPr="00D44271">
        <w:rPr>
          <w:lang w:val="es-ES"/>
        </w:rPr>
        <w:t>reación de instrumentos de acceso a la información sobre patentes</w:t>
      </w:r>
      <w:r w:rsidR="0028072A" w:rsidRPr="00D44271">
        <w:rPr>
          <w:lang w:val="es-ES"/>
        </w:rPr>
        <w:t xml:space="preserve"> – </w:t>
      </w:r>
      <w:r w:rsidRPr="00D44271">
        <w:rPr>
          <w:lang w:val="es-ES"/>
        </w:rPr>
        <w:t>F</w:t>
      </w:r>
      <w:r w:rsidR="0028072A" w:rsidRPr="00D44271">
        <w:rPr>
          <w:lang w:val="es-ES"/>
        </w:rPr>
        <w:t xml:space="preserve">ase II, </w:t>
      </w:r>
      <w:r w:rsidRPr="00D44271">
        <w:rPr>
          <w:lang w:val="es-ES"/>
        </w:rPr>
        <w:t>proyecto que se formó en respuesta a las recomendaciones</w:t>
      </w:r>
      <w:r w:rsidR="00967406" w:rsidRPr="00D44271">
        <w:rPr>
          <w:i/>
          <w:vertAlign w:val="superscript"/>
          <w:lang w:val="es-ES"/>
        </w:rPr>
        <w:footnoteReference w:id="2"/>
      </w:r>
      <w:r w:rsidRPr="00D44271">
        <w:rPr>
          <w:lang w:val="es-ES"/>
        </w:rPr>
        <w:t xml:space="preserve"> </w:t>
      </w:r>
      <w:r w:rsidR="00967406" w:rsidRPr="00D44271">
        <w:rPr>
          <w:bCs/>
          <w:lang w:val="es-ES"/>
        </w:rPr>
        <w:t xml:space="preserve">19, 30 y 31 </w:t>
      </w:r>
      <w:r w:rsidRPr="00D44271">
        <w:rPr>
          <w:lang w:val="es-ES"/>
        </w:rPr>
        <w:t>de la Agenda para el Desarrollo</w:t>
      </w:r>
      <w:r w:rsidR="00967406" w:rsidRPr="00D44271">
        <w:rPr>
          <w:lang w:val="es-ES"/>
        </w:rPr>
        <w:t>.</w:t>
      </w:r>
      <w:r w:rsidR="0028072A" w:rsidRPr="00D44271">
        <w:rPr>
          <w:bCs/>
          <w:lang w:val="es-ES"/>
        </w:rPr>
        <w:t xml:space="preserve">  </w:t>
      </w:r>
      <w:r w:rsidR="00967406" w:rsidRPr="00D44271">
        <w:rPr>
          <w:bCs/>
          <w:lang w:val="es-ES"/>
        </w:rPr>
        <w:t>Esas recomendaciones son las siguientes</w:t>
      </w:r>
      <w:r w:rsidR="0028072A" w:rsidRPr="00D44271">
        <w:rPr>
          <w:bCs/>
          <w:lang w:val="es-ES"/>
        </w:rPr>
        <w:t xml:space="preserve">: </w:t>
      </w:r>
    </w:p>
    <w:p w14:paraId="156430B8" w14:textId="77777777" w:rsidR="0028072A" w:rsidRPr="00D44271" w:rsidRDefault="0028072A" w:rsidP="0028072A">
      <w:pPr>
        <w:rPr>
          <w:lang w:val="es-ES"/>
        </w:rPr>
      </w:pPr>
    </w:p>
    <w:p w14:paraId="3FADBB57" w14:textId="4344A923" w:rsidR="0028072A" w:rsidRPr="00D44271" w:rsidRDefault="0028072A" w:rsidP="0028072A">
      <w:pPr>
        <w:rPr>
          <w:bCs/>
          <w:lang w:val="es-ES"/>
        </w:rPr>
      </w:pPr>
      <w:r w:rsidRPr="00D44271">
        <w:rPr>
          <w:bCs/>
          <w:i/>
          <w:lang w:val="es-ES"/>
        </w:rPr>
        <w:t>Recomenda</w:t>
      </w:r>
      <w:r w:rsidR="00967406" w:rsidRPr="00D44271">
        <w:rPr>
          <w:bCs/>
          <w:i/>
          <w:lang w:val="es-ES"/>
        </w:rPr>
        <w:t>c</w:t>
      </w:r>
      <w:r w:rsidRPr="00D44271">
        <w:rPr>
          <w:bCs/>
          <w:i/>
          <w:lang w:val="es-ES"/>
        </w:rPr>
        <w:t>i</w:t>
      </w:r>
      <w:r w:rsidR="00967406" w:rsidRPr="00D44271">
        <w:rPr>
          <w:bCs/>
          <w:i/>
          <w:lang w:val="es-ES"/>
        </w:rPr>
        <w:t>ó</w:t>
      </w:r>
      <w:r w:rsidRPr="00D44271">
        <w:rPr>
          <w:bCs/>
          <w:i/>
          <w:lang w:val="es-ES"/>
        </w:rPr>
        <w:t>n 19:</w:t>
      </w:r>
      <w:r w:rsidRPr="00D44271">
        <w:rPr>
          <w:bCs/>
          <w:lang w:val="es-ES"/>
        </w:rPr>
        <w:t xml:space="preserve"> </w:t>
      </w:r>
      <w:r w:rsidR="007B4A15" w:rsidRPr="00D44271">
        <w:rPr>
          <w:bCs/>
          <w:lang w:val="es-ES"/>
        </w:rPr>
        <w:t xml:space="preserve"> </w:t>
      </w:r>
      <w:r w:rsidR="00967406" w:rsidRPr="00D44271">
        <w:rPr>
          <w:bCs/>
          <w:lang w:val="es-ES"/>
        </w:rPr>
        <w:t>En el marco del mandato de la OMPI, emprender los debates sobre cómo facilitar aún más a los países en desarrollo y los PMA el acceso a los conocimientos y la tecnología, a fin de fomentar la creatividad y la innovación y fortalecer tales actividades en curso en la OMPI</w:t>
      </w:r>
      <w:r w:rsidRPr="00D44271">
        <w:rPr>
          <w:bCs/>
          <w:lang w:val="es-ES"/>
        </w:rPr>
        <w:t xml:space="preserve">. </w:t>
      </w:r>
    </w:p>
    <w:p w14:paraId="06F8D0CD" w14:textId="77777777" w:rsidR="0028072A" w:rsidRPr="00D44271" w:rsidRDefault="0028072A" w:rsidP="0028072A">
      <w:pPr>
        <w:rPr>
          <w:bCs/>
          <w:lang w:val="es-ES"/>
        </w:rPr>
      </w:pPr>
    </w:p>
    <w:p w14:paraId="126EF3EF" w14:textId="73519EA2" w:rsidR="0028072A" w:rsidRPr="00D44271" w:rsidRDefault="00967406" w:rsidP="0028072A">
      <w:pPr>
        <w:rPr>
          <w:bCs/>
          <w:lang w:val="es-ES"/>
        </w:rPr>
      </w:pPr>
      <w:r w:rsidRPr="00D44271">
        <w:rPr>
          <w:bCs/>
          <w:i/>
          <w:lang w:val="es-ES"/>
        </w:rPr>
        <w:t>Reco</w:t>
      </w:r>
      <w:r w:rsidR="0028072A" w:rsidRPr="00D44271">
        <w:rPr>
          <w:bCs/>
          <w:i/>
          <w:lang w:val="es-ES"/>
        </w:rPr>
        <w:t>menda</w:t>
      </w:r>
      <w:r w:rsidRPr="00D44271">
        <w:rPr>
          <w:bCs/>
          <w:i/>
          <w:lang w:val="es-ES"/>
        </w:rPr>
        <w:t>ción</w:t>
      </w:r>
      <w:r w:rsidR="0028072A" w:rsidRPr="00D44271">
        <w:rPr>
          <w:bCs/>
          <w:i/>
          <w:lang w:val="es-ES"/>
        </w:rPr>
        <w:t xml:space="preserve"> 30:</w:t>
      </w:r>
      <w:r w:rsidR="0028072A" w:rsidRPr="00D44271">
        <w:rPr>
          <w:bCs/>
          <w:lang w:val="es-ES"/>
        </w:rPr>
        <w:t xml:space="preserve"> </w:t>
      </w:r>
      <w:r w:rsidR="007B4A15" w:rsidRPr="00D44271">
        <w:rPr>
          <w:bCs/>
          <w:lang w:val="es-ES"/>
        </w:rPr>
        <w:t xml:space="preserve"> </w:t>
      </w:r>
      <w:r w:rsidRPr="00D44271">
        <w:rPr>
          <w:bCs/>
          <w:lang w:val="es-ES"/>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r w:rsidR="0028072A" w:rsidRPr="00D44271">
        <w:rPr>
          <w:bCs/>
          <w:lang w:val="es-ES"/>
        </w:rPr>
        <w:t xml:space="preserve">. </w:t>
      </w:r>
    </w:p>
    <w:p w14:paraId="4590D8C9" w14:textId="77777777" w:rsidR="0028072A" w:rsidRPr="00D44271" w:rsidRDefault="0028072A" w:rsidP="0028072A">
      <w:pPr>
        <w:rPr>
          <w:bCs/>
          <w:lang w:val="es-ES"/>
        </w:rPr>
      </w:pPr>
    </w:p>
    <w:p w14:paraId="60D9835D" w14:textId="0E627DF9" w:rsidR="0028072A" w:rsidRPr="00D44271" w:rsidRDefault="0028072A" w:rsidP="0028072A">
      <w:pPr>
        <w:rPr>
          <w:bCs/>
          <w:i/>
          <w:lang w:val="es-ES"/>
        </w:rPr>
      </w:pPr>
      <w:r w:rsidRPr="00D44271">
        <w:rPr>
          <w:bCs/>
          <w:i/>
          <w:lang w:val="es-ES"/>
        </w:rPr>
        <w:t>Recomenda</w:t>
      </w:r>
      <w:r w:rsidR="00967406" w:rsidRPr="00D44271">
        <w:rPr>
          <w:bCs/>
          <w:i/>
          <w:lang w:val="es-ES"/>
        </w:rPr>
        <w:t>ció</w:t>
      </w:r>
      <w:r w:rsidRPr="00D44271">
        <w:rPr>
          <w:bCs/>
          <w:i/>
          <w:lang w:val="es-ES"/>
        </w:rPr>
        <w:t>n 31:</w:t>
      </w:r>
      <w:r w:rsidR="007B4A15" w:rsidRPr="00D44271">
        <w:rPr>
          <w:bCs/>
          <w:i/>
          <w:lang w:val="es-ES"/>
        </w:rPr>
        <w:t xml:space="preserve"> </w:t>
      </w:r>
      <w:r w:rsidRPr="00D44271">
        <w:rPr>
          <w:bCs/>
          <w:i/>
          <w:lang w:val="es-ES"/>
        </w:rPr>
        <w:t xml:space="preserve"> </w:t>
      </w:r>
      <w:r w:rsidR="00967406" w:rsidRPr="00D44271">
        <w:rPr>
          <w:bCs/>
          <w:lang w:val="es-ES"/>
        </w:rPr>
        <w:t>Emprender las iniciativas adoptadas por los Estados miembros que contribuyen a la transferencia de tecnología a los países en desarrollo, tales como solicitar a la OMPI que proporcione mejor acceso a la información publicada sobre patentes</w:t>
      </w:r>
      <w:r w:rsidRPr="00D44271">
        <w:rPr>
          <w:bCs/>
          <w:lang w:val="es-ES"/>
        </w:rPr>
        <w:t>.</w:t>
      </w:r>
      <w:r w:rsidRPr="00D44271">
        <w:rPr>
          <w:bCs/>
          <w:i/>
          <w:lang w:val="es-ES"/>
        </w:rPr>
        <w:t xml:space="preserve"> </w:t>
      </w:r>
    </w:p>
    <w:p w14:paraId="139179A7" w14:textId="3F31C22A" w:rsidR="0028072A" w:rsidRPr="00D44271" w:rsidRDefault="0028072A" w:rsidP="0028072A">
      <w:pPr>
        <w:rPr>
          <w:lang w:val="es-ES"/>
        </w:rPr>
      </w:pPr>
    </w:p>
    <w:p w14:paraId="34FA60CC" w14:textId="0886B1A4" w:rsidR="00E55A10" w:rsidRPr="00D44271" w:rsidRDefault="00E55A10" w:rsidP="0028072A">
      <w:pPr>
        <w:rPr>
          <w:lang w:val="es-ES"/>
        </w:rPr>
      </w:pPr>
      <w:r w:rsidRPr="00D44271">
        <w:rPr>
          <w:rStyle w:val="hps"/>
          <w:lang w:val="es-ES"/>
        </w:rPr>
        <w:t>El proceso de evaluación</w:t>
      </w:r>
      <w:r w:rsidRPr="00D44271">
        <w:rPr>
          <w:lang w:val="es-ES"/>
        </w:rPr>
        <w:t xml:space="preserve"> fue</w:t>
      </w:r>
      <w:r w:rsidRPr="00D44271">
        <w:rPr>
          <w:rStyle w:val="hps"/>
          <w:lang w:val="es-ES"/>
        </w:rPr>
        <w:t xml:space="preserve"> acordado</w:t>
      </w:r>
      <w:r w:rsidRPr="00D44271">
        <w:rPr>
          <w:lang w:val="es-ES"/>
        </w:rPr>
        <w:t xml:space="preserve"> </w:t>
      </w:r>
      <w:r w:rsidRPr="00D44271">
        <w:rPr>
          <w:rStyle w:val="hps"/>
          <w:lang w:val="es-ES"/>
        </w:rPr>
        <w:t>entre el evaluador externo y</w:t>
      </w:r>
      <w:r w:rsidRPr="00D44271">
        <w:rPr>
          <w:lang w:val="es-ES"/>
        </w:rPr>
        <w:t xml:space="preserve"> </w:t>
      </w:r>
      <w:r w:rsidRPr="00D44271">
        <w:rPr>
          <w:rStyle w:val="hps"/>
          <w:lang w:val="es-ES"/>
        </w:rPr>
        <w:t>la División de</w:t>
      </w:r>
      <w:r w:rsidRPr="00D44271">
        <w:rPr>
          <w:lang w:val="es-ES"/>
        </w:rPr>
        <w:t xml:space="preserve"> </w:t>
      </w:r>
      <w:r w:rsidRPr="00D44271">
        <w:rPr>
          <w:rStyle w:val="hps"/>
          <w:lang w:val="es-ES"/>
        </w:rPr>
        <w:t>Coordinación de la Agenda</w:t>
      </w:r>
      <w:r w:rsidRPr="00D44271">
        <w:rPr>
          <w:lang w:val="es-ES"/>
        </w:rPr>
        <w:t xml:space="preserve"> </w:t>
      </w:r>
      <w:r w:rsidRPr="00D44271">
        <w:rPr>
          <w:rStyle w:val="hps"/>
          <w:lang w:val="es-ES"/>
        </w:rPr>
        <w:t>para el Desarrollo,</w:t>
      </w:r>
      <w:r w:rsidRPr="00D44271">
        <w:rPr>
          <w:lang w:val="es-ES"/>
        </w:rPr>
        <w:t xml:space="preserve"> </w:t>
      </w:r>
      <w:r w:rsidRPr="00D44271">
        <w:rPr>
          <w:rStyle w:val="hps"/>
          <w:lang w:val="es-ES"/>
        </w:rPr>
        <w:t>de</w:t>
      </w:r>
      <w:r w:rsidRPr="00D44271">
        <w:rPr>
          <w:lang w:val="es-ES"/>
        </w:rPr>
        <w:t xml:space="preserve"> </w:t>
      </w:r>
      <w:r w:rsidRPr="00D44271">
        <w:rPr>
          <w:rStyle w:val="hps"/>
          <w:lang w:val="es-ES"/>
        </w:rPr>
        <w:t>la</w:t>
      </w:r>
      <w:r w:rsidRPr="00D44271">
        <w:rPr>
          <w:lang w:val="es-ES"/>
        </w:rPr>
        <w:t xml:space="preserve"> </w:t>
      </w:r>
      <w:r w:rsidRPr="00D44271">
        <w:rPr>
          <w:rStyle w:val="hps"/>
          <w:lang w:val="es-ES"/>
        </w:rPr>
        <w:t>Secretaría de la OMPI,</w:t>
      </w:r>
      <w:r w:rsidRPr="00D44271">
        <w:rPr>
          <w:lang w:val="es-ES"/>
        </w:rPr>
        <w:t xml:space="preserve"> </w:t>
      </w:r>
      <w:r w:rsidRPr="00D44271">
        <w:rPr>
          <w:rStyle w:val="hps"/>
          <w:lang w:val="es-ES"/>
        </w:rPr>
        <w:t>y</w:t>
      </w:r>
      <w:r w:rsidRPr="00D44271">
        <w:rPr>
          <w:lang w:val="es-ES"/>
        </w:rPr>
        <w:t xml:space="preserve"> </w:t>
      </w:r>
      <w:r w:rsidRPr="00D44271">
        <w:rPr>
          <w:rStyle w:val="hps"/>
          <w:lang w:val="es-ES"/>
        </w:rPr>
        <w:t>se expone</w:t>
      </w:r>
      <w:r w:rsidRPr="00D44271">
        <w:rPr>
          <w:lang w:val="es-ES"/>
        </w:rPr>
        <w:t xml:space="preserve"> </w:t>
      </w:r>
      <w:r w:rsidRPr="00D44271">
        <w:rPr>
          <w:rStyle w:val="hps"/>
          <w:lang w:val="es-ES"/>
        </w:rPr>
        <w:t>en el informe inicial</w:t>
      </w:r>
      <w:r w:rsidRPr="00D44271">
        <w:rPr>
          <w:lang w:val="es-ES"/>
        </w:rPr>
        <w:t xml:space="preserve"> aprobado </w:t>
      </w:r>
      <w:r w:rsidRPr="00D44271">
        <w:rPr>
          <w:rStyle w:val="hps"/>
          <w:lang w:val="es-ES"/>
        </w:rPr>
        <w:t>de evaluación.</w:t>
      </w:r>
      <w:r w:rsidRPr="00D44271">
        <w:rPr>
          <w:lang w:val="es-ES"/>
        </w:rPr>
        <w:t xml:space="preserve"> </w:t>
      </w:r>
      <w:r w:rsidRPr="00D44271">
        <w:rPr>
          <w:rStyle w:val="hps"/>
          <w:lang w:val="es-ES"/>
        </w:rPr>
        <w:t>La evaluación</w:t>
      </w:r>
      <w:r w:rsidRPr="00D44271">
        <w:rPr>
          <w:lang w:val="es-ES"/>
        </w:rPr>
        <w:t xml:space="preserve"> </w:t>
      </w:r>
      <w:r w:rsidRPr="00D44271">
        <w:rPr>
          <w:rStyle w:val="hps"/>
          <w:lang w:val="es-ES"/>
        </w:rPr>
        <w:t>se llevó a cabo</w:t>
      </w:r>
      <w:r w:rsidRPr="00D44271">
        <w:rPr>
          <w:lang w:val="es-ES"/>
        </w:rPr>
        <w:t xml:space="preserve"> </w:t>
      </w:r>
      <w:r w:rsidRPr="00D44271">
        <w:rPr>
          <w:rStyle w:val="hps"/>
          <w:lang w:val="es-ES"/>
        </w:rPr>
        <w:t>entre</w:t>
      </w:r>
      <w:r w:rsidRPr="00D44271">
        <w:rPr>
          <w:lang w:val="es-ES"/>
        </w:rPr>
        <w:t xml:space="preserve"> </w:t>
      </w:r>
      <w:r w:rsidRPr="00D44271">
        <w:rPr>
          <w:rStyle w:val="hps"/>
          <w:lang w:val="es-ES"/>
        </w:rPr>
        <w:t>mediados de julio y</w:t>
      </w:r>
      <w:r w:rsidRPr="00D44271">
        <w:rPr>
          <w:lang w:val="es-ES"/>
        </w:rPr>
        <w:t xml:space="preserve"> </w:t>
      </w:r>
      <w:r w:rsidRPr="00D44271">
        <w:rPr>
          <w:rStyle w:val="hps"/>
          <w:lang w:val="es-ES"/>
        </w:rPr>
        <w:t>mediados de septiembre</w:t>
      </w:r>
      <w:r w:rsidRPr="00D44271">
        <w:rPr>
          <w:lang w:val="es-ES"/>
        </w:rPr>
        <w:t xml:space="preserve"> </w:t>
      </w:r>
      <w:r w:rsidRPr="00D44271">
        <w:rPr>
          <w:rStyle w:val="hps"/>
          <w:lang w:val="es-ES"/>
        </w:rPr>
        <w:t>de 2014.</w:t>
      </w:r>
      <w:r w:rsidRPr="00D44271">
        <w:rPr>
          <w:lang w:val="es-ES"/>
        </w:rPr>
        <w:t xml:space="preserve"> </w:t>
      </w:r>
    </w:p>
    <w:p w14:paraId="7035A84A" w14:textId="77777777" w:rsidR="00E55A10" w:rsidRPr="00D44271" w:rsidRDefault="00E55A10" w:rsidP="0028072A">
      <w:pPr>
        <w:rPr>
          <w:lang w:val="es-ES"/>
        </w:rPr>
      </w:pPr>
    </w:p>
    <w:p w14:paraId="124FC42D" w14:textId="079FDDEC" w:rsidR="00E55A10" w:rsidRPr="00D44271" w:rsidRDefault="00E55A10" w:rsidP="0028072A">
      <w:pPr>
        <w:rPr>
          <w:lang w:val="es-ES"/>
        </w:rPr>
      </w:pPr>
      <w:r w:rsidRPr="00D44271">
        <w:rPr>
          <w:rStyle w:val="hps"/>
          <w:lang w:val="es-ES"/>
        </w:rPr>
        <w:t>La propuesta de proyecto</w:t>
      </w:r>
      <w:r w:rsidRPr="00D44271">
        <w:rPr>
          <w:lang w:val="es-ES"/>
        </w:rPr>
        <w:t xml:space="preserve"> fue</w:t>
      </w:r>
      <w:r w:rsidRPr="00D44271">
        <w:rPr>
          <w:rStyle w:val="hps"/>
          <w:lang w:val="es-ES"/>
        </w:rPr>
        <w:t xml:space="preserve"> publicada</w:t>
      </w:r>
      <w:r w:rsidRPr="00D44271">
        <w:rPr>
          <w:lang w:val="es-ES"/>
        </w:rPr>
        <w:t xml:space="preserve"> </w:t>
      </w:r>
      <w:r w:rsidRPr="00D44271">
        <w:rPr>
          <w:rStyle w:val="hps"/>
          <w:lang w:val="es-ES"/>
        </w:rPr>
        <w:t>en el documento</w:t>
      </w:r>
      <w:r w:rsidRPr="00D44271">
        <w:rPr>
          <w:lang w:val="es-ES"/>
        </w:rPr>
        <w:t xml:space="preserve"> </w:t>
      </w:r>
      <w:r w:rsidRPr="00D44271">
        <w:rPr>
          <w:rStyle w:val="hps"/>
          <w:lang w:val="es-ES"/>
        </w:rPr>
        <w:t>CDIP/10</w:t>
      </w:r>
      <w:r w:rsidRPr="00D44271">
        <w:rPr>
          <w:lang w:val="es-ES"/>
        </w:rPr>
        <w:t xml:space="preserve">/13 y </w:t>
      </w:r>
      <w:r w:rsidRPr="00D44271">
        <w:rPr>
          <w:rStyle w:val="hps"/>
          <w:lang w:val="es-ES"/>
        </w:rPr>
        <w:t>aprobada en la décima sesión del Comité</w:t>
      </w:r>
      <w:r w:rsidRPr="00D44271">
        <w:rPr>
          <w:lang w:val="es-ES"/>
        </w:rPr>
        <w:t xml:space="preserve"> </w:t>
      </w:r>
      <w:r w:rsidRPr="00D44271">
        <w:rPr>
          <w:rStyle w:val="hps"/>
          <w:lang w:val="es-ES"/>
        </w:rPr>
        <w:t>de Desarrollo y Propiedad</w:t>
      </w:r>
      <w:r w:rsidRPr="00D44271">
        <w:rPr>
          <w:lang w:val="es-ES"/>
        </w:rPr>
        <w:t xml:space="preserve"> </w:t>
      </w:r>
      <w:r w:rsidRPr="00D44271">
        <w:rPr>
          <w:rStyle w:val="hps"/>
          <w:lang w:val="es-ES"/>
        </w:rPr>
        <w:t>Intelectual</w:t>
      </w:r>
      <w:r w:rsidRPr="00D44271">
        <w:rPr>
          <w:lang w:val="es-ES"/>
        </w:rPr>
        <w:t xml:space="preserve"> </w:t>
      </w:r>
      <w:r w:rsidRPr="00D44271">
        <w:rPr>
          <w:rStyle w:val="hps"/>
          <w:lang w:val="es-ES"/>
        </w:rPr>
        <w:t>(</w:t>
      </w:r>
      <w:r w:rsidRPr="00D44271">
        <w:rPr>
          <w:lang w:val="es-ES"/>
        </w:rPr>
        <w:t xml:space="preserve">CDIP) </w:t>
      </w:r>
      <w:r w:rsidRPr="00D44271">
        <w:rPr>
          <w:rStyle w:val="hps"/>
          <w:lang w:val="es-ES"/>
        </w:rPr>
        <w:t>en</w:t>
      </w:r>
      <w:r w:rsidRPr="00D44271">
        <w:rPr>
          <w:lang w:val="es-ES"/>
        </w:rPr>
        <w:t xml:space="preserve"> </w:t>
      </w:r>
      <w:r w:rsidRPr="00D44271">
        <w:rPr>
          <w:rStyle w:val="hps"/>
          <w:lang w:val="es-ES"/>
        </w:rPr>
        <w:t>noviembre de 2012</w:t>
      </w:r>
      <w:r w:rsidRPr="00D44271">
        <w:rPr>
          <w:lang w:val="es-ES"/>
        </w:rPr>
        <w:t>.  La ejecución d</w:t>
      </w:r>
      <w:r w:rsidRPr="00D44271">
        <w:rPr>
          <w:rStyle w:val="hps"/>
          <w:lang w:val="es-ES"/>
        </w:rPr>
        <w:t>el</w:t>
      </w:r>
      <w:r w:rsidRPr="00D44271">
        <w:rPr>
          <w:lang w:val="es-ES"/>
        </w:rPr>
        <w:t xml:space="preserve"> </w:t>
      </w:r>
      <w:r w:rsidRPr="00D44271">
        <w:rPr>
          <w:rStyle w:val="hps"/>
          <w:lang w:val="es-ES"/>
        </w:rPr>
        <w:t>proyecto tuvo lugar entre noviembre</w:t>
      </w:r>
      <w:r w:rsidRPr="00D44271">
        <w:rPr>
          <w:lang w:val="es-ES"/>
        </w:rPr>
        <w:t xml:space="preserve"> de </w:t>
      </w:r>
      <w:r w:rsidRPr="00D44271">
        <w:rPr>
          <w:rStyle w:val="hps"/>
          <w:lang w:val="es-ES"/>
        </w:rPr>
        <w:t>2012 y</w:t>
      </w:r>
      <w:r w:rsidRPr="00D44271">
        <w:rPr>
          <w:lang w:val="es-ES"/>
        </w:rPr>
        <w:t xml:space="preserve"> </w:t>
      </w:r>
      <w:r w:rsidRPr="00D44271">
        <w:rPr>
          <w:rStyle w:val="hps"/>
          <w:lang w:val="es-ES"/>
        </w:rPr>
        <w:t>diciembre de 2013</w:t>
      </w:r>
      <w:r w:rsidRPr="00D44271">
        <w:rPr>
          <w:lang w:val="es-ES"/>
        </w:rPr>
        <w:t xml:space="preserve"> </w:t>
      </w:r>
      <w:r w:rsidRPr="00D44271">
        <w:rPr>
          <w:rStyle w:val="hps"/>
          <w:lang w:val="es-ES"/>
        </w:rPr>
        <w:t>(14</w:t>
      </w:r>
      <w:r w:rsidRPr="00D44271">
        <w:rPr>
          <w:lang w:val="es-ES"/>
        </w:rPr>
        <w:t xml:space="preserve"> </w:t>
      </w:r>
      <w:r w:rsidRPr="00D44271">
        <w:rPr>
          <w:rStyle w:val="hps"/>
          <w:lang w:val="es-ES"/>
        </w:rPr>
        <w:t xml:space="preserve">meses). </w:t>
      </w:r>
      <w:r w:rsidRPr="00D44271">
        <w:rPr>
          <w:lang w:val="es-ES"/>
        </w:rPr>
        <w:t xml:space="preserve"> </w:t>
      </w:r>
      <w:r w:rsidRPr="00D44271">
        <w:rPr>
          <w:rStyle w:val="hps"/>
          <w:lang w:val="es-ES"/>
        </w:rPr>
        <w:t>El</w:t>
      </w:r>
      <w:r w:rsidRPr="00D44271">
        <w:rPr>
          <w:lang w:val="es-ES"/>
        </w:rPr>
        <w:t xml:space="preserve"> </w:t>
      </w:r>
      <w:r w:rsidRPr="00D44271">
        <w:rPr>
          <w:rStyle w:val="hps"/>
          <w:lang w:val="es-ES"/>
        </w:rPr>
        <w:t xml:space="preserve">presupuesto </w:t>
      </w:r>
      <w:r w:rsidR="00F0729F" w:rsidRPr="00D44271">
        <w:rPr>
          <w:rStyle w:val="hps"/>
          <w:lang w:val="es-ES"/>
        </w:rPr>
        <w:t>d</w:t>
      </w:r>
      <w:r w:rsidRPr="00D44271">
        <w:rPr>
          <w:rStyle w:val="hps"/>
          <w:lang w:val="es-ES"/>
        </w:rPr>
        <w:t>el</w:t>
      </w:r>
      <w:r w:rsidRPr="00D44271">
        <w:rPr>
          <w:lang w:val="es-ES"/>
        </w:rPr>
        <w:t xml:space="preserve"> </w:t>
      </w:r>
      <w:r w:rsidRPr="00D44271">
        <w:rPr>
          <w:rStyle w:val="hps"/>
          <w:lang w:val="es-ES"/>
        </w:rPr>
        <w:t xml:space="preserve">proyecto </w:t>
      </w:r>
      <w:r w:rsidR="00F0729F" w:rsidRPr="00D44271">
        <w:rPr>
          <w:rStyle w:val="hps"/>
          <w:lang w:val="es-ES"/>
        </w:rPr>
        <w:t>ascendía a</w:t>
      </w:r>
      <w:r w:rsidRPr="00D44271">
        <w:rPr>
          <w:lang w:val="es-ES"/>
        </w:rPr>
        <w:t xml:space="preserve"> </w:t>
      </w:r>
      <w:r w:rsidRPr="00D44271">
        <w:rPr>
          <w:rStyle w:val="hps"/>
          <w:lang w:val="es-ES"/>
        </w:rPr>
        <w:t>292.000</w:t>
      </w:r>
      <w:r w:rsidRPr="00D44271">
        <w:rPr>
          <w:lang w:val="es-ES"/>
        </w:rPr>
        <w:t xml:space="preserve"> </w:t>
      </w:r>
      <w:r w:rsidRPr="00D44271">
        <w:rPr>
          <w:rStyle w:val="hps"/>
          <w:lang w:val="es-ES"/>
        </w:rPr>
        <w:t>francos</w:t>
      </w:r>
      <w:r w:rsidRPr="00D44271">
        <w:rPr>
          <w:lang w:val="es-ES"/>
        </w:rPr>
        <w:t xml:space="preserve"> </w:t>
      </w:r>
      <w:r w:rsidRPr="00D44271">
        <w:rPr>
          <w:rStyle w:val="hps"/>
          <w:lang w:val="es-ES"/>
        </w:rPr>
        <w:t>suizos (</w:t>
      </w:r>
      <w:r w:rsidRPr="00D44271">
        <w:rPr>
          <w:lang w:val="es-ES"/>
        </w:rPr>
        <w:t xml:space="preserve">recursos </w:t>
      </w:r>
      <w:r w:rsidRPr="00D44271">
        <w:rPr>
          <w:rStyle w:val="hps"/>
          <w:lang w:val="es-ES"/>
        </w:rPr>
        <w:t>no relativos al personal</w:t>
      </w:r>
      <w:r w:rsidRPr="00D44271">
        <w:rPr>
          <w:lang w:val="es-ES"/>
        </w:rPr>
        <w:t xml:space="preserve">). </w:t>
      </w:r>
    </w:p>
    <w:p w14:paraId="57CF995D" w14:textId="77777777" w:rsidR="00E55A10" w:rsidRPr="00D44271" w:rsidRDefault="00E55A10" w:rsidP="0028072A">
      <w:pPr>
        <w:rPr>
          <w:lang w:val="es-ES"/>
        </w:rPr>
      </w:pPr>
    </w:p>
    <w:p w14:paraId="76D62F6F" w14:textId="1C2F4EFE" w:rsidR="00E55A10" w:rsidRPr="00D44271" w:rsidRDefault="00D865B1" w:rsidP="0028072A">
      <w:pPr>
        <w:rPr>
          <w:lang w:val="es-ES"/>
        </w:rPr>
      </w:pPr>
      <w:r w:rsidRPr="00D44271">
        <w:rPr>
          <w:rStyle w:val="hps"/>
          <w:lang w:val="es-ES"/>
        </w:rPr>
        <w:t>La F</w:t>
      </w:r>
      <w:r w:rsidR="00D16C2E" w:rsidRPr="00D44271">
        <w:rPr>
          <w:rStyle w:val="hps"/>
          <w:lang w:val="es-ES"/>
        </w:rPr>
        <w:t>ase II de</w:t>
      </w:r>
      <w:r w:rsidR="00E55A10" w:rsidRPr="00D44271">
        <w:rPr>
          <w:rStyle w:val="hps"/>
          <w:lang w:val="es-ES"/>
        </w:rPr>
        <w:t>l</w:t>
      </w:r>
      <w:r w:rsidR="00E55A10" w:rsidRPr="00D44271">
        <w:rPr>
          <w:lang w:val="es-ES"/>
        </w:rPr>
        <w:t xml:space="preserve"> </w:t>
      </w:r>
      <w:r w:rsidR="00E55A10" w:rsidRPr="00D44271">
        <w:rPr>
          <w:rStyle w:val="hps"/>
          <w:lang w:val="es-ES"/>
        </w:rPr>
        <w:t>proyecto</w:t>
      </w:r>
      <w:r w:rsidR="00D16C2E" w:rsidRPr="00D44271">
        <w:rPr>
          <w:rStyle w:val="hps"/>
          <w:lang w:val="es-ES"/>
        </w:rPr>
        <w:t xml:space="preserve"> </w:t>
      </w:r>
      <w:r w:rsidR="00067492" w:rsidRPr="00D44271">
        <w:rPr>
          <w:rStyle w:val="hps"/>
          <w:lang w:val="es-ES"/>
        </w:rPr>
        <w:t>siguió a</w:t>
      </w:r>
      <w:r w:rsidR="00E55A10" w:rsidRPr="00D44271">
        <w:rPr>
          <w:rStyle w:val="hps"/>
          <w:lang w:val="es-ES"/>
        </w:rPr>
        <w:t xml:space="preserve"> la</w:t>
      </w:r>
      <w:r w:rsidR="00E55A10" w:rsidRPr="00D44271">
        <w:rPr>
          <w:lang w:val="es-ES"/>
        </w:rPr>
        <w:t xml:space="preserve"> </w:t>
      </w:r>
      <w:r w:rsidR="00E55A10" w:rsidRPr="00D44271">
        <w:rPr>
          <w:rStyle w:val="hps"/>
          <w:lang w:val="es-ES"/>
        </w:rPr>
        <w:t>Fase I del proyecto</w:t>
      </w:r>
      <w:r w:rsidR="00E55A10" w:rsidRPr="00D44271">
        <w:rPr>
          <w:lang w:val="es-ES"/>
        </w:rPr>
        <w:t xml:space="preserve"> </w:t>
      </w:r>
      <w:r w:rsidR="00E55A10" w:rsidRPr="00D44271">
        <w:rPr>
          <w:rStyle w:val="hps"/>
          <w:lang w:val="es-ES"/>
        </w:rPr>
        <w:t xml:space="preserve">de </w:t>
      </w:r>
      <w:r w:rsidR="00067492" w:rsidRPr="00D44271">
        <w:rPr>
          <w:rStyle w:val="hps"/>
          <w:lang w:val="es-ES"/>
        </w:rPr>
        <w:t>C</w:t>
      </w:r>
      <w:r w:rsidR="00E55A10" w:rsidRPr="00D44271">
        <w:rPr>
          <w:rStyle w:val="hps"/>
          <w:lang w:val="es-ES"/>
        </w:rPr>
        <w:t>reación de instrumentos</w:t>
      </w:r>
      <w:r w:rsidR="00E55A10" w:rsidRPr="00D44271">
        <w:rPr>
          <w:lang w:val="es-ES"/>
        </w:rPr>
        <w:t xml:space="preserve"> </w:t>
      </w:r>
      <w:r w:rsidR="00E55A10" w:rsidRPr="00D44271">
        <w:rPr>
          <w:rStyle w:val="hps"/>
          <w:lang w:val="es-ES"/>
        </w:rPr>
        <w:t>para el Acceso</w:t>
      </w:r>
      <w:r w:rsidR="00E55A10" w:rsidRPr="00D44271">
        <w:rPr>
          <w:lang w:val="es-ES"/>
        </w:rPr>
        <w:t xml:space="preserve"> </w:t>
      </w:r>
      <w:r w:rsidR="00E55A10" w:rsidRPr="00D44271">
        <w:rPr>
          <w:rStyle w:val="hps"/>
          <w:lang w:val="es-ES"/>
        </w:rPr>
        <w:t>a la Información</w:t>
      </w:r>
      <w:r w:rsidR="00E55A10" w:rsidRPr="00D44271">
        <w:rPr>
          <w:lang w:val="es-ES"/>
        </w:rPr>
        <w:t xml:space="preserve"> </w:t>
      </w:r>
      <w:r w:rsidR="00E55A10" w:rsidRPr="00D44271">
        <w:rPr>
          <w:rStyle w:val="hps"/>
          <w:lang w:val="es-ES"/>
        </w:rPr>
        <w:t>de Patentes (</w:t>
      </w:r>
      <w:r w:rsidR="00E55A10" w:rsidRPr="00D44271">
        <w:rPr>
          <w:lang w:val="es-ES"/>
        </w:rPr>
        <w:t>CDIP</w:t>
      </w:r>
      <w:r w:rsidR="00E55A10" w:rsidRPr="00D44271">
        <w:rPr>
          <w:rStyle w:val="hps"/>
          <w:lang w:val="es-ES"/>
        </w:rPr>
        <w:t>/4</w:t>
      </w:r>
      <w:r w:rsidR="00E55A10" w:rsidRPr="00D44271">
        <w:rPr>
          <w:lang w:val="es-ES"/>
        </w:rPr>
        <w:t xml:space="preserve">/6, </w:t>
      </w:r>
      <w:r w:rsidR="00E55A10" w:rsidRPr="00D44271">
        <w:rPr>
          <w:rStyle w:val="hps"/>
          <w:lang w:val="es-ES"/>
        </w:rPr>
        <w:t>CDIP/6/2)</w:t>
      </w:r>
      <w:r w:rsidR="00E55A10" w:rsidRPr="00D44271">
        <w:rPr>
          <w:lang w:val="es-ES"/>
        </w:rPr>
        <w:t xml:space="preserve">. </w:t>
      </w:r>
      <w:r w:rsidR="00137292">
        <w:rPr>
          <w:lang w:val="es-ES"/>
        </w:rPr>
        <w:t xml:space="preserve"> </w:t>
      </w:r>
      <w:r w:rsidR="00E55A10" w:rsidRPr="00D44271">
        <w:rPr>
          <w:rStyle w:val="hps"/>
          <w:lang w:val="es-ES"/>
        </w:rPr>
        <w:t>Durante la</w:t>
      </w:r>
      <w:r w:rsidR="00E55A10" w:rsidRPr="00D44271">
        <w:rPr>
          <w:lang w:val="es-ES"/>
        </w:rPr>
        <w:t xml:space="preserve"> </w:t>
      </w:r>
      <w:r w:rsidR="00E55A10" w:rsidRPr="00D44271">
        <w:rPr>
          <w:rStyle w:val="hps"/>
          <w:lang w:val="es-ES"/>
        </w:rPr>
        <w:t>Fase I del proyecto</w:t>
      </w:r>
      <w:r w:rsidR="00E55A10" w:rsidRPr="00D44271">
        <w:rPr>
          <w:lang w:val="es-ES"/>
        </w:rPr>
        <w:t xml:space="preserve">, </w:t>
      </w:r>
      <w:r w:rsidR="00D16C2E" w:rsidRPr="00D44271">
        <w:rPr>
          <w:lang w:val="es-ES"/>
        </w:rPr>
        <w:t>se</w:t>
      </w:r>
      <w:r w:rsidR="00137292">
        <w:rPr>
          <w:lang w:val="es-ES"/>
        </w:rPr>
        <w:t xml:space="preserve"> </w:t>
      </w:r>
      <w:r w:rsidR="00D16C2E" w:rsidRPr="00D44271">
        <w:rPr>
          <w:lang w:val="es-ES"/>
        </w:rPr>
        <w:t xml:space="preserve"> redactaron </w:t>
      </w:r>
      <w:r w:rsidR="00E55A10" w:rsidRPr="00D44271">
        <w:rPr>
          <w:rStyle w:val="hps"/>
          <w:lang w:val="es-ES"/>
        </w:rPr>
        <w:t xml:space="preserve">9 </w:t>
      </w:r>
      <w:r w:rsidR="00D16C2E" w:rsidRPr="00D44271">
        <w:rPr>
          <w:rStyle w:val="hps"/>
          <w:lang w:val="es-ES"/>
        </w:rPr>
        <w:t xml:space="preserve">informes de análisis de la actividad de </w:t>
      </w:r>
      <w:proofErr w:type="spellStart"/>
      <w:r w:rsidR="00D16C2E" w:rsidRPr="00D44271">
        <w:rPr>
          <w:rStyle w:val="hps"/>
          <w:lang w:val="es-ES"/>
        </w:rPr>
        <w:t>patentamiento</w:t>
      </w:r>
      <w:proofErr w:type="spellEnd"/>
      <w:r w:rsidR="00D16C2E" w:rsidRPr="00D44271">
        <w:rPr>
          <w:rStyle w:val="hps"/>
          <w:lang w:val="es-ES"/>
        </w:rPr>
        <w:t xml:space="preserve"> (informes PLR)</w:t>
      </w:r>
      <w:r w:rsidR="00E55A10" w:rsidRPr="00D44271">
        <w:rPr>
          <w:lang w:val="es-ES"/>
        </w:rPr>
        <w:t xml:space="preserve"> </w:t>
      </w:r>
      <w:r w:rsidR="00E55A10" w:rsidRPr="00D44271">
        <w:rPr>
          <w:rStyle w:val="hps"/>
          <w:lang w:val="es-ES"/>
        </w:rPr>
        <w:t>en las áreas de</w:t>
      </w:r>
      <w:r w:rsidR="00E55A10" w:rsidRPr="00D44271">
        <w:rPr>
          <w:lang w:val="es-ES"/>
        </w:rPr>
        <w:t xml:space="preserve"> </w:t>
      </w:r>
      <w:r w:rsidR="00E55A10" w:rsidRPr="00D44271">
        <w:rPr>
          <w:rStyle w:val="hps"/>
          <w:lang w:val="es-ES"/>
        </w:rPr>
        <w:t>salud pública, alimentación y agricultura</w:t>
      </w:r>
      <w:r w:rsidR="00E55A10" w:rsidRPr="00D44271">
        <w:rPr>
          <w:lang w:val="es-ES"/>
        </w:rPr>
        <w:t xml:space="preserve">, </w:t>
      </w:r>
      <w:r w:rsidR="00E55A10" w:rsidRPr="00D44271">
        <w:rPr>
          <w:rStyle w:val="hps"/>
          <w:lang w:val="es-ES"/>
        </w:rPr>
        <w:t>energía</w:t>
      </w:r>
      <w:r w:rsidR="00E55A10" w:rsidRPr="00D44271">
        <w:rPr>
          <w:lang w:val="es-ES"/>
        </w:rPr>
        <w:t xml:space="preserve"> </w:t>
      </w:r>
      <w:r w:rsidR="00E55A10" w:rsidRPr="00D44271">
        <w:rPr>
          <w:rStyle w:val="hps"/>
          <w:lang w:val="es-ES"/>
        </w:rPr>
        <w:t>y medio ambiente</w:t>
      </w:r>
      <w:r w:rsidR="00E55A10" w:rsidRPr="00D44271">
        <w:rPr>
          <w:lang w:val="es-ES"/>
        </w:rPr>
        <w:t xml:space="preserve">. </w:t>
      </w:r>
      <w:r w:rsidR="00067492" w:rsidRPr="00D44271">
        <w:rPr>
          <w:lang w:val="es-ES"/>
        </w:rPr>
        <w:t xml:space="preserve"> </w:t>
      </w:r>
      <w:r w:rsidR="00BC027B" w:rsidRPr="00D44271">
        <w:rPr>
          <w:rStyle w:val="hps"/>
          <w:lang w:val="es-ES"/>
        </w:rPr>
        <w:t>En</w:t>
      </w:r>
      <w:r w:rsidR="00E55A10" w:rsidRPr="00D44271">
        <w:rPr>
          <w:rStyle w:val="hps"/>
          <w:lang w:val="es-ES"/>
        </w:rPr>
        <w:t xml:space="preserve"> septiembre de</w:t>
      </w:r>
      <w:r w:rsidR="00E55A10" w:rsidRPr="00D44271">
        <w:rPr>
          <w:lang w:val="es-ES"/>
        </w:rPr>
        <w:t xml:space="preserve"> </w:t>
      </w:r>
      <w:r w:rsidR="00E55A10" w:rsidRPr="00D44271">
        <w:rPr>
          <w:rStyle w:val="hps"/>
          <w:lang w:val="es-ES"/>
        </w:rPr>
        <w:t>2012, cuando</w:t>
      </w:r>
      <w:r w:rsidR="00E55A10" w:rsidRPr="00D44271">
        <w:rPr>
          <w:lang w:val="es-ES"/>
        </w:rPr>
        <w:t xml:space="preserve"> </w:t>
      </w:r>
      <w:r w:rsidR="00E55A10" w:rsidRPr="00D44271">
        <w:rPr>
          <w:rStyle w:val="hps"/>
          <w:lang w:val="es-ES"/>
        </w:rPr>
        <w:t xml:space="preserve">se </w:t>
      </w:r>
      <w:r w:rsidR="00BC027B" w:rsidRPr="00D44271">
        <w:rPr>
          <w:rStyle w:val="hps"/>
          <w:lang w:val="es-ES"/>
        </w:rPr>
        <w:t>llevó a cabo la evaluación del</w:t>
      </w:r>
      <w:r w:rsidR="00E55A10" w:rsidRPr="00D44271">
        <w:rPr>
          <w:rStyle w:val="hps"/>
          <w:lang w:val="es-ES"/>
        </w:rPr>
        <w:t xml:space="preserve"> proyecto</w:t>
      </w:r>
      <w:r w:rsidR="00E55A10" w:rsidRPr="00D44271">
        <w:rPr>
          <w:lang w:val="es-ES"/>
        </w:rPr>
        <w:t xml:space="preserve">, </w:t>
      </w:r>
      <w:r w:rsidR="00E55A10" w:rsidRPr="00D44271">
        <w:rPr>
          <w:rStyle w:val="hps"/>
          <w:lang w:val="es-ES"/>
        </w:rPr>
        <w:t>otros tres</w:t>
      </w:r>
      <w:r w:rsidR="00E55A10" w:rsidRPr="00D44271">
        <w:rPr>
          <w:lang w:val="es-ES"/>
        </w:rPr>
        <w:t xml:space="preserve"> </w:t>
      </w:r>
      <w:r w:rsidR="00892C3E" w:rsidRPr="00D44271">
        <w:rPr>
          <w:lang w:val="es-ES"/>
        </w:rPr>
        <w:t xml:space="preserve">informes </w:t>
      </w:r>
      <w:r w:rsidR="00E55A10" w:rsidRPr="00D44271">
        <w:rPr>
          <w:rStyle w:val="hps"/>
          <w:lang w:val="es-ES"/>
        </w:rPr>
        <w:t>PLR</w:t>
      </w:r>
      <w:r w:rsidR="00892C3E" w:rsidRPr="00D44271">
        <w:rPr>
          <w:rStyle w:val="hps"/>
          <w:lang w:val="es-ES"/>
        </w:rPr>
        <w:t xml:space="preserve"> </w:t>
      </w:r>
      <w:r w:rsidR="00BC027B" w:rsidRPr="00D44271">
        <w:rPr>
          <w:rStyle w:val="hps"/>
          <w:lang w:val="es-ES"/>
        </w:rPr>
        <w:t xml:space="preserve">se encontraban bien </w:t>
      </w:r>
      <w:r w:rsidR="00892C3E" w:rsidRPr="00D44271">
        <w:rPr>
          <w:rStyle w:val="hps"/>
          <w:lang w:val="es-ES"/>
        </w:rPr>
        <w:t xml:space="preserve">en </w:t>
      </w:r>
      <w:r w:rsidR="00BC027B" w:rsidRPr="00D44271">
        <w:rPr>
          <w:rStyle w:val="hps"/>
          <w:lang w:val="es-ES"/>
        </w:rPr>
        <w:t>fase</w:t>
      </w:r>
      <w:r w:rsidR="00892C3E" w:rsidRPr="00D44271">
        <w:rPr>
          <w:rStyle w:val="hps"/>
          <w:lang w:val="es-ES"/>
        </w:rPr>
        <w:t xml:space="preserve"> de preparación del mandato</w:t>
      </w:r>
      <w:r w:rsidR="00BC027B" w:rsidRPr="00D44271">
        <w:rPr>
          <w:rStyle w:val="hps"/>
          <w:lang w:val="es-ES"/>
        </w:rPr>
        <w:t>, bien</w:t>
      </w:r>
      <w:r w:rsidR="00892C3E" w:rsidRPr="00D44271">
        <w:rPr>
          <w:rStyle w:val="hps"/>
          <w:lang w:val="es-ES"/>
        </w:rPr>
        <w:t xml:space="preserve"> en </w:t>
      </w:r>
      <w:r w:rsidR="00BC027B" w:rsidRPr="00D44271">
        <w:rPr>
          <w:rStyle w:val="hps"/>
          <w:lang w:val="es-ES"/>
        </w:rPr>
        <w:t xml:space="preserve">fase </w:t>
      </w:r>
      <w:r w:rsidR="00892C3E" w:rsidRPr="00D44271">
        <w:rPr>
          <w:rStyle w:val="hps"/>
          <w:lang w:val="es-ES"/>
        </w:rPr>
        <w:t xml:space="preserve">de </w:t>
      </w:r>
      <w:r w:rsidR="00BC027B" w:rsidRPr="00D44271">
        <w:rPr>
          <w:rStyle w:val="hps"/>
          <w:lang w:val="es-ES"/>
        </w:rPr>
        <w:t>contratación</w:t>
      </w:r>
      <w:r w:rsidR="00E55A10" w:rsidRPr="00D44271">
        <w:rPr>
          <w:rStyle w:val="hps"/>
          <w:lang w:val="es-ES"/>
        </w:rPr>
        <w:t>.</w:t>
      </w:r>
      <w:r w:rsidR="00E55A10" w:rsidRPr="00D44271">
        <w:rPr>
          <w:lang w:val="es-ES"/>
        </w:rPr>
        <w:t xml:space="preserve"> </w:t>
      </w:r>
      <w:r w:rsidR="00067492" w:rsidRPr="00D44271">
        <w:rPr>
          <w:lang w:val="es-ES"/>
        </w:rPr>
        <w:t xml:space="preserve"> </w:t>
      </w:r>
      <w:r w:rsidR="00892C3E" w:rsidRPr="00D44271">
        <w:rPr>
          <w:lang w:val="es-ES"/>
        </w:rPr>
        <w:t>Una de las tareas de</w:t>
      </w:r>
      <w:r w:rsidR="00E55A10" w:rsidRPr="00D44271">
        <w:rPr>
          <w:rStyle w:val="hps"/>
          <w:lang w:val="es-ES"/>
        </w:rPr>
        <w:t xml:space="preserve">l proyecto </w:t>
      </w:r>
      <w:r w:rsidR="00892C3E" w:rsidRPr="00D44271">
        <w:rPr>
          <w:rStyle w:val="hps"/>
          <w:lang w:val="es-ES"/>
        </w:rPr>
        <w:t>era e</w:t>
      </w:r>
      <w:r w:rsidR="00E55A10" w:rsidRPr="00D44271">
        <w:rPr>
          <w:rStyle w:val="hps"/>
          <w:lang w:val="es-ES"/>
        </w:rPr>
        <w:t>l desarrollo</w:t>
      </w:r>
      <w:r w:rsidR="00E55A10" w:rsidRPr="00D44271">
        <w:rPr>
          <w:lang w:val="es-ES"/>
        </w:rPr>
        <w:t xml:space="preserve"> </w:t>
      </w:r>
      <w:r w:rsidR="00E55A10" w:rsidRPr="00D44271">
        <w:rPr>
          <w:rStyle w:val="hps"/>
          <w:lang w:val="es-ES"/>
        </w:rPr>
        <w:t>de</w:t>
      </w:r>
      <w:r w:rsidR="00E55A10" w:rsidRPr="00D44271">
        <w:rPr>
          <w:lang w:val="es-ES"/>
        </w:rPr>
        <w:t xml:space="preserve"> </w:t>
      </w:r>
      <w:r w:rsidR="00E55A10" w:rsidRPr="00D44271">
        <w:rPr>
          <w:rStyle w:val="hps"/>
          <w:lang w:val="es-ES"/>
        </w:rPr>
        <w:t>una</w:t>
      </w:r>
      <w:r w:rsidR="00E55A10" w:rsidRPr="00D44271">
        <w:rPr>
          <w:lang w:val="es-ES"/>
        </w:rPr>
        <w:t xml:space="preserve"> </w:t>
      </w:r>
      <w:r w:rsidR="00E55A10" w:rsidRPr="00D44271">
        <w:rPr>
          <w:rStyle w:val="hps"/>
          <w:lang w:val="es-ES"/>
        </w:rPr>
        <w:t>guía</w:t>
      </w:r>
      <w:r w:rsidR="00892C3E" w:rsidRPr="00D44271">
        <w:rPr>
          <w:rStyle w:val="hps"/>
          <w:lang w:val="es-ES"/>
        </w:rPr>
        <w:t xml:space="preserve"> didáctica</w:t>
      </w:r>
      <w:r w:rsidR="00E55A10" w:rsidRPr="00D44271">
        <w:rPr>
          <w:rStyle w:val="hps"/>
          <w:lang w:val="es-ES"/>
        </w:rPr>
        <w:t xml:space="preserve"> electrónica</w:t>
      </w:r>
      <w:r w:rsidR="00E55A10" w:rsidRPr="00D44271">
        <w:rPr>
          <w:lang w:val="es-ES"/>
        </w:rPr>
        <w:t xml:space="preserve">, </w:t>
      </w:r>
      <w:r w:rsidR="00E55A10" w:rsidRPr="00D44271">
        <w:rPr>
          <w:rStyle w:val="hps"/>
          <w:lang w:val="es-ES"/>
        </w:rPr>
        <w:t xml:space="preserve">y </w:t>
      </w:r>
      <w:r w:rsidR="00892C3E" w:rsidRPr="00D44271">
        <w:rPr>
          <w:rStyle w:val="hps"/>
          <w:lang w:val="es-ES"/>
        </w:rPr>
        <w:t xml:space="preserve">otra </w:t>
      </w:r>
      <w:r w:rsidR="00E55A10" w:rsidRPr="00D44271">
        <w:rPr>
          <w:rStyle w:val="hps"/>
          <w:lang w:val="es-ES"/>
        </w:rPr>
        <w:t>la participación en</w:t>
      </w:r>
      <w:r w:rsidR="00E55A10" w:rsidRPr="00D44271">
        <w:rPr>
          <w:lang w:val="es-ES"/>
        </w:rPr>
        <w:t xml:space="preserve"> </w:t>
      </w:r>
      <w:r w:rsidR="00892C3E" w:rsidRPr="00D44271">
        <w:rPr>
          <w:lang w:val="es-ES"/>
        </w:rPr>
        <w:t xml:space="preserve">cinco </w:t>
      </w:r>
      <w:r w:rsidR="00E55A10" w:rsidRPr="00D44271">
        <w:rPr>
          <w:rStyle w:val="hps"/>
          <w:lang w:val="es-ES"/>
        </w:rPr>
        <w:t xml:space="preserve">conferencias regionales </w:t>
      </w:r>
      <w:r w:rsidRPr="00D44271">
        <w:rPr>
          <w:rStyle w:val="hps"/>
          <w:lang w:val="es-ES"/>
        </w:rPr>
        <w:t>destinadas a</w:t>
      </w:r>
      <w:r w:rsidR="00E55A10" w:rsidRPr="00D44271">
        <w:rPr>
          <w:rStyle w:val="hps"/>
          <w:lang w:val="es-ES"/>
        </w:rPr>
        <w:t xml:space="preserve"> promover</w:t>
      </w:r>
      <w:r w:rsidR="00E55A10" w:rsidRPr="00D44271">
        <w:rPr>
          <w:lang w:val="es-ES"/>
        </w:rPr>
        <w:t xml:space="preserve"> </w:t>
      </w:r>
      <w:r w:rsidR="000200D2" w:rsidRPr="00D44271">
        <w:rPr>
          <w:lang w:val="es-ES"/>
        </w:rPr>
        <w:t>l</w:t>
      </w:r>
      <w:r w:rsidR="00E55A10" w:rsidRPr="00D44271">
        <w:rPr>
          <w:rStyle w:val="hps"/>
          <w:lang w:val="es-ES"/>
        </w:rPr>
        <w:t>os Centros</w:t>
      </w:r>
      <w:r w:rsidR="00E55A10" w:rsidRPr="00D44271">
        <w:rPr>
          <w:lang w:val="es-ES"/>
        </w:rPr>
        <w:t xml:space="preserve"> </w:t>
      </w:r>
      <w:r w:rsidR="00E55A10" w:rsidRPr="00D44271">
        <w:rPr>
          <w:rStyle w:val="hps"/>
          <w:lang w:val="es-ES"/>
        </w:rPr>
        <w:t xml:space="preserve">de Apoyo </w:t>
      </w:r>
      <w:r w:rsidR="000200D2" w:rsidRPr="00D44271">
        <w:rPr>
          <w:rStyle w:val="hps"/>
          <w:lang w:val="es-ES"/>
        </w:rPr>
        <w:t xml:space="preserve">a la Tecnología y la Innovación </w:t>
      </w:r>
      <w:r w:rsidR="00E55A10" w:rsidRPr="00D44271">
        <w:rPr>
          <w:rStyle w:val="hps"/>
          <w:lang w:val="es-ES"/>
        </w:rPr>
        <w:t>(</w:t>
      </w:r>
      <w:r w:rsidR="00E55A10" w:rsidRPr="00D44271">
        <w:rPr>
          <w:lang w:val="es-ES"/>
        </w:rPr>
        <w:t xml:space="preserve">CATI). </w:t>
      </w:r>
      <w:r w:rsidR="000200D2" w:rsidRPr="00D44271">
        <w:rPr>
          <w:rStyle w:val="hps"/>
          <w:lang w:val="es-ES"/>
        </w:rPr>
        <w:t xml:space="preserve"> L</w:t>
      </w:r>
      <w:r w:rsidR="00E55A10" w:rsidRPr="00D44271">
        <w:rPr>
          <w:rStyle w:val="hps"/>
          <w:lang w:val="es-ES"/>
        </w:rPr>
        <w:t>a División</w:t>
      </w:r>
      <w:r w:rsidR="00E55A10" w:rsidRPr="00D44271">
        <w:rPr>
          <w:lang w:val="es-ES"/>
        </w:rPr>
        <w:t xml:space="preserve"> </w:t>
      </w:r>
      <w:r w:rsidR="00E55A10" w:rsidRPr="00D44271">
        <w:rPr>
          <w:rStyle w:val="hps"/>
          <w:lang w:val="es-ES"/>
        </w:rPr>
        <w:t>de Auditoría y Supervisión</w:t>
      </w:r>
      <w:r w:rsidR="00E55A10" w:rsidRPr="00D44271">
        <w:rPr>
          <w:lang w:val="es-ES"/>
        </w:rPr>
        <w:t xml:space="preserve"> </w:t>
      </w:r>
      <w:r w:rsidR="00E55A10" w:rsidRPr="00D44271">
        <w:rPr>
          <w:rStyle w:val="hps"/>
          <w:lang w:val="es-ES"/>
        </w:rPr>
        <w:t>Internas</w:t>
      </w:r>
      <w:r w:rsidR="00E55A10" w:rsidRPr="00D44271">
        <w:rPr>
          <w:lang w:val="es-ES"/>
        </w:rPr>
        <w:t xml:space="preserve"> </w:t>
      </w:r>
      <w:r w:rsidR="00E55A10" w:rsidRPr="00D44271">
        <w:rPr>
          <w:rStyle w:val="hps"/>
          <w:lang w:val="es-ES"/>
        </w:rPr>
        <w:t>de la OMPI</w:t>
      </w:r>
      <w:r w:rsidR="00E55A10" w:rsidRPr="00D44271">
        <w:rPr>
          <w:lang w:val="es-ES"/>
        </w:rPr>
        <w:t xml:space="preserve"> </w:t>
      </w:r>
      <w:r w:rsidRPr="00D44271">
        <w:rPr>
          <w:lang w:val="es-ES"/>
        </w:rPr>
        <w:t>efectuó la evaluación de la F</w:t>
      </w:r>
      <w:r w:rsidR="000200D2" w:rsidRPr="00D44271">
        <w:rPr>
          <w:lang w:val="es-ES"/>
        </w:rPr>
        <w:t xml:space="preserve">ase I </w:t>
      </w:r>
      <w:r w:rsidR="00E55A10" w:rsidRPr="00D44271">
        <w:rPr>
          <w:rStyle w:val="hps"/>
          <w:lang w:val="es-ES"/>
        </w:rPr>
        <w:t>(</w:t>
      </w:r>
      <w:r w:rsidR="000200D2" w:rsidRPr="00D44271">
        <w:rPr>
          <w:rStyle w:val="hps"/>
          <w:lang w:val="es-ES"/>
        </w:rPr>
        <w:t xml:space="preserve">documento </w:t>
      </w:r>
      <w:r w:rsidR="00E55A10" w:rsidRPr="00D44271">
        <w:rPr>
          <w:lang w:val="es-ES"/>
        </w:rPr>
        <w:t>CDIP</w:t>
      </w:r>
      <w:r w:rsidR="00E55A10" w:rsidRPr="00D44271">
        <w:rPr>
          <w:rStyle w:val="hps"/>
          <w:lang w:val="es-ES"/>
        </w:rPr>
        <w:t>/10/6</w:t>
      </w:r>
      <w:r w:rsidR="00E55A10" w:rsidRPr="00D44271">
        <w:rPr>
          <w:lang w:val="es-ES"/>
        </w:rPr>
        <w:t>).</w:t>
      </w:r>
    </w:p>
    <w:p w14:paraId="569E9DF4" w14:textId="77777777" w:rsidR="00E55A10" w:rsidRPr="00D44271" w:rsidRDefault="00E55A10" w:rsidP="0028072A">
      <w:pPr>
        <w:rPr>
          <w:lang w:val="es-ES"/>
        </w:rPr>
      </w:pPr>
    </w:p>
    <w:p w14:paraId="229CD608" w14:textId="652C5F3E" w:rsidR="0028072A" w:rsidRPr="00D44271" w:rsidRDefault="00E55A10" w:rsidP="0028072A">
      <w:pPr>
        <w:rPr>
          <w:lang w:val="es-ES"/>
        </w:rPr>
      </w:pPr>
      <w:r w:rsidRPr="00D44271">
        <w:rPr>
          <w:rStyle w:val="hps"/>
          <w:lang w:val="es-ES"/>
        </w:rPr>
        <w:t>La</w:t>
      </w:r>
      <w:r w:rsidRPr="00D44271">
        <w:rPr>
          <w:lang w:val="es-ES"/>
        </w:rPr>
        <w:t xml:space="preserve"> </w:t>
      </w:r>
      <w:r w:rsidRPr="00D44271">
        <w:rPr>
          <w:rStyle w:val="hps"/>
          <w:lang w:val="es-ES"/>
        </w:rPr>
        <w:t>Fase II del proyecto</w:t>
      </w:r>
      <w:r w:rsidRPr="00D44271">
        <w:rPr>
          <w:lang w:val="es-ES"/>
        </w:rPr>
        <w:t xml:space="preserve"> </w:t>
      </w:r>
      <w:r w:rsidR="000200D2" w:rsidRPr="00D44271">
        <w:rPr>
          <w:lang w:val="es-ES"/>
        </w:rPr>
        <w:t>estuvo a cargo de l</w:t>
      </w:r>
      <w:r w:rsidRPr="00D44271">
        <w:rPr>
          <w:rStyle w:val="hps"/>
          <w:lang w:val="es-ES"/>
        </w:rPr>
        <w:t>a Sección de Información</w:t>
      </w:r>
      <w:r w:rsidRPr="00D44271">
        <w:rPr>
          <w:lang w:val="es-ES"/>
        </w:rPr>
        <w:t xml:space="preserve"> </w:t>
      </w:r>
      <w:r w:rsidRPr="00D44271">
        <w:rPr>
          <w:rStyle w:val="hps"/>
          <w:lang w:val="es-ES"/>
        </w:rPr>
        <w:t>de Patentes</w:t>
      </w:r>
      <w:r w:rsidR="000200D2" w:rsidRPr="00D44271">
        <w:rPr>
          <w:rStyle w:val="hps"/>
          <w:lang w:val="es-ES"/>
        </w:rPr>
        <w:t>,</w:t>
      </w:r>
      <w:r w:rsidRPr="00D44271">
        <w:rPr>
          <w:rStyle w:val="hps"/>
          <w:lang w:val="es-ES"/>
        </w:rPr>
        <w:t xml:space="preserve"> de la</w:t>
      </w:r>
      <w:r w:rsidRPr="00D44271">
        <w:rPr>
          <w:lang w:val="es-ES"/>
        </w:rPr>
        <w:t xml:space="preserve"> </w:t>
      </w:r>
      <w:r w:rsidRPr="00D44271">
        <w:rPr>
          <w:rStyle w:val="hps"/>
          <w:lang w:val="es-ES"/>
        </w:rPr>
        <w:t>División de</w:t>
      </w:r>
      <w:r w:rsidRPr="00D44271">
        <w:rPr>
          <w:lang w:val="es-ES"/>
        </w:rPr>
        <w:t xml:space="preserve"> </w:t>
      </w:r>
      <w:r w:rsidRPr="00D44271">
        <w:rPr>
          <w:rStyle w:val="hps"/>
          <w:lang w:val="es-ES"/>
        </w:rPr>
        <w:t>Acceso a la</w:t>
      </w:r>
      <w:r w:rsidRPr="00D44271">
        <w:rPr>
          <w:lang w:val="es-ES"/>
        </w:rPr>
        <w:t xml:space="preserve"> </w:t>
      </w:r>
      <w:r w:rsidR="000200D2" w:rsidRPr="00D44271">
        <w:rPr>
          <w:rStyle w:val="hps"/>
          <w:lang w:val="es-ES"/>
        </w:rPr>
        <w:t>Información y a</w:t>
      </w:r>
      <w:r w:rsidRPr="00D44271">
        <w:rPr>
          <w:rStyle w:val="hps"/>
          <w:lang w:val="es-ES"/>
        </w:rPr>
        <w:t>l Conocimiento</w:t>
      </w:r>
      <w:r w:rsidRPr="00D44271">
        <w:rPr>
          <w:lang w:val="es-ES"/>
        </w:rPr>
        <w:t xml:space="preserve"> </w:t>
      </w:r>
      <w:r w:rsidRPr="00D44271">
        <w:rPr>
          <w:rStyle w:val="hps"/>
          <w:lang w:val="es-ES"/>
        </w:rPr>
        <w:t xml:space="preserve">en el Sector </w:t>
      </w:r>
      <w:r w:rsidR="000200D2" w:rsidRPr="00D44271">
        <w:rPr>
          <w:rStyle w:val="hps"/>
          <w:lang w:val="es-ES"/>
        </w:rPr>
        <w:t xml:space="preserve">de la OMPI </w:t>
      </w:r>
      <w:r w:rsidRPr="00D44271">
        <w:rPr>
          <w:rStyle w:val="hps"/>
          <w:lang w:val="es-ES"/>
        </w:rPr>
        <w:t>de</w:t>
      </w:r>
      <w:r w:rsidRPr="00D44271">
        <w:rPr>
          <w:lang w:val="es-ES"/>
        </w:rPr>
        <w:t xml:space="preserve"> </w:t>
      </w:r>
      <w:r w:rsidRPr="00D44271">
        <w:rPr>
          <w:rStyle w:val="hps"/>
          <w:lang w:val="es-ES"/>
        </w:rPr>
        <w:t>la Infraestructura Mundial</w:t>
      </w:r>
      <w:r w:rsidRPr="00D44271">
        <w:rPr>
          <w:lang w:val="es-ES"/>
        </w:rPr>
        <w:t xml:space="preserve">. </w:t>
      </w:r>
      <w:r w:rsidR="00137292">
        <w:rPr>
          <w:lang w:val="es-ES"/>
        </w:rPr>
        <w:t xml:space="preserve"> </w:t>
      </w:r>
      <w:r w:rsidR="00F56F34" w:rsidRPr="00D44271">
        <w:rPr>
          <w:lang w:val="es-ES"/>
        </w:rPr>
        <w:t xml:space="preserve">Esta segunda fase </w:t>
      </w:r>
      <w:r w:rsidRPr="00D44271">
        <w:rPr>
          <w:rStyle w:val="hps"/>
          <w:lang w:val="es-ES"/>
        </w:rPr>
        <w:t>se centró en</w:t>
      </w:r>
      <w:r w:rsidRPr="00D44271">
        <w:rPr>
          <w:lang w:val="es-ES"/>
        </w:rPr>
        <w:t xml:space="preserve"> </w:t>
      </w:r>
      <w:r w:rsidR="00D65779" w:rsidRPr="00D44271">
        <w:rPr>
          <w:lang w:val="es-ES"/>
        </w:rPr>
        <w:t>la redacción de nuevos informes</w:t>
      </w:r>
      <w:r w:rsidRPr="00D44271">
        <w:rPr>
          <w:lang w:val="es-ES"/>
        </w:rPr>
        <w:t xml:space="preserve"> </w:t>
      </w:r>
      <w:r w:rsidRPr="00D44271">
        <w:rPr>
          <w:rStyle w:val="hps"/>
          <w:lang w:val="es-ES"/>
        </w:rPr>
        <w:t>PLR</w:t>
      </w:r>
      <w:r w:rsidRPr="00D44271">
        <w:rPr>
          <w:lang w:val="es-ES"/>
        </w:rPr>
        <w:t xml:space="preserve"> </w:t>
      </w:r>
      <w:r w:rsidRPr="00D44271">
        <w:rPr>
          <w:rStyle w:val="hps"/>
          <w:lang w:val="es-ES"/>
        </w:rPr>
        <w:t>y otras herramientas</w:t>
      </w:r>
      <w:r w:rsidRPr="00D44271">
        <w:rPr>
          <w:lang w:val="es-ES"/>
        </w:rPr>
        <w:t xml:space="preserve"> </w:t>
      </w:r>
      <w:r w:rsidRPr="00D44271">
        <w:rPr>
          <w:rStyle w:val="hps"/>
          <w:lang w:val="es-ES"/>
        </w:rPr>
        <w:t>y actividades</w:t>
      </w:r>
      <w:r w:rsidRPr="00D44271">
        <w:rPr>
          <w:lang w:val="es-ES"/>
        </w:rPr>
        <w:t xml:space="preserve"> </w:t>
      </w:r>
      <w:r w:rsidRPr="00D44271">
        <w:rPr>
          <w:rStyle w:val="hps"/>
          <w:lang w:val="es-ES"/>
        </w:rPr>
        <w:t>de desarrollo de capacidad</w:t>
      </w:r>
      <w:r w:rsidR="00137292">
        <w:rPr>
          <w:rStyle w:val="hps"/>
          <w:lang w:val="es-ES"/>
        </w:rPr>
        <w:t>es</w:t>
      </w:r>
      <w:r w:rsidR="00D65779" w:rsidRPr="00D44271">
        <w:rPr>
          <w:rStyle w:val="hps"/>
          <w:lang w:val="es-ES"/>
        </w:rPr>
        <w:t xml:space="preserve"> destinadas</w:t>
      </w:r>
      <w:r w:rsidRPr="00D44271">
        <w:rPr>
          <w:lang w:val="es-ES"/>
        </w:rPr>
        <w:t xml:space="preserve"> </w:t>
      </w:r>
      <w:r w:rsidRPr="00D44271">
        <w:rPr>
          <w:rStyle w:val="hps"/>
          <w:lang w:val="es-ES"/>
        </w:rPr>
        <w:t xml:space="preserve">a </w:t>
      </w:r>
      <w:r w:rsidR="00137292">
        <w:rPr>
          <w:rStyle w:val="hps"/>
          <w:lang w:val="es-ES"/>
        </w:rPr>
        <w:t>fomentar</w:t>
      </w:r>
      <w:r w:rsidRPr="00D44271">
        <w:rPr>
          <w:lang w:val="es-ES"/>
        </w:rPr>
        <w:t xml:space="preserve"> </w:t>
      </w:r>
      <w:r w:rsidRPr="00D44271">
        <w:rPr>
          <w:rStyle w:val="hps"/>
          <w:lang w:val="es-ES"/>
        </w:rPr>
        <w:t>el acceso a</w:t>
      </w:r>
      <w:r w:rsidRPr="00D44271">
        <w:rPr>
          <w:lang w:val="es-ES"/>
        </w:rPr>
        <w:t xml:space="preserve"> </w:t>
      </w:r>
      <w:r w:rsidRPr="00D44271">
        <w:rPr>
          <w:rStyle w:val="hps"/>
          <w:lang w:val="es-ES"/>
        </w:rPr>
        <w:t xml:space="preserve">la </w:t>
      </w:r>
      <w:r w:rsidRPr="00D44271">
        <w:rPr>
          <w:rStyle w:val="hps"/>
          <w:lang w:val="es-ES"/>
        </w:rPr>
        <w:lastRenderedPageBreak/>
        <w:t xml:space="preserve">información </w:t>
      </w:r>
      <w:r w:rsidR="00D65779" w:rsidRPr="00D44271">
        <w:rPr>
          <w:rStyle w:val="hps"/>
          <w:lang w:val="es-ES"/>
        </w:rPr>
        <w:t>contenida en</w:t>
      </w:r>
      <w:r w:rsidRPr="00D44271">
        <w:rPr>
          <w:rStyle w:val="hps"/>
          <w:lang w:val="es-ES"/>
        </w:rPr>
        <w:t xml:space="preserve"> patentes</w:t>
      </w:r>
      <w:r w:rsidRPr="00D44271">
        <w:rPr>
          <w:lang w:val="es-ES"/>
        </w:rPr>
        <w:t xml:space="preserve">, </w:t>
      </w:r>
      <w:r w:rsidRPr="00D44271">
        <w:rPr>
          <w:rStyle w:val="hps"/>
          <w:lang w:val="es-ES"/>
        </w:rPr>
        <w:t xml:space="preserve">a saber, </w:t>
      </w:r>
      <w:r w:rsidR="00D65779" w:rsidRPr="00D44271">
        <w:rPr>
          <w:rStyle w:val="hps"/>
          <w:lang w:val="es-ES"/>
        </w:rPr>
        <w:t>la preparación de prácticas óptimas para la redacción de informes</w:t>
      </w:r>
      <w:r w:rsidRPr="00D44271">
        <w:rPr>
          <w:lang w:val="es-ES"/>
        </w:rPr>
        <w:t xml:space="preserve"> </w:t>
      </w:r>
      <w:r w:rsidRPr="00D44271">
        <w:rPr>
          <w:rStyle w:val="hps"/>
          <w:lang w:val="es-ES"/>
        </w:rPr>
        <w:t>PLR</w:t>
      </w:r>
      <w:r w:rsidRPr="00D44271">
        <w:rPr>
          <w:lang w:val="es-ES"/>
        </w:rPr>
        <w:t xml:space="preserve"> </w:t>
      </w:r>
      <w:r w:rsidRPr="00D44271">
        <w:rPr>
          <w:rStyle w:val="hps"/>
          <w:lang w:val="es-ES"/>
        </w:rPr>
        <w:t xml:space="preserve">y </w:t>
      </w:r>
      <w:r w:rsidR="00D65779" w:rsidRPr="00D44271">
        <w:rPr>
          <w:rStyle w:val="hps"/>
          <w:lang w:val="es-ES"/>
        </w:rPr>
        <w:t xml:space="preserve">la organización de </w:t>
      </w:r>
      <w:r w:rsidRPr="00D44271">
        <w:rPr>
          <w:rStyle w:val="hps"/>
          <w:lang w:val="es-ES"/>
        </w:rPr>
        <w:t>un taller regional</w:t>
      </w:r>
      <w:r w:rsidRPr="00D44271">
        <w:rPr>
          <w:lang w:val="es-ES"/>
        </w:rPr>
        <w:t xml:space="preserve"> </w:t>
      </w:r>
      <w:r w:rsidRPr="00D44271">
        <w:rPr>
          <w:rStyle w:val="hps"/>
          <w:lang w:val="es-ES"/>
        </w:rPr>
        <w:t>e inter</w:t>
      </w:r>
      <w:r w:rsidRPr="00D44271">
        <w:rPr>
          <w:lang w:val="es-ES"/>
        </w:rPr>
        <w:t>regional.</w:t>
      </w:r>
    </w:p>
    <w:p w14:paraId="0E5113D4" w14:textId="77777777" w:rsidR="00D65779" w:rsidRPr="00D44271" w:rsidRDefault="00D65779" w:rsidP="0028072A">
      <w:pPr>
        <w:rPr>
          <w:bCs/>
          <w:lang w:val="es-ES"/>
        </w:rPr>
      </w:pPr>
    </w:p>
    <w:p w14:paraId="75CBC473" w14:textId="684371F2" w:rsidR="0028072A" w:rsidRPr="00D44271" w:rsidRDefault="00D65779" w:rsidP="0028072A">
      <w:pPr>
        <w:rPr>
          <w:bCs/>
          <w:lang w:val="es-ES"/>
        </w:rPr>
      </w:pPr>
      <w:r w:rsidRPr="00D44271">
        <w:rPr>
          <w:bCs/>
          <w:lang w:val="es-ES"/>
        </w:rPr>
        <w:t xml:space="preserve">Los informes PLR dan una idea de los patrones y tendencias en la actividad de innovación con respecto a determinadas áreas tecnológicas. </w:t>
      </w:r>
      <w:r w:rsidR="00067492" w:rsidRPr="00D44271">
        <w:rPr>
          <w:bCs/>
          <w:lang w:val="es-ES"/>
        </w:rPr>
        <w:t xml:space="preserve"> </w:t>
      </w:r>
      <w:r w:rsidRPr="00D44271">
        <w:rPr>
          <w:bCs/>
          <w:lang w:val="es-ES"/>
        </w:rPr>
        <w:t xml:space="preserve">Más específicamente, incluyen una búsqueda del estado de la técnica en las bases de datos de patentes, </w:t>
      </w:r>
      <w:r w:rsidR="00A71360" w:rsidRPr="00D44271">
        <w:rPr>
          <w:bCs/>
          <w:lang w:val="es-ES"/>
        </w:rPr>
        <w:t>y sus</w:t>
      </w:r>
      <w:r w:rsidRPr="00D44271">
        <w:rPr>
          <w:bCs/>
          <w:lang w:val="es-ES"/>
        </w:rPr>
        <w:t xml:space="preserve"> resultados </w:t>
      </w:r>
      <w:r w:rsidR="00A71360" w:rsidRPr="00D44271">
        <w:rPr>
          <w:bCs/>
          <w:lang w:val="es-ES"/>
        </w:rPr>
        <w:t>son</w:t>
      </w:r>
      <w:r w:rsidRPr="00D44271">
        <w:rPr>
          <w:bCs/>
          <w:lang w:val="es-ES"/>
        </w:rPr>
        <w:t xml:space="preserve"> analizados y </w:t>
      </w:r>
      <w:r w:rsidR="00A71360" w:rsidRPr="00D44271">
        <w:rPr>
          <w:bCs/>
          <w:lang w:val="es-ES"/>
        </w:rPr>
        <w:t>afinados</w:t>
      </w:r>
      <w:r w:rsidRPr="00D44271">
        <w:rPr>
          <w:bCs/>
          <w:lang w:val="es-ES"/>
        </w:rPr>
        <w:t xml:space="preserve"> para describir la actividad de </w:t>
      </w:r>
      <w:proofErr w:type="spellStart"/>
      <w:r w:rsidRPr="00D44271">
        <w:rPr>
          <w:bCs/>
          <w:lang w:val="es-ES"/>
        </w:rPr>
        <w:t>patent</w:t>
      </w:r>
      <w:r w:rsidR="00A71360" w:rsidRPr="00D44271">
        <w:rPr>
          <w:bCs/>
          <w:lang w:val="es-ES"/>
        </w:rPr>
        <w:t>amiento</w:t>
      </w:r>
      <w:proofErr w:type="spellEnd"/>
      <w:r w:rsidRPr="00D44271">
        <w:rPr>
          <w:bCs/>
          <w:lang w:val="es-ES"/>
        </w:rPr>
        <w:t xml:space="preserve"> y las tendencias </w:t>
      </w:r>
      <w:r w:rsidR="00A71360" w:rsidRPr="00D44271">
        <w:rPr>
          <w:bCs/>
          <w:lang w:val="es-ES"/>
        </w:rPr>
        <w:t xml:space="preserve">en materia </w:t>
      </w:r>
      <w:r w:rsidRPr="00D44271">
        <w:rPr>
          <w:bCs/>
          <w:lang w:val="es-ES"/>
        </w:rPr>
        <w:t xml:space="preserve">de innovación. </w:t>
      </w:r>
      <w:r w:rsidR="00A71360" w:rsidRPr="00D44271">
        <w:rPr>
          <w:bCs/>
          <w:lang w:val="es-ES"/>
        </w:rPr>
        <w:t xml:space="preserve"> Dichos informes p</w:t>
      </w:r>
      <w:r w:rsidRPr="00D44271">
        <w:rPr>
          <w:bCs/>
          <w:lang w:val="es-ES"/>
        </w:rPr>
        <w:t xml:space="preserve">ueden ser utilizados </w:t>
      </w:r>
      <w:r w:rsidR="00A71360" w:rsidRPr="00D44271">
        <w:rPr>
          <w:bCs/>
          <w:lang w:val="es-ES"/>
        </w:rPr>
        <w:t>como base para</w:t>
      </w:r>
      <w:r w:rsidRPr="00D44271">
        <w:rPr>
          <w:bCs/>
          <w:lang w:val="es-ES"/>
        </w:rPr>
        <w:t xml:space="preserve"> los debates de política,</w:t>
      </w:r>
      <w:r w:rsidR="00347F79" w:rsidRPr="00D44271">
        <w:rPr>
          <w:bCs/>
          <w:lang w:val="es-ES"/>
        </w:rPr>
        <w:t xml:space="preserve"> </w:t>
      </w:r>
      <w:r w:rsidR="00FC66D5" w:rsidRPr="00D44271">
        <w:rPr>
          <w:bCs/>
          <w:lang w:val="es-ES"/>
        </w:rPr>
        <w:t xml:space="preserve">o para </w:t>
      </w:r>
      <w:r w:rsidR="00A71360" w:rsidRPr="00D44271">
        <w:rPr>
          <w:bCs/>
          <w:lang w:val="es-ES"/>
        </w:rPr>
        <w:t>tomar decisiones</w:t>
      </w:r>
      <w:r w:rsidRPr="00D44271">
        <w:rPr>
          <w:bCs/>
          <w:lang w:val="es-ES"/>
        </w:rPr>
        <w:t xml:space="preserve"> estratégicas </w:t>
      </w:r>
      <w:r w:rsidR="00A71360" w:rsidRPr="00D44271">
        <w:rPr>
          <w:bCs/>
          <w:lang w:val="es-ES"/>
        </w:rPr>
        <w:t>en lo relativo al</w:t>
      </w:r>
      <w:r w:rsidRPr="00D44271">
        <w:rPr>
          <w:bCs/>
          <w:lang w:val="es-ES"/>
        </w:rPr>
        <w:t xml:space="preserve"> desarrollo y </w:t>
      </w:r>
      <w:r w:rsidR="00A71360" w:rsidRPr="00D44271">
        <w:rPr>
          <w:bCs/>
          <w:lang w:val="es-ES"/>
        </w:rPr>
        <w:t xml:space="preserve">la </w:t>
      </w:r>
      <w:r w:rsidRPr="00D44271">
        <w:rPr>
          <w:bCs/>
          <w:lang w:val="es-ES"/>
        </w:rPr>
        <w:t xml:space="preserve">transferencia de tecnología, y pueden constituir </w:t>
      </w:r>
      <w:r w:rsidR="00E454DD" w:rsidRPr="00D44271">
        <w:rPr>
          <w:bCs/>
          <w:lang w:val="es-ES"/>
        </w:rPr>
        <w:t xml:space="preserve">también </w:t>
      </w:r>
      <w:r w:rsidRPr="00D44271">
        <w:rPr>
          <w:bCs/>
          <w:lang w:val="es-ES"/>
        </w:rPr>
        <w:t>la base de</w:t>
      </w:r>
      <w:r w:rsidR="00E454DD" w:rsidRPr="00D44271">
        <w:rPr>
          <w:bCs/>
          <w:lang w:val="es-ES"/>
        </w:rPr>
        <w:t xml:space="preserve"> los</w:t>
      </w:r>
      <w:r w:rsidRPr="00D44271">
        <w:rPr>
          <w:bCs/>
          <w:lang w:val="es-ES"/>
        </w:rPr>
        <w:t xml:space="preserve"> análisis</w:t>
      </w:r>
      <w:r w:rsidR="00A71360" w:rsidRPr="00D44271">
        <w:rPr>
          <w:bCs/>
          <w:lang w:val="es-ES"/>
        </w:rPr>
        <w:t xml:space="preserve"> </w:t>
      </w:r>
      <w:r w:rsidR="00E454DD" w:rsidRPr="00D44271">
        <w:rPr>
          <w:bCs/>
          <w:lang w:val="es-ES"/>
        </w:rPr>
        <w:t>sobre</w:t>
      </w:r>
      <w:r w:rsidR="00A71360" w:rsidRPr="00D44271">
        <w:rPr>
          <w:bCs/>
          <w:lang w:val="es-ES"/>
        </w:rPr>
        <w:t xml:space="preserve"> la libertad de acción</w:t>
      </w:r>
      <w:r w:rsidRPr="00D44271">
        <w:rPr>
          <w:bCs/>
          <w:lang w:val="es-ES"/>
        </w:rPr>
        <w:t>.</w:t>
      </w:r>
      <w:r w:rsidR="0028072A" w:rsidRPr="00D44271">
        <w:rPr>
          <w:rStyle w:val="FootnoteReference"/>
          <w:bCs/>
          <w:lang w:val="es-ES"/>
        </w:rPr>
        <w:footnoteReference w:id="3"/>
      </w:r>
      <w:r w:rsidR="0028072A" w:rsidRPr="00D44271">
        <w:rPr>
          <w:bCs/>
          <w:lang w:val="es-ES"/>
        </w:rPr>
        <w:t xml:space="preserve"> </w:t>
      </w:r>
    </w:p>
    <w:p w14:paraId="253C74ED" w14:textId="77777777" w:rsidR="0028072A" w:rsidRPr="00D44271" w:rsidRDefault="0028072A" w:rsidP="0028072A">
      <w:pPr>
        <w:rPr>
          <w:bCs/>
          <w:lang w:val="es-ES"/>
        </w:rPr>
      </w:pPr>
    </w:p>
    <w:p w14:paraId="1B5E7966" w14:textId="4C9BFB80" w:rsidR="0028072A" w:rsidRPr="00D44271" w:rsidRDefault="00347F79" w:rsidP="0028072A">
      <w:pPr>
        <w:rPr>
          <w:bCs/>
          <w:lang w:val="es-ES"/>
        </w:rPr>
      </w:pPr>
      <w:r w:rsidRPr="00D44271">
        <w:rPr>
          <w:rStyle w:val="hps"/>
          <w:lang w:val="es-ES"/>
        </w:rPr>
        <w:t>Para</w:t>
      </w:r>
      <w:r w:rsidR="00BB65B7" w:rsidRPr="00D44271">
        <w:rPr>
          <w:rStyle w:val="hps"/>
          <w:lang w:val="es-ES"/>
        </w:rPr>
        <w:t xml:space="preserve"> </w:t>
      </w:r>
      <w:r w:rsidR="0094725A" w:rsidRPr="00D44271">
        <w:rPr>
          <w:rStyle w:val="hps"/>
          <w:lang w:val="es-ES"/>
        </w:rPr>
        <w:t>elaborar</w:t>
      </w:r>
      <w:r w:rsidR="00BB65B7" w:rsidRPr="00D44271">
        <w:rPr>
          <w:lang w:val="es-ES"/>
        </w:rPr>
        <w:t xml:space="preserve"> </w:t>
      </w:r>
      <w:r w:rsidR="00BB65B7" w:rsidRPr="00D44271">
        <w:rPr>
          <w:rStyle w:val="hps"/>
          <w:lang w:val="es-ES"/>
        </w:rPr>
        <w:t>informes</w:t>
      </w:r>
      <w:r w:rsidR="00BB65B7" w:rsidRPr="00D44271">
        <w:rPr>
          <w:lang w:val="es-ES"/>
        </w:rPr>
        <w:t xml:space="preserve"> PLR </w:t>
      </w:r>
      <w:r w:rsidRPr="00D44271">
        <w:rPr>
          <w:lang w:val="es-ES"/>
        </w:rPr>
        <w:t>se requiere</w:t>
      </w:r>
      <w:r w:rsidR="0094725A" w:rsidRPr="00D44271">
        <w:rPr>
          <w:lang w:val="es-ES"/>
        </w:rPr>
        <w:t xml:space="preserve"> poseer </w:t>
      </w:r>
      <w:r w:rsidR="00BB65B7" w:rsidRPr="00D44271">
        <w:rPr>
          <w:rStyle w:val="hps"/>
          <w:lang w:val="es-ES"/>
        </w:rPr>
        <w:t>conocimientos especializados</w:t>
      </w:r>
      <w:r w:rsidR="00BB65B7" w:rsidRPr="00D44271">
        <w:rPr>
          <w:lang w:val="es-ES"/>
        </w:rPr>
        <w:t xml:space="preserve"> </w:t>
      </w:r>
      <w:r w:rsidR="00BB65B7" w:rsidRPr="00D44271">
        <w:rPr>
          <w:rStyle w:val="hps"/>
          <w:lang w:val="es-ES"/>
        </w:rPr>
        <w:t>en</w:t>
      </w:r>
      <w:r w:rsidR="00BB65B7" w:rsidRPr="00D44271">
        <w:rPr>
          <w:lang w:val="es-ES"/>
        </w:rPr>
        <w:t xml:space="preserve"> </w:t>
      </w:r>
      <w:r w:rsidR="00BB65B7" w:rsidRPr="00D44271">
        <w:rPr>
          <w:rStyle w:val="hps"/>
          <w:lang w:val="es-ES"/>
        </w:rPr>
        <w:t>la búsqueda y análisis de la información contenida en patentes,</w:t>
      </w:r>
      <w:r w:rsidR="00BB65B7" w:rsidRPr="00D44271">
        <w:rPr>
          <w:lang w:val="es-ES"/>
        </w:rPr>
        <w:t xml:space="preserve"> y</w:t>
      </w:r>
      <w:r w:rsidR="0094725A" w:rsidRPr="00D44271">
        <w:rPr>
          <w:lang w:val="es-ES"/>
        </w:rPr>
        <w:t xml:space="preserve"> </w:t>
      </w:r>
      <w:r w:rsidR="00113F45" w:rsidRPr="00D44271">
        <w:rPr>
          <w:lang w:val="es-ES"/>
        </w:rPr>
        <w:t>tener</w:t>
      </w:r>
      <w:r w:rsidR="0094725A" w:rsidRPr="00D44271">
        <w:rPr>
          <w:lang w:val="es-ES"/>
        </w:rPr>
        <w:t xml:space="preserve"> acceso </w:t>
      </w:r>
      <w:r w:rsidR="00BB65B7" w:rsidRPr="00D44271">
        <w:rPr>
          <w:rStyle w:val="hps"/>
          <w:lang w:val="es-ES"/>
        </w:rPr>
        <w:t xml:space="preserve">a </w:t>
      </w:r>
      <w:r w:rsidRPr="00D44271">
        <w:rPr>
          <w:rStyle w:val="hps"/>
          <w:lang w:val="es-ES"/>
        </w:rPr>
        <w:t xml:space="preserve">las </w:t>
      </w:r>
      <w:r w:rsidR="00BB65B7" w:rsidRPr="00D44271">
        <w:rPr>
          <w:rStyle w:val="hps"/>
          <w:lang w:val="es-ES"/>
        </w:rPr>
        <w:t>bases de datos</w:t>
      </w:r>
      <w:r w:rsidR="00BB65B7" w:rsidRPr="00D44271">
        <w:rPr>
          <w:lang w:val="es-ES"/>
        </w:rPr>
        <w:t xml:space="preserve"> </w:t>
      </w:r>
      <w:r w:rsidR="00BB65B7" w:rsidRPr="00D44271">
        <w:rPr>
          <w:rStyle w:val="hps"/>
          <w:lang w:val="es-ES"/>
        </w:rPr>
        <w:t>de patentes</w:t>
      </w:r>
      <w:r w:rsidR="00BB65B7" w:rsidRPr="00D44271">
        <w:rPr>
          <w:lang w:val="es-ES"/>
        </w:rPr>
        <w:t xml:space="preserve"> </w:t>
      </w:r>
      <w:r w:rsidR="0094725A" w:rsidRPr="00D44271">
        <w:rPr>
          <w:rStyle w:val="hps"/>
          <w:lang w:val="es-ES"/>
        </w:rPr>
        <w:t xml:space="preserve">relevantes </w:t>
      </w:r>
      <w:r w:rsidRPr="00D44271">
        <w:rPr>
          <w:lang w:val="es-ES"/>
        </w:rPr>
        <w:t>así como</w:t>
      </w:r>
      <w:r w:rsidR="00BB65B7" w:rsidRPr="00D44271">
        <w:rPr>
          <w:rStyle w:val="hps"/>
          <w:lang w:val="es-ES"/>
        </w:rPr>
        <w:t xml:space="preserve"> a</w:t>
      </w:r>
      <w:r w:rsidR="00BB65B7" w:rsidRPr="00D44271">
        <w:rPr>
          <w:lang w:val="es-ES"/>
        </w:rPr>
        <w:t xml:space="preserve"> </w:t>
      </w:r>
      <w:r w:rsidR="0094725A" w:rsidRPr="00D44271">
        <w:rPr>
          <w:lang w:val="es-ES"/>
        </w:rPr>
        <w:t xml:space="preserve">las </w:t>
      </w:r>
      <w:r w:rsidR="00BB65B7" w:rsidRPr="00D44271">
        <w:rPr>
          <w:rStyle w:val="hps"/>
          <w:lang w:val="es-ES"/>
        </w:rPr>
        <w:t>herramientas de búsqueda y análisis</w:t>
      </w:r>
      <w:r w:rsidR="00BB65B7" w:rsidRPr="00D44271">
        <w:rPr>
          <w:lang w:val="es-ES"/>
        </w:rPr>
        <w:t>.</w:t>
      </w:r>
      <w:r w:rsidRPr="00D44271">
        <w:rPr>
          <w:lang w:val="es-ES"/>
        </w:rPr>
        <w:t xml:space="preserve"> </w:t>
      </w:r>
      <w:r w:rsidR="00BB65B7" w:rsidRPr="00D44271">
        <w:rPr>
          <w:lang w:val="es-ES"/>
        </w:rPr>
        <w:t xml:space="preserve"> </w:t>
      </w:r>
      <w:r w:rsidR="0094725A" w:rsidRPr="00D44271">
        <w:rPr>
          <w:lang w:val="es-ES"/>
        </w:rPr>
        <w:t>L</w:t>
      </w:r>
      <w:r w:rsidR="00BB65B7" w:rsidRPr="00D44271">
        <w:rPr>
          <w:rStyle w:val="hps"/>
          <w:lang w:val="es-ES"/>
        </w:rPr>
        <w:t>a preparación de un</w:t>
      </w:r>
      <w:r w:rsidRPr="00D44271">
        <w:rPr>
          <w:rStyle w:val="hps"/>
          <w:lang w:val="es-ES"/>
        </w:rPr>
        <w:t xml:space="preserve"> informe</w:t>
      </w:r>
      <w:r w:rsidR="00BB65B7" w:rsidRPr="00D44271">
        <w:rPr>
          <w:lang w:val="es-ES"/>
        </w:rPr>
        <w:t xml:space="preserve"> </w:t>
      </w:r>
      <w:r w:rsidR="00BB65B7" w:rsidRPr="00D44271">
        <w:rPr>
          <w:rStyle w:val="hps"/>
          <w:lang w:val="es-ES"/>
        </w:rPr>
        <w:t>PLR</w:t>
      </w:r>
      <w:r w:rsidR="0094725A" w:rsidRPr="00D44271">
        <w:rPr>
          <w:rStyle w:val="hps"/>
          <w:lang w:val="es-ES"/>
        </w:rPr>
        <w:t xml:space="preserve"> implica diversas tareas</w:t>
      </w:r>
      <w:r w:rsidR="00BB65B7" w:rsidRPr="00D44271">
        <w:rPr>
          <w:lang w:val="es-ES"/>
        </w:rPr>
        <w:t xml:space="preserve">: </w:t>
      </w:r>
      <w:r w:rsidRPr="00D44271">
        <w:rPr>
          <w:lang w:val="es-ES"/>
        </w:rPr>
        <w:t xml:space="preserve"> efectuar </w:t>
      </w:r>
      <w:r w:rsidR="00BB65B7" w:rsidRPr="00D44271">
        <w:rPr>
          <w:rStyle w:val="hps"/>
          <w:lang w:val="es-ES"/>
        </w:rPr>
        <w:t>búsqueda</w:t>
      </w:r>
      <w:r w:rsidRPr="00D44271">
        <w:rPr>
          <w:rStyle w:val="hps"/>
          <w:lang w:val="es-ES"/>
        </w:rPr>
        <w:t>s</w:t>
      </w:r>
      <w:r w:rsidR="00BB65B7" w:rsidRPr="00D44271">
        <w:rPr>
          <w:rStyle w:val="hps"/>
          <w:lang w:val="es-ES"/>
        </w:rPr>
        <w:t xml:space="preserve"> de patentes</w:t>
      </w:r>
      <w:r w:rsidR="00BB65B7" w:rsidRPr="00D44271">
        <w:rPr>
          <w:lang w:val="es-ES"/>
        </w:rPr>
        <w:t xml:space="preserve"> </w:t>
      </w:r>
      <w:r w:rsidR="00BB65B7" w:rsidRPr="00D44271">
        <w:rPr>
          <w:rStyle w:val="hps"/>
          <w:lang w:val="es-ES"/>
        </w:rPr>
        <w:t xml:space="preserve">y </w:t>
      </w:r>
      <w:r w:rsidRPr="00D44271">
        <w:rPr>
          <w:rStyle w:val="hps"/>
          <w:lang w:val="es-ES"/>
        </w:rPr>
        <w:t xml:space="preserve">compilar la </w:t>
      </w:r>
      <w:r w:rsidR="00BB65B7" w:rsidRPr="00D44271">
        <w:rPr>
          <w:lang w:val="es-ES"/>
        </w:rPr>
        <w:t xml:space="preserve"> </w:t>
      </w:r>
      <w:r w:rsidR="00BB65B7" w:rsidRPr="00D44271">
        <w:rPr>
          <w:rStyle w:val="hps"/>
          <w:lang w:val="es-ES"/>
        </w:rPr>
        <w:t>información;</w:t>
      </w:r>
      <w:r w:rsidR="00BB65B7" w:rsidRPr="00D44271">
        <w:rPr>
          <w:lang w:val="es-ES"/>
        </w:rPr>
        <w:t xml:space="preserve"> </w:t>
      </w:r>
      <w:r w:rsidRPr="00D44271">
        <w:rPr>
          <w:lang w:val="es-ES"/>
        </w:rPr>
        <w:t xml:space="preserve"> </w:t>
      </w:r>
      <w:r w:rsidR="0094725A" w:rsidRPr="00D44271">
        <w:rPr>
          <w:rStyle w:val="hps"/>
          <w:lang w:val="es-ES"/>
        </w:rPr>
        <w:t>depurar</w:t>
      </w:r>
      <w:r w:rsidR="00BB65B7" w:rsidRPr="00D44271">
        <w:rPr>
          <w:lang w:val="es-ES"/>
        </w:rPr>
        <w:t xml:space="preserve">, </w:t>
      </w:r>
      <w:r w:rsidR="00BB65B7" w:rsidRPr="00D44271">
        <w:rPr>
          <w:rStyle w:val="hps"/>
          <w:lang w:val="es-ES"/>
        </w:rPr>
        <w:t>ordenar</w:t>
      </w:r>
      <w:r w:rsidR="00BB65B7" w:rsidRPr="00D44271">
        <w:rPr>
          <w:lang w:val="es-ES"/>
        </w:rPr>
        <w:t xml:space="preserve"> </w:t>
      </w:r>
      <w:r w:rsidR="00BB65B7" w:rsidRPr="00D44271">
        <w:rPr>
          <w:rStyle w:val="hps"/>
          <w:lang w:val="es-ES"/>
        </w:rPr>
        <w:t>y an</w:t>
      </w:r>
      <w:r w:rsidRPr="00D44271">
        <w:rPr>
          <w:rStyle w:val="hps"/>
          <w:lang w:val="es-ES"/>
        </w:rPr>
        <w:t>a</w:t>
      </w:r>
      <w:r w:rsidR="00BB65B7" w:rsidRPr="00D44271">
        <w:rPr>
          <w:rStyle w:val="hps"/>
          <w:lang w:val="es-ES"/>
        </w:rPr>
        <w:t>li</w:t>
      </w:r>
      <w:r w:rsidRPr="00D44271">
        <w:rPr>
          <w:rStyle w:val="hps"/>
          <w:lang w:val="es-ES"/>
        </w:rPr>
        <w:t>zar la información compilada</w:t>
      </w:r>
      <w:r w:rsidR="00BB65B7" w:rsidRPr="00D44271">
        <w:rPr>
          <w:lang w:val="es-ES"/>
        </w:rPr>
        <w:t xml:space="preserve">; </w:t>
      </w:r>
      <w:r w:rsidRPr="00D44271">
        <w:rPr>
          <w:lang w:val="es-ES"/>
        </w:rPr>
        <w:t xml:space="preserve"> </w:t>
      </w:r>
      <w:r w:rsidR="00BB65B7" w:rsidRPr="00D44271">
        <w:rPr>
          <w:rStyle w:val="hps"/>
          <w:lang w:val="es-ES"/>
        </w:rPr>
        <w:t>visualiza</w:t>
      </w:r>
      <w:r w:rsidRPr="00D44271">
        <w:rPr>
          <w:rStyle w:val="hps"/>
          <w:lang w:val="es-ES"/>
        </w:rPr>
        <w:t>r</w:t>
      </w:r>
      <w:r w:rsidR="00BB65B7" w:rsidRPr="00D44271">
        <w:rPr>
          <w:rStyle w:val="hps"/>
          <w:lang w:val="es-ES"/>
        </w:rPr>
        <w:t xml:space="preserve"> los resultados para</w:t>
      </w:r>
      <w:r w:rsidR="00BB65B7" w:rsidRPr="00D44271">
        <w:rPr>
          <w:lang w:val="es-ES"/>
        </w:rPr>
        <w:t xml:space="preserve"> </w:t>
      </w:r>
      <w:r w:rsidRPr="00D44271">
        <w:rPr>
          <w:lang w:val="es-ES"/>
        </w:rPr>
        <w:t>poder comprender</w:t>
      </w:r>
      <w:r w:rsidR="00BB65B7" w:rsidRPr="00D44271">
        <w:rPr>
          <w:rStyle w:val="hps"/>
          <w:lang w:val="es-ES"/>
        </w:rPr>
        <w:t xml:space="preserve"> las tendencias</w:t>
      </w:r>
      <w:r w:rsidR="00BB65B7" w:rsidRPr="00D44271">
        <w:rPr>
          <w:lang w:val="es-ES"/>
        </w:rPr>
        <w:t xml:space="preserve">; </w:t>
      </w:r>
      <w:r w:rsidRPr="00D44271">
        <w:rPr>
          <w:lang w:val="es-ES"/>
        </w:rPr>
        <w:t xml:space="preserve"> redactar el texto y las </w:t>
      </w:r>
      <w:r w:rsidR="00BB65B7" w:rsidRPr="00D44271">
        <w:rPr>
          <w:rStyle w:val="hps"/>
          <w:lang w:val="es-ES"/>
        </w:rPr>
        <w:t>explicaci</w:t>
      </w:r>
      <w:r w:rsidRPr="00D44271">
        <w:rPr>
          <w:rStyle w:val="hps"/>
          <w:lang w:val="es-ES"/>
        </w:rPr>
        <w:t>o</w:t>
      </w:r>
      <w:r w:rsidR="00BB65B7" w:rsidRPr="00D44271">
        <w:rPr>
          <w:rStyle w:val="hps"/>
          <w:lang w:val="es-ES"/>
        </w:rPr>
        <w:t>n</w:t>
      </w:r>
      <w:r w:rsidRPr="00D44271">
        <w:rPr>
          <w:rStyle w:val="hps"/>
          <w:lang w:val="es-ES"/>
        </w:rPr>
        <w:t>es</w:t>
      </w:r>
      <w:r w:rsidR="00BB65B7" w:rsidRPr="00D44271">
        <w:rPr>
          <w:lang w:val="es-ES"/>
        </w:rPr>
        <w:t xml:space="preserve">, </w:t>
      </w:r>
      <w:r w:rsidR="00BB65B7" w:rsidRPr="00D44271">
        <w:rPr>
          <w:rStyle w:val="hps"/>
          <w:lang w:val="es-ES"/>
        </w:rPr>
        <w:t xml:space="preserve">y, </w:t>
      </w:r>
      <w:r w:rsidRPr="00D44271">
        <w:rPr>
          <w:rStyle w:val="hps"/>
          <w:lang w:val="es-ES"/>
        </w:rPr>
        <w:t xml:space="preserve">casi en paralelo, extraer las </w:t>
      </w:r>
      <w:r w:rsidR="00BB65B7" w:rsidRPr="00D44271">
        <w:rPr>
          <w:rStyle w:val="hps"/>
          <w:lang w:val="es-ES"/>
        </w:rPr>
        <w:t>conclusiones y</w:t>
      </w:r>
      <w:r w:rsidR="00BB65B7" w:rsidRPr="00D44271">
        <w:rPr>
          <w:lang w:val="es-ES"/>
        </w:rPr>
        <w:t xml:space="preserve"> </w:t>
      </w:r>
      <w:r w:rsidR="00BB65B7" w:rsidRPr="00D44271">
        <w:rPr>
          <w:rStyle w:val="hps"/>
          <w:lang w:val="es-ES"/>
        </w:rPr>
        <w:t>recomendaciones</w:t>
      </w:r>
      <w:r w:rsidR="00BB65B7" w:rsidRPr="00D44271">
        <w:rPr>
          <w:lang w:val="es-ES"/>
        </w:rPr>
        <w:t xml:space="preserve"> </w:t>
      </w:r>
      <w:r w:rsidR="00BB65B7" w:rsidRPr="00D44271">
        <w:rPr>
          <w:rStyle w:val="hps"/>
          <w:lang w:val="es-ES"/>
        </w:rPr>
        <w:t>específicas para</w:t>
      </w:r>
      <w:r w:rsidR="00BB65B7" w:rsidRPr="00D44271">
        <w:rPr>
          <w:lang w:val="es-ES"/>
        </w:rPr>
        <w:t xml:space="preserve"> </w:t>
      </w:r>
      <w:r w:rsidR="00BB65B7" w:rsidRPr="00D44271">
        <w:rPr>
          <w:rStyle w:val="hps"/>
          <w:lang w:val="es-ES"/>
        </w:rPr>
        <w:t>el contexto</w:t>
      </w:r>
      <w:r w:rsidR="00BB65B7" w:rsidRPr="00D44271">
        <w:rPr>
          <w:lang w:val="es-ES"/>
        </w:rPr>
        <w:t xml:space="preserve"> </w:t>
      </w:r>
      <w:r w:rsidRPr="00D44271">
        <w:rPr>
          <w:lang w:val="es-ES"/>
        </w:rPr>
        <w:t>para el cual se prepara el informe PLR</w:t>
      </w:r>
      <w:r w:rsidR="0028072A" w:rsidRPr="00D44271">
        <w:rPr>
          <w:bCs/>
          <w:lang w:val="es-ES"/>
        </w:rPr>
        <w:t>.</w:t>
      </w:r>
      <w:r w:rsidR="0028072A" w:rsidRPr="00D44271">
        <w:rPr>
          <w:rStyle w:val="FootnoteReference"/>
          <w:bCs/>
          <w:lang w:val="es-ES"/>
        </w:rPr>
        <w:footnoteReference w:id="4"/>
      </w:r>
      <w:r w:rsidR="0028072A" w:rsidRPr="00D44271">
        <w:rPr>
          <w:bCs/>
          <w:lang w:val="es-ES"/>
        </w:rPr>
        <w:t xml:space="preserve"> </w:t>
      </w:r>
    </w:p>
    <w:p w14:paraId="1263F49B" w14:textId="77777777" w:rsidR="0028072A" w:rsidRPr="00D44271" w:rsidRDefault="0028072A" w:rsidP="0028072A">
      <w:pPr>
        <w:rPr>
          <w:bCs/>
          <w:lang w:val="es-ES"/>
        </w:rPr>
      </w:pPr>
    </w:p>
    <w:p w14:paraId="1FAB9AC7" w14:textId="25EDD7FD" w:rsidR="0028072A" w:rsidRPr="00D44271" w:rsidRDefault="005F785D" w:rsidP="0028072A">
      <w:pPr>
        <w:rPr>
          <w:bCs/>
          <w:lang w:val="es-ES"/>
        </w:rPr>
      </w:pPr>
      <w:r w:rsidRPr="00D44271">
        <w:rPr>
          <w:bCs/>
          <w:lang w:val="es-ES"/>
        </w:rPr>
        <w:t>Los países en desarrollo y los países menos adelantados (</w:t>
      </w:r>
      <w:r w:rsidR="00D44271" w:rsidRPr="00D44271">
        <w:rPr>
          <w:bCs/>
          <w:lang w:val="es-ES"/>
        </w:rPr>
        <w:t>PMA)</w:t>
      </w:r>
      <w:r w:rsidR="00113F45" w:rsidRPr="00D44271">
        <w:rPr>
          <w:bCs/>
          <w:lang w:val="es-ES"/>
        </w:rPr>
        <w:t xml:space="preserve"> con frecuencia se enfrentan a dificultades a la hora de establecer informes sobre la actividad de </w:t>
      </w:r>
      <w:proofErr w:type="spellStart"/>
      <w:r w:rsidR="00113F45" w:rsidRPr="00D44271">
        <w:rPr>
          <w:bCs/>
          <w:lang w:val="es-ES"/>
        </w:rPr>
        <w:t>patentamiento</w:t>
      </w:r>
      <w:proofErr w:type="spellEnd"/>
      <w:r w:rsidR="00113F45" w:rsidRPr="00D44271">
        <w:rPr>
          <w:bCs/>
          <w:lang w:val="es-ES"/>
        </w:rPr>
        <w:t xml:space="preserve"> que resulten relevantes a los efectos de sus prioridades nacionales.  Esto se debe a una serie de factores  entre los cuales cabe citar:  un conocimiento escaso de la utilidad de los </w:t>
      </w:r>
      <w:r w:rsidR="00E454DD" w:rsidRPr="00D44271">
        <w:rPr>
          <w:bCs/>
          <w:lang w:val="es-ES"/>
        </w:rPr>
        <w:t xml:space="preserve">informes </w:t>
      </w:r>
      <w:r w:rsidR="00113F45" w:rsidRPr="00D44271">
        <w:rPr>
          <w:bCs/>
          <w:lang w:val="es-ES"/>
        </w:rPr>
        <w:t xml:space="preserve">PLR tanto en las oficinas de patentes como en otros </w:t>
      </w:r>
      <w:r w:rsidR="00D865B1" w:rsidRPr="00D44271">
        <w:rPr>
          <w:bCs/>
          <w:lang w:val="es-ES"/>
        </w:rPr>
        <w:t>departamentos gubernamentales;  limitaciones en la disponibilidad de la información sobre patentes nacionales, y un acceso limitado a las bases de datos de búsqueda y a las herramientas analíticas comerciales</w:t>
      </w:r>
      <w:r w:rsidR="0028072A" w:rsidRPr="00D44271">
        <w:rPr>
          <w:bCs/>
          <w:lang w:val="es-ES"/>
        </w:rPr>
        <w:t>.</w:t>
      </w:r>
      <w:r w:rsidR="0028072A" w:rsidRPr="00D44271">
        <w:rPr>
          <w:rStyle w:val="FootnoteReference"/>
          <w:bCs/>
          <w:lang w:val="es-ES"/>
        </w:rPr>
        <w:footnoteReference w:id="5"/>
      </w:r>
      <w:r w:rsidR="0028072A" w:rsidRPr="00D44271">
        <w:rPr>
          <w:bCs/>
          <w:lang w:val="es-ES"/>
        </w:rPr>
        <w:t xml:space="preserve">  </w:t>
      </w:r>
    </w:p>
    <w:p w14:paraId="155D8E2D" w14:textId="77777777" w:rsidR="0028072A" w:rsidRPr="00D44271" w:rsidRDefault="0028072A" w:rsidP="0028072A">
      <w:pPr>
        <w:rPr>
          <w:bCs/>
          <w:lang w:val="es-ES"/>
        </w:rPr>
      </w:pPr>
    </w:p>
    <w:p w14:paraId="41240B92" w14:textId="7FF3A3F6" w:rsidR="0028072A" w:rsidRPr="00D44271" w:rsidRDefault="00D865B1" w:rsidP="0028072A">
      <w:pPr>
        <w:rPr>
          <w:bCs/>
          <w:lang w:val="es-ES"/>
        </w:rPr>
      </w:pPr>
      <w:r w:rsidRPr="00D44271">
        <w:rPr>
          <w:bCs/>
          <w:lang w:val="es-ES"/>
        </w:rPr>
        <w:t xml:space="preserve">Los </w:t>
      </w:r>
      <w:r w:rsidR="00057F5C" w:rsidRPr="00D44271">
        <w:rPr>
          <w:bCs/>
          <w:lang w:val="es-ES"/>
        </w:rPr>
        <w:t xml:space="preserve">informes </w:t>
      </w:r>
      <w:r w:rsidR="0028072A" w:rsidRPr="00D44271">
        <w:rPr>
          <w:bCs/>
          <w:lang w:val="es-ES"/>
        </w:rPr>
        <w:t>PLR</w:t>
      </w:r>
      <w:r w:rsidRPr="00D44271">
        <w:rPr>
          <w:bCs/>
          <w:lang w:val="es-ES"/>
        </w:rPr>
        <w:t xml:space="preserve"> de las Fases I y II </w:t>
      </w:r>
      <w:r w:rsidR="00F56F34" w:rsidRPr="00D44271">
        <w:rPr>
          <w:bCs/>
          <w:lang w:val="es-ES"/>
        </w:rPr>
        <w:t>del proyecto fu</w:t>
      </w:r>
      <w:r w:rsidR="00D50D55" w:rsidRPr="00D44271">
        <w:rPr>
          <w:bCs/>
          <w:lang w:val="es-ES"/>
        </w:rPr>
        <w:t>eron elaborados por consultores</w:t>
      </w:r>
      <w:r w:rsidR="00F56F34" w:rsidRPr="00D44271">
        <w:rPr>
          <w:bCs/>
          <w:lang w:val="es-ES"/>
        </w:rPr>
        <w:t xml:space="preserve"> en colaboración con otros socios externos (OIG y ONG).  Dichos </w:t>
      </w:r>
      <w:r w:rsidR="00FC66D5" w:rsidRPr="00D44271">
        <w:rPr>
          <w:bCs/>
          <w:lang w:val="es-ES"/>
        </w:rPr>
        <w:t xml:space="preserve">informes </w:t>
      </w:r>
      <w:r w:rsidR="00F56F34" w:rsidRPr="00D44271">
        <w:rPr>
          <w:bCs/>
          <w:lang w:val="es-ES"/>
        </w:rPr>
        <w:t xml:space="preserve">PLR se centraron principalmente en </w:t>
      </w:r>
      <w:r w:rsidR="00E52D18" w:rsidRPr="00D44271">
        <w:rPr>
          <w:bCs/>
          <w:lang w:val="es-ES"/>
        </w:rPr>
        <w:t xml:space="preserve">importantes </w:t>
      </w:r>
      <w:r w:rsidR="00F56F34" w:rsidRPr="00D44271">
        <w:rPr>
          <w:bCs/>
          <w:lang w:val="es-ES"/>
        </w:rPr>
        <w:t xml:space="preserve">áreas de la política pública general, como la sanidad y el medioambiente, tal como se describe en la sección de </w:t>
      </w:r>
      <w:r w:rsidR="00171CAB" w:rsidRPr="00D44271">
        <w:rPr>
          <w:bCs/>
          <w:lang w:val="es-ES"/>
        </w:rPr>
        <w:t>constataciones</w:t>
      </w:r>
      <w:r w:rsidR="00F56F34" w:rsidRPr="00D44271">
        <w:rPr>
          <w:bCs/>
          <w:lang w:val="es-ES"/>
        </w:rPr>
        <w:t xml:space="preserve"> principales de este informe. </w:t>
      </w:r>
      <w:r w:rsidR="00E52D18" w:rsidRPr="00D44271">
        <w:rPr>
          <w:bCs/>
          <w:lang w:val="es-ES"/>
        </w:rPr>
        <w:t xml:space="preserve"> El </w:t>
      </w:r>
      <w:r w:rsidR="00057F5C" w:rsidRPr="00D44271">
        <w:rPr>
          <w:bCs/>
          <w:lang w:val="es-ES"/>
        </w:rPr>
        <w:t>propósito</w:t>
      </w:r>
      <w:r w:rsidR="00E52D18" w:rsidRPr="00D44271">
        <w:rPr>
          <w:bCs/>
          <w:lang w:val="es-ES"/>
        </w:rPr>
        <w:t xml:space="preserve"> de establecer informes </w:t>
      </w:r>
      <w:r w:rsidR="0028072A" w:rsidRPr="00D44271">
        <w:rPr>
          <w:bCs/>
          <w:lang w:val="es-ES"/>
        </w:rPr>
        <w:t>PLR</w:t>
      </w:r>
      <w:r w:rsidR="00E52D18" w:rsidRPr="00D44271">
        <w:rPr>
          <w:bCs/>
          <w:lang w:val="es-ES"/>
        </w:rPr>
        <w:t xml:space="preserve"> en el marco del proyecto no respondió únicamente al </w:t>
      </w:r>
      <w:r w:rsidR="00FC66D5" w:rsidRPr="00D44271">
        <w:rPr>
          <w:bCs/>
          <w:lang w:val="es-ES"/>
        </w:rPr>
        <w:t xml:space="preserve">mero </w:t>
      </w:r>
      <w:r w:rsidR="00E52D18" w:rsidRPr="00D44271">
        <w:rPr>
          <w:bCs/>
          <w:lang w:val="es-ES"/>
        </w:rPr>
        <w:t xml:space="preserve">interés por su contenido, sino </w:t>
      </w:r>
      <w:r w:rsidR="00057F5C" w:rsidRPr="00D44271">
        <w:rPr>
          <w:bCs/>
          <w:lang w:val="es-ES"/>
        </w:rPr>
        <w:t xml:space="preserve">también a su valor ilustrativo </w:t>
      </w:r>
      <w:r w:rsidR="00E454DD" w:rsidRPr="00D44271">
        <w:rPr>
          <w:bCs/>
          <w:lang w:val="es-ES"/>
        </w:rPr>
        <w:t xml:space="preserve">de cara a </w:t>
      </w:r>
      <w:r w:rsidR="00057F5C" w:rsidRPr="00D44271">
        <w:rPr>
          <w:bCs/>
          <w:lang w:val="es-ES"/>
        </w:rPr>
        <w:t xml:space="preserve">fomentar entre los países en desarrollo, PMA y en la comunidad internacional la concienciación sobre la relevancia y utilidad de </w:t>
      </w:r>
      <w:r w:rsidR="00D50D55" w:rsidRPr="00D44271">
        <w:rPr>
          <w:bCs/>
          <w:lang w:val="es-ES"/>
        </w:rPr>
        <w:t>dichos</w:t>
      </w:r>
      <w:r w:rsidR="00057F5C" w:rsidRPr="00D44271">
        <w:rPr>
          <w:bCs/>
          <w:lang w:val="es-ES"/>
        </w:rPr>
        <w:t xml:space="preserve"> informes y de</w:t>
      </w:r>
      <w:r w:rsidR="00047399" w:rsidRPr="00D44271">
        <w:rPr>
          <w:bCs/>
          <w:lang w:val="es-ES"/>
        </w:rPr>
        <w:t xml:space="preserve"> los</w:t>
      </w:r>
      <w:r w:rsidR="00057F5C" w:rsidRPr="00D44271">
        <w:rPr>
          <w:bCs/>
          <w:lang w:val="es-ES"/>
        </w:rPr>
        <w:t xml:space="preserve"> </w:t>
      </w:r>
      <w:r w:rsidR="00047399" w:rsidRPr="00D44271">
        <w:rPr>
          <w:bCs/>
          <w:lang w:val="es-ES"/>
        </w:rPr>
        <w:t>estudios analíticos sobre patentes en general.</w:t>
      </w:r>
      <w:r w:rsidR="0028072A" w:rsidRPr="00D44271">
        <w:rPr>
          <w:bCs/>
          <w:lang w:val="es-ES"/>
        </w:rPr>
        <w:t xml:space="preserve"> </w:t>
      </w:r>
    </w:p>
    <w:p w14:paraId="1EDCB4DC" w14:textId="77777777" w:rsidR="0028072A" w:rsidRPr="00D44271" w:rsidRDefault="0028072A" w:rsidP="0028072A">
      <w:pPr>
        <w:rPr>
          <w:bCs/>
          <w:highlight w:val="yellow"/>
          <w:lang w:val="es-ES"/>
        </w:rPr>
      </w:pPr>
    </w:p>
    <w:p w14:paraId="14132714" w14:textId="27001F7E" w:rsidR="0028072A" w:rsidRPr="00D44271" w:rsidRDefault="00D50D55" w:rsidP="0028072A">
      <w:pPr>
        <w:rPr>
          <w:bCs/>
          <w:lang w:val="es-ES"/>
        </w:rPr>
      </w:pPr>
      <w:r w:rsidRPr="00D44271">
        <w:rPr>
          <w:bCs/>
          <w:lang w:val="es-ES"/>
        </w:rPr>
        <w:t>De acuerdo con la decisión de incorporar la Agenda para el Desarrollo a la labor de la OMPI,</w:t>
      </w:r>
      <w:r w:rsidR="008841E3" w:rsidRPr="00D44271">
        <w:rPr>
          <w:bCs/>
          <w:lang w:val="es-ES"/>
        </w:rPr>
        <w:t xml:space="preserve"> en el presupuesto por programas de la OMPI para el bienio 2014/15 se incluyó la propuesta de </w:t>
      </w:r>
      <w:r w:rsidR="00522433" w:rsidRPr="00D44271">
        <w:rPr>
          <w:bCs/>
          <w:lang w:val="es-ES"/>
        </w:rPr>
        <w:t>incorporar</w:t>
      </w:r>
      <w:r w:rsidR="00E511AC" w:rsidRPr="00D44271">
        <w:rPr>
          <w:bCs/>
          <w:lang w:val="es-ES"/>
        </w:rPr>
        <w:t xml:space="preserve"> </w:t>
      </w:r>
      <w:r w:rsidR="00360FFE" w:rsidRPr="00D44271">
        <w:rPr>
          <w:bCs/>
          <w:lang w:val="es-ES"/>
        </w:rPr>
        <w:t xml:space="preserve">varios proyectos ejecutados en el bienio anterior, y entre ellos el proyecto </w:t>
      </w:r>
      <w:r w:rsidR="00360FFE" w:rsidRPr="00D44271">
        <w:rPr>
          <w:szCs w:val="22"/>
          <w:lang w:val="es-ES"/>
        </w:rPr>
        <w:t xml:space="preserve">de </w:t>
      </w:r>
      <w:r w:rsidR="00FC66D5" w:rsidRPr="00D44271">
        <w:rPr>
          <w:szCs w:val="22"/>
          <w:lang w:val="es-ES"/>
        </w:rPr>
        <w:t>C</w:t>
      </w:r>
      <w:r w:rsidR="00360FFE" w:rsidRPr="00D44271">
        <w:rPr>
          <w:szCs w:val="22"/>
          <w:lang w:val="es-ES"/>
        </w:rPr>
        <w:t>reación de instrumentos de acceso a la información sobre patentes,</w:t>
      </w:r>
      <w:r w:rsidR="00360FFE" w:rsidRPr="00D44271">
        <w:rPr>
          <w:bCs/>
          <w:lang w:val="es-ES"/>
        </w:rPr>
        <w:t xml:space="preserve"> </w:t>
      </w:r>
      <w:r w:rsidR="00E511AC" w:rsidRPr="00D44271">
        <w:rPr>
          <w:bCs/>
          <w:lang w:val="es-ES"/>
        </w:rPr>
        <w:t>en los programas correspondientes,</w:t>
      </w:r>
      <w:r w:rsidR="00360FFE" w:rsidRPr="00D44271">
        <w:rPr>
          <w:bCs/>
          <w:lang w:val="es-ES"/>
        </w:rPr>
        <w:t xml:space="preserve"> previa evaluación</w:t>
      </w:r>
      <w:r w:rsidR="0028072A" w:rsidRPr="00D44271">
        <w:rPr>
          <w:bCs/>
          <w:lang w:val="es-ES"/>
        </w:rPr>
        <w:t>.</w:t>
      </w:r>
      <w:r w:rsidR="0028072A" w:rsidRPr="00D44271">
        <w:rPr>
          <w:rStyle w:val="FootnoteReference"/>
          <w:bCs/>
          <w:lang w:val="es-ES"/>
        </w:rPr>
        <w:footnoteReference w:id="6"/>
      </w:r>
      <w:r w:rsidR="00522433" w:rsidRPr="00D44271">
        <w:rPr>
          <w:bCs/>
          <w:lang w:val="es-ES"/>
        </w:rPr>
        <w:t xml:space="preserve">  </w:t>
      </w:r>
      <w:r w:rsidR="00360FFE" w:rsidRPr="00D44271">
        <w:rPr>
          <w:bCs/>
          <w:lang w:val="es-ES"/>
        </w:rPr>
        <w:t xml:space="preserve">Con posterioridad a </w:t>
      </w:r>
      <w:r w:rsidR="00522433" w:rsidRPr="00D44271">
        <w:rPr>
          <w:bCs/>
          <w:lang w:val="es-ES"/>
        </w:rPr>
        <w:t xml:space="preserve">la Fase II, se están llevando a cabo colaboraciones externas para la redacción de informes </w:t>
      </w:r>
      <w:r w:rsidR="0028072A" w:rsidRPr="00D44271">
        <w:rPr>
          <w:bCs/>
          <w:lang w:val="es-ES"/>
        </w:rPr>
        <w:t>PLR</w:t>
      </w:r>
      <w:r w:rsidR="00522433" w:rsidRPr="00D44271">
        <w:rPr>
          <w:bCs/>
          <w:lang w:val="es-ES"/>
        </w:rPr>
        <w:t xml:space="preserve">, y </w:t>
      </w:r>
      <w:r w:rsidR="00BF60C7" w:rsidRPr="00D44271">
        <w:rPr>
          <w:bCs/>
          <w:lang w:val="es-ES"/>
        </w:rPr>
        <w:t>en conjunción con determinadas instituciones públicas de países en desarrollo, se están elaborando informes PLR relativos a sectores tecnológicos prioritarios desde el punto de vista nacional y regional</w:t>
      </w:r>
      <w:r w:rsidR="0028072A" w:rsidRPr="00D44271">
        <w:rPr>
          <w:bCs/>
          <w:lang w:val="es-ES"/>
        </w:rPr>
        <w:t>.</w:t>
      </w:r>
      <w:r w:rsidR="0028072A" w:rsidRPr="00D44271">
        <w:rPr>
          <w:rStyle w:val="FootnoteReference"/>
          <w:bCs/>
          <w:lang w:val="es-ES"/>
        </w:rPr>
        <w:footnoteReference w:id="7"/>
      </w:r>
      <w:r w:rsidR="0028072A" w:rsidRPr="00D44271">
        <w:rPr>
          <w:bCs/>
          <w:lang w:val="es-ES"/>
        </w:rPr>
        <w:t xml:space="preserve"> </w:t>
      </w:r>
      <w:r w:rsidR="00BF60C7" w:rsidRPr="00D44271">
        <w:rPr>
          <w:bCs/>
          <w:lang w:val="es-ES"/>
        </w:rPr>
        <w:t xml:space="preserve"> </w:t>
      </w:r>
      <w:r w:rsidR="000013A0" w:rsidRPr="00D44271">
        <w:rPr>
          <w:bCs/>
          <w:lang w:val="es-ES"/>
        </w:rPr>
        <w:t xml:space="preserve">Además, </w:t>
      </w:r>
      <w:r w:rsidR="00E511AC" w:rsidRPr="00D44271">
        <w:rPr>
          <w:bCs/>
          <w:lang w:val="es-ES"/>
        </w:rPr>
        <w:lastRenderedPageBreak/>
        <w:t>prosiguen las labores de</w:t>
      </w:r>
      <w:r w:rsidR="000013A0" w:rsidRPr="00D44271">
        <w:rPr>
          <w:bCs/>
          <w:lang w:val="es-ES"/>
        </w:rPr>
        <w:t xml:space="preserve"> asistencia a los países en desarrollo y PMA </w:t>
      </w:r>
      <w:r w:rsidR="00E511AC" w:rsidRPr="00D44271">
        <w:rPr>
          <w:bCs/>
          <w:lang w:val="es-ES"/>
        </w:rPr>
        <w:t xml:space="preserve">destinadas a favorecer </w:t>
      </w:r>
      <w:r w:rsidR="00360FFE" w:rsidRPr="00D44271">
        <w:rPr>
          <w:bCs/>
          <w:lang w:val="es-ES"/>
        </w:rPr>
        <w:t>el</w:t>
      </w:r>
      <w:r w:rsidR="00E511AC" w:rsidRPr="00D44271">
        <w:rPr>
          <w:bCs/>
          <w:lang w:val="es-ES"/>
        </w:rPr>
        <w:t xml:space="preserve"> acceso </w:t>
      </w:r>
      <w:r w:rsidR="00360FFE" w:rsidRPr="00D44271">
        <w:rPr>
          <w:bCs/>
          <w:lang w:val="es-ES"/>
        </w:rPr>
        <w:t xml:space="preserve">de estos países </w:t>
      </w:r>
      <w:r w:rsidR="00E511AC" w:rsidRPr="00D44271">
        <w:rPr>
          <w:bCs/>
          <w:lang w:val="es-ES"/>
        </w:rPr>
        <w:t xml:space="preserve">a las bases de datos de código abierto y otros instrumentos de análisis de patentes, entre otras actividades de </w:t>
      </w:r>
      <w:r w:rsidR="00360FFE" w:rsidRPr="00D44271">
        <w:rPr>
          <w:bCs/>
          <w:lang w:val="es-ES"/>
        </w:rPr>
        <w:t>fortalecimiento de capacidades</w:t>
      </w:r>
      <w:r w:rsidR="0028072A" w:rsidRPr="00D44271">
        <w:rPr>
          <w:bCs/>
          <w:lang w:val="es-ES"/>
        </w:rPr>
        <w:t xml:space="preserve">. </w:t>
      </w:r>
    </w:p>
    <w:p w14:paraId="321FB06F" w14:textId="77777777" w:rsidR="0028072A" w:rsidRPr="00D44271" w:rsidRDefault="0028072A" w:rsidP="0028072A">
      <w:pPr>
        <w:rPr>
          <w:lang w:val="es-ES"/>
        </w:rPr>
      </w:pPr>
    </w:p>
    <w:p w14:paraId="160470EC" w14:textId="6EEBA10A" w:rsidR="0028072A" w:rsidRPr="00D44271" w:rsidRDefault="000013A0" w:rsidP="00A71360">
      <w:pPr>
        <w:keepNext/>
        <w:keepLines/>
        <w:rPr>
          <w:b/>
          <w:lang w:val="es-ES"/>
        </w:rPr>
      </w:pPr>
      <w:r w:rsidRPr="00D44271">
        <w:rPr>
          <w:b/>
          <w:lang w:val="es-ES"/>
        </w:rPr>
        <w:t>Evaluación</w:t>
      </w:r>
    </w:p>
    <w:p w14:paraId="285D153C" w14:textId="77777777" w:rsidR="0028072A" w:rsidRPr="00D44271" w:rsidRDefault="0028072A" w:rsidP="00A71360">
      <w:pPr>
        <w:keepNext/>
        <w:keepLines/>
        <w:rPr>
          <w:lang w:val="es-ES"/>
        </w:rPr>
      </w:pPr>
    </w:p>
    <w:p w14:paraId="007A4E75" w14:textId="30A6AF52" w:rsidR="0028072A" w:rsidRPr="00D44271" w:rsidRDefault="00360FFE" w:rsidP="00A71360">
      <w:pPr>
        <w:keepNext/>
        <w:keepLines/>
        <w:rPr>
          <w:lang w:val="es-ES"/>
        </w:rPr>
      </w:pPr>
      <w:r w:rsidRPr="00D44271">
        <w:rPr>
          <w:lang w:val="es-ES"/>
        </w:rPr>
        <w:t xml:space="preserve">De conformidad con el mandato </w:t>
      </w:r>
      <w:r w:rsidR="00137292">
        <w:rPr>
          <w:lang w:val="es-ES"/>
        </w:rPr>
        <w:t>recibido</w:t>
      </w:r>
      <w:r w:rsidRPr="00D44271">
        <w:rPr>
          <w:lang w:val="es-ES"/>
        </w:rPr>
        <w:t xml:space="preserve">, </w:t>
      </w:r>
      <w:r w:rsidR="00137292">
        <w:rPr>
          <w:lang w:val="es-ES"/>
        </w:rPr>
        <w:t>e</w:t>
      </w:r>
      <w:r w:rsidR="00BC027B" w:rsidRPr="00D44271">
        <w:rPr>
          <w:lang w:val="es-ES"/>
        </w:rPr>
        <w:t xml:space="preserve">n </w:t>
      </w:r>
      <w:r w:rsidRPr="00D44271">
        <w:rPr>
          <w:lang w:val="es-ES"/>
        </w:rPr>
        <w:t xml:space="preserve">la evaluación se </w:t>
      </w:r>
      <w:r w:rsidR="00FC66D5" w:rsidRPr="00D44271">
        <w:rPr>
          <w:lang w:val="es-ES"/>
        </w:rPr>
        <w:t>pretendió</w:t>
      </w:r>
      <w:r w:rsidR="00BC027B" w:rsidRPr="00D44271">
        <w:rPr>
          <w:lang w:val="es-ES"/>
        </w:rPr>
        <w:t xml:space="preserve"> </w:t>
      </w:r>
      <w:r w:rsidRPr="00D44271">
        <w:rPr>
          <w:lang w:val="es-ES"/>
        </w:rPr>
        <w:t>valorar, más allá de las actividades individualmente consider</w:t>
      </w:r>
      <w:bookmarkStart w:id="6" w:name="_GoBack"/>
      <w:bookmarkEnd w:id="6"/>
      <w:r w:rsidRPr="00D44271">
        <w:rPr>
          <w:lang w:val="es-ES"/>
        </w:rPr>
        <w:t xml:space="preserve">adas, el proyecto en su conjunto y su </w:t>
      </w:r>
      <w:r w:rsidR="00FC66D5" w:rsidRPr="00D44271">
        <w:rPr>
          <w:lang w:val="es-ES"/>
        </w:rPr>
        <w:t>contribución</w:t>
      </w:r>
      <w:r w:rsidRPr="00D44271">
        <w:rPr>
          <w:lang w:val="es-ES"/>
        </w:rPr>
        <w:t xml:space="preserve"> a</w:t>
      </w:r>
      <w:r w:rsidR="009916A2" w:rsidRPr="00D44271">
        <w:rPr>
          <w:lang w:val="es-ES"/>
        </w:rPr>
        <w:t xml:space="preserve">l </w:t>
      </w:r>
      <w:r w:rsidRPr="00D44271">
        <w:rPr>
          <w:lang w:val="es-ES"/>
        </w:rPr>
        <w:t xml:space="preserve">resultado y objetivo con los que el programa fue concebido.  </w:t>
      </w:r>
      <w:r w:rsidR="00D771E5" w:rsidRPr="00D44271">
        <w:rPr>
          <w:lang w:val="es-ES"/>
        </w:rPr>
        <w:t xml:space="preserve">La evaluación se </w:t>
      </w:r>
      <w:r w:rsidR="00FC66D5" w:rsidRPr="00D44271">
        <w:rPr>
          <w:lang w:val="es-ES"/>
        </w:rPr>
        <w:t>fijó</w:t>
      </w:r>
      <w:r w:rsidR="00D771E5" w:rsidRPr="00D44271">
        <w:rPr>
          <w:lang w:val="es-ES"/>
        </w:rPr>
        <w:t xml:space="preserve"> en el rendimiento del proyecto en su totalidad, en su diseño, en la gestión del proyecto, </w:t>
      </w:r>
      <w:r w:rsidR="00822F89" w:rsidRPr="00D44271">
        <w:rPr>
          <w:lang w:val="es-ES"/>
        </w:rPr>
        <w:t xml:space="preserve">en </w:t>
      </w:r>
      <w:r w:rsidR="00D771E5" w:rsidRPr="00D44271">
        <w:rPr>
          <w:lang w:val="es-ES"/>
        </w:rPr>
        <w:t>su coordinación, coherencia y ejecución, y en los resultados conseguidos.</w:t>
      </w:r>
      <w:r w:rsidR="0028072A" w:rsidRPr="00D44271">
        <w:rPr>
          <w:lang w:val="es-ES"/>
        </w:rPr>
        <w:t xml:space="preserve"> </w:t>
      </w:r>
    </w:p>
    <w:p w14:paraId="6F208790" w14:textId="77777777" w:rsidR="0028072A" w:rsidRPr="00D44271" w:rsidRDefault="0028072A" w:rsidP="0028072A">
      <w:pPr>
        <w:rPr>
          <w:lang w:val="es-ES"/>
        </w:rPr>
      </w:pPr>
    </w:p>
    <w:p w14:paraId="4DFD8DD5" w14:textId="00ED46E5" w:rsidR="0028072A" w:rsidRPr="00D44271" w:rsidRDefault="00822F89" w:rsidP="00DB078E">
      <w:pPr>
        <w:keepNext/>
        <w:rPr>
          <w:lang w:val="es-ES"/>
        </w:rPr>
      </w:pPr>
      <w:r w:rsidRPr="00D44271">
        <w:rPr>
          <w:lang w:val="es-ES"/>
        </w:rPr>
        <w:t>El objetivo</w:t>
      </w:r>
      <w:r w:rsidR="00930B6C" w:rsidRPr="00D44271">
        <w:rPr>
          <w:lang w:val="es-ES"/>
        </w:rPr>
        <w:t xml:space="preserve"> general</w:t>
      </w:r>
      <w:r w:rsidR="00C6185B" w:rsidRPr="00D44271">
        <w:rPr>
          <w:lang w:val="es-ES"/>
        </w:rPr>
        <w:t xml:space="preserve"> de la evaluación consistió en</w:t>
      </w:r>
      <w:r w:rsidR="0028072A" w:rsidRPr="00D44271">
        <w:rPr>
          <w:lang w:val="es-ES"/>
        </w:rPr>
        <w:t xml:space="preserve">: </w:t>
      </w:r>
    </w:p>
    <w:p w14:paraId="133706C3" w14:textId="77777777" w:rsidR="0028072A" w:rsidRPr="00D44271" w:rsidRDefault="0028072A" w:rsidP="00DB078E">
      <w:pPr>
        <w:keepNext/>
        <w:rPr>
          <w:lang w:val="es-ES"/>
        </w:rPr>
      </w:pPr>
    </w:p>
    <w:p w14:paraId="410B2D46" w14:textId="2CD0D2DE" w:rsidR="0028072A" w:rsidRPr="00D44271" w:rsidRDefault="00401684" w:rsidP="00C6185B">
      <w:pPr>
        <w:pStyle w:val="ONUME"/>
        <w:rPr>
          <w:lang w:val="es-ES"/>
        </w:rPr>
      </w:pPr>
      <w:r w:rsidRPr="00D44271">
        <w:rPr>
          <w:lang w:val="es-ES"/>
        </w:rPr>
        <w:t>Extraer enseñanzas</w:t>
      </w:r>
      <w:r w:rsidR="00367813" w:rsidRPr="00D44271">
        <w:rPr>
          <w:lang w:val="es-ES"/>
        </w:rPr>
        <w:t xml:space="preserve"> de las experiencias </w:t>
      </w:r>
      <w:r w:rsidR="00BC027B" w:rsidRPr="00D44271">
        <w:rPr>
          <w:lang w:val="es-ES"/>
        </w:rPr>
        <w:t>atesoradas</w:t>
      </w:r>
      <w:r w:rsidRPr="00D44271">
        <w:rPr>
          <w:lang w:val="es-ES"/>
        </w:rPr>
        <w:t xml:space="preserve"> </w:t>
      </w:r>
      <w:r w:rsidR="00367813" w:rsidRPr="00D44271">
        <w:rPr>
          <w:lang w:val="es-ES"/>
        </w:rPr>
        <w:t xml:space="preserve">durante la ejecución del proyecto:  entender qué aspectos del proyecto </w:t>
      </w:r>
      <w:r w:rsidRPr="00D44271">
        <w:rPr>
          <w:lang w:val="es-ES"/>
        </w:rPr>
        <w:t>funcionaron</w:t>
      </w:r>
      <w:r w:rsidR="00367813" w:rsidRPr="00D44271">
        <w:rPr>
          <w:lang w:val="es-ES"/>
        </w:rPr>
        <w:t xml:space="preserve"> satisfactoriamente y cuáles no, </w:t>
      </w:r>
      <w:r w:rsidRPr="00D44271">
        <w:rPr>
          <w:lang w:val="es-ES"/>
        </w:rPr>
        <w:t>de cara</w:t>
      </w:r>
      <w:r w:rsidR="00367813" w:rsidRPr="00D44271">
        <w:rPr>
          <w:lang w:val="es-ES"/>
        </w:rPr>
        <w:t xml:space="preserve"> a </w:t>
      </w:r>
      <w:r w:rsidR="00BC027B" w:rsidRPr="00D44271">
        <w:rPr>
          <w:lang w:val="es-ES"/>
        </w:rPr>
        <w:t xml:space="preserve">valorar </w:t>
      </w:r>
      <w:r w:rsidR="00367813" w:rsidRPr="00D44271">
        <w:rPr>
          <w:lang w:val="es-ES"/>
        </w:rPr>
        <w:t xml:space="preserve">la continuidad de las actividades en dichos </w:t>
      </w:r>
      <w:r w:rsidR="00BC027B" w:rsidRPr="00D44271">
        <w:rPr>
          <w:lang w:val="es-ES"/>
        </w:rPr>
        <w:t>ámbitos</w:t>
      </w:r>
      <w:r w:rsidR="00367813" w:rsidRPr="00D44271">
        <w:rPr>
          <w:lang w:val="es-ES"/>
        </w:rPr>
        <w:t xml:space="preserve">.  Con este fin, </w:t>
      </w:r>
      <w:r w:rsidR="00FC66D5" w:rsidRPr="00D44271">
        <w:rPr>
          <w:lang w:val="es-ES"/>
        </w:rPr>
        <w:t>se analizaron</w:t>
      </w:r>
      <w:r w:rsidR="00367813" w:rsidRPr="00D44271">
        <w:rPr>
          <w:lang w:val="es-ES"/>
        </w:rPr>
        <w:t xml:space="preserve">, </w:t>
      </w:r>
      <w:r w:rsidRPr="00D44271">
        <w:rPr>
          <w:lang w:val="es-ES"/>
        </w:rPr>
        <w:t>en la medida de lo</w:t>
      </w:r>
      <w:r w:rsidR="00367813" w:rsidRPr="00D44271">
        <w:rPr>
          <w:lang w:val="es-ES"/>
        </w:rPr>
        <w:t xml:space="preserve"> posible</w:t>
      </w:r>
      <w:r w:rsidR="00BC027B" w:rsidRPr="00D44271">
        <w:rPr>
          <w:lang w:val="es-ES"/>
        </w:rPr>
        <w:t xml:space="preserve">:  </w:t>
      </w:r>
      <w:r w:rsidR="00367813" w:rsidRPr="00D44271">
        <w:rPr>
          <w:lang w:val="es-ES"/>
        </w:rPr>
        <w:t xml:space="preserve">el marco conceptual del proyecto;  la gestión del </w:t>
      </w:r>
      <w:r w:rsidR="00822F89" w:rsidRPr="00D44271">
        <w:rPr>
          <w:lang w:val="es-ES"/>
        </w:rPr>
        <w:t>mismo</w:t>
      </w:r>
      <w:r w:rsidR="00BC027B" w:rsidRPr="00D44271">
        <w:rPr>
          <w:lang w:val="es-ES"/>
        </w:rPr>
        <w:t>,</w:t>
      </w:r>
      <w:r w:rsidR="00367813" w:rsidRPr="00D44271">
        <w:rPr>
          <w:lang w:val="es-ES"/>
        </w:rPr>
        <w:t xml:space="preserve"> incluyendo</w:t>
      </w:r>
      <w:r w:rsidR="00822F89" w:rsidRPr="00D44271">
        <w:rPr>
          <w:lang w:val="es-ES"/>
        </w:rPr>
        <w:t xml:space="preserve"> las</w:t>
      </w:r>
      <w:r w:rsidR="00367813" w:rsidRPr="00D44271">
        <w:rPr>
          <w:lang w:val="es-ES"/>
        </w:rPr>
        <w:t xml:space="preserve"> herramientas de supervisión </w:t>
      </w:r>
      <w:r w:rsidRPr="00D44271">
        <w:rPr>
          <w:lang w:val="es-ES"/>
        </w:rPr>
        <w:t>y presentación de informes</w:t>
      </w:r>
      <w:r w:rsidR="00BC027B" w:rsidRPr="00D44271">
        <w:rPr>
          <w:lang w:val="es-ES"/>
        </w:rPr>
        <w:t>, así como</w:t>
      </w:r>
      <w:r w:rsidR="00367813" w:rsidRPr="00D44271">
        <w:rPr>
          <w:lang w:val="es-ES"/>
        </w:rPr>
        <w:t xml:space="preserve"> la medición y explicación de los resultados </w:t>
      </w:r>
      <w:r w:rsidR="00FC66D5" w:rsidRPr="00D44271">
        <w:rPr>
          <w:lang w:val="es-ES"/>
        </w:rPr>
        <w:t>logrados</w:t>
      </w:r>
      <w:r w:rsidR="00367813" w:rsidRPr="00D44271">
        <w:rPr>
          <w:lang w:val="es-ES"/>
        </w:rPr>
        <w:t xml:space="preserve"> hasta la fecha</w:t>
      </w:r>
      <w:r w:rsidR="00BC027B" w:rsidRPr="00D44271">
        <w:rPr>
          <w:lang w:val="es-ES"/>
        </w:rPr>
        <w:t xml:space="preserve">; </w:t>
      </w:r>
      <w:r w:rsidR="00367813" w:rsidRPr="00D44271">
        <w:rPr>
          <w:lang w:val="es-ES"/>
        </w:rPr>
        <w:t xml:space="preserve"> y la probabilidad de que los resultados obtenidos sean sostenibles</w:t>
      </w:r>
      <w:r w:rsidRPr="00D44271">
        <w:rPr>
          <w:lang w:val="es-ES"/>
        </w:rPr>
        <w:t xml:space="preserve">; y </w:t>
      </w:r>
    </w:p>
    <w:p w14:paraId="4CFFA9CF" w14:textId="6EEF5E58" w:rsidR="0028072A" w:rsidRPr="00D44271" w:rsidRDefault="00930B6C" w:rsidP="00930B6C">
      <w:pPr>
        <w:pStyle w:val="ONUME"/>
        <w:rPr>
          <w:lang w:val="es-ES"/>
        </w:rPr>
      </w:pPr>
      <w:r w:rsidRPr="00D44271">
        <w:rPr>
          <w:lang w:val="es-ES"/>
        </w:rPr>
        <w:t>Facilitar información de la evaluación con base empírica en apoyo del proceso de toma de decisiones del CDIP</w:t>
      </w:r>
      <w:r w:rsidR="0028072A" w:rsidRPr="00D44271">
        <w:rPr>
          <w:lang w:val="es-ES"/>
        </w:rPr>
        <w:t xml:space="preserve">. </w:t>
      </w:r>
    </w:p>
    <w:p w14:paraId="43141FF9" w14:textId="77777777" w:rsidR="00DD25ED" w:rsidRPr="00D44271" w:rsidRDefault="00DD25ED" w:rsidP="00DD25ED">
      <w:pPr>
        <w:pStyle w:val="ONUME"/>
        <w:numPr>
          <w:ilvl w:val="0"/>
          <w:numId w:val="0"/>
        </w:numPr>
        <w:spacing w:after="0"/>
        <w:ind w:left="567"/>
        <w:rPr>
          <w:lang w:val="es-ES"/>
        </w:rPr>
      </w:pPr>
    </w:p>
    <w:p w14:paraId="49903A2F" w14:textId="50BE0B76" w:rsidR="0028072A" w:rsidRPr="00D44271" w:rsidRDefault="007E01F2" w:rsidP="0028072A">
      <w:pPr>
        <w:rPr>
          <w:lang w:val="es-ES"/>
        </w:rPr>
      </w:pPr>
      <w:r w:rsidRPr="00D44271">
        <w:rPr>
          <w:lang w:val="es-ES"/>
        </w:rPr>
        <w:t>E</w:t>
      </w:r>
      <w:r w:rsidR="0028072A" w:rsidRPr="00D44271">
        <w:rPr>
          <w:lang w:val="es-ES"/>
        </w:rPr>
        <w:t>n particular</w:t>
      </w:r>
      <w:r w:rsidRPr="00D44271">
        <w:rPr>
          <w:lang w:val="es-ES"/>
        </w:rPr>
        <w:t xml:space="preserve">, la evaluación debía servir, si fuera posible, para valorar en qué medida </w:t>
      </w:r>
      <w:r w:rsidR="00103BFD" w:rsidRPr="00D44271">
        <w:rPr>
          <w:lang w:val="es-ES"/>
        </w:rPr>
        <w:t>el proyecto</w:t>
      </w:r>
      <w:r w:rsidR="00AF7140" w:rsidRPr="00D44271">
        <w:rPr>
          <w:lang w:val="es-ES"/>
        </w:rPr>
        <w:t xml:space="preserve"> ha</w:t>
      </w:r>
      <w:r w:rsidR="00822F89" w:rsidRPr="00D44271">
        <w:rPr>
          <w:lang w:val="es-ES"/>
        </w:rPr>
        <w:t>bría</w:t>
      </w:r>
      <w:r w:rsidR="00AF7140" w:rsidRPr="00D44271">
        <w:rPr>
          <w:lang w:val="es-ES"/>
        </w:rPr>
        <w:t xml:space="preserve"> sido decisivo para</w:t>
      </w:r>
      <w:r w:rsidR="0028072A" w:rsidRPr="00D44271">
        <w:rPr>
          <w:lang w:val="es-ES"/>
        </w:rPr>
        <w:t xml:space="preserve">: </w:t>
      </w:r>
    </w:p>
    <w:p w14:paraId="3D14ED53" w14:textId="77777777" w:rsidR="0028072A" w:rsidRPr="00D44271" w:rsidRDefault="0028072A" w:rsidP="0028072A">
      <w:pPr>
        <w:rPr>
          <w:lang w:val="es-ES"/>
        </w:rPr>
      </w:pPr>
    </w:p>
    <w:p w14:paraId="66E1513B" w14:textId="2D3B3ABF" w:rsidR="0028072A" w:rsidRPr="00D44271" w:rsidRDefault="00AF7140" w:rsidP="008534E1">
      <w:pPr>
        <w:pStyle w:val="ONUME"/>
        <w:numPr>
          <w:ilvl w:val="0"/>
          <w:numId w:val="68"/>
        </w:numPr>
        <w:rPr>
          <w:lang w:val="es-ES"/>
        </w:rPr>
      </w:pPr>
      <w:r w:rsidRPr="00D44271">
        <w:rPr>
          <w:lang w:val="es-ES"/>
        </w:rPr>
        <w:t xml:space="preserve">Mejorar el acceso a la información y a las tecnologías divulgadas en las publicaciones de patentes, y perfeccionar el conocimiento de las tendencias en materia de </w:t>
      </w:r>
      <w:proofErr w:type="spellStart"/>
      <w:r w:rsidRPr="00D44271">
        <w:rPr>
          <w:lang w:val="es-ES"/>
        </w:rPr>
        <w:t>patentamiento</w:t>
      </w:r>
      <w:proofErr w:type="spellEnd"/>
      <w:r w:rsidRPr="00D44271">
        <w:rPr>
          <w:lang w:val="es-ES"/>
        </w:rPr>
        <w:t xml:space="preserve"> en aquellos sectores tecnológicos específicos sobre los que vers</w:t>
      </w:r>
      <w:r w:rsidR="00822F89" w:rsidRPr="00D44271">
        <w:rPr>
          <w:lang w:val="es-ES"/>
        </w:rPr>
        <w:t>aran</w:t>
      </w:r>
      <w:r w:rsidRPr="00D44271">
        <w:rPr>
          <w:lang w:val="es-ES"/>
        </w:rPr>
        <w:t xml:space="preserve"> los informes </w:t>
      </w:r>
      <w:r w:rsidR="00C93736" w:rsidRPr="00D44271">
        <w:rPr>
          <w:rStyle w:val="hps"/>
          <w:lang w:val="es-ES"/>
        </w:rPr>
        <w:t>sobre</w:t>
      </w:r>
      <w:r w:rsidRPr="00D44271">
        <w:rPr>
          <w:rStyle w:val="hps"/>
          <w:lang w:val="es-ES"/>
        </w:rPr>
        <w:t xml:space="preserve"> la actividad de </w:t>
      </w:r>
      <w:proofErr w:type="spellStart"/>
      <w:r w:rsidRPr="00D44271">
        <w:rPr>
          <w:rStyle w:val="hps"/>
          <w:lang w:val="es-ES"/>
        </w:rPr>
        <w:t>patentamiento</w:t>
      </w:r>
      <w:proofErr w:type="spellEnd"/>
      <w:r w:rsidR="0028072A" w:rsidRPr="00D44271">
        <w:rPr>
          <w:lang w:val="es-ES"/>
        </w:rPr>
        <w:t xml:space="preserve">; </w:t>
      </w:r>
    </w:p>
    <w:p w14:paraId="3D32C438" w14:textId="0ACDD48E" w:rsidR="0028072A" w:rsidRPr="00D44271" w:rsidRDefault="00C93736" w:rsidP="008534E1">
      <w:pPr>
        <w:pStyle w:val="ONUME"/>
        <w:numPr>
          <w:ilvl w:val="0"/>
          <w:numId w:val="68"/>
        </w:numPr>
        <w:rPr>
          <w:lang w:val="es-ES"/>
        </w:rPr>
      </w:pPr>
      <w:r w:rsidRPr="00D44271">
        <w:rPr>
          <w:lang w:val="es-ES"/>
        </w:rPr>
        <w:t>Contribuir a mejorar la inf</w:t>
      </w:r>
      <w:r w:rsidR="00822F89" w:rsidRPr="00D44271">
        <w:rPr>
          <w:lang w:val="es-ES"/>
        </w:rPr>
        <w:t>ormación sobre la que se as</w:t>
      </w:r>
      <w:r w:rsidR="00137292">
        <w:rPr>
          <w:lang w:val="es-ES"/>
        </w:rPr>
        <w:t>entaran</w:t>
      </w:r>
      <w:r w:rsidRPr="00D44271">
        <w:rPr>
          <w:lang w:val="es-ES"/>
        </w:rPr>
        <w:t xml:space="preserve"> los debates políticos y las decisiones sobre I+D, inversiones y transferencias de tecnología en sectores relevantes; y </w:t>
      </w:r>
    </w:p>
    <w:p w14:paraId="5902EF9D" w14:textId="207DC6D4" w:rsidR="0028072A" w:rsidRPr="00D44271" w:rsidRDefault="003C2A99" w:rsidP="008534E1">
      <w:pPr>
        <w:pStyle w:val="ONUME"/>
        <w:numPr>
          <w:ilvl w:val="0"/>
          <w:numId w:val="68"/>
        </w:numPr>
        <w:spacing w:after="0"/>
        <w:rPr>
          <w:lang w:val="es-ES"/>
        </w:rPr>
      </w:pPr>
      <w:r w:rsidRPr="00D44271">
        <w:rPr>
          <w:lang w:val="es-ES"/>
        </w:rPr>
        <w:t>Fomentar</w:t>
      </w:r>
      <w:r w:rsidR="00C93736" w:rsidRPr="00D44271">
        <w:rPr>
          <w:lang w:val="es-ES"/>
        </w:rPr>
        <w:t xml:space="preserve"> la concienciación sobre la importancia de los </w:t>
      </w:r>
      <w:r w:rsidRPr="00D44271">
        <w:rPr>
          <w:lang w:val="es-ES"/>
        </w:rPr>
        <w:t>aspectos de P</w:t>
      </w:r>
      <w:r w:rsidR="00137292">
        <w:rPr>
          <w:lang w:val="es-ES"/>
        </w:rPr>
        <w:t>.</w:t>
      </w:r>
      <w:r w:rsidRPr="00D44271">
        <w:rPr>
          <w:lang w:val="es-ES"/>
        </w:rPr>
        <w:t>I</w:t>
      </w:r>
      <w:r w:rsidR="00137292">
        <w:rPr>
          <w:lang w:val="es-ES"/>
        </w:rPr>
        <w:t>.</w:t>
      </w:r>
      <w:r w:rsidRPr="00D44271">
        <w:rPr>
          <w:lang w:val="es-ES"/>
        </w:rPr>
        <w:t xml:space="preserve"> en los procesos de toma de decisiones sobre inversión en I+D, transferencia de tecnología y fabricación nacional, entre otros</w:t>
      </w:r>
      <w:r w:rsidR="0028072A" w:rsidRPr="00D44271">
        <w:rPr>
          <w:lang w:val="es-ES"/>
        </w:rPr>
        <w:t xml:space="preserve">. </w:t>
      </w:r>
    </w:p>
    <w:p w14:paraId="60AF3153" w14:textId="77777777" w:rsidR="0028072A" w:rsidRPr="00D44271" w:rsidRDefault="0028072A" w:rsidP="0028072A">
      <w:pPr>
        <w:rPr>
          <w:lang w:val="es-ES"/>
        </w:rPr>
      </w:pPr>
    </w:p>
    <w:p w14:paraId="6B9D9814" w14:textId="2DC44FD4" w:rsidR="0028072A" w:rsidRPr="00D44271" w:rsidRDefault="003C2A99" w:rsidP="0028072A">
      <w:pPr>
        <w:rPr>
          <w:lang w:val="es-ES"/>
        </w:rPr>
      </w:pPr>
      <w:r w:rsidRPr="00D44271">
        <w:rPr>
          <w:lang w:val="es-ES"/>
        </w:rPr>
        <w:t>El marco temporal del proyecto objeto de esta evaluación se estableció en 14 meses (de noviembre de 2012 a diciembre de</w:t>
      </w:r>
      <w:r w:rsidR="0028072A" w:rsidRPr="00D44271">
        <w:rPr>
          <w:lang w:val="es-ES"/>
        </w:rPr>
        <w:t xml:space="preserve"> 2013), </w:t>
      </w:r>
      <w:r w:rsidRPr="00D44271">
        <w:rPr>
          <w:lang w:val="es-ES"/>
        </w:rPr>
        <w:t xml:space="preserve">aunque debido a que algunas de las actividades más relevantes sobrepasaron dicha fecha, en la evaluación se contemplaron las actividades desarrolladas hasta mediados de agosto de 2014.  La evaluación propiamente dicha se realizó entre julio y septiembre de </w:t>
      </w:r>
      <w:r w:rsidR="0028072A" w:rsidRPr="00D44271">
        <w:rPr>
          <w:lang w:val="es-ES"/>
        </w:rPr>
        <w:t xml:space="preserve">2014. </w:t>
      </w:r>
    </w:p>
    <w:p w14:paraId="0E5298A4" w14:textId="77777777" w:rsidR="0028072A" w:rsidRPr="00D44271" w:rsidRDefault="0028072A" w:rsidP="0028072A">
      <w:pPr>
        <w:rPr>
          <w:lang w:val="es-ES"/>
        </w:rPr>
      </w:pPr>
    </w:p>
    <w:p w14:paraId="11B673BE" w14:textId="2962D894" w:rsidR="0028072A" w:rsidRPr="00D44271" w:rsidRDefault="00530BAA" w:rsidP="0028072A">
      <w:pPr>
        <w:rPr>
          <w:lang w:val="es-ES"/>
        </w:rPr>
      </w:pPr>
      <w:r w:rsidRPr="00D44271">
        <w:rPr>
          <w:lang w:val="es-ES"/>
        </w:rPr>
        <w:t>La evaluación consistió en un</w:t>
      </w:r>
      <w:r w:rsidR="008F4C57" w:rsidRPr="00D44271">
        <w:rPr>
          <w:lang w:val="es-ES"/>
        </w:rPr>
        <w:t xml:space="preserve">a evaluación externa e independiente.  La elección de la metodología respondió al deseo de alcanzar un equilibrio entre la necesidad de extraer </w:t>
      </w:r>
      <w:r w:rsidR="00A334FC" w:rsidRPr="00D44271">
        <w:rPr>
          <w:lang w:val="es-ES"/>
        </w:rPr>
        <w:t>enseñanzas</w:t>
      </w:r>
      <w:r w:rsidR="008F4C57" w:rsidRPr="00D44271">
        <w:rPr>
          <w:lang w:val="es-ES"/>
        </w:rPr>
        <w:t xml:space="preserve"> y la responsabilidad.  Con dicha finalidad, la evaluación </w:t>
      </w:r>
      <w:r w:rsidR="00133BF0" w:rsidRPr="00D44271">
        <w:rPr>
          <w:lang w:val="es-ES"/>
        </w:rPr>
        <w:t xml:space="preserve">fue </w:t>
      </w:r>
      <w:r w:rsidR="00F81C1B" w:rsidRPr="00D44271">
        <w:rPr>
          <w:lang w:val="es-ES"/>
        </w:rPr>
        <w:t>concebida</w:t>
      </w:r>
      <w:r w:rsidR="008F4C57" w:rsidRPr="00D44271">
        <w:rPr>
          <w:lang w:val="es-ES"/>
        </w:rPr>
        <w:t xml:space="preserve"> con un enfoque participativo, requiriendo la implicación e</w:t>
      </w:r>
      <w:r w:rsidR="00A334FC" w:rsidRPr="00D44271">
        <w:rPr>
          <w:lang w:val="es-ES"/>
        </w:rPr>
        <w:t>n el proceso de evaluación de la</w:t>
      </w:r>
      <w:r w:rsidR="008F4C57" w:rsidRPr="00D44271">
        <w:rPr>
          <w:lang w:val="es-ES"/>
        </w:rPr>
        <w:t xml:space="preserve">s </w:t>
      </w:r>
      <w:r w:rsidR="00A334FC" w:rsidRPr="00D44271">
        <w:rPr>
          <w:lang w:val="es-ES"/>
        </w:rPr>
        <w:t xml:space="preserve">personas que tuvieran alguna </w:t>
      </w:r>
      <w:r w:rsidR="008F4C57" w:rsidRPr="00D44271">
        <w:rPr>
          <w:lang w:val="es-ES"/>
        </w:rPr>
        <w:t>participa</w:t>
      </w:r>
      <w:r w:rsidR="00A334FC" w:rsidRPr="00D44271">
        <w:rPr>
          <w:lang w:val="es-ES"/>
        </w:rPr>
        <w:t xml:space="preserve">ción o interés </w:t>
      </w:r>
      <w:r w:rsidR="008F4C57" w:rsidRPr="00D44271">
        <w:rPr>
          <w:lang w:val="es-ES"/>
        </w:rPr>
        <w:t>en el proyecto</w:t>
      </w:r>
      <w:r w:rsidR="0028072A" w:rsidRPr="00D44271">
        <w:rPr>
          <w:lang w:val="es-ES"/>
        </w:rPr>
        <w:t xml:space="preserve">.  </w:t>
      </w:r>
    </w:p>
    <w:p w14:paraId="1F83014A" w14:textId="77777777" w:rsidR="0028072A" w:rsidRPr="00D44271" w:rsidRDefault="0028072A" w:rsidP="0028072A">
      <w:pPr>
        <w:rPr>
          <w:lang w:val="es-ES"/>
        </w:rPr>
      </w:pPr>
    </w:p>
    <w:p w14:paraId="002FB082" w14:textId="77777777" w:rsidR="00395AD1" w:rsidRDefault="00395AD1">
      <w:pPr>
        <w:rPr>
          <w:lang w:val="es-ES"/>
        </w:rPr>
      </w:pPr>
      <w:r>
        <w:rPr>
          <w:lang w:val="es-ES"/>
        </w:rPr>
        <w:br w:type="page"/>
      </w:r>
    </w:p>
    <w:p w14:paraId="7FD52F5F" w14:textId="27298DBF" w:rsidR="0028072A" w:rsidRPr="00D44271" w:rsidRDefault="00133BF0" w:rsidP="0028072A">
      <w:pPr>
        <w:rPr>
          <w:lang w:val="es-ES"/>
        </w:rPr>
      </w:pPr>
      <w:r w:rsidRPr="00D44271">
        <w:rPr>
          <w:lang w:val="es-ES"/>
        </w:rPr>
        <w:lastRenderedPageBreak/>
        <w:t xml:space="preserve">La metodología empleada en la evaluación </w:t>
      </w:r>
      <w:r w:rsidR="0001444A" w:rsidRPr="00D44271">
        <w:rPr>
          <w:lang w:val="es-ES"/>
        </w:rPr>
        <w:t>consistió en</w:t>
      </w:r>
      <w:r w:rsidR="0028072A" w:rsidRPr="00D44271">
        <w:rPr>
          <w:lang w:val="es-ES"/>
        </w:rPr>
        <w:t xml:space="preserve">: </w:t>
      </w:r>
    </w:p>
    <w:p w14:paraId="30875842" w14:textId="77777777" w:rsidR="0028072A" w:rsidRPr="00D44271" w:rsidRDefault="0028072A" w:rsidP="0028072A">
      <w:pPr>
        <w:rPr>
          <w:lang w:val="es-ES"/>
        </w:rPr>
      </w:pPr>
    </w:p>
    <w:p w14:paraId="5351A27C" w14:textId="05295F8B" w:rsidR="0028072A" w:rsidRPr="00D44271" w:rsidRDefault="00133BF0" w:rsidP="008534E1">
      <w:pPr>
        <w:pStyle w:val="ONUME"/>
        <w:numPr>
          <w:ilvl w:val="0"/>
          <w:numId w:val="69"/>
        </w:numPr>
        <w:rPr>
          <w:lang w:val="es-ES"/>
        </w:rPr>
      </w:pPr>
      <w:r w:rsidRPr="00D44271">
        <w:rPr>
          <w:lang w:val="es-ES"/>
        </w:rPr>
        <w:t>E</w:t>
      </w:r>
      <w:r w:rsidR="0001444A" w:rsidRPr="00D44271">
        <w:rPr>
          <w:lang w:val="es-ES"/>
        </w:rPr>
        <w:t>l e</w:t>
      </w:r>
      <w:r w:rsidRPr="00D44271">
        <w:rPr>
          <w:lang w:val="es-ES"/>
        </w:rPr>
        <w:t xml:space="preserve">xamen de la documentación pertinente relativa al proyecto, incluido el marco del proyecto, los informes de seguimiento, la evaluación del proyecto en Fase </w:t>
      </w:r>
      <w:r w:rsidRPr="00AE15F3">
        <w:rPr>
          <w:lang w:val="es-ES"/>
        </w:rPr>
        <w:t>I</w:t>
      </w:r>
      <w:r w:rsidRPr="00D44271">
        <w:rPr>
          <w:lang w:val="es-ES"/>
        </w:rPr>
        <w:t xml:space="preserve">, </w:t>
      </w:r>
      <w:r w:rsidR="0001444A" w:rsidRPr="00D44271">
        <w:rPr>
          <w:lang w:val="es-ES"/>
        </w:rPr>
        <w:t xml:space="preserve">la información sobre controles, los informes </w:t>
      </w:r>
      <w:r w:rsidR="00F81C1B" w:rsidRPr="00D44271">
        <w:rPr>
          <w:lang w:val="es-ES"/>
        </w:rPr>
        <w:t>sobre el</w:t>
      </w:r>
      <w:r w:rsidR="0001444A" w:rsidRPr="00D44271">
        <w:rPr>
          <w:lang w:val="es-ES"/>
        </w:rPr>
        <w:t xml:space="preserve"> gasto </w:t>
      </w:r>
      <w:r w:rsidR="007A6789" w:rsidRPr="00D44271">
        <w:rPr>
          <w:lang w:val="es-ES"/>
        </w:rPr>
        <w:t>presupuestado</w:t>
      </w:r>
      <w:r w:rsidR="0001444A" w:rsidRPr="00D44271">
        <w:rPr>
          <w:lang w:val="es-ES"/>
        </w:rPr>
        <w:t>, las entregas previstas en el proyecto, y demás documentación relevante</w:t>
      </w:r>
      <w:r w:rsidR="00137292">
        <w:rPr>
          <w:lang w:val="es-ES"/>
        </w:rPr>
        <w:t>,</w:t>
      </w:r>
      <w:r w:rsidR="0001444A" w:rsidRPr="00D44271">
        <w:rPr>
          <w:lang w:val="es-ES"/>
        </w:rPr>
        <w:t xml:space="preserve"> incluidos los informes de las </w:t>
      </w:r>
      <w:r w:rsidR="007A6789" w:rsidRPr="00D44271">
        <w:rPr>
          <w:lang w:val="es-ES"/>
        </w:rPr>
        <w:t>sesiones</w:t>
      </w:r>
      <w:r w:rsidR="0001444A" w:rsidRPr="00D44271">
        <w:rPr>
          <w:lang w:val="es-ES"/>
        </w:rPr>
        <w:t xml:space="preserve"> anteriores del </w:t>
      </w:r>
      <w:r w:rsidR="0028072A" w:rsidRPr="00D44271">
        <w:rPr>
          <w:lang w:val="es-ES"/>
        </w:rPr>
        <w:t>CDIP</w:t>
      </w:r>
      <w:r w:rsidR="007A6789" w:rsidRPr="00D44271">
        <w:rPr>
          <w:lang w:val="es-ES"/>
        </w:rPr>
        <w:t xml:space="preserve"> en las cuales el proyecto fue objeto de debate.  La relación de los documentos examinados está recogida en el </w:t>
      </w:r>
      <w:r w:rsidR="007A7D50" w:rsidRPr="00D44271">
        <w:rPr>
          <w:lang w:val="es-ES"/>
        </w:rPr>
        <w:t>Ap</w:t>
      </w:r>
      <w:r w:rsidR="007A6789" w:rsidRPr="00D44271">
        <w:rPr>
          <w:lang w:val="es-ES"/>
        </w:rPr>
        <w:t>éndice</w:t>
      </w:r>
      <w:r w:rsidR="0028072A" w:rsidRPr="00D44271">
        <w:rPr>
          <w:lang w:val="es-ES"/>
        </w:rPr>
        <w:t xml:space="preserve"> V.</w:t>
      </w:r>
    </w:p>
    <w:p w14:paraId="2D2FE32F" w14:textId="27DB507E" w:rsidR="0028072A" w:rsidRPr="00D44271" w:rsidRDefault="00A334FC" w:rsidP="008534E1">
      <w:pPr>
        <w:pStyle w:val="ONUME"/>
        <w:numPr>
          <w:ilvl w:val="0"/>
          <w:numId w:val="69"/>
        </w:numPr>
        <w:rPr>
          <w:lang w:val="es-ES"/>
        </w:rPr>
      </w:pPr>
      <w:r w:rsidRPr="00D44271">
        <w:rPr>
          <w:lang w:val="es-ES"/>
        </w:rPr>
        <w:t xml:space="preserve">Conversaciones informales con los integrantes del equipo del proyecto y con sus </w:t>
      </w:r>
      <w:r w:rsidR="00F81C1B" w:rsidRPr="00D44271">
        <w:rPr>
          <w:lang w:val="es-ES"/>
        </w:rPr>
        <w:t>directores</w:t>
      </w:r>
      <w:r w:rsidRPr="00D44271">
        <w:rPr>
          <w:lang w:val="es-ES"/>
        </w:rPr>
        <w:t xml:space="preserve">;  y </w:t>
      </w:r>
    </w:p>
    <w:p w14:paraId="12BAA800" w14:textId="0DEED765" w:rsidR="0028072A" w:rsidRPr="00D44271" w:rsidRDefault="00A334FC" w:rsidP="008534E1">
      <w:pPr>
        <w:pStyle w:val="ONUME"/>
        <w:numPr>
          <w:ilvl w:val="0"/>
          <w:numId w:val="69"/>
        </w:numPr>
        <w:rPr>
          <w:lang w:val="es-ES"/>
        </w:rPr>
      </w:pPr>
      <w:r w:rsidRPr="00D44271">
        <w:rPr>
          <w:lang w:val="es-ES"/>
        </w:rPr>
        <w:t xml:space="preserve">Entrevistas </w:t>
      </w:r>
      <w:proofErr w:type="spellStart"/>
      <w:r w:rsidRPr="00D44271">
        <w:rPr>
          <w:lang w:val="es-ES"/>
        </w:rPr>
        <w:t>semi</w:t>
      </w:r>
      <w:proofErr w:type="spellEnd"/>
      <w:r w:rsidRPr="00D44271">
        <w:rPr>
          <w:lang w:val="es-ES"/>
        </w:rPr>
        <w:t>-estructuradas con las personas que tuvieran alguna participación en el proyecto, incluyendo también a algunos socios externos y a determinadas divisiones colaboradoras de la OMPI.  En el Apéndice VI se recoge la lista de entrevistas realizadas.  Dichas entrevistas se realizaron bien personalmente bien por teléfono.</w:t>
      </w:r>
      <w:r w:rsidR="008702EE" w:rsidRPr="00D44271">
        <w:rPr>
          <w:lang w:val="es-ES"/>
        </w:rPr>
        <w:t xml:space="preserve">  El Apéndice VII del informe contiene más información sobre el proceso de entrevistas y sobre el cuestionario utilizado como guía </w:t>
      </w:r>
      <w:r w:rsidR="00F81C1B" w:rsidRPr="00D44271">
        <w:rPr>
          <w:lang w:val="es-ES"/>
        </w:rPr>
        <w:t>en</w:t>
      </w:r>
      <w:r w:rsidR="008702EE" w:rsidRPr="00D44271">
        <w:rPr>
          <w:lang w:val="es-ES"/>
        </w:rPr>
        <w:t xml:space="preserve"> las mismas</w:t>
      </w:r>
      <w:r w:rsidR="0028072A" w:rsidRPr="00D44271">
        <w:rPr>
          <w:lang w:val="es-ES"/>
        </w:rPr>
        <w:t xml:space="preserve">. </w:t>
      </w:r>
    </w:p>
    <w:p w14:paraId="291427C3" w14:textId="1EC9FCEF" w:rsidR="0028072A" w:rsidRPr="00D44271" w:rsidRDefault="008702EE" w:rsidP="0028072A">
      <w:pPr>
        <w:rPr>
          <w:lang w:val="es-ES"/>
        </w:rPr>
      </w:pPr>
      <w:r w:rsidRPr="00D44271">
        <w:rPr>
          <w:lang w:val="es-ES"/>
        </w:rPr>
        <w:t xml:space="preserve">La evaluación </w:t>
      </w:r>
      <w:r w:rsidR="0069311E" w:rsidRPr="00D44271">
        <w:rPr>
          <w:lang w:val="es-ES"/>
        </w:rPr>
        <w:t>versó sobre</w:t>
      </w:r>
      <w:r w:rsidRPr="00D44271">
        <w:rPr>
          <w:lang w:val="es-ES"/>
        </w:rPr>
        <w:t xml:space="preserve"> cuestiones atinentes a los siguientes aspectos:  diseño y gestión del proyecto;  relevancia;  eficacia;  sostenibilidad y </w:t>
      </w:r>
      <w:r w:rsidR="00B933FF" w:rsidRPr="00D44271">
        <w:rPr>
          <w:lang w:val="es-ES"/>
        </w:rPr>
        <w:t>cumplimiento</w:t>
      </w:r>
      <w:r w:rsidRPr="00D44271">
        <w:rPr>
          <w:lang w:val="es-ES"/>
        </w:rPr>
        <w:t xml:space="preserve"> de las Recomendaciones de la Agenda para el Desarrollo.  </w:t>
      </w:r>
      <w:r w:rsidR="0028072A" w:rsidRPr="00D44271">
        <w:rPr>
          <w:lang w:val="es-ES"/>
        </w:rPr>
        <w:t xml:space="preserve">  </w:t>
      </w:r>
    </w:p>
    <w:p w14:paraId="05461FF0" w14:textId="77777777" w:rsidR="0028072A" w:rsidRPr="00D44271" w:rsidRDefault="0028072A" w:rsidP="0028072A">
      <w:pPr>
        <w:rPr>
          <w:lang w:val="es-ES"/>
        </w:rPr>
      </w:pPr>
    </w:p>
    <w:p w14:paraId="31CDFF80" w14:textId="685CE19E" w:rsidR="0028072A" w:rsidRPr="00D44271" w:rsidRDefault="00B933FF" w:rsidP="0028072A">
      <w:pPr>
        <w:rPr>
          <w:lang w:val="es-ES"/>
        </w:rPr>
      </w:pPr>
      <w:r w:rsidRPr="00D44271">
        <w:rPr>
          <w:lang w:val="es-ES"/>
        </w:rPr>
        <w:t xml:space="preserve">Teniendo en cuenta tanto la definición del alcance y el propósito de la evaluación, como los objetivos del proyecto, se establecieron indicadores de rendimiento para cada una de las </w:t>
      </w:r>
      <w:r w:rsidR="0069311E" w:rsidRPr="00D44271">
        <w:rPr>
          <w:lang w:val="es-ES"/>
        </w:rPr>
        <w:t xml:space="preserve">citadas </w:t>
      </w:r>
      <w:r w:rsidRPr="00D44271">
        <w:rPr>
          <w:lang w:val="es-ES"/>
        </w:rPr>
        <w:t xml:space="preserve">cuestiones clave de la evaluación.  Dados el alcance y el propósito de la evaluación, así como la necesidad de analizar el modo y los motivos por los cuales el proyecto se desarrolló tal como lo hizo, dichos indicadores </w:t>
      </w:r>
      <w:r w:rsidR="0069311E" w:rsidRPr="00D44271">
        <w:rPr>
          <w:lang w:val="es-ES"/>
        </w:rPr>
        <w:t>confluyen en todo</w:t>
      </w:r>
      <w:r w:rsidRPr="00D44271">
        <w:rPr>
          <w:lang w:val="es-ES"/>
        </w:rPr>
        <w:t xml:space="preserve"> un</w:t>
      </w:r>
      <w:r w:rsidR="0069311E" w:rsidRPr="00D44271">
        <w:rPr>
          <w:lang w:val="es-ES"/>
        </w:rPr>
        <w:t xml:space="preserve"> conjunto </w:t>
      </w:r>
      <w:r w:rsidRPr="00D44271">
        <w:rPr>
          <w:lang w:val="es-ES"/>
        </w:rPr>
        <w:t xml:space="preserve">de indicadores sobre los procesos, </w:t>
      </w:r>
      <w:r w:rsidR="00816444" w:rsidRPr="00D44271">
        <w:rPr>
          <w:lang w:val="es-ES"/>
        </w:rPr>
        <w:t>productos</w:t>
      </w:r>
      <w:r w:rsidRPr="00D44271">
        <w:rPr>
          <w:lang w:val="es-ES"/>
        </w:rPr>
        <w:t xml:space="preserve"> e impactos.  </w:t>
      </w:r>
      <w:r w:rsidR="00A6584A" w:rsidRPr="00D44271">
        <w:rPr>
          <w:lang w:val="es-ES"/>
        </w:rPr>
        <w:t xml:space="preserve">Las cuestiones sometidas a evaluación y los indicadores del rendimiento </w:t>
      </w:r>
      <w:r w:rsidR="00F81C1B" w:rsidRPr="00D44271">
        <w:rPr>
          <w:lang w:val="es-ES"/>
        </w:rPr>
        <w:t>conforman una</w:t>
      </w:r>
      <w:r w:rsidR="00A6584A" w:rsidRPr="00D44271">
        <w:rPr>
          <w:lang w:val="es-ES"/>
        </w:rPr>
        <w:t xml:space="preserve"> matriz de evaluación que figura en el Apéndice IV del informe</w:t>
      </w:r>
      <w:r w:rsidR="0028072A" w:rsidRPr="00D44271">
        <w:rPr>
          <w:lang w:val="es-ES"/>
        </w:rPr>
        <w:t>.</w:t>
      </w:r>
    </w:p>
    <w:p w14:paraId="557EE73F" w14:textId="77777777" w:rsidR="0028072A" w:rsidRPr="00D44271" w:rsidRDefault="0028072A" w:rsidP="0028072A">
      <w:pPr>
        <w:rPr>
          <w:lang w:val="es-ES"/>
        </w:rPr>
      </w:pPr>
    </w:p>
    <w:p w14:paraId="6741A490" w14:textId="21E1DC8E" w:rsidR="00AB6C53" w:rsidRPr="00D44271" w:rsidRDefault="00171CAB" w:rsidP="00AB6C53">
      <w:pPr>
        <w:rPr>
          <w:b/>
          <w:lang w:val="es-ES"/>
        </w:rPr>
      </w:pPr>
      <w:r w:rsidRPr="00D44271">
        <w:rPr>
          <w:b/>
          <w:lang w:val="es-ES"/>
        </w:rPr>
        <w:t>Constataciones p</w:t>
      </w:r>
      <w:r w:rsidR="0069311E" w:rsidRPr="00D44271">
        <w:rPr>
          <w:b/>
          <w:lang w:val="es-ES"/>
        </w:rPr>
        <w:t xml:space="preserve">rincipales </w:t>
      </w:r>
    </w:p>
    <w:p w14:paraId="5BB44E41" w14:textId="77777777" w:rsidR="00AB6C53" w:rsidRPr="00D44271" w:rsidRDefault="00AB6C53" w:rsidP="00AB6C53">
      <w:pPr>
        <w:rPr>
          <w:b/>
          <w:lang w:val="es-ES"/>
        </w:rPr>
      </w:pPr>
    </w:p>
    <w:p w14:paraId="21049EF6" w14:textId="017C0AB1" w:rsidR="008A5B02" w:rsidRPr="00D44271" w:rsidRDefault="0069311E" w:rsidP="00AB6C53">
      <w:pPr>
        <w:rPr>
          <w:lang w:val="es-ES"/>
        </w:rPr>
      </w:pPr>
      <w:r w:rsidRPr="00D44271">
        <w:rPr>
          <w:lang w:val="es-ES"/>
        </w:rPr>
        <w:t xml:space="preserve">A continuación se exponen las principales </w:t>
      </w:r>
      <w:r w:rsidR="00171CAB" w:rsidRPr="00D44271">
        <w:rPr>
          <w:lang w:val="es-ES"/>
        </w:rPr>
        <w:t>constataciones</w:t>
      </w:r>
      <w:r w:rsidRPr="00D44271">
        <w:rPr>
          <w:lang w:val="es-ES"/>
        </w:rPr>
        <w:t xml:space="preserve"> en cada una de las categorías evaluadas</w:t>
      </w:r>
      <w:r w:rsidR="008A5B02" w:rsidRPr="00D44271">
        <w:rPr>
          <w:lang w:val="es-ES"/>
        </w:rPr>
        <w:t xml:space="preserve">: </w:t>
      </w:r>
    </w:p>
    <w:p w14:paraId="0EB12E8F" w14:textId="672A80C0" w:rsidR="00AB6C53" w:rsidRPr="00D44271" w:rsidRDefault="0069311E" w:rsidP="005F054C">
      <w:pPr>
        <w:spacing w:before="120" w:after="120"/>
        <w:rPr>
          <w:i/>
          <w:szCs w:val="22"/>
          <w:lang w:val="es-ES"/>
        </w:rPr>
      </w:pPr>
      <w:r w:rsidRPr="00D44271">
        <w:rPr>
          <w:i/>
          <w:szCs w:val="22"/>
          <w:lang w:val="es-ES"/>
        </w:rPr>
        <w:t>Diseño</w:t>
      </w:r>
      <w:r w:rsidR="00C6185B" w:rsidRPr="00D44271">
        <w:rPr>
          <w:i/>
          <w:szCs w:val="22"/>
          <w:lang w:val="es-ES"/>
        </w:rPr>
        <w:t xml:space="preserve"> y gestión del proyecto</w:t>
      </w:r>
    </w:p>
    <w:p w14:paraId="64DB9D7C" w14:textId="4E486BE0" w:rsidR="0083332F" w:rsidRPr="00D44271" w:rsidRDefault="00177BB6" w:rsidP="005F054C">
      <w:pPr>
        <w:numPr>
          <w:ilvl w:val="0"/>
          <w:numId w:val="12"/>
        </w:numPr>
        <w:spacing w:before="120" w:after="120"/>
        <w:rPr>
          <w:bCs/>
          <w:szCs w:val="22"/>
          <w:lang w:val="es-ES"/>
        </w:rPr>
      </w:pPr>
      <w:r w:rsidRPr="00D44271">
        <w:rPr>
          <w:bCs/>
          <w:szCs w:val="22"/>
          <w:lang w:val="es-ES"/>
        </w:rPr>
        <w:t>El proyecto fue demasiado ambicioso para el plazo inicialmente previsto de 14 meses, lo cual se puso de manifiesto</w:t>
      </w:r>
      <w:r w:rsidR="000C5C8B" w:rsidRPr="00D44271">
        <w:rPr>
          <w:bCs/>
          <w:szCs w:val="22"/>
          <w:lang w:val="es-ES"/>
        </w:rPr>
        <w:t xml:space="preserve"> con la continuación de las actividades de la Fase II en 2014, en el período post-Fase II.  Sin embargo, en origen, el proyecto había sido concebido con un plazo de ejecución mayor, si bien éste se vio recortado debido a la aprobación tardía del proyecto en noviembre de 2012, retrasada con respecto a lo previsto.</w:t>
      </w:r>
    </w:p>
    <w:p w14:paraId="5835934F" w14:textId="43AD4C59" w:rsidR="0083332F" w:rsidRPr="00D44271" w:rsidRDefault="001A5E13" w:rsidP="005F054C">
      <w:pPr>
        <w:numPr>
          <w:ilvl w:val="0"/>
          <w:numId w:val="12"/>
        </w:numPr>
        <w:spacing w:before="120" w:after="120"/>
        <w:rPr>
          <w:bCs/>
          <w:szCs w:val="22"/>
          <w:lang w:val="es-ES"/>
        </w:rPr>
      </w:pPr>
      <w:r w:rsidRPr="00D44271">
        <w:rPr>
          <w:bCs/>
          <w:szCs w:val="22"/>
          <w:lang w:val="es-ES"/>
        </w:rPr>
        <w:t xml:space="preserve">El hecho de que </w:t>
      </w:r>
      <w:r w:rsidR="004D1573" w:rsidRPr="00D44271">
        <w:rPr>
          <w:bCs/>
          <w:szCs w:val="22"/>
          <w:lang w:val="es-ES"/>
        </w:rPr>
        <w:t>se redu</w:t>
      </w:r>
      <w:r w:rsidR="00137292">
        <w:rPr>
          <w:bCs/>
          <w:szCs w:val="22"/>
          <w:lang w:val="es-ES"/>
        </w:rPr>
        <w:t>jer</w:t>
      </w:r>
      <w:r w:rsidR="004D1573" w:rsidRPr="00D44271">
        <w:rPr>
          <w:bCs/>
          <w:szCs w:val="22"/>
          <w:lang w:val="es-ES"/>
        </w:rPr>
        <w:t xml:space="preserve">a </w:t>
      </w:r>
      <w:r w:rsidR="000C5C8B" w:rsidRPr="00D44271">
        <w:rPr>
          <w:bCs/>
          <w:szCs w:val="22"/>
          <w:lang w:val="es-ES"/>
        </w:rPr>
        <w:t xml:space="preserve">el número de informes PLR </w:t>
      </w:r>
      <w:r w:rsidRPr="00D44271">
        <w:rPr>
          <w:bCs/>
          <w:szCs w:val="22"/>
          <w:lang w:val="es-ES"/>
        </w:rPr>
        <w:t>exigidos</w:t>
      </w:r>
      <w:r w:rsidR="000C5C8B" w:rsidRPr="00D44271">
        <w:rPr>
          <w:bCs/>
          <w:szCs w:val="22"/>
          <w:lang w:val="es-ES"/>
        </w:rPr>
        <w:t xml:space="preserve">, </w:t>
      </w:r>
      <w:r w:rsidRPr="00D44271">
        <w:rPr>
          <w:bCs/>
          <w:szCs w:val="22"/>
          <w:lang w:val="es-ES"/>
        </w:rPr>
        <w:t>aunque</w:t>
      </w:r>
      <w:r w:rsidR="004D1573" w:rsidRPr="00D44271">
        <w:rPr>
          <w:bCs/>
          <w:szCs w:val="22"/>
          <w:lang w:val="es-ES"/>
        </w:rPr>
        <w:t xml:space="preserve"> </w:t>
      </w:r>
      <w:r w:rsidRPr="00D44271">
        <w:rPr>
          <w:bCs/>
          <w:szCs w:val="22"/>
          <w:lang w:val="es-ES"/>
        </w:rPr>
        <w:t xml:space="preserve">sin duda </w:t>
      </w:r>
      <w:r w:rsidR="004D1573" w:rsidRPr="00D44271">
        <w:rPr>
          <w:bCs/>
          <w:szCs w:val="22"/>
          <w:lang w:val="es-ES"/>
        </w:rPr>
        <w:t>representa</w:t>
      </w:r>
      <w:r w:rsidR="00137292">
        <w:rPr>
          <w:bCs/>
          <w:szCs w:val="22"/>
          <w:lang w:val="es-ES"/>
        </w:rPr>
        <w:t>ría</w:t>
      </w:r>
      <w:r w:rsidR="004D1573" w:rsidRPr="00D44271">
        <w:rPr>
          <w:bCs/>
          <w:szCs w:val="22"/>
          <w:lang w:val="es-ES"/>
        </w:rPr>
        <w:t xml:space="preserve"> un cierto alivio, </w:t>
      </w:r>
      <w:r w:rsidRPr="00D44271">
        <w:rPr>
          <w:bCs/>
          <w:szCs w:val="22"/>
          <w:lang w:val="es-ES"/>
        </w:rPr>
        <w:t xml:space="preserve">no obsta para que </w:t>
      </w:r>
      <w:r w:rsidR="004D1573" w:rsidRPr="00D44271">
        <w:rPr>
          <w:bCs/>
          <w:szCs w:val="22"/>
          <w:lang w:val="es-ES"/>
        </w:rPr>
        <w:t xml:space="preserve">el tiempo </w:t>
      </w:r>
      <w:r w:rsidRPr="00D44271">
        <w:rPr>
          <w:bCs/>
          <w:szCs w:val="22"/>
          <w:lang w:val="es-ES"/>
        </w:rPr>
        <w:t>necesario</w:t>
      </w:r>
      <w:r w:rsidR="004D1573" w:rsidRPr="00D44271">
        <w:rPr>
          <w:bCs/>
          <w:szCs w:val="22"/>
          <w:lang w:val="es-ES"/>
        </w:rPr>
        <w:t xml:space="preserve"> para redactar un único informe PLR sig</w:t>
      </w:r>
      <w:r w:rsidRPr="00D44271">
        <w:rPr>
          <w:bCs/>
          <w:szCs w:val="22"/>
          <w:lang w:val="es-ES"/>
        </w:rPr>
        <w:t>a</w:t>
      </w:r>
      <w:r w:rsidR="004D1573" w:rsidRPr="00D44271">
        <w:rPr>
          <w:bCs/>
          <w:szCs w:val="22"/>
          <w:lang w:val="es-ES"/>
        </w:rPr>
        <w:t xml:space="preserve"> siendo igual de largo, </w:t>
      </w:r>
      <w:r w:rsidRPr="00D44271">
        <w:rPr>
          <w:bCs/>
          <w:szCs w:val="22"/>
          <w:lang w:val="es-ES"/>
        </w:rPr>
        <w:t>desde la identificación de</w:t>
      </w:r>
      <w:r w:rsidR="00137292">
        <w:rPr>
          <w:bCs/>
          <w:szCs w:val="22"/>
          <w:lang w:val="es-ES"/>
        </w:rPr>
        <w:t>l objeto</w:t>
      </w:r>
      <w:r w:rsidRPr="00D44271">
        <w:rPr>
          <w:bCs/>
          <w:szCs w:val="22"/>
          <w:lang w:val="es-ES"/>
        </w:rPr>
        <w:t>, pasando por el desarrollo de las colaboraciones con terceros</w:t>
      </w:r>
      <w:r w:rsidR="00137292">
        <w:rPr>
          <w:bCs/>
          <w:szCs w:val="22"/>
          <w:lang w:val="es-ES"/>
        </w:rPr>
        <w:t xml:space="preserve"> y</w:t>
      </w:r>
      <w:r w:rsidRPr="00D44271">
        <w:rPr>
          <w:bCs/>
          <w:szCs w:val="22"/>
          <w:lang w:val="es-ES"/>
        </w:rPr>
        <w:t xml:space="preserve"> el </w:t>
      </w:r>
      <w:r w:rsidR="00F81C1B" w:rsidRPr="00D44271">
        <w:rPr>
          <w:bCs/>
          <w:szCs w:val="22"/>
          <w:lang w:val="es-ES"/>
        </w:rPr>
        <w:t>proceso</w:t>
      </w:r>
      <w:r w:rsidRPr="00D44271">
        <w:rPr>
          <w:bCs/>
          <w:szCs w:val="22"/>
          <w:lang w:val="es-ES"/>
        </w:rPr>
        <w:t xml:space="preserve"> de contratación pública, hasta la publicación y difusión</w:t>
      </w:r>
      <w:r w:rsidR="0083332F" w:rsidRPr="00D44271">
        <w:rPr>
          <w:bCs/>
          <w:szCs w:val="22"/>
          <w:lang w:val="es-ES"/>
        </w:rPr>
        <w:t xml:space="preserve">.  </w:t>
      </w:r>
    </w:p>
    <w:p w14:paraId="5E50B91E" w14:textId="30E3CD03" w:rsidR="002D2D64" w:rsidRPr="00D44271" w:rsidRDefault="001A5E13" w:rsidP="005F054C">
      <w:pPr>
        <w:numPr>
          <w:ilvl w:val="0"/>
          <w:numId w:val="12"/>
        </w:numPr>
        <w:spacing w:before="120" w:after="120"/>
        <w:rPr>
          <w:bCs/>
          <w:szCs w:val="22"/>
          <w:lang w:val="es-ES"/>
        </w:rPr>
      </w:pPr>
      <w:r w:rsidRPr="00D44271">
        <w:rPr>
          <w:bCs/>
          <w:szCs w:val="22"/>
          <w:lang w:val="es-ES"/>
        </w:rPr>
        <w:t>E</w:t>
      </w:r>
      <w:r w:rsidR="00754946" w:rsidRPr="00D44271">
        <w:rPr>
          <w:bCs/>
          <w:szCs w:val="22"/>
          <w:lang w:val="es-ES"/>
        </w:rPr>
        <w:t xml:space="preserve">n </w:t>
      </w:r>
      <w:r w:rsidR="00816444" w:rsidRPr="00D44271">
        <w:rPr>
          <w:bCs/>
          <w:szCs w:val="22"/>
          <w:lang w:val="es-ES"/>
        </w:rPr>
        <w:t>el</w:t>
      </w:r>
      <w:r w:rsidR="00754946" w:rsidRPr="00D44271">
        <w:rPr>
          <w:bCs/>
          <w:szCs w:val="22"/>
          <w:lang w:val="es-ES"/>
        </w:rPr>
        <w:t xml:space="preserve"> document</w:t>
      </w:r>
      <w:r w:rsidR="00816444" w:rsidRPr="00D44271">
        <w:rPr>
          <w:bCs/>
          <w:szCs w:val="22"/>
          <w:lang w:val="es-ES"/>
        </w:rPr>
        <w:t>o</w:t>
      </w:r>
      <w:r w:rsidR="00754946" w:rsidRPr="00D44271">
        <w:rPr>
          <w:bCs/>
          <w:szCs w:val="22"/>
          <w:lang w:val="es-ES"/>
        </w:rPr>
        <w:t xml:space="preserve"> </w:t>
      </w:r>
      <w:r w:rsidR="00816444" w:rsidRPr="00D44271">
        <w:rPr>
          <w:bCs/>
          <w:szCs w:val="22"/>
          <w:lang w:val="es-ES"/>
        </w:rPr>
        <w:t>inicial</w:t>
      </w:r>
      <w:r w:rsidRPr="00D44271">
        <w:rPr>
          <w:bCs/>
          <w:szCs w:val="22"/>
          <w:lang w:val="es-ES"/>
        </w:rPr>
        <w:t xml:space="preserve"> del proyecto</w:t>
      </w:r>
      <w:r w:rsidR="00754946" w:rsidRPr="00D44271">
        <w:rPr>
          <w:bCs/>
          <w:szCs w:val="22"/>
          <w:lang w:val="es-ES"/>
        </w:rPr>
        <w:t xml:space="preserve"> se incluyó una breve descripción del mismo, la identificación de sus objetivos y principales resultados esperados, una planificación de las entregas, una estrategia en materia de riesgos y </w:t>
      </w:r>
      <w:r w:rsidR="00816444" w:rsidRPr="00D44271">
        <w:rPr>
          <w:bCs/>
          <w:szCs w:val="22"/>
          <w:lang w:val="es-ES"/>
        </w:rPr>
        <w:t>mitigación</w:t>
      </w:r>
      <w:r w:rsidR="00F81C1B" w:rsidRPr="00D44271">
        <w:rPr>
          <w:bCs/>
          <w:szCs w:val="22"/>
          <w:lang w:val="es-ES"/>
        </w:rPr>
        <w:t xml:space="preserve"> de riesgos</w:t>
      </w:r>
      <w:r w:rsidR="00754946" w:rsidRPr="00D44271">
        <w:rPr>
          <w:bCs/>
          <w:szCs w:val="22"/>
          <w:lang w:val="es-ES"/>
        </w:rPr>
        <w:t xml:space="preserve">, una estrategia para la revisión del proyecto, </w:t>
      </w:r>
      <w:r w:rsidR="00FB27A3" w:rsidRPr="00D44271">
        <w:rPr>
          <w:bCs/>
          <w:szCs w:val="22"/>
          <w:lang w:val="es-ES"/>
        </w:rPr>
        <w:t>el calendario</w:t>
      </w:r>
      <w:r w:rsidR="00754946" w:rsidRPr="00D44271">
        <w:rPr>
          <w:bCs/>
          <w:szCs w:val="22"/>
          <w:lang w:val="es-ES"/>
        </w:rPr>
        <w:t xml:space="preserve"> y el presupuesto</w:t>
      </w:r>
      <w:r w:rsidR="0083332F" w:rsidRPr="00D44271">
        <w:rPr>
          <w:bCs/>
          <w:szCs w:val="22"/>
          <w:lang w:val="es-ES"/>
        </w:rPr>
        <w:t xml:space="preserve">. </w:t>
      </w:r>
    </w:p>
    <w:p w14:paraId="3DF2938F" w14:textId="6DF51A53" w:rsidR="00AB6C53" w:rsidRPr="00D44271" w:rsidRDefault="00BB3280" w:rsidP="005F054C">
      <w:pPr>
        <w:numPr>
          <w:ilvl w:val="0"/>
          <w:numId w:val="12"/>
        </w:numPr>
        <w:spacing w:before="120" w:after="120"/>
        <w:rPr>
          <w:bCs/>
          <w:szCs w:val="22"/>
          <w:lang w:val="es-ES"/>
        </w:rPr>
      </w:pPr>
      <w:r w:rsidRPr="00D44271">
        <w:rPr>
          <w:bCs/>
          <w:szCs w:val="22"/>
          <w:lang w:val="es-ES"/>
        </w:rPr>
        <w:t xml:space="preserve">Tal como se recomendó </w:t>
      </w:r>
      <w:r w:rsidR="00754946" w:rsidRPr="00D44271">
        <w:rPr>
          <w:bCs/>
          <w:szCs w:val="22"/>
          <w:lang w:val="es-ES"/>
        </w:rPr>
        <w:t>durante la evaluación de la Fase I (</w:t>
      </w:r>
      <w:r w:rsidRPr="00D44271">
        <w:rPr>
          <w:bCs/>
          <w:szCs w:val="22"/>
          <w:lang w:val="es-ES"/>
        </w:rPr>
        <w:t>si bien téngase en cuenta que el equipo del proyecto no tuvo acceso al informe de evaluación al tiempo en que se elaboró la propuesta de proyecto</w:t>
      </w:r>
      <w:r w:rsidR="00754946" w:rsidRPr="00D44271">
        <w:rPr>
          <w:bCs/>
          <w:szCs w:val="22"/>
          <w:lang w:val="es-ES"/>
        </w:rPr>
        <w:t>), el proyecto podr</w:t>
      </w:r>
      <w:r w:rsidRPr="00D44271">
        <w:rPr>
          <w:bCs/>
          <w:szCs w:val="22"/>
          <w:lang w:val="es-ES"/>
        </w:rPr>
        <w:t xml:space="preserve">ía haberse visto mejorado en su diseño </w:t>
      </w:r>
      <w:r w:rsidR="00754946" w:rsidRPr="00D44271">
        <w:rPr>
          <w:bCs/>
          <w:szCs w:val="22"/>
          <w:lang w:val="es-ES"/>
        </w:rPr>
        <w:lastRenderedPageBreak/>
        <w:t xml:space="preserve">mediante la inclusión de indicadores de nivel de impacto, </w:t>
      </w:r>
      <w:r w:rsidRPr="00D44271">
        <w:rPr>
          <w:bCs/>
          <w:szCs w:val="22"/>
          <w:lang w:val="es-ES"/>
        </w:rPr>
        <w:t>un presupuesto basado en resultados y una graduación de los riesgos en función de su grado de potencial impacto negativo y de su probabilidad de materialización</w:t>
      </w:r>
      <w:r w:rsidR="0083332F" w:rsidRPr="00D44271">
        <w:rPr>
          <w:bCs/>
          <w:szCs w:val="22"/>
          <w:lang w:val="es-ES"/>
        </w:rPr>
        <w:t xml:space="preserve">.  </w:t>
      </w:r>
    </w:p>
    <w:p w14:paraId="718CFA9E" w14:textId="08640096" w:rsidR="0083332F" w:rsidRPr="00D44271" w:rsidRDefault="00BB3280" w:rsidP="008534E1">
      <w:pPr>
        <w:numPr>
          <w:ilvl w:val="0"/>
          <w:numId w:val="61"/>
        </w:numPr>
        <w:spacing w:before="120" w:after="120"/>
        <w:rPr>
          <w:bCs/>
          <w:szCs w:val="22"/>
          <w:lang w:val="es-ES"/>
        </w:rPr>
      </w:pPr>
      <w:r w:rsidRPr="00D44271">
        <w:rPr>
          <w:bCs/>
          <w:szCs w:val="22"/>
          <w:lang w:val="es-ES"/>
        </w:rPr>
        <w:t xml:space="preserve">Las herramientas de supervisión, autoevaluación y emisión de informes fueron las adecuadas teniendo en cuenta la duración y complejidad del proyecto.  </w:t>
      </w:r>
      <w:r w:rsidR="0083332F" w:rsidRPr="00D44271">
        <w:rPr>
          <w:bCs/>
          <w:szCs w:val="22"/>
          <w:lang w:val="es-ES"/>
        </w:rPr>
        <w:t xml:space="preserve"> </w:t>
      </w:r>
    </w:p>
    <w:p w14:paraId="48777BC7" w14:textId="435C2B66" w:rsidR="0083332F" w:rsidRPr="00D44271" w:rsidRDefault="00572609" w:rsidP="008534E1">
      <w:pPr>
        <w:numPr>
          <w:ilvl w:val="0"/>
          <w:numId w:val="61"/>
        </w:numPr>
        <w:spacing w:before="120" w:after="120"/>
        <w:rPr>
          <w:bCs/>
          <w:szCs w:val="22"/>
          <w:lang w:val="es-ES"/>
        </w:rPr>
      </w:pPr>
      <w:r w:rsidRPr="00D44271">
        <w:rPr>
          <w:bCs/>
          <w:szCs w:val="22"/>
          <w:lang w:val="es-ES"/>
        </w:rPr>
        <w:t>En la propuesta de proyecto se incluyó un presupuesto básico, que fue complementado con un presupuesto basado en resultados a la conclusión del proyecto</w:t>
      </w:r>
      <w:r w:rsidR="0083332F" w:rsidRPr="00D44271">
        <w:rPr>
          <w:bCs/>
          <w:szCs w:val="22"/>
          <w:lang w:val="es-ES"/>
        </w:rPr>
        <w:t xml:space="preserve">. </w:t>
      </w:r>
    </w:p>
    <w:p w14:paraId="2AD46F37" w14:textId="51594F0B" w:rsidR="0083332F" w:rsidRPr="00D44271" w:rsidRDefault="00572609" w:rsidP="008534E1">
      <w:pPr>
        <w:numPr>
          <w:ilvl w:val="0"/>
          <w:numId w:val="61"/>
        </w:numPr>
        <w:spacing w:before="120" w:after="120"/>
        <w:rPr>
          <w:bCs/>
          <w:szCs w:val="22"/>
          <w:lang w:val="es-ES"/>
        </w:rPr>
      </w:pPr>
      <w:r w:rsidRPr="00D44271">
        <w:rPr>
          <w:bCs/>
          <w:szCs w:val="22"/>
          <w:lang w:val="es-ES"/>
        </w:rPr>
        <w:t>Los indicadores relativos al objetivo y al resultado del proyecto</w:t>
      </w:r>
      <w:r w:rsidR="009A37DE" w:rsidRPr="00D44271">
        <w:rPr>
          <w:bCs/>
          <w:szCs w:val="22"/>
          <w:lang w:val="es-ES"/>
        </w:rPr>
        <w:t>,</w:t>
      </w:r>
      <w:r w:rsidRPr="00D44271">
        <w:rPr>
          <w:bCs/>
          <w:szCs w:val="22"/>
          <w:lang w:val="es-ES"/>
        </w:rPr>
        <w:t xml:space="preserve"> integrados en la estrategia de supervisión y evaluación</w:t>
      </w:r>
      <w:r w:rsidR="009A37DE" w:rsidRPr="00D44271">
        <w:rPr>
          <w:bCs/>
          <w:szCs w:val="22"/>
          <w:lang w:val="es-ES"/>
        </w:rPr>
        <w:t>, fueron lógicos y adecuados, aunque no quedaron siempre directamente reflejados en las encuestas de evaluación e informes de progreso intermedios</w:t>
      </w:r>
      <w:r w:rsidR="0083332F" w:rsidRPr="00D44271">
        <w:rPr>
          <w:bCs/>
          <w:szCs w:val="22"/>
          <w:lang w:val="es-ES"/>
        </w:rPr>
        <w:t xml:space="preserve">.  </w:t>
      </w:r>
    </w:p>
    <w:p w14:paraId="32BB565D" w14:textId="3B5AEBB8" w:rsidR="0083332F" w:rsidRPr="00D44271" w:rsidRDefault="009A37DE" w:rsidP="008534E1">
      <w:pPr>
        <w:numPr>
          <w:ilvl w:val="0"/>
          <w:numId w:val="61"/>
        </w:numPr>
        <w:spacing w:before="120" w:after="120"/>
        <w:rPr>
          <w:bCs/>
          <w:szCs w:val="22"/>
          <w:lang w:val="es-ES"/>
        </w:rPr>
      </w:pPr>
      <w:r w:rsidRPr="00D44271">
        <w:rPr>
          <w:bCs/>
          <w:szCs w:val="22"/>
          <w:lang w:val="es-ES"/>
        </w:rPr>
        <w:t>El proyecto se podría haber visto reforzado en su diseño con la implantación de indicadores de nivel de impacto, si bien tales indicadores resultan difíciles de administrar en el contexto de un proyecto de duración limitada</w:t>
      </w:r>
      <w:r w:rsidR="0083332F" w:rsidRPr="00D44271">
        <w:rPr>
          <w:bCs/>
          <w:szCs w:val="22"/>
          <w:lang w:val="es-ES"/>
        </w:rPr>
        <w:t xml:space="preserve">. </w:t>
      </w:r>
    </w:p>
    <w:p w14:paraId="57ED0F44" w14:textId="4F68A075" w:rsidR="0083332F" w:rsidRPr="00D44271" w:rsidRDefault="003039B7" w:rsidP="008534E1">
      <w:pPr>
        <w:numPr>
          <w:ilvl w:val="0"/>
          <w:numId w:val="61"/>
        </w:numPr>
        <w:spacing w:before="120" w:after="120"/>
        <w:rPr>
          <w:bCs/>
          <w:szCs w:val="22"/>
          <w:lang w:val="es-ES"/>
        </w:rPr>
      </w:pPr>
      <w:r w:rsidRPr="00D44271">
        <w:rPr>
          <w:bCs/>
          <w:szCs w:val="22"/>
          <w:lang w:val="es-ES"/>
        </w:rPr>
        <w:t xml:space="preserve">Aunque el equipo del proyecto realizó encuestas entre los participantes en las conferencias regionales, pudo contabilizar las visitas a los sitios web y extraer estadísticas para los informes </w:t>
      </w:r>
      <w:r w:rsidR="0083332F" w:rsidRPr="00D44271">
        <w:rPr>
          <w:bCs/>
          <w:szCs w:val="22"/>
          <w:lang w:val="es-ES"/>
        </w:rPr>
        <w:t xml:space="preserve">PLR, </w:t>
      </w:r>
      <w:r w:rsidRPr="00D44271">
        <w:rPr>
          <w:bCs/>
          <w:szCs w:val="22"/>
          <w:lang w:val="es-ES"/>
        </w:rPr>
        <w:t xml:space="preserve">no le fue posible sin embargo recopilar información de usuarios más detallada </w:t>
      </w:r>
      <w:r w:rsidR="00E6356E" w:rsidRPr="00D44271">
        <w:rPr>
          <w:bCs/>
          <w:szCs w:val="22"/>
          <w:lang w:val="es-ES"/>
        </w:rPr>
        <w:t>sobre</w:t>
      </w:r>
      <w:r w:rsidRPr="00D44271">
        <w:rPr>
          <w:bCs/>
          <w:szCs w:val="22"/>
          <w:lang w:val="es-ES"/>
        </w:rPr>
        <w:t xml:space="preserve"> la utilización de los </w:t>
      </w:r>
      <w:r w:rsidR="00E6356E" w:rsidRPr="00D44271">
        <w:rPr>
          <w:bCs/>
          <w:szCs w:val="22"/>
          <w:lang w:val="es-ES"/>
        </w:rPr>
        <w:t xml:space="preserve">informes </w:t>
      </w:r>
      <w:r w:rsidR="0083332F" w:rsidRPr="00D44271">
        <w:rPr>
          <w:bCs/>
          <w:szCs w:val="22"/>
          <w:lang w:val="es-ES"/>
        </w:rPr>
        <w:t>PLR</w:t>
      </w:r>
      <w:r w:rsidRPr="00D44271">
        <w:rPr>
          <w:bCs/>
          <w:szCs w:val="22"/>
          <w:lang w:val="es-ES"/>
        </w:rPr>
        <w:t xml:space="preserve">, </w:t>
      </w:r>
      <w:r w:rsidR="00E6356E" w:rsidRPr="00D44271">
        <w:rPr>
          <w:bCs/>
          <w:szCs w:val="22"/>
          <w:lang w:val="es-ES"/>
        </w:rPr>
        <w:t>debido a que la práctica de la OMPI en materia de recopilación de información no permite realizar consultas en profundidad sobre datos de usuarios</w:t>
      </w:r>
      <w:r w:rsidR="0083332F" w:rsidRPr="00D44271">
        <w:rPr>
          <w:bCs/>
          <w:szCs w:val="22"/>
          <w:lang w:val="es-ES"/>
        </w:rPr>
        <w:t xml:space="preserve">. </w:t>
      </w:r>
    </w:p>
    <w:p w14:paraId="3D1BF02F" w14:textId="1A4E1468" w:rsidR="0083332F" w:rsidRPr="00D44271" w:rsidRDefault="00E6356E" w:rsidP="008534E1">
      <w:pPr>
        <w:numPr>
          <w:ilvl w:val="0"/>
          <w:numId w:val="61"/>
        </w:numPr>
        <w:spacing w:before="120" w:after="120"/>
        <w:rPr>
          <w:bCs/>
          <w:szCs w:val="22"/>
          <w:lang w:val="es-ES"/>
        </w:rPr>
      </w:pPr>
      <w:r w:rsidRPr="00D44271">
        <w:rPr>
          <w:bCs/>
          <w:szCs w:val="22"/>
          <w:lang w:val="es-ES"/>
        </w:rPr>
        <w:t>El nivel de respuesta</w:t>
      </w:r>
      <w:r w:rsidR="009916A2" w:rsidRPr="00D44271">
        <w:rPr>
          <w:bCs/>
          <w:szCs w:val="22"/>
          <w:lang w:val="es-ES"/>
        </w:rPr>
        <w:t xml:space="preserve"> que</w:t>
      </w:r>
      <w:r w:rsidRPr="00D44271">
        <w:rPr>
          <w:bCs/>
          <w:szCs w:val="22"/>
          <w:lang w:val="es-ES"/>
        </w:rPr>
        <w:t xml:space="preserve">, en este proyecto, </w:t>
      </w:r>
      <w:r w:rsidR="009916A2" w:rsidRPr="00D44271">
        <w:rPr>
          <w:bCs/>
          <w:szCs w:val="22"/>
          <w:lang w:val="es-ES"/>
        </w:rPr>
        <w:t xml:space="preserve">se </w:t>
      </w:r>
      <w:r w:rsidR="00582A32" w:rsidRPr="00D44271">
        <w:rPr>
          <w:bCs/>
          <w:szCs w:val="22"/>
          <w:lang w:val="es-ES"/>
        </w:rPr>
        <w:t>dio</w:t>
      </w:r>
      <w:r w:rsidR="009916A2" w:rsidRPr="00D44271">
        <w:rPr>
          <w:bCs/>
          <w:szCs w:val="22"/>
          <w:lang w:val="es-ES"/>
        </w:rPr>
        <w:t xml:space="preserve"> </w:t>
      </w:r>
      <w:r w:rsidRPr="00D44271">
        <w:rPr>
          <w:bCs/>
          <w:szCs w:val="22"/>
          <w:lang w:val="es-ES"/>
        </w:rPr>
        <w:t>a las recomendaciones emitidas en la evaluación de la Fase I, figura descrito con detalle en el Apéndice I del informe</w:t>
      </w:r>
      <w:r w:rsidR="0083332F" w:rsidRPr="00D44271">
        <w:rPr>
          <w:bCs/>
          <w:szCs w:val="22"/>
          <w:lang w:val="es-ES"/>
        </w:rPr>
        <w:t xml:space="preserve">. </w:t>
      </w:r>
    </w:p>
    <w:p w14:paraId="73DA125D" w14:textId="7BE09585" w:rsidR="0083332F" w:rsidRPr="00D44271" w:rsidRDefault="00654A86" w:rsidP="008534E1">
      <w:pPr>
        <w:keepNext/>
        <w:numPr>
          <w:ilvl w:val="0"/>
          <w:numId w:val="61"/>
        </w:numPr>
        <w:spacing w:before="120" w:after="120"/>
        <w:rPr>
          <w:bCs/>
          <w:szCs w:val="22"/>
          <w:lang w:val="es-ES"/>
        </w:rPr>
      </w:pPr>
      <w:r w:rsidRPr="00D44271">
        <w:rPr>
          <w:bCs/>
          <w:szCs w:val="22"/>
          <w:lang w:val="es-ES"/>
        </w:rPr>
        <w:t>De manera resumida, cabe destacar que</w:t>
      </w:r>
      <w:r w:rsidR="0083332F" w:rsidRPr="00D44271">
        <w:rPr>
          <w:bCs/>
          <w:szCs w:val="22"/>
          <w:lang w:val="es-ES"/>
        </w:rPr>
        <w:t>:</w:t>
      </w:r>
    </w:p>
    <w:p w14:paraId="0FFF6B14" w14:textId="08FD7B7B" w:rsidR="0083332F" w:rsidRPr="00D44271" w:rsidRDefault="0083332F" w:rsidP="008534E1">
      <w:pPr>
        <w:keepNext/>
        <w:numPr>
          <w:ilvl w:val="1"/>
          <w:numId w:val="61"/>
        </w:numPr>
        <w:spacing w:before="120" w:after="120"/>
        <w:rPr>
          <w:bCs/>
          <w:szCs w:val="22"/>
          <w:lang w:val="es-ES"/>
        </w:rPr>
      </w:pPr>
      <w:r w:rsidRPr="00D44271">
        <w:rPr>
          <w:bCs/>
          <w:szCs w:val="22"/>
          <w:lang w:val="es-ES"/>
        </w:rPr>
        <w:t>A</w:t>
      </w:r>
      <w:r w:rsidR="00654A86" w:rsidRPr="00D44271">
        <w:rPr>
          <w:bCs/>
          <w:szCs w:val="22"/>
          <w:lang w:val="es-ES"/>
        </w:rPr>
        <w:t xml:space="preserve">unque </w:t>
      </w:r>
      <w:r w:rsidR="00AE57B8" w:rsidRPr="00D44271">
        <w:rPr>
          <w:bCs/>
          <w:szCs w:val="22"/>
          <w:lang w:val="es-ES"/>
        </w:rPr>
        <w:t xml:space="preserve">en </w:t>
      </w:r>
      <w:r w:rsidR="00654A86" w:rsidRPr="00D44271">
        <w:rPr>
          <w:bCs/>
          <w:szCs w:val="22"/>
          <w:lang w:val="es-ES"/>
        </w:rPr>
        <w:t>la propuesta de proyecto</w:t>
      </w:r>
      <w:r w:rsidR="00AE57B8" w:rsidRPr="00D44271">
        <w:rPr>
          <w:bCs/>
          <w:szCs w:val="22"/>
          <w:lang w:val="es-ES"/>
        </w:rPr>
        <w:t xml:space="preserve"> no figuraron reflejados varios sub-elementos de las Recomendaciones 1 y 2 relativas a la estructura y al contenido de la propuesta de proyecto y de los informes de autoevaluación, esto puede atribuirse en parte al factor temporal que afectó tanto al informe de evaluación como a la elaboración y presentación de la propuesta de la Fase II del proyecto – ya que </w:t>
      </w:r>
      <w:r w:rsidR="00816444" w:rsidRPr="00D44271">
        <w:rPr>
          <w:bCs/>
          <w:szCs w:val="22"/>
          <w:lang w:val="es-ES"/>
        </w:rPr>
        <w:t>ambos documentos fueron tomado</w:t>
      </w:r>
      <w:r w:rsidR="00AE57B8" w:rsidRPr="00D44271">
        <w:rPr>
          <w:bCs/>
          <w:szCs w:val="22"/>
          <w:lang w:val="es-ES"/>
        </w:rPr>
        <w:t xml:space="preserve">s en consideración en la misma sesión del </w:t>
      </w:r>
      <w:r w:rsidRPr="00D44271">
        <w:rPr>
          <w:bCs/>
          <w:szCs w:val="22"/>
          <w:lang w:val="es-ES"/>
        </w:rPr>
        <w:t xml:space="preserve">CDIP. </w:t>
      </w:r>
      <w:r w:rsidR="00816444" w:rsidRPr="00D44271">
        <w:rPr>
          <w:bCs/>
          <w:szCs w:val="22"/>
          <w:lang w:val="es-ES"/>
        </w:rPr>
        <w:t xml:space="preserve"> Además, en la fecha de redacción de la propuesta, la OMPI no había instituido aún el requisito de que toda propuesta de proyecto deba constar de elementos tales como</w:t>
      </w:r>
      <w:r w:rsidR="009916A2" w:rsidRPr="00D44271">
        <w:rPr>
          <w:bCs/>
          <w:szCs w:val="22"/>
          <w:lang w:val="es-ES"/>
        </w:rPr>
        <w:t xml:space="preserve"> un marco lógico, </w:t>
      </w:r>
      <w:r w:rsidR="00BA5706" w:rsidRPr="00D44271">
        <w:rPr>
          <w:bCs/>
          <w:szCs w:val="22"/>
          <w:lang w:val="es-ES"/>
        </w:rPr>
        <w:t xml:space="preserve">la presentación de informes sobre riesgos ponderados e informes basados en </w:t>
      </w:r>
      <w:r w:rsidR="009916A2" w:rsidRPr="00D44271">
        <w:rPr>
          <w:bCs/>
          <w:szCs w:val="22"/>
          <w:lang w:val="es-ES"/>
        </w:rPr>
        <w:t>diagr</w:t>
      </w:r>
      <w:r w:rsidR="00BA5706" w:rsidRPr="00D44271">
        <w:rPr>
          <w:bCs/>
          <w:szCs w:val="22"/>
          <w:lang w:val="es-ES"/>
        </w:rPr>
        <w:t>a</w:t>
      </w:r>
      <w:r w:rsidR="009916A2" w:rsidRPr="00D44271">
        <w:rPr>
          <w:bCs/>
          <w:szCs w:val="22"/>
          <w:lang w:val="es-ES"/>
        </w:rPr>
        <w:t>ma</w:t>
      </w:r>
      <w:r w:rsidR="00BA5706" w:rsidRPr="00D44271">
        <w:rPr>
          <w:bCs/>
          <w:szCs w:val="22"/>
          <w:lang w:val="es-ES"/>
        </w:rPr>
        <w:t>s de Gantt</w:t>
      </w:r>
      <w:r w:rsidRPr="00D44271">
        <w:rPr>
          <w:bCs/>
          <w:szCs w:val="22"/>
          <w:lang w:val="es-ES"/>
        </w:rPr>
        <w:t>.</w:t>
      </w:r>
    </w:p>
    <w:p w14:paraId="54BBAA51" w14:textId="64E103A9" w:rsidR="0083332F" w:rsidRPr="00D44271" w:rsidRDefault="004A01C3" w:rsidP="008534E1">
      <w:pPr>
        <w:numPr>
          <w:ilvl w:val="1"/>
          <w:numId w:val="61"/>
        </w:numPr>
        <w:spacing w:before="120" w:after="120"/>
        <w:rPr>
          <w:bCs/>
          <w:szCs w:val="22"/>
          <w:lang w:val="es-ES"/>
        </w:rPr>
      </w:pPr>
      <w:r w:rsidRPr="00D44271">
        <w:rPr>
          <w:bCs/>
          <w:szCs w:val="22"/>
          <w:lang w:val="es-ES"/>
        </w:rPr>
        <w:t xml:space="preserve">La </w:t>
      </w:r>
      <w:r w:rsidR="00E52D18" w:rsidRPr="00D44271">
        <w:rPr>
          <w:bCs/>
          <w:szCs w:val="22"/>
          <w:lang w:val="es-ES"/>
        </w:rPr>
        <w:t>Recomendación</w:t>
      </w:r>
      <w:r w:rsidR="0083332F" w:rsidRPr="00D44271">
        <w:rPr>
          <w:bCs/>
          <w:szCs w:val="22"/>
          <w:lang w:val="es-ES"/>
        </w:rPr>
        <w:t xml:space="preserve"> 3 </w:t>
      </w:r>
      <w:r w:rsidRPr="00D44271">
        <w:rPr>
          <w:bCs/>
          <w:szCs w:val="22"/>
          <w:lang w:val="es-ES"/>
        </w:rPr>
        <w:t xml:space="preserve">relativa a las actividades de seguimiento </w:t>
      </w:r>
      <w:r w:rsidR="00582A32" w:rsidRPr="00D44271">
        <w:rPr>
          <w:bCs/>
          <w:szCs w:val="22"/>
          <w:lang w:val="es-ES"/>
        </w:rPr>
        <w:t>fue</w:t>
      </w:r>
      <w:r w:rsidRPr="00D44271">
        <w:rPr>
          <w:bCs/>
          <w:szCs w:val="22"/>
          <w:lang w:val="es-ES"/>
        </w:rPr>
        <w:t xml:space="preserve"> atendida a lo largo de la ejecución de la Fase II y en la concepción de las actividades posteriores a </w:t>
      </w:r>
      <w:r w:rsidR="004A71F4" w:rsidRPr="00D44271">
        <w:rPr>
          <w:bCs/>
          <w:szCs w:val="22"/>
          <w:lang w:val="es-ES"/>
        </w:rPr>
        <w:t>dicha f</w:t>
      </w:r>
      <w:r w:rsidRPr="00D44271">
        <w:rPr>
          <w:bCs/>
          <w:szCs w:val="22"/>
          <w:lang w:val="es-ES"/>
        </w:rPr>
        <w:t>ase</w:t>
      </w:r>
      <w:r w:rsidR="0083332F" w:rsidRPr="00D44271">
        <w:rPr>
          <w:bCs/>
          <w:szCs w:val="22"/>
          <w:lang w:val="es-ES"/>
        </w:rPr>
        <w:t xml:space="preserve">. </w:t>
      </w:r>
    </w:p>
    <w:p w14:paraId="3E81CD47" w14:textId="6A56B9BD" w:rsidR="0083332F" w:rsidRPr="00D44271" w:rsidRDefault="004A01C3" w:rsidP="008534E1">
      <w:pPr>
        <w:numPr>
          <w:ilvl w:val="1"/>
          <w:numId w:val="61"/>
        </w:numPr>
        <w:spacing w:before="120" w:after="120"/>
        <w:rPr>
          <w:bCs/>
          <w:szCs w:val="22"/>
          <w:lang w:val="es-ES"/>
        </w:rPr>
      </w:pPr>
      <w:r w:rsidRPr="00D44271">
        <w:rPr>
          <w:bCs/>
          <w:szCs w:val="22"/>
          <w:lang w:val="es-ES"/>
        </w:rPr>
        <w:t xml:space="preserve">La </w:t>
      </w:r>
      <w:r w:rsidR="00E52D18" w:rsidRPr="00D44271">
        <w:rPr>
          <w:bCs/>
          <w:szCs w:val="22"/>
          <w:lang w:val="es-ES"/>
        </w:rPr>
        <w:t>Recomendación</w:t>
      </w:r>
      <w:r w:rsidR="0083332F" w:rsidRPr="00D44271">
        <w:rPr>
          <w:bCs/>
          <w:szCs w:val="22"/>
          <w:lang w:val="es-ES"/>
        </w:rPr>
        <w:t xml:space="preserve"> 4</w:t>
      </w:r>
      <w:r w:rsidR="00392B6D" w:rsidRPr="00D44271">
        <w:rPr>
          <w:bCs/>
          <w:szCs w:val="22"/>
          <w:lang w:val="es-ES"/>
        </w:rPr>
        <w:t>, mediante la que se animaba a establecer un sistema que permit</w:t>
      </w:r>
      <w:r w:rsidR="00582A32" w:rsidRPr="00D44271">
        <w:rPr>
          <w:bCs/>
          <w:szCs w:val="22"/>
          <w:lang w:val="es-ES"/>
        </w:rPr>
        <w:t>ier</w:t>
      </w:r>
      <w:r w:rsidR="00392B6D" w:rsidRPr="00D44271">
        <w:rPr>
          <w:bCs/>
          <w:szCs w:val="22"/>
          <w:lang w:val="es-ES"/>
        </w:rPr>
        <w:t xml:space="preserve">a a la OMPI rastrear sistemáticamente a los usuarios de servicios en línea, sólo </w:t>
      </w:r>
      <w:r w:rsidR="00582A32" w:rsidRPr="00D44271">
        <w:rPr>
          <w:bCs/>
          <w:szCs w:val="22"/>
          <w:lang w:val="es-ES"/>
        </w:rPr>
        <w:t>fue</w:t>
      </w:r>
      <w:r w:rsidR="00392B6D" w:rsidRPr="00D44271">
        <w:rPr>
          <w:bCs/>
          <w:szCs w:val="22"/>
          <w:lang w:val="es-ES"/>
        </w:rPr>
        <w:t xml:space="preserve"> parcialmente implementada.  La capacidad de comprender a</w:t>
      </w:r>
      <w:r w:rsidR="00443FB4" w:rsidRPr="00D44271">
        <w:rPr>
          <w:bCs/>
          <w:szCs w:val="22"/>
          <w:lang w:val="es-ES"/>
        </w:rPr>
        <w:t xml:space="preserve"> los destinatarios</w:t>
      </w:r>
      <w:r w:rsidR="004A71F4" w:rsidRPr="00D44271">
        <w:rPr>
          <w:bCs/>
          <w:szCs w:val="22"/>
          <w:lang w:val="es-ES"/>
        </w:rPr>
        <w:t xml:space="preserve"> </w:t>
      </w:r>
      <w:r w:rsidR="00392B6D" w:rsidRPr="00D44271">
        <w:rPr>
          <w:bCs/>
          <w:szCs w:val="22"/>
          <w:lang w:val="es-ES"/>
        </w:rPr>
        <w:t>y de entender las necesidades y experiencias de los usuarios, resultaría muy beneficiosa para la concepción y evaluación del proyecto.  Aunque esta recomendación fue estudiada por la Secretaría de la OMPI</w:t>
      </w:r>
      <w:r w:rsidR="00A31582" w:rsidRPr="00D44271">
        <w:rPr>
          <w:bCs/>
          <w:szCs w:val="22"/>
          <w:lang w:val="es-ES"/>
        </w:rPr>
        <w:t xml:space="preserve">, los problemas concernientes a la preocupación de los usuarios por la percepción de su privacidad </w:t>
      </w:r>
      <w:r w:rsidR="00582A32" w:rsidRPr="00D44271">
        <w:rPr>
          <w:bCs/>
          <w:szCs w:val="22"/>
          <w:lang w:val="es-ES"/>
        </w:rPr>
        <w:t>fueron</w:t>
      </w:r>
      <w:r w:rsidR="00A31582" w:rsidRPr="00D44271">
        <w:rPr>
          <w:bCs/>
          <w:szCs w:val="22"/>
          <w:lang w:val="es-ES"/>
        </w:rPr>
        <w:t xml:space="preserve"> señalados como una de las causas por las que no se </w:t>
      </w:r>
      <w:r w:rsidR="00582A32" w:rsidRPr="00D44271">
        <w:rPr>
          <w:bCs/>
          <w:szCs w:val="22"/>
          <w:lang w:val="es-ES"/>
        </w:rPr>
        <w:t>aplicó</w:t>
      </w:r>
      <w:r w:rsidR="00A31582" w:rsidRPr="00D44271">
        <w:rPr>
          <w:bCs/>
          <w:szCs w:val="22"/>
          <w:lang w:val="es-ES"/>
        </w:rPr>
        <w:t xml:space="preserve"> esta recomendación.  Sin embargo, se </w:t>
      </w:r>
      <w:r w:rsidR="00582A32" w:rsidRPr="00D44271">
        <w:rPr>
          <w:bCs/>
          <w:szCs w:val="22"/>
          <w:lang w:val="es-ES"/>
        </w:rPr>
        <w:t>emplearon</w:t>
      </w:r>
      <w:r w:rsidR="00A31582" w:rsidRPr="00D44271">
        <w:rPr>
          <w:bCs/>
          <w:szCs w:val="22"/>
          <w:lang w:val="es-ES"/>
        </w:rPr>
        <w:t xml:space="preserve"> otros métodos de rastreo, tales como encuestas voluntarias entre los participantes,</w:t>
      </w:r>
      <w:r w:rsidR="00582A32" w:rsidRPr="00D44271">
        <w:rPr>
          <w:bCs/>
          <w:szCs w:val="22"/>
          <w:lang w:val="es-ES"/>
        </w:rPr>
        <w:t xml:space="preserve"> y se podrían y deberían explorar éstas y otras opciones como métodos </w:t>
      </w:r>
      <w:r w:rsidR="00443FB4" w:rsidRPr="00D44271">
        <w:rPr>
          <w:bCs/>
          <w:szCs w:val="22"/>
          <w:lang w:val="es-ES"/>
        </w:rPr>
        <w:t xml:space="preserve">para hacer un seguimiento del uso y de la percepción en cuanto a la utilidad de los instrumentos desarrollados.  También convendría comprobar las presunciones respecto a las preocupaciones de los usuarios, mediante encuestas u otros métodos, para determinar mejor qué </w:t>
      </w:r>
      <w:r w:rsidR="004A71F4" w:rsidRPr="00D44271">
        <w:rPr>
          <w:bCs/>
          <w:szCs w:val="22"/>
          <w:lang w:val="es-ES"/>
        </w:rPr>
        <w:lastRenderedPageBreak/>
        <w:t>información estaría</w:t>
      </w:r>
      <w:r w:rsidR="00443FB4" w:rsidRPr="00D44271">
        <w:rPr>
          <w:bCs/>
          <w:szCs w:val="22"/>
          <w:lang w:val="es-ES"/>
        </w:rPr>
        <w:t xml:space="preserve">n dispuestos a compartir los usuarios de la web sin inconveniente alguno.  </w:t>
      </w:r>
      <w:r w:rsidR="0083332F" w:rsidRPr="00D44271">
        <w:rPr>
          <w:bCs/>
          <w:szCs w:val="22"/>
          <w:lang w:val="es-ES"/>
        </w:rPr>
        <w:t xml:space="preserve">   </w:t>
      </w:r>
    </w:p>
    <w:p w14:paraId="14ACED32" w14:textId="37FADD6F" w:rsidR="0083332F" w:rsidRPr="00D44271" w:rsidRDefault="000A69EB" w:rsidP="008534E1">
      <w:pPr>
        <w:numPr>
          <w:ilvl w:val="1"/>
          <w:numId w:val="61"/>
        </w:numPr>
        <w:spacing w:before="120" w:after="120"/>
        <w:rPr>
          <w:bCs/>
          <w:szCs w:val="22"/>
          <w:lang w:val="es-ES"/>
        </w:rPr>
      </w:pPr>
      <w:r w:rsidRPr="00D44271">
        <w:rPr>
          <w:bCs/>
          <w:szCs w:val="22"/>
          <w:lang w:val="es-ES"/>
        </w:rPr>
        <w:t xml:space="preserve">La </w:t>
      </w:r>
      <w:r w:rsidR="00E52D18" w:rsidRPr="00D44271">
        <w:rPr>
          <w:bCs/>
          <w:szCs w:val="22"/>
          <w:lang w:val="es-ES"/>
        </w:rPr>
        <w:t>Recomendación</w:t>
      </w:r>
      <w:r w:rsidR="0083332F" w:rsidRPr="00D44271">
        <w:rPr>
          <w:bCs/>
          <w:szCs w:val="22"/>
          <w:lang w:val="es-ES"/>
        </w:rPr>
        <w:t xml:space="preserve"> 5</w:t>
      </w:r>
      <w:r w:rsidRPr="00D44271">
        <w:rPr>
          <w:bCs/>
          <w:szCs w:val="22"/>
          <w:lang w:val="es-ES"/>
        </w:rPr>
        <w:t>, por la cual se animó a</w:t>
      </w:r>
      <w:r w:rsidR="006F16A2" w:rsidRPr="00D44271">
        <w:rPr>
          <w:bCs/>
          <w:szCs w:val="22"/>
          <w:lang w:val="es-ES"/>
        </w:rPr>
        <w:t xml:space="preserve">l Equipo Directivo Superior </w:t>
      </w:r>
      <w:r w:rsidRPr="00D44271">
        <w:rPr>
          <w:bCs/>
          <w:szCs w:val="22"/>
          <w:lang w:val="es-ES"/>
        </w:rPr>
        <w:t>de la OMPI para que insist</w:t>
      </w:r>
      <w:r w:rsidR="00F13350" w:rsidRPr="00D44271">
        <w:rPr>
          <w:bCs/>
          <w:szCs w:val="22"/>
          <w:lang w:val="es-ES"/>
        </w:rPr>
        <w:t>ier</w:t>
      </w:r>
      <w:r w:rsidRPr="00D44271">
        <w:rPr>
          <w:bCs/>
          <w:szCs w:val="22"/>
          <w:lang w:val="es-ES"/>
        </w:rPr>
        <w:t>a en la promoción de las herramientas de aprendizaje en línea</w:t>
      </w:r>
      <w:r w:rsidR="00F13350" w:rsidRPr="00D44271">
        <w:rPr>
          <w:bCs/>
          <w:szCs w:val="22"/>
          <w:lang w:val="es-ES"/>
        </w:rPr>
        <w:t xml:space="preserve"> con el fin de complementar la formación presencial, tuvo su reflejo en el desarrollo de la Fase II y en las actividades posteriores a dicha fase, aunque las herramientas de aprendizaje en línea no siempre </w:t>
      </w:r>
      <w:r w:rsidR="00C07C72" w:rsidRPr="00D44271">
        <w:rPr>
          <w:bCs/>
          <w:szCs w:val="22"/>
          <w:lang w:val="es-ES"/>
        </w:rPr>
        <w:t>pued</w:t>
      </w:r>
      <w:r w:rsidR="004A71F4" w:rsidRPr="00D44271">
        <w:rPr>
          <w:bCs/>
          <w:szCs w:val="22"/>
          <w:lang w:val="es-ES"/>
        </w:rPr>
        <w:t>a</w:t>
      </w:r>
      <w:r w:rsidR="00C07C72" w:rsidRPr="00D44271">
        <w:rPr>
          <w:bCs/>
          <w:szCs w:val="22"/>
          <w:lang w:val="es-ES"/>
        </w:rPr>
        <w:t xml:space="preserve">n sustituir la necesidad de realizar formaciones presenciales, tal como se </w:t>
      </w:r>
      <w:r w:rsidR="005C0010" w:rsidRPr="00D44271">
        <w:rPr>
          <w:bCs/>
          <w:szCs w:val="22"/>
          <w:lang w:val="es-ES"/>
        </w:rPr>
        <w:t>hizo patente con</w:t>
      </w:r>
      <w:r w:rsidR="00C07C72" w:rsidRPr="00D44271">
        <w:rPr>
          <w:bCs/>
          <w:szCs w:val="22"/>
          <w:lang w:val="es-ES"/>
        </w:rPr>
        <w:t xml:space="preserve"> </w:t>
      </w:r>
      <w:r w:rsidR="004A71F4" w:rsidRPr="00D44271">
        <w:rPr>
          <w:bCs/>
          <w:szCs w:val="22"/>
          <w:lang w:val="es-ES"/>
        </w:rPr>
        <w:t xml:space="preserve">el papel que desempeñaron </w:t>
      </w:r>
      <w:r w:rsidR="00C07C72" w:rsidRPr="00D44271">
        <w:rPr>
          <w:bCs/>
          <w:szCs w:val="22"/>
          <w:lang w:val="es-ES"/>
        </w:rPr>
        <w:t xml:space="preserve">los talleres regionales e inter-regionales en la Fase II del proyecto.  Dichos talleres tuvieron por finalidad compartir las mejores prácticas y </w:t>
      </w:r>
      <w:r w:rsidR="005C0010" w:rsidRPr="00D44271">
        <w:rPr>
          <w:bCs/>
          <w:szCs w:val="22"/>
          <w:lang w:val="es-ES"/>
        </w:rPr>
        <w:t>poner a prueba</w:t>
      </w:r>
      <w:r w:rsidR="00C07C72" w:rsidRPr="00D44271">
        <w:rPr>
          <w:bCs/>
          <w:szCs w:val="22"/>
          <w:lang w:val="es-ES"/>
        </w:rPr>
        <w:t xml:space="preserve"> las directrices que en última instancia se publicarán </w:t>
      </w:r>
      <w:r w:rsidR="005C0010" w:rsidRPr="00D44271">
        <w:rPr>
          <w:bCs/>
          <w:szCs w:val="22"/>
          <w:lang w:val="es-ES"/>
        </w:rPr>
        <w:t>bajo la modalidad de</w:t>
      </w:r>
      <w:r w:rsidR="00C07C72" w:rsidRPr="00D44271">
        <w:rPr>
          <w:bCs/>
          <w:szCs w:val="22"/>
          <w:lang w:val="es-ES"/>
        </w:rPr>
        <w:t xml:space="preserve"> recurso en línea.  Los talleres presenciales también ofrec</w:t>
      </w:r>
      <w:r w:rsidR="005C0010" w:rsidRPr="00D44271">
        <w:rPr>
          <w:bCs/>
          <w:szCs w:val="22"/>
          <w:lang w:val="es-ES"/>
        </w:rPr>
        <w:t xml:space="preserve">ieron </w:t>
      </w:r>
      <w:r w:rsidR="00C07C72" w:rsidRPr="00D44271">
        <w:rPr>
          <w:bCs/>
          <w:szCs w:val="22"/>
          <w:lang w:val="es-ES"/>
        </w:rPr>
        <w:t xml:space="preserve">la ventaja de favorecer la creación de redes informales de contactos.  </w:t>
      </w:r>
      <w:r w:rsidR="005C0010" w:rsidRPr="00D44271">
        <w:rPr>
          <w:bCs/>
          <w:szCs w:val="22"/>
          <w:lang w:val="es-ES"/>
        </w:rPr>
        <w:t xml:space="preserve">Las herramientas de aprendizaje en línea </w:t>
      </w:r>
      <w:r w:rsidR="004A71F4" w:rsidRPr="00D44271">
        <w:rPr>
          <w:bCs/>
          <w:szCs w:val="22"/>
          <w:lang w:val="es-ES"/>
        </w:rPr>
        <w:t xml:space="preserve">se caracterizan por su </w:t>
      </w:r>
      <w:r w:rsidR="005C0010" w:rsidRPr="00D44271">
        <w:rPr>
          <w:bCs/>
          <w:szCs w:val="22"/>
          <w:lang w:val="es-ES"/>
        </w:rPr>
        <w:t xml:space="preserve">capacidad de alcanzar a una gama de actores más amplia y más diseminada geográficamente, así como de llegar a todos los grupos importantes de usuarios de productos de análisis de patentes, incluso fuera de las oficinas nacionales de propiedad intelectual, extendiéndose a otros departamentos gubernamentales, a las ONG e incluso al sector privado.  Con el desarrollo de las directrices de metodología, </w:t>
      </w:r>
      <w:r w:rsidR="002777B8" w:rsidRPr="00D44271">
        <w:rPr>
          <w:bCs/>
          <w:szCs w:val="22"/>
          <w:lang w:val="es-ES"/>
        </w:rPr>
        <w:t>mediante las actividades de la Fase II y posteriores a dicha fase</w:t>
      </w:r>
      <w:r w:rsidR="004A71F4" w:rsidRPr="00D44271">
        <w:rPr>
          <w:bCs/>
          <w:szCs w:val="22"/>
          <w:lang w:val="es-ES"/>
        </w:rPr>
        <w:t>,</w:t>
      </w:r>
      <w:r w:rsidR="002777B8" w:rsidRPr="00D44271">
        <w:rPr>
          <w:bCs/>
          <w:szCs w:val="22"/>
          <w:lang w:val="es-ES"/>
        </w:rPr>
        <w:t xml:space="preserve"> se ha elaborado la guía didáctica electrónica de la Fase I. </w:t>
      </w:r>
    </w:p>
    <w:p w14:paraId="7431FF4C" w14:textId="4F78EA33" w:rsidR="0083332F" w:rsidRPr="00D44271" w:rsidRDefault="0053734C" w:rsidP="008534E1">
      <w:pPr>
        <w:numPr>
          <w:ilvl w:val="0"/>
          <w:numId w:val="61"/>
        </w:numPr>
        <w:spacing w:before="120" w:after="120"/>
        <w:rPr>
          <w:bCs/>
          <w:szCs w:val="22"/>
          <w:lang w:val="es-ES"/>
        </w:rPr>
      </w:pPr>
      <w:r w:rsidRPr="00D44271">
        <w:rPr>
          <w:bCs/>
          <w:szCs w:val="22"/>
          <w:lang w:val="es-ES"/>
        </w:rPr>
        <w:t>Con respecto a la</w:t>
      </w:r>
      <w:r w:rsidR="0083332F" w:rsidRPr="00D44271">
        <w:rPr>
          <w:bCs/>
          <w:szCs w:val="22"/>
          <w:lang w:val="es-ES"/>
        </w:rPr>
        <w:t xml:space="preserve"> </w:t>
      </w:r>
      <w:r w:rsidR="00E52D18" w:rsidRPr="00D44271">
        <w:rPr>
          <w:bCs/>
          <w:szCs w:val="22"/>
          <w:lang w:val="es-ES"/>
        </w:rPr>
        <w:t>Recomendación</w:t>
      </w:r>
      <w:r w:rsidR="0083332F" w:rsidRPr="00D44271">
        <w:rPr>
          <w:bCs/>
          <w:szCs w:val="22"/>
          <w:lang w:val="es-ES"/>
        </w:rPr>
        <w:t xml:space="preserve"> 6</w:t>
      </w:r>
      <w:r w:rsidRPr="00D44271">
        <w:rPr>
          <w:bCs/>
          <w:szCs w:val="22"/>
          <w:lang w:val="es-ES"/>
        </w:rPr>
        <w:t xml:space="preserve">, </w:t>
      </w:r>
      <w:r w:rsidR="004A71F4" w:rsidRPr="00D44271">
        <w:rPr>
          <w:bCs/>
          <w:szCs w:val="22"/>
          <w:lang w:val="es-ES"/>
        </w:rPr>
        <w:t>en</w:t>
      </w:r>
      <w:r w:rsidRPr="00D44271">
        <w:rPr>
          <w:bCs/>
          <w:szCs w:val="22"/>
          <w:lang w:val="es-ES"/>
        </w:rPr>
        <w:t xml:space="preserve"> la cual se abogó por la formalización de la colaboración con otras Divisiones, cabe señalar que durante la Fase II la colaboración se produjo de manera formal e informal.  En la propuesta de proyecto ya se hizo mención expresa a otras divisiones, que también fueron mencionadas en los planes de trabajo de algunas personas.  Nótese sin embargo que, aun sin formalizar la colaboración, la Secretaría de la OMPI debería fomentar una cultura de la colaboración, de manera que esta result</w:t>
      </w:r>
      <w:r w:rsidR="00F308A4" w:rsidRPr="00D44271">
        <w:rPr>
          <w:bCs/>
          <w:szCs w:val="22"/>
          <w:lang w:val="es-ES"/>
        </w:rPr>
        <w:t>ara</w:t>
      </w:r>
      <w:r w:rsidRPr="00D44271">
        <w:rPr>
          <w:bCs/>
          <w:szCs w:val="22"/>
          <w:lang w:val="es-ES"/>
        </w:rPr>
        <w:t xml:space="preserve"> más atractiva </w:t>
      </w:r>
      <w:r w:rsidR="00F308A4" w:rsidRPr="00D44271">
        <w:rPr>
          <w:bCs/>
          <w:szCs w:val="22"/>
          <w:lang w:val="es-ES"/>
        </w:rPr>
        <w:t xml:space="preserve">y se estimulara la colaboración informal, lo cual incrementaría la potencial eficiencia, relevancia y eficacia de las actividades de la OMPI.  A continuación se describe </w:t>
      </w:r>
      <w:r w:rsidR="004A71F4" w:rsidRPr="00D44271">
        <w:rPr>
          <w:bCs/>
          <w:szCs w:val="22"/>
          <w:lang w:val="es-ES"/>
        </w:rPr>
        <w:t>de</w:t>
      </w:r>
      <w:r w:rsidR="00F308A4" w:rsidRPr="00D44271">
        <w:rPr>
          <w:bCs/>
          <w:szCs w:val="22"/>
          <w:lang w:val="es-ES"/>
        </w:rPr>
        <w:t xml:space="preserve"> forma algo más detallada la colaboración en la Fase II del proyecto.  </w:t>
      </w:r>
    </w:p>
    <w:p w14:paraId="789A6A81" w14:textId="4E532ECB" w:rsidR="0083332F" w:rsidRPr="00D44271" w:rsidRDefault="0083332F" w:rsidP="00F308A4">
      <w:pPr>
        <w:numPr>
          <w:ilvl w:val="0"/>
          <w:numId w:val="61"/>
        </w:numPr>
        <w:spacing w:before="120" w:after="120"/>
        <w:rPr>
          <w:bCs/>
          <w:szCs w:val="22"/>
          <w:lang w:val="es-ES"/>
        </w:rPr>
      </w:pPr>
      <w:r w:rsidRPr="00D44271">
        <w:rPr>
          <w:bCs/>
          <w:szCs w:val="22"/>
          <w:lang w:val="es-ES"/>
        </w:rPr>
        <w:t>Ot</w:t>
      </w:r>
      <w:r w:rsidR="00F308A4" w:rsidRPr="00D44271">
        <w:rPr>
          <w:bCs/>
          <w:szCs w:val="22"/>
          <w:lang w:val="es-ES"/>
        </w:rPr>
        <w:t xml:space="preserve">ras divisiones fueron identificadas en el documento del proyecto como divisiones que contribuirían a la ejecución del proyecto.  Entre ellas, la División de Desafíos Mundiales, la División de Conocimientos Tradicionales y el </w:t>
      </w:r>
      <w:r w:rsidRPr="00D44271">
        <w:rPr>
          <w:bCs/>
          <w:szCs w:val="22"/>
          <w:lang w:val="es-ES"/>
        </w:rPr>
        <w:t>Depart</w:t>
      </w:r>
      <w:r w:rsidR="00044864" w:rsidRPr="00D44271">
        <w:rPr>
          <w:bCs/>
          <w:szCs w:val="22"/>
          <w:lang w:val="es-ES"/>
        </w:rPr>
        <w:t>a</w:t>
      </w:r>
      <w:r w:rsidRPr="00D44271">
        <w:rPr>
          <w:bCs/>
          <w:szCs w:val="22"/>
          <w:lang w:val="es-ES"/>
        </w:rPr>
        <w:t>ment</w:t>
      </w:r>
      <w:r w:rsidR="00044864" w:rsidRPr="00D44271">
        <w:rPr>
          <w:bCs/>
          <w:szCs w:val="22"/>
          <w:lang w:val="es-ES"/>
        </w:rPr>
        <w:t>o de Relaciones Exter</w:t>
      </w:r>
      <w:r w:rsidR="00044BAD" w:rsidRPr="00D44271">
        <w:rPr>
          <w:bCs/>
          <w:szCs w:val="22"/>
          <w:lang w:val="es-ES"/>
        </w:rPr>
        <w:t>nas</w:t>
      </w:r>
      <w:r w:rsidRPr="00D44271">
        <w:rPr>
          <w:bCs/>
          <w:szCs w:val="22"/>
          <w:lang w:val="es-ES"/>
        </w:rPr>
        <w:t>.</w:t>
      </w:r>
    </w:p>
    <w:p w14:paraId="56F4D8DD" w14:textId="2B5A56AB" w:rsidR="0083332F" w:rsidRPr="00D44271" w:rsidRDefault="00044864" w:rsidP="008534E1">
      <w:pPr>
        <w:numPr>
          <w:ilvl w:val="0"/>
          <w:numId w:val="61"/>
        </w:numPr>
        <w:spacing w:before="120" w:after="120"/>
        <w:rPr>
          <w:bCs/>
          <w:szCs w:val="22"/>
          <w:lang w:val="es-ES"/>
        </w:rPr>
      </w:pPr>
      <w:r w:rsidRPr="00D44271">
        <w:rPr>
          <w:bCs/>
          <w:szCs w:val="22"/>
          <w:lang w:val="es-ES"/>
        </w:rPr>
        <w:t xml:space="preserve">La colaboración se produjo tanto de manera formal como informal, y se concentró en utilizar las capacidades y </w:t>
      </w:r>
      <w:r w:rsidR="006F16A2" w:rsidRPr="00D44271">
        <w:rPr>
          <w:bCs/>
          <w:szCs w:val="22"/>
          <w:lang w:val="es-ES"/>
        </w:rPr>
        <w:t>pericias</w:t>
      </w:r>
      <w:r w:rsidRPr="00D44271">
        <w:rPr>
          <w:bCs/>
          <w:szCs w:val="22"/>
          <w:lang w:val="es-ES"/>
        </w:rPr>
        <w:t xml:space="preserve"> complementarias de otras divisiones, así como en </w:t>
      </w:r>
      <w:r w:rsidR="006F16A2" w:rsidRPr="00D44271">
        <w:rPr>
          <w:bCs/>
          <w:szCs w:val="22"/>
          <w:lang w:val="es-ES"/>
        </w:rPr>
        <w:t>facilitar el acceso a los debates sobre las políticas</w:t>
      </w:r>
      <w:r w:rsidRPr="00D44271">
        <w:rPr>
          <w:bCs/>
          <w:szCs w:val="22"/>
          <w:lang w:val="es-ES"/>
        </w:rPr>
        <w:t xml:space="preserve"> </w:t>
      </w:r>
      <w:r w:rsidR="006F16A2" w:rsidRPr="00D44271">
        <w:rPr>
          <w:bCs/>
          <w:szCs w:val="22"/>
          <w:lang w:val="es-ES"/>
        </w:rPr>
        <w:t>en sus respectivos ámbitos de competencia</w:t>
      </w:r>
      <w:r w:rsidR="0083332F" w:rsidRPr="00D44271">
        <w:rPr>
          <w:bCs/>
          <w:szCs w:val="22"/>
          <w:lang w:val="es-ES"/>
        </w:rPr>
        <w:t xml:space="preserve">. </w:t>
      </w:r>
    </w:p>
    <w:p w14:paraId="0A3075D3" w14:textId="21E19652" w:rsidR="0083332F" w:rsidRPr="00D44271" w:rsidRDefault="00044BAD" w:rsidP="008534E1">
      <w:pPr>
        <w:numPr>
          <w:ilvl w:val="0"/>
          <w:numId w:val="61"/>
        </w:numPr>
        <w:spacing w:before="120" w:after="120"/>
        <w:rPr>
          <w:bCs/>
          <w:szCs w:val="22"/>
          <w:lang w:val="es-ES"/>
        </w:rPr>
      </w:pPr>
      <w:r w:rsidRPr="00D44271">
        <w:rPr>
          <w:bCs/>
          <w:szCs w:val="22"/>
          <w:lang w:val="es-ES"/>
        </w:rPr>
        <w:t xml:space="preserve">La colaboración con el Departamento de Relaciones Externas incluyó la creación y financiación de las Infografías de los informes </w:t>
      </w:r>
      <w:r w:rsidR="0083332F" w:rsidRPr="00D44271">
        <w:rPr>
          <w:bCs/>
          <w:szCs w:val="22"/>
          <w:lang w:val="es-ES"/>
        </w:rPr>
        <w:t>PLR</w:t>
      </w:r>
      <w:r w:rsidRPr="00D44271">
        <w:rPr>
          <w:bCs/>
          <w:szCs w:val="22"/>
          <w:lang w:val="es-ES"/>
        </w:rPr>
        <w:t xml:space="preserve"> y asistencia en la identificación de socios externos.  La colaboración con la División de Desafíos Mundiales</w:t>
      </w:r>
      <w:r w:rsidR="00163571" w:rsidRPr="00D44271">
        <w:rPr>
          <w:bCs/>
          <w:szCs w:val="22"/>
          <w:lang w:val="es-ES"/>
        </w:rPr>
        <w:t xml:space="preserve"> dio lugar a consultas sobre los mandatos de los informes PLR y otras aportaciones sustantivas, y la colaboración con la División de Conocimientos Tradicionales se desarrolló mediante el intercambio de informes PLR sobre recursos genéticos vegetales y animales en la medida </w:t>
      </w:r>
      <w:r w:rsidR="00137292">
        <w:rPr>
          <w:bCs/>
          <w:szCs w:val="22"/>
          <w:lang w:val="es-ES"/>
        </w:rPr>
        <w:t>pertinente</w:t>
      </w:r>
      <w:r w:rsidR="00163571" w:rsidRPr="00D44271">
        <w:rPr>
          <w:bCs/>
          <w:szCs w:val="22"/>
          <w:lang w:val="es-ES"/>
        </w:rPr>
        <w:t xml:space="preserve"> en relación con el mandato de la División.</w:t>
      </w:r>
      <w:r w:rsidR="0083332F" w:rsidRPr="00D44271">
        <w:rPr>
          <w:bCs/>
          <w:szCs w:val="22"/>
          <w:lang w:val="es-ES"/>
        </w:rPr>
        <w:t xml:space="preserve"> </w:t>
      </w:r>
    </w:p>
    <w:p w14:paraId="0024C379" w14:textId="3A47BDD9" w:rsidR="0083332F" w:rsidRPr="00D44271" w:rsidRDefault="00D82AAC" w:rsidP="008534E1">
      <w:pPr>
        <w:numPr>
          <w:ilvl w:val="0"/>
          <w:numId w:val="61"/>
        </w:numPr>
        <w:spacing w:before="120" w:after="120"/>
        <w:rPr>
          <w:bCs/>
          <w:szCs w:val="22"/>
          <w:lang w:val="es-ES"/>
        </w:rPr>
      </w:pPr>
      <w:r w:rsidRPr="00D44271">
        <w:rPr>
          <w:bCs/>
          <w:szCs w:val="22"/>
          <w:lang w:val="es-ES"/>
        </w:rPr>
        <w:t xml:space="preserve">De las entrevistas se desprendió </w:t>
      </w:r>
      <w:r w:rsidR="00D770B5" w:rsidRPr="00D44271">
        <w:rPr>
          <w:bCs/>
          <w:szCs w:val="22"/>
          <w:lang w:val="es-ES"/>
        </w:rPr>
        <w:t>una</w:t>
      </w:r>
      <w:r w:rsidRPr="00D44271">
        <w:rPr>
          <w:bCs/>
          <w:szCs w:val="22"/>
          <w:lang w:val="es-ES"/>
        </w:rPr>
        <w:t xml:space="preserve"> opinión mayoritaria </w:t>
      </w:r>
      <w:r w:rsidR="00D770B5" w:rsidRPr="00D44271">
        <w:rPr>
          <w:bCs/>
          <w:szCs w:val="22"/>
          <w:lang w:val="es-ES"/>
        </w:rPr>
        <w:t xml:space="preserve">positiva con respecto a </w:t>
      </w:r>
      <w:r w:rsidRPr="00D44271">
        <w:rPr>
          <w:bCs/>
          <w:szCs w:val="22"/>
          <w:lang w:val="es-ES"/>
        </w:rPr>
        <w:t>la colaboración</w:t>
      </w:r>
      <w:r w:rsidR="00F1345B" w:rsidRPr="00D44271">
        <w:rPr>
          <w:bCs/>
          <w:szCs w:val="22"/>
          <w:lang w:val="es-ES"/>
        </w:rPr>
        <w:t xml:space="preserve">, que fue valorada como </w:t>
      </w:r>
      <w:r w:rsidR="00D770B5" w:rsidRPr="00D44271">
        <w:rPr>
          <w:bCs/>
          <w:szCs w:val="22"/>
          <w:lang w:val="es-ES"/>
        </w:rPr>
        <w:t>muy satisfactoria y adecuada.  Dicha opinión se bas</w:t>
      </w:r>
      <w:r w:rsidR="00F1345B" w:rsidRPr="00D44271">
        <w:rPr>
          <w:bCs/>
          <w:szCs w:val="22"/>
          <w:lang w:val="es-ES"/>
        </w:rPr>
        <w:t>ó</w:t>
      </w:r>
      <w:r w:rsidR="00D770B5" w:rsidRPr="00D44271">
        <w:rPr>
          <w:bCs/>
          <w:szCs w:val="22"/>
          <w:lang w:val="es-ES"/>
        </w:rPr>
        <w:t xml:space="preserve"> en la percepción de que la colaboración debería tender a la creación de complementariedades y a un mejor uso de las distintas áreas de pericia y de las redes de las respectivas divisiones, con el fin de </w:t>
      </w:r>
      <w:r w:rsidR="00137292">
        <w:rPr>
          <w:bCs/>
          <w:szCs w:val="22"/>
          <w:lang w:val="es-ES"/>
        </w:rPr>
        <w:t>potenciar</w:t>
      </w:r>
      <w:r w:rsidR="00D770B5" w:rsidRPr="00D44271">
        <w:rPr>
          <w:bCs/>
          <w:szCs w:val="22"/>
          <w:lang w:val="es-ES"/>
        </w:rPr>
        <w:t xml:space="preserve"> los contenidos y de impulsar la divulgación de los productos.</w:t>
      </w:r>
      <w:r w:rsidR="0083332F" w:rsidRPr="00D44271">
        <w:rPr>
          <w:bCs/>
          <w:szCs w:val="22"/>
          <w:lang w:val="es-ES"/>
        </w:rPr>
        <w:t xml:space="preserve"> </w:t>
      </w:r>
    </w:p>
    <w:p w14:paraId="1D6BA5B1" w14:textId="26D134FB" w:rsidR="0083332F" w:rsidRPr="00D44271" w:rsidRDefault="000D5427" w:rsidP="008534E1">
      <w:pPr>
        <w:numPr>
          <w:ilvl w:val="0"/>
          <w:numId w:val="61"/>
        </w:numPr>
        <w:spacing w:before="120" w:after="120"/>
        <w:rPr>
          <w:bCs/>
          <w:szCs w:val="22"/>
          <w:lang w:val="es-ES"/>
        </w:rPr>
      </w:pPr>
      <w:r w:rsidRPr="00D44271">
        <w:rPr>
          <w:bCs/>
          <w:szCs w:val="22"/>
          <w:lang w:val="es-ES"/>
        </w:rPr>
        <w:t>Se animó también a que otras divisiones participaran en la fase de concepción del proyecto</w:t>
      </w:r>
      <w:r w:rsidR="0083332F" w:rsidRPr="00D44271">
        <w:rPr>
          <w:bCs/>
          <w:szCs w:val="22"/>
          <w:lang w:val="es-ES"/>
        </w:rPr>
        <w:t xml:space="preserve">. </w:t>
      </w:r>
    </w:p>
    <w:p w14:paraId="774A4DDF" w14:textId="22E196FF" w:rsidR="0083332F" w:rsidRPr="00D44271" w:rsidRDefault="00A24BB9" w:rsidP="008534E1">
      <w:pPr>
        <w:numPr>
          <w:ilvl w:val="0"/>
          <w:numId w:val="61"/>
        </w:numPr>
        <w:spacing w:before="120" w:after="120"/>
        <w:rPr>
          <w:bCs/>
          <w:szCs w:val="22"/>
          <w:lang w:val="es-ES"/>
        </w:rPr>
      </w:pPr>
      <w:r w:rsidRPr="00D44271">
        <w:rPr>
          <w:bCs/>
          <w:szCs w:val="22"/>
          <w:lang w:val="es-ES"/>
        </w:rPr>
        <w:t>Para</w:t>
      </w:r>
      <w:r w:rsidR="00896561" w:rsidRPr="00D44271">
        <w:rPr>
          <w:bCs/>
          <w:szCs w:val="22"/>
          <w:lang w:val="es-ES"/>
        </w:rPr>
        <w:t xml:space="preserve"> la actividad de </w:t>
      </w:r>
      <w:r w:rsidR="000D5427" w:rsidRPr="00D44271">
        <w:rPr>
          <w:bCs/>
          <w:szCs w:val="22"/>
          <w:lang w:val="es-ES"/>
        </w:rPr>
        <w:t xml:space="preserve">información y análisis de patentes, </w:t>
      </w:r>
      <w:r w:rsidR="00896561" w:rsidRPr="00D44271">
        <w:rPr>
          <w:bCs/>
          <w:szCs w:val="22"/>
          <w:lang w:val="es-ES"/>
        </w:rPr>
        <w:t xml:space="preserve">que proporciona </w:t>
      </w:r>
      <w:r w:rsidR="000D5427" w:rsidRPr="00D44271">
        <w:rPr>
          <w:bCs/>
          <w:szCs w:val="22"/>
          <w:lang w:val="es-ES"/>
        </w:rPr>
        <w:t xml:space="preserve">servicios especializados y pericia en tecnologías específicas, el papel de otras divisiones </w:t>
      </w:r>
      <w:r w:rsidRPr="00D44271">
        <w:rPr>
          <w:bCs/>
          <w:szCs w:val="22"/>
          <w:lang w:val="es-ES"/>
        </w:rPr>
        <w:t xml:space="preserve">resultaría </w:t>
      </w:r>
      <w:r w:rsidRPr="00D44271">
        <w:rPr>
          <w:bCs/>
          <w:szCs w:val="22"/>
          <w:lang w:val="es-ES"/>
        </w:rPr>
        <w:lastRenderedPageBreak/>
        <w:t>de crucial importancia, tanto por</w:t>
      </w:r>
      <w:r w:rsidR="00896561" w:rsidRPr="00D44271">
        <w:rPr>
          <w:bCs/>
          <w:szCs w:val="22"/>
          <w:lang w:val="es-ES"/>
        </w:rPr>
        <w:t xml:space="preserve"> la identificación de </w:t>
      </w:r>
      <w:r w:rsidRPr="00D44271">
        <w:rPr>
          <w:bCs/>
          <w:szCs w:val="22"/>
          <w:lang w:val="es-ES"/>
        </w:rPr>
        <w:t>aquel</w:t>
      </w:r>
      <w:r w:rsidR="000D5427" w:rsidRPr="00D44271">
        <w:rPr>
          <w:bCs/>
          <w:szCs w:val="22"/>
          <w:lang w:val="es-ES"/>
        </w:rPr>
        <w:t xml:space="preserve">los desafíos políticos que podrían </w:t>
      </w:r>
      <w:r w:rsidRPr="00D44271">
        <w:rPr>
          <w:bCs/>
          <w:szCs w:val="22"/>
          <w:lang w:val="es-ES"/>
        </w:rPr>
        <w:t>enriquecerse gracias al</w:t>
      </w:r>
      <w:r w:rsidR="000D5427" w:rsidRPr="00D44271">
        <w:rPr>
          <w:bCs/>
          <w:szCs w:val="22"/>
          <w:lang w:val="es-ES"/>
        </w:rPr>
        <w:t xml:space="preserve"> análisis de patentes,</w:t>
      </w:r>
      <w:r w:rsidRPr="00D44271">
        <w:rPr>
          <w:bCs/>
          <w:szCs w:val="22"/>
          <w:lang w:val="es-ES"/>
        </w:rPr>
        <w:t xml:space="preserve"> como por la facilitación d</w:t>
      </w:r>
      <w:r w:rsidR="00896561" w:rsidRPr="00D44271">
        <w:rPr>
          <w:bCs/>
          <w:szCs w:val="22"/>
          <w:lang w:val="es-ES"/>
        </w:rPr>
        <w:t xml:space="preserve">el acceso a las redes </w:t>
      </w:r>
      <w:r w:rsidRPr="00D44271">
        <w:rPr>
          <w:bCs/>
          <w:szCs w:val="22"/>
          <w:lang w:val="es-ES"/>
        </w:rPr>
        <w:t xml:space="preserve">oportunas </w:t>
      </w:r>
      <w:r w:rsidR="00896561" w:rsidRPr="00D44271">
        <w:rPr>
          <w:bCs/>
          <w:szCs w:val="22"/>
          <w:lang w:val="es-ES"/>
        </w:rPr>
        <w:t xml:space="preserve">para la divulgación y </w:t>
      </w:r>
      <w:r w:rsidRPr="00D44271">
        <w:rPr>
          <w:bCs/>
          <w:szCs w:val="22"/>
          <w:lang w:val="es-ES"/>
        </w:rPr>
        <w:t xml:space="preserve">el </w:t>
      </w:r>
      <w:r w:rsidR="00896561" w:rsidRPr="00D44271">
        <w:rPr>
          <w:bCs/>
          <w:szCs w:val="22"/>
          <w:lang w:val="es-ES"/>
        </w:rPr>
        <w:t xml:space="preserve">debate.  Esto se podría conseguir mediante la instrumentalización de acuerdos formales de colaboración, aunque también dependería de la generosidad y entusiasmo individuales, que </w:t>
      </w:r>
      <w:r w:rsidRPr="00D44271">
        <w:rPr>
          <w:bCs/>
          <w:szCs w:val="22"/>
          <w:lang w:val="es-ES"/>
        </w:rPr>
        <w:t>habrían de sustentarse</w:t>
      </w:r>
      <w:r w:rsidR="00896561" w:rsidRPr="00D44271">
        <w:rPr>
          <w:bCs/>
          <w:szCs w:val="22"/>
          <w:lang w:val="es-ES"/>
        </w:rPr>
        <w:t xml:space="preserve"> en una cultura general de colaboración.</w:t>
      </w:r>
    </w:p>
    <w:p w14:paraId="512DD03F" w14:textId="641D72B9" w:rsidR="0083332F" w:rsidRPr="00D44271" w:rsidRDefault="00A24BB9" w:rsidP="008534E1">
      <w:pPr>
        <w:numPr>
          <w:ilvl w:val="0"/>
          <w:numId w:val="61"/>
        </w:numPr>
        <w:spacing w:before="120" w:after="120"/>
        <w:rPr>
          <w:bCs/>
          <w:szCs w:val="22"/>
          <w:lang w:val="es-ES"/>
        </w:rPr>
      </w:pPr>
      <w:r w:rsidRPr="00D44271">
        <w:rPr>
          <w:bCs/>
          <w:szCs w:val="22"/>
          <w:lang w:val="es-ES"/>
        </w:rPr>
        <w:t>Los riesgos identificados en el documento del proyecto fueron los siguientes</w:t>
      </w:r>
      <w:r w:rsidR="0083332F" w:rsidRPr="00D44271">
        <w:rPr>
          <w:bCs/>
          <w:szCs w:val="22"/>
          <w:lang w:val="es-ES"/>
        </w:rPr>
        <w:t xml:space="preserve">: </w:t>
      </w:r>
    </w:p>
    <w:p w14:paraId="659AF4B9" w14:textId="4E2F2039" w:rsidR="0083332F" w:rsidRPr="00D44271" w:rsidRDefault="009A4D6D" w:rsidP="008534E1">
      <w:pPr>
        <w:numPr>
          <w:ilvl w:val="2"/>
          <w:numId w:val="61"/>
        </w:numPr>
        <w:spacing w:before="120" w:after="120"/>
        <w:rPr>
          <w:bCs/>
          <w:szCs w:val="22"/>
          <w:lang w:val="es-ES"/>
        </w:rPr>
      </w:pPr>
      <w:r w:rsidRPr="00D44271">
        <w:rPr>
          <w:bCs/>
          <w:szCs w:val="22"/>
          <w:lang w:val="es-ES"/>
        </w:rPr>
        <w:t>La a</w:t>
      </w:r>
      <w:r w:rsidR="00A24BB9" w:rsidRPr="00D44271">
        <w:rPr>
          <w:bCs/>
          <w:szCs w:val="22"/>
          <w:lang w:val="es-ES"/>
        </w:rPr>
        <w:t>usencia de manifestación de interés por futuros informes so</w:t>
      </w:r>
      <w:r w:rsidR="00D44271">
        <w:rPr>
          <w:bCs/>
          <w:szCs w:val="22"/>
          <w:lang w:val="es-ES"/>
        </w:rPr>
        <w:t xml:space="preserve">bre la actividad de </w:t>
      </w:r>
      <w:proofErr w:type="spellStart"/>
      <w:r w:rsidR="00D44271">
        <w:rPr>
          <w:bCs/>
          <w:szCs w:val="22"/>
          <w:lang w:val="es-ES"/>
        </w:rPr>
        <w:t>patentamient</w:t>
      </w:r>
      <w:r w:rsidR="00A24BB9" w:rsidRPr="00D44271">
        <w:rPr>
          <w:bCs/>
          <w:szCs w:val="22"/>
          <w:lang w:val="es-ES"/>
        </w:rPr>
        <w:t>o</w:t>
      </w:r>
      <w:proofErr w:type="spellEnd"/>
      <w:r w:rsidR="00A24BB9" w:rsidRPr="00D44271">
        <w:rPr>
          <w:bCs/>
          <w:szCs w:val="22"/>
          <w:lang w:val="es-ES"/>
        </w:rPr>
        <w:t xml:space="preserve">, por parte de los Estados Miembros o instituciones </w:t>
      </w:r>
      <w:r w:rsidRPr="00D44271">
        <w:rPr>
          <w:bCs/>
          <w:szCs w:val="22"/>
          <w:lang w:val="es-ES"/>
        </w:rPr>
        <w:t>de los países en desarrollo</w:t>
      </w:r>
      <w:r w:rsidR="0083332F" w:rsidRPr="00D44271">
        <w:rPr>
          <w:bCs/>
          <w:szCs w:val="22"/>
          <w:lang w:val="es-ES"/>
        </w:rPr>
        <w:t xml:space="preserve">. </w:t>
      </w:r>
    </w:p>
    <w:p w14:paraId="04AB565F" w14:textId="42671D2A" w:rsidR="0083332F" w:rsidRPr="00D44271" w:rsidRDefault="009A4D6D" w:rsidP="008534E1">
      <w:pPr>
        <w:numPr>
          <w:ilvl w:val="2"/>
          <w:numId w:val="61"/>
        </w:numPr>
        <w:spacing w:before="120" w:after="120"/>
        <w:rPr>
          <w:bCs/>
          <w:szCs w:val="22"/>
          <w:lang w:val="es-ES"/>
        </w:rPr>
      </w:pPr>
      <w:r w:rsidRPr="00D44271">
        <w:rPr>
          <w:bCs/>
          <w:szCs w:val="22"/>
          <w:lang w:val="es-ES"/>
        </w:rPr>
        <w:t>La utilización insuficiente de los informes</w:t>
      </w:r>
      <w:r w:rsidR="0083332F" w:rsidRPr="00D44271">
        <w:rPr>
          <w:bCs/>
          <w:szCs w:val="22"/>
          <w:lang w:val="es-ES"/>
        </w:rPr>
        <w:t>.</w:t>
      </w:r>
    </w:p>
    <w:p w14:paraId="3C1D22F9" w14:textId="3665658D" w:rsidR="0083332F" w:rsidRPr="00D44271" w:rsidRDefault="009A4D6D" w:rsidP="008534E1">
      <w:pPr>
        <w:numPr>
          <w:ilvl w:val="2"/>
          <w:numId w:val="61"/>
        </w:numPr>
        <w:spacing w:before="120" w:after="120"/>
        <w:rPr>
          <w:bCs/>
          <w:szCs w:val="22"/>
          <w:lang w:val="es-ES"/>
        </w:rPr>
      </w:pPr>
      <w:r w:rsidRPr="00D44271">
        <w:rPr>
          <w:bCs/>
          <w:szCs w:val="22"/>
          <w:lang w:val="es-ES"/>
        </w:rPr>
        <w:t>La adecuación del alcance de cada informe</w:t>
      </w:r>
      <w:r w:rsidR="0083332F" w:rsidRPr="00D44271">
        <w:rPr>
          <w:bCs/>
          <w:szCs w:val="22"/>
          <w:lang w:val="es-ES"/>
        </w:rPr>
        <w:t xml:space="preserve">. </w:t>
      </w:r>
    </w:p>
    <w:p w14:paraId="44D38798" w14:textId="180ADAD9" w:rsidR="0083332F" w:rsidRPr="00D44271" w:rsidRDefault="00DF31B2" w:rsidP="008534E1">
      <w:pPr>
        <w:numPr>
          <w:ilvl w:val="0"/>
          <w:numId w:val="61"/>
        </w:numPr>
        <w:spacing w:before="120" w:after="120"/>
        <w:rPr>
          <w:bCs/>
          <w:szCs w:val="22"/>
          <w:lang w:val="es-ES"/>
        </w:rPr>
      </w:pPr>
      <w:r w:rsidRPr="00D44271">
        <w:rPr>
          <w:bCs/>
          <w:szCs w:val="22"/>
          <w:lang w:val="es-ES"/>
        </w:rPr>
        <w:t>La identificación de riegos que se incluyó en el documento del proyecto se basó en la experiencia acumulada durante la Fase I.  Dichos riesgos llegaron a materializarse efectivamente en alguna medida, si bien fueron aplicadas las estrategias de mitigación, que resultaron adecuadas y coincidieron en su mayoría con las previstas en el documento del proyecto</w:t>
      </w:r>
      <w:r w:rsidR="0083332F" w:rsidRPr="00D44271">
        <w:rPr>
          <w:bCs/>
          <w:szCs w:val="22"/>
          <w:lang w:val="es-ES"/>
        </w:rPr>
        <w:t>.</w:t>
      </w:r>
    </w:p>
    <w:p w14:paraId="00159540" w14:textId="643B2759" w:rsidR="0083332F" w:rsidRPr="00D44271" w:rsidRDefault="0083332F" w:rsidP="008534E1">
      <w:pPr>
        <w:numPr>
          <w:ilvl w:val="0"/>
          <w:numId w:val="61"/>
        </w:numPr>
        <w:spacing w:before="120" w:after="120"/>
        <w:rPr>
          <w:bCs/>
          <w:szCs w:val="22"/>
          <w:lang w:val="es-ES"/>
        </w:rPr>
      </w:pPr>
      <w:r w:rsidRPr="00D44271">
        <w:rPr>
          <w:bCs/>
          <w:szCs w:val="22"/>
          <w:lang w:val="es-ES"/>
        </w:rPr>
        <w:t>Ad</w:t>
      </w:r>
      <w:r w:rsidR="003F0096" w:rsidRPr="00D44271">
        <w:rPr>
          <w:bCs/>
          <w:szCs w:val="22"/>
          <w:lang w:val="es-ES"/>
        </w:rPr>
        <w:t xml:space="preserve">emás, el equipo del proyecto llegó a aplicar otras medidas de mitigación adicionales con respecto al primero de los riesgos mencionados, adoptando una actitud altamente proactiva en el trabajo </w:t>
      </w:r>
      <w:r w:rsidR="002B1759" w:rsidRPr="00D44271">
        <w:rPr>
          <w:bCs/>
          <w:szCs w:val="22"/>
          <w:lang w:val="es-ES"/>
        </w:rPr>
        <w:t>conjunto con</w:t>
      </w:r>
      <w:r w:rsidR="003F0096" w:rsidRPr="00D44271">
        <w:rPr>
          <w:bCs/>
          <w:szCs w:val="22"/>
          <w:lang w:val="es-ES"/>
        </w:rPr>
        <w:t xml:space="preserve"> los socios externos, </w:t>
      </w:r>
      <w:r w:rsidR="002B1759" w:rsidRPr="00D44271">
        <w:rPr>
          <w:bCs/>
          <w:szCs w:val="22"/>
          <w:lang w:val="es-ES"/>
        </w:rPr>
        <w:t>a</w:t>
      </w:r>
      <w:r w:rsidR="003F0096" w:rsidRPr="00D44271">
        <w:rPr>
          <w:bCs/>
          <w:szCs w:val="22"/>
          <w:lang w:val="es-ES"/>
        </w:rPr>
        <w:t xml:space="preserve"> fin de identificar </w:t>
      </w:r>
      <w:r w:rsidR="002B1759" w:rsidRPr="00D44271">
        <w:rPr>
          <w:bCs/>
          <w:szCs w:val="22"/>
          <w:lang w:val="es-ES"/>
        </w:rPr>
        <w:t>aquellas</w:t>
      </w:r>
      <w:r w:rsidR="003F0096" w:rsidRPr="00D44271">
        <w:rPr>
          <w:bCs/>
          <w:szCs w:val="22"/>
          <w:lang w:val="es-ES"/>
        </w:rPr>
        <w:t xml:space="preserve"> áreas</w:t>
      </w:r>
      <w:r w:rsidR="002B1759" w:rsidRPr="00D44271">
        <w:rPr>
          <w:bCs/>
          <w:szCs w:val="22"/>
          <w:lang w:val="es-ES"/>
        </w:rPr>
        <w:t xml:space="preserve"> o problemas</w:t>
      </w:r>
      <w:r w:rsidR="003F0096" w:rsidRPr="00D44271">
        <w:rPr>
          <w:bCs/>
          <w:szCs w:val="22"/>
          <w:lang w:val="es-ES"/>
        </w:rPr>
        <w:t xml:space="preserve"> tecnol</w:t>
      </w:r>
      <w:r w:rsidR="002B1759" w:rsidRPr="00D44271">
        <w:rPr>
          <w:bCs/>
          <w:szCs w:val="22"/>
          <w:lang w:val="es-ES"/>
        </w:rPr>
        <w:t>ógico</w:t>
      </w:r>
      <w:r w:rsidR="003F0096" w:rsidRPr="00D44271">
        <w:rPr>
          <w:bCs/>
          <w:szCs w:val="22"/>
          <w:lang w:val="es-ES"/>
        </w:rPr>
        <w:t xml:space="preserve">s </w:t>
      </w:r>
      <w:r w:rsidR="002B1759" w:rsidRPr="00D44271">
        <w:rPr>
          <w:bCs/>
          <w:szCs w:val="22"/>
          <w:lang w:val="es-ES"/>
        </w:rPr>
        <w:t xml:space="preserve">con respecto a los cuales los informes sobre la actividad de </w:t>
      </w:r>
      <w:proofErr w:type="spellStart"/>
      <w:r w:rsidR="002B1759" w:rsidRPr="00D44271">
        <w:rPr>
          <w:bCs/>
          <w:szCs w:val="22"/>
          <w:lang w:val="es-ES"/>
        </w:rPr>
        <w:t>patentamiento</w:t>
      </w:r>
      <w:proofErr w:type="spellEnd"/>
      <w:r w:rsidR="002B1759" w:rsidRPr="00D44271">
        <w:rPr>
          <w:bCs/>
          <w:szCs w:val="22"/>
          <w:lang w:val="es-ES"/>
        </w:rPr>
        <w:t xml:space="preserve"> resultarían de una gran utilidad. </w:t>
      </w:r>
      <w:r w:rsidRPr="00D44271">
        <w:rPr>
          <w:bCs/>
          <w:szCs w:val="22"/>
          <w:lang w:val="es-ES"/>
        </w:rPr>
        <w:t xml:space="preserve">  </w:t>
      </w:r>
    </w:p>
    <w:p w14:paraId="732E182D" w14:textId="34D98F7E" w:rsidR="00AB6C53" w:rsidRPr="00D44271" w:rsidRDefault="00896561" w:rsidP="005F054C">
      <w:pPr>
        <w:spacing w:before="120" w:after="120"/>
        <w:rPr>
          <w:i/>
          <w:szCs w:val="22"/>
          <w:lang w:val="es-ES"/>
        </w:rPr>
      </w:pPr>
      <w:r w:rsidRPr="00D44271">
        <w:rPr>
          <w:i/>
          <w:szCs w:val="22"/>
          <w:lang w:val="es-ES"/>
        </w:rPr>
        <w:t>Relevancia</w:t>
      </w:r>
    </w:p>
    <w:p w14:paraId="175812CC" w14:textId="7E6CF9B6" w:rsidR="00621703" w:rsidRPr="00D44271" w:rsidRDefault="00F96E8B" w:rsidP="005F054C">
      <w:pPr>
        <w:numPr>
          <w:ilvl w:val="0"/>
          <w:numId w:val="12"/>
        </w:numPr>
        <w:spacing w:before="120" w:after="120"/>
        <w:rPr>
          <w:bCs/>
          <w:szCs w:val="22"/>
          <w:lang w:val="es-ES"/>
        </w:rPr>
      </w:pPr>
      <w:r w:rsidRPr="00D44271">
        <w:rPr>
          <w:bCs/>
          <w:szCs w:val="22"/>
          <w:lang w:val="es-ES"/>
        </w:rPr>
        <w:t xml:space="preserve">En la primera y segunda fases del proyecto, las ideas para los informes PLR fueron aportadas en su mayoría por el equipo del proyecto, </w:t>
      </w:r>
      <w:r w:rsidR="00D01692" w:rsidRPr="00D44271">
        <w:rPr>
          <w:bCs/>
          <w:szCs w:val="22"/>
          <w:lang w:val="es-ES"/>
        </w:rPr>
        <w:t xml:space="preserve">que mantuvo </w:t>
      </w:r>
      <w:r w:rsidRPr="00D44271">
        <w:rPr>
          <w:bCs/>
          <w:szCs w:val="22"/>
          <w:lang w:val="es-ES"/>
        </w:rPr>
        <w:t>conversaciones con los socios internos y externos.</w:t>
      </w:r>
      <w:r w:rsidR="00621703" w:rsidRPr="00D44271">
        <w:rPr>
          <w:bCs/>
          <w:szCs w:val="22"/>
          <w:lang w:val="es-ES"/>
        </w:rPr>
        <w:t xml:space="preserve"> </w:t>
      </w:r>
    </w:p>
    <w:p w14:paraId="28D5E1F2" w14:textId="711C128B" w:rsidR="00621703" w:rsidRPr="00D44271" w:rsidRDefault="00F8748C" w:rsidP="005F054C">
      <w:pPr>
        <w:numPr>
          <w:ilvl w:val="0"/>
          <w:numId w:val="12"/>
        </w:numPr>
        <w:spacing w:before="120" w:after="120"/>
        <w:rPr>
          <w:bCs/>
          <w:szCs w:val="22"/>
          <w:lang w:val="es-ES"/>
        </w:rPr>
      </w:pPr>
      <w:r w:rsidRPr="00D44271">
        <w:rPr>
          <w:bCs/>
          <w:szCs w:val="22"/>
          <w:lang w:val="es-ES"/>
        </w:rPr>
        <w:t xml:space="preserve">Los primeros informes PLR se centraron en áreas de política pública </w:t>
      </w:r>
      <w:r w:rsidR="001E13DE" w:rsidRPr="00D44271">
        <w:rPr>
          <w:bCs/>
          <w:szCs w:val="22"/>
          <w:lang w:val="es-ES"/>
        </w:rPr>
        <w:t>con</w:t>
      </w:r>
      <w:r w:rsidRPr="00D44271">
        <w:rPr>
          <w:bCs/>
          <w:szCs w:val="22"/>
          <w:lang w:val="es-ES"/>
        </w:rPr>
        <w:t xml:space="preserve"> relevancia internacional, y sirvieron para informar los debates globales sobre sanidad y</w:t>
      </w:r>
      <w:r w:rsidR="001E13DE" w:rsidRPr="00D44271">
        <w:rPr>
          <w:bCs/>
          <w:szCs w:val="22"/>
          <w:lang w:val="es-ES"/>
        </w:rPr>
        <w:t xml:space="preserve"> </w:t>
      </w:r>
      <w:r w:rsidRPr="00D44271">
        <w:rPr>
          <w:bCs/>
          <w:szCs w:val="22"/>
          <w:lang w:val="es-ES"/>
        </w:rPr>
        <w:t xml:space="preserve">medioambiente, entre otros temas.  </w:t>
      </w:r>
      <w:r w:rsidR="00A96B16" w:rsidRPr="00D44271">
        <w:rPr>
          <w:bCs/>
          <w:szCs w:val="22"/>
          <w:lang w:val="es-ES"/>
        </w:rPr>
        <w:t>Los foros</w:t>
      </w:r>
      <w:r w:rsidRPr="00D44271">
        <w:rPr>
          <w:bCs/>
          <w:szCs w:val="22"/>
          <w:lang w:val="es-ES"/>
        </w:rPr>
        <w:t xml:space="preserve"> en los que los informes PLR </w:t>
      </w:r>
      <w:r w:rsidR="00A96B16" w:rsidRPr="00D44271">
        <w:rPr>
          <w:bCs/>
          <w:szCs w:val="22"/>
          <w:lang w:val="es-ES"/>
        </w:rPr>
        <w:t xml:space="preserve">resultaban de utilidad llegaron hasta el conocimiento de </w:t>
      </w:r>
      <w:r w:rsidRPr="00D44271">
        <w:rPr>
          <w:bCs/>
          <w:szCs w:val="22"/>
          <w:lang w:val="es-ES"/>
        </w:rPr>
        <w:t xml:space="preserve">los Estados Miembros de la OMPI, a través de la participación de en estos últimos en </w:t>
      </w:r>
      <w:r w:rsidR="00137292">
        <w:rPr>
          <w:bCs/>
          <w:szCs w:val="22"/>
          <w:lang w:val="es-ES"/>
        </w:rPr>
        <w:t>dichos</w:t>
      </w:r>
      <w:r w:rsidRPr="00D44271">
        <w:rPr>
          <w:bCs/>
          <w:szCs w:val="22"/>
          <w:lang w:val="es-ES"/>
        </w:rPr>
        <w:t xml:space="preserve"> organismos</w:t>
      </w:r>
      <w:r w:rsidR="00A96B16" w:rsidRPr="00D44271">
        <w:rPr>
          <w:bCs/>
          <w:szCs w:val="22"/>
          <w:lang w:val="es-ES"/>
        </w:rPr>
        <w:t>, y porque en dichos ámbitos se abordaron problemáticas que, en muchos casos, tenían una relevancia especial para los países en desarrollo y PMA</w:t>
      </w:r>
      <w:r w:rsidR="00621703" w:rsidRPr="00D44271">
        <w:rPr>
          <w:bCs/>
          <w:szCs w:val="22"/>
          <w:lang w:val="es-ES"/>
        </w:rPr>
        <w:t xml:space="preserve">. </w:t>
      </w:r>
    </w:p>
    <w:p w14:paraId="3049BF7B" w14:textId="40E12383" w:rsidR="00621703" w:rsidRPr="00D44271" w:rsidRDefault="001E13DE" w:rsidP="005F054C">
      <w:pPr>
        <w:numPr>
          <w:ilvl w:val="0"/>
          <w:numId w:val="12"/>
        </w:numPr>
        <w:spacing w:before="120" w:after="120"/>
        <w:rPr>
          <w:bCs/>
          <w:szCs w:val="22"/>
          <w:lang w:val="es-ES"/>
        </w:rPr>
      </w:pPr>
      <w:r w:rsidRPr="00D44271">
        <w:rPr>
          <w:bCs/>
          <w:szCs w:val="22"/>
          <w:lang w:val="es-ES"/>
        </w:rPr>
        <w:t xml:space="preserve">Dado que </w:t>
      </w:r>
      <w:r w:rsidR="00F054EA" w:rsidRPr="00D44271">
        <w:rPr>
          <w:bCs/>
          <w:szCs w:val="22"/>
          <w:lang w:val="es-ES"/>
        </w:rPr>
        <w:t xml:space="preserve">el valor de los estudios analíticos sobre patentes no </w:t>
      </w:r>
      <w:r w:rsidR="00B237E3" w:rsidRPr="00D44271">
        <w:rPr>
          <w:bCs/>
          <w:szCs w:val="22"/>
          <w:lang w:val="es-ES"/>
        </w:rPr>
        <w:t>era</w:t>
      </w:r>
      <w:r w:rsidR="00F054EA" w:rsidRPr="00D44271">
        <w:rPr>
          <w:bCs/>
          <w:szCs w:val="22"/>
          <w:lang w:val="es-ES"/>
        </w:rPr>
        <w:t xml:space="preserve"> </w:t>
      </w:r>
      <w:r w:rsidR="009363B7" w:rsidRPr="00D44271">
        <w:rPr>
          <w:bCs/>
          <w:szCs w:val="22"/>
          <w:lang w:val="es-ES"/>
        </w:rPr>
        <w:t xml:space="preserve">mayoritariamente </w:t>
      </w:r>
      <w:r w:rsidR="00F054EA" w:rsidRPr="00D44271">
        <w:rPr>
          <w:bCs/>
          <w:szCs w:val="22"/>
          <w:lang w:val="es-ES"/>
        </w:rPr>
        <w:t>conocido por el público no experto en P.I., es natural que al proyecto le costara cierto tiempo encontrar partidarios –la elaboración de informes PLR, la realización de talleres y de la guía didáctica electrónica</w:t>
      </w:r>
      <w:r w:rsidR="009363B7" w:rsidRPr="00D44271">
        <w:rPr>
          <w:bCs/>
          <w:szCs w:val="22"/>
          <w:lang w:val="es-ES"/>
        </w:rPr>
        <w:t xml:space="preserve">, y la elaboración de las directrices metodológicas debían ser consideradas no sólo útiles en sí mismas, sino como catalizadores </w:t>
      </w:r>
      <w:r w:rsidR="00B237E3" w:rsidRPr="00D44271">
        <w:rPr>
          <w:bCs/>
          <w:szCs w:val="22"/>
          <w:lang w:val="es-ES"/>
        </w:rPr>
        <w:t>de una comprensión más extensa acerca del valor de los informes PLR para la política pública, el desarrollo estratégico y la transferencia de tecnología</w:t>
      </w:r>
      <w:r w:rsidR="00621703" w:rsidRPr="00D44271">
        <w:rPr>
          <w:bCs/>
          <w:szCs w:val="22"/>
          <w:lang w:val="es-ES"/>
        </w:rPr>
        <w:t xml:space="preserve">. </w:t>
      </w:r>
    </w:p>
    <w:p w14:paraId="18439EDD" w14:textId="4CB1D8E0" w:rsidR="00621703" w:rsidRPr="00D44271" w:rsidRDefault="00B237E3" w:rsidP="005F054C">
      <w:pPr>
        <w:numPr>
          <w:ilvl w:val="0"/>
          <w:numId w:val="12"/>
        </w:numPr>
        <w:spacing w:before="120" w:after="120"/>
        <w:rPr>
          <w:bCs/>
          <w:szCs w:val="22"/>
          <w:lang w:val="es-ES"/>
        </w:rPr>
      </w:pPr>
      <w:r w:rsidRPr="00D44271">
        <w:rPr>
          <w:bCs/>
          <w:szCs w:val="22"/>
          <w:lang w:val="es-ES"/>
        </w:rPr>
        <w:t>De las entrevistas y experiencias se pudo deducir que, según se fueron redactando y utilizando más informes PLR, los Estados Miembros y otros potenciales socios externos fueron siendo más proclives a tomar conciencia de su valor y utilidad</w:t>
      </w:r>
      <w:r w:rsidR="00D315BE" w:rsidRPr="00D44271">
        <w:rPr>
          <w:bCs/>
          <w:szCs w:val="22"/>
          <w:lang w:val="es-ES"/>
        </w:rPr>
        <w:t xml:space="preserve"> y, por ende, </w:t>
      </w:r>
      <w:r w:rsidR="00D01692" w:rsidRPr="00D44271">
        <w:rPr>
          <w:bCs/>
          <w:szCs w:val="22"/>
          <w:lang w:val="es-ES"/>
        </w:rPr>
        <w:t xml:space="preserve">fueron </w:t>
      </w:r>
      <w:r w:rsidR="00D315BE" w:rsidRPr="00D44271">
        <w:rPr>
          <w:bCs/>
          <w:szCs w:val="22"/>
          <w:lang w:val="es-ES"/>
        </w:rPr>
        <w:t>adopta</w:t>
      </w:r>
      <w:r w:rsidR="00D01692" w:rsidRPr="00D44271">
        <w:rPr>
          <w:bCs/>
          <w:szCs w:val="22"/>
          <w:lang w:val="es-ES"/>
        </w:rPr>
        <w:t>ndo</w:t>
      </w:r>
      <w:r w:rsidR="00D315BE" w:rsidRPr="00D44271">
        <w:rPr>
          <w:bCs/>
          <w:szCs w:val="22"/>
          <w:lang w:val="es-ES"/>
        </w:rPr>
        <w:t xml:space="preserve"> actitudes más activas en cuanto a la identificación y propuesta de </w:t>
      </w:r>
      <w:r w:rsidR="002D7422" w:rsidRPr="00D44271">
        <w:rPr>
          <w:bCs/>
          <w:szCs w:val="22"/>
          <w:lang w:val="es-ES"/>
        </w:rPr>
        <w:t xml:space="preserve">nuevos </w:t>
      </w:r>
      <w:r w:rsidR="00D315BE" w:rsidRPr="00D44271">
        <w:rPr>
          <w:bCs/>
          <w:szCs w:val="22"/>
          <w:lang w:val="es-ES"/>
        </w:rPr>
        <w:t xml:space="preserve">temas sobre los que </w:t>
      </w:r>
      <w:r w:rsidR="00D01692" w:rsidRPr="00D44271">
        <w:rPr>
          <w:bCs/>
          <w:szCs w:val="22"/>
          <w:lang w:val="es-ES"/>
        </w:rPr>
        <w:t>investigar</w:t>
      </w:r>
      <w:r w:rsidR="00D315BE" w:rsidRPr="00D44271">
        <w:rPr>
          <w:bCs/>
          <w:szCs w:val="22"/>
          <w:lang w:val="es-ES"/>
        </w:rPr>
        <w:t xml:space="preserve"> la actividad de </w:t>
      </w:r>
      <w:proofErr w:type="spellStart"/>
      <w:r w:rsidR="00D315BE" w:rsidRPr="00D44271">
        <w:rPr>
          <w:bCs/>
          <w:szCs w:val="22"/>
          <w:lang w:val="es-ES"/>
        </w:rPr>
        <w:t>patentamiento</w:t>
      </w:r>
      <w:proofErr w:type="spellEnd"/>
      <w:r w:rsidR="00D315BE" w:rsidRPr="00D44271">
        <w:rPr>
          <w:bCs/>
          <w:szCs w:val="22"/>
          <w:lang w:val="es-ES"/>
        </w:rPr>
        <w:t xml:space="preserve">.  Esta tendencia se puso de manifiesto en la Fase II, dándose el caso de que algunas de las ideas para la elaboración de informes PLR </w:t>
      </w:r>
      <w:r w:rsidR="002D7422" w:rsidRPr="00D44271">
        <w:rPr>
          <w:bCs/>
          <w:szCs w:val="22"/>
          <w:lang w:val="es-ES"/>
        </w:rPr>
        <w:t>provinieron inicialmente de</w:t>
      </w:r>
      <w:r w:rsidR="00D315BE" w:rsidRPr="00D44271">
        <w:rPr>
          <w:bCs/>
          <w:szCs w:val="22"/>
          <w:lang w:val="es-ES"/>
        </w:rPr>
        <w:t xml:space="preserve"> socios externos que habían tenido </w:t>
      </w:r>
      <w:r w:rsidR="00D01692" w:rsidRPr="00D44271">
        <w:rPr>
          <w:bCs/>
          <w:szCs w:val="22"/>
          <w:lang w:val="es-ES"/>
        </w:rPr>
        <w:t>acceso a</w:t>
      </w:r>
      <w:r w:rsidR="00D315BE" w:rsidRPr="00D44271">
        <w:rPr>
          <w:bCs/>
          <w:szCs w:val="22"/>
          <w:lang w:val="es-ES"/>
        </w:rPr>
        <w:t xml:space="preserve"> otros informes PLR </w:t>
      </w:r>
      <w:r w:rsidR="002D7422" w:rsidRPr="00D44271">
        <w:rPr>
          <w:bCs/>
          <w:szCs w:val="22"/>
          <w:lang w:val="es-ES"/>
        </w:rPr>
        <w:t>en</w:t>
      </w:r>
      <w:r w:rsidR="00D01692" w:rsidRPr="00D44271">
        <w:rPr>
          <w:bCs/>
          <w:szCs w:val="22"/>
          <w:lang w:val="es-ES"/>
        </w:rPr>
        <w:t xml:space="preserve"> </w:t>
      </w:r>
      <w:r w:rsidR="00D315BE" w:rsidRPr="00D44271">
        <w:rPr>
          <w:bCs/>
          <w:szCs w:val="22"/>
          <w:lang w:val="es-ES"/>
        </w:rPr>
        <w:t xml:space="preserve">ámbitos de tecnología distintos.  </w:t>
      </w:r>
      <w:r w:rsidR="00D01692" w:rsidRPr="00D44271">
        <w:rPr>
          <w:bCs/>
          <w:szCs w:val="22"/>
          <w:lang w:val="es-ES"/>
        </w:rPr>
        <w:t>Se dieron cuenta del valor que podría aportar la realización de un informe PLR en su propio campo</w:t>
      </w:r>
      <w:r w:rsidR="00621703" w:rsidRPr="00D44271">
        <w:rPr>
          <w:bCs/>
          <w:szCs w:val="22"/>
          <w:lang w:val="es-ES"/>
        </w:rPr>
        <w:t>.</w:t>
      </w:r>
    </w:p>
    <w:p w14:paraId="75323B34" w14:textId="5F474CE7" w:rsidR="00621703" w:rsidRPr="00D44271" w:rsidRDefault="002D7422" w:rsidP="005F054C">
      <w:pPr>
        <w:numPr>
          <w:ilvl w:val="0"/>
          <w:numId w:val="12"/>
        </w:numPr>
        <w:spacing w:before="120" w:after="120"/>
        <w:rPr>
          <w:bCs/>
          <w:szCs w:val="22"/>
          <w:lang w:val="es-ES"/>
        </w:rPr>
      </w:pPr>
      <w:r w:rsidRPr="00D44271">
        <w:rPr>
          <w:bCs/>
          <w:szCs w:val="22"/>
          <w:lang w:val="es-ES"/>
        </w:rPr>
        <w:lastRenderedPageBreak/>
        <w:t>Además, la Secretaría ha recibido varias solicitudes de actualización de informes existentes, lo cual es indicativo de su relevancia para los usuarios</w:t>
      </w:r>
      <w:r w:rsidR="00621703" w:rsidRPr="00D44271">
        <w:rPr>
          <w:bCs/>
          <w:szCs w:val="22"/>
          <w:lang w:val="es-ES"/>
        </w:rPr>
        <w:t>.</w:t>
      </w:r>
    </w:p>
    <w:p w14:paraId="4512B4EA" w14:textId="5D005601" w:rsidR="002D2D64" w:rsidRPr="00D44271" w:rsidRDefault="002D7422" w:rsidP="005F054C">
      <w:pPr>
        <w:numPr>
          <w:ilvl w:val="0"/>
          <w:numId w:val="12"/>
        </w:numPr>
        <w:spacing w:before="120" w:after="120"/>
        <w:rPr>
          <w:bCs/>
          <w:szCs w:val="22"/>
          <w:lang w:val="es-ES"/>
        </w:rPr>
      </w:pPr>
      <w:r w:rsidRPr="00D44271">
        <w:rPr>
          <w:bCs/>
          <w:szCs w:val="22"/>
          <w:lang w:val="es-ES"/>
        </w:rPr>
        <w:t xml:space="preserve">La Secretaría también ha recibido solicitudes de intercambio de prácticas óptimas </w:t>
      </w:r>
      <w:r w:rsidR="00440354" w:rsidRPr="00D44271">
        <w:rPr>
          <w:bCs/>
          <w:szCs w:val="22"/>
          <w:lang w:val="es-ES"/>
        </w:rPr>
        <w:t xml:space="preserve">con </w:t>
      </w:r>
      <w:r w:rsidRPr="00D44271">
        <w:rPr>
          <w:bCs/>
          <w:szCs w:val="22"/>
          <w:lang w:val="es-ES"/>
        </w:rPr>
        <w:t xml:space="preserve">países que </w:t>
      </w:r>
      <w:r w:rsidR="00137292">
        <w:rPr>
          <w:bCs/>
          <w:szCs w:val="22"/>
          <w:lang w:val="es-ES"/>
        </w:rPr>
        <w:t xml:space="preserve">ya </w:t>
      </w:r>
      <w:r w:rsidRPr="00D44271">
        <w:rPr>
          <w:bCs/>
          <w:szCs w:val="22"/>
          <w:lang w:val="es-ES"/>
        </w:rPr>
        <w:t>ha</w:t>
      </w:r>
      <w:r w:rsidR="00440354" w:rsidRPr="00D44271">
        <w:rPr>
          <w:bCs/>
          <w:szCs w:val="22"/>
          <w:lang w:val="es-ES"/>
        </w:rPr>
        <w:t>ya</w:t>
      </w:r>
      <w:r w:rsidRPr="00D44271">
        <w:rPr>
          <w:bCs/>
          <w:szCs w:val="22"/>
          <w:lang w:val="es-ES"/>
        </w:rPr>
        <w:t>n hecho uso de estudios analíticos sobre patentes</w:t>
      </w:r>
      <w:r w:rsidR="00BF39B8" w:rsidRPr="00D44271">
        <w:rPr>
          <w:bCs/>
          <w:szCs w:val="22"/>
          <w:lang w:val="es-ES"/>
        </w:rPr>
        <w:t xml:space="preserve"> con buenos resultados</w:t>
      </w:r>
      <w:r w:rsidR="00440354" w:rsidRPr="00D44271">
        <w:rPr>
          <w:bCs/>
          <w:szCs w:val="22"/>
          <w:lang w:val="es-ES"/>
        </w:rPr>
        <w:t>, demandas de formación, y peticiones de ayuda para el acceso y utilización de herramientas de código abierto y bases de datos de búsqueda y análisis de patentes.  Algunas de las personas entrevistadas reiteraron estas demandas en las entrevistas realizadas en el curso de esta evaluación</w:t>
      </w:r>
      <w:r w:rsidR="002D2D64" w:rsidRPr="00D44271">
        <w:rPr>
          <w:bCs/>
          <w:szCs w:val="22"/>
          <w:lang w:val="es-ES"/>
        </w:rPr>
        <w:t>.</w:t>
      </w:r>
    </w:p>
    <w:p w14:paraId="4E629DE4" w14:textId="6012BB67" w:rsidR="005F054C" w:rsidRPr="00D44271" w:rsidRDefault="00BF39B8" w:rsidP="005F054C">
      <w:pPr>
        <w:numPr>
          <w:ilvl w:val="0"/>
          <w:numId w:val="12"/>
        </w:numPr>
        <w:spacing w:before="120" w:after="120"/>
        <w:rPr>
          <w:bCs/>
          <w:szCs w:val="22"/>
          <w:lang w:val="es-ES"/>
        </w:rPr>
      </w:pPr>
      <w:r w:rsidRPr="00D44271">
        <w:rPr>
          <w:bCs/>
          <w:szCs w:val="22"/>
          <w:lang w:val="es-ES"/>
        </w:rPr>
        <w:t xml:space="preserve">Cabe señalar que con posterioridad a la Fase II, la Secretaría ha comenzado a trabajar en otros informes PLR con determinados países, en particular en un informe PLR que se desarrolla en colaboración </w:t>
      </w:r>
      <w:r w:rsidR="00FB27A3" w:rsidRPr="00D44271">
        <w:rPr>
          <w:bCs/>
          <w:szCs w:val="22"/>
          <w:lang w:val="es-ES"/>
        </w:rPr>
        <w:t>con el Gobierno de Mala</w:t>
      </w:r>
      <w:r w:rsidR="00621703" w:rsidRPr="00D44271">
        <w:rPr>
          <w:bCs/>
          <w:szCs w:val="22"/>
          <w:lang w:val="es-ES"/>
        </w:rPr>
        <w:t xml:space="preserve">sia.  </w:t>
      </w:r>
    </w:p>
    <w:p w14:paraId="72DA99F5" w14:textId="67D63912" w:rsidR="00AB6C53" w:rsidRPr="00D44271" w:rsidRDefault="00C6185B" w:rsidP="005F054C">
      <w:pPr>
        <w:spacing w:before="120" w:after="120"/>
        <w:rPr>
          <w:i/>
          <w:szCs w:val="22"/>
          <w:lang w:val="es-ES"/>
        </w:rPr>
      </w:pPr>
      <w:r w:rsidRPr="00D44271">
        <w:rPr>
          <w:i/>
          <w:szCs w:val="22"/>
          <w:lang w:val="es-ES"/>
        </w:rPr>
        <w:t>Eficacia del proyecto</w:t>
      </w:r>
    </w:p>
    <w:p w14:paraId="4CDF14C2" w14:textId="570B19EB" w:rsidR="00621703" w:rsidRPr="00D44271" w:rsidRDefault="00FB27A3" w:rsidP="005F054C">
      <w:pPr>
        <w:numPr>
          <w:ilvl w:val="0"/>
          <w:numId w:val="12"/>
        </w:numPr>
        <w:spacing w:before="120" w:after="120"/>
        <w:rPr>
          <w:bCs/>
          <w:szCs w:val="22"/>
          <w:lang w:val="es-ES"/>
        </w:rPr>
      </w:pPr>
      <w:r w:rsidRPr="00D44271">
        <w:rPr>
          <w:bCs/>
          <w:szCs w:val="22"/>
          <w:lang w:val="es-ES"/>
        </w:rPr>
        <w:t xml:space="preserve">La ejecución del proyecto </w:t>
      </w:r>
      <w:r w:rsidR="00781E48" w:rsidRPr="00D44271">
        <w:rPr>
          <w:bCs/>
          <w:szCs w:val="22"/>
          <w:lang w:val="es-ES"/>
        </w:rPr>
        <w:t>figura íntegramente descrita en el Apéndice II del informe</w:t>
      </w:r>
      <w:r w:rsidR="00621703" w:rsidRPr="00D44271">
        <w:rPr>
          <w:bCs/>
          <w:szCs w:val="22"/>
          <w:lang w:val="es-ES"/>
        </w:rPr>
        <w:t xml:space="preserve">. </w:t>
      </w:r>
    </w:p>
    <w:p w14:paraId="252C411A" w14:textId="21C06EBA" w:rsidR="00621703" w:rsidRPr="00D44271" w:rsidRDefault="001B1E51" w:rsidP="005F054C">
      <w:pPr>
        <w:numPr>
          <w:ilvl w:val="0"/>
          <w:numId w:val="12"/>
        </w:numPr>
        <w:spacing w:before="120" w:after="120"/>
        <w:rPr>
          <w:bCs/>
          <w:szCs w:val="22"/>
          <w:lang w:val="es-ES"/>
        </w:rPr>
      </w:pPr>
      <w:r w:rsidRPr="00D44271">
        <w:rPr>
          <w:bCs/>
          <w:szCs w:val="22"/>
          <w:lang w:val="es-ES"/>
        </w:rPr>
        <w:t xml:space="preserve">Aunque la ejecución del proyecto no </w:t>
      </w:r>
      <w:r w:rsidR="00137292">
        <w:rPr>
          <w:bCs/>
          <w:szCs w:val="22"/>
          <w:lang w:val="es-ES"/>
        </w:rPr>
        <w:t>llegó a</w:t>
      </w:r>
      <w:r w:rsidRPr="00D44271">
        <w:rPr>
          <w:bCs/>
          <w:szCs w:val="22"/>
          <w:lang w:val="es-ES"/>
        </w:rPr>
        <w:t xml:space="preserve"> complet</w:t>
      </w:r>
      <w:r w:rsidR="00137292">
        <w:rPr>
          <w:bCs/>
          <w:szCs w:val="22"/>
          <w:lang w:val="es-ES"/>
        </w:rPr>
        <w:t xml:space="preserve">arse en </w:t>
      </w:r>
      <w:r w:rsidRPr="00D44271">
        <w:rPr>
          <w:bCs/>
          <w:szCs w:val="22"/>
          <w:lang w:val="es-ES"/>
        </w:rPr>
        <w:t>diciembre de 2013, ello se debió en gran parte a la falta de realismo del calendario, motivada por el retraso en la aprobación de la propuesta de proyecto</w:t>
      </w:r>
      <w:r w:rsidR="00621703" w:rsidRPr="00D44271">
        <w:rPr>
          <w:bCs/>
          <w:szCs w:val="22"/>
          <w:lang w:val="es-ES"/>
        </w:rPr>
        <w:t xml:space="preserve">. </w:t>
      </w:r>
    </w:p>
    <w:p w14:paraId="6413E004" w14:textId="6BA7514C" w:rsidR="002D2D64" w:rsidRPr="00D44271" w:rsidRDefault="001B1E51" w:rsidP="005F054C">
      <w:pPr>
        <w:numPr>
          <w:ilvl w:val="0"/>
          <w:numId w:val="12"/>
        </w:numPr>
        <w:spacing w:before="120" w:after="120"/>
        <w:rPr>
          <w:bCs/>
          <w:szCs w:val="22"/>
          <w:lang w:val="es-ES"/>
        </w:rPr>
      </w:pPr>
      <w:r w:rsidRPr="00D44271">
        <w:rPr>
          <w:bCs/>
          <w:szCs w:val="22"/>
          <w:lang w:val="es-ES"/>
        </w:rPr>
        <w:t>Las actividades</w:t>
      </w:r>
      <w:r w:rsidR="00E83AC3" w:rsidRPr="00D44271">
        <w:rPr>
          <w:bCs/>
          <w:szCs w:val="22"/>
          <w:lang w:val="es-ES"/>
        </w:rPr>
        <w:t xml:space="preserve"> de la Fase II del proyecto se prolongaron más allá de diciembre de 2013.  Al tiempo en que se desarrolló esta evaluación, todos los productos o bien ya habían sido entregados, o bien estaban a punto de ser finalizados.</w:t>
      </w:r>
    </w:p>
    <w:p w14:paraId="6228A8C2" w14:textId="3DCCE2F2" w:rsidR="00621703" w:rsidRPr="00D44271" w:rsidRDefault="00E83AC3" w:rsidP="005F054C">
      <w:pPr>
        <w:numPr>
          <w:ilvl w:val="0"/>
          <w:numId w:val="12"/>
        </w:numPr>
        <w:spacing w:before="120" w:after="120"/>
        <w:rPr>
          <w:bCs/>
          <w:szCs w:val="22"/>
          <w:lang w:val="es-ES"/>
        </w:rPr>
      </w:pPr>
      <w:r w:rsidRPr="00D44271">
        <w:rPr>
          <w:bCs/>
          <w:szCs w:val="22"/>
          <w:lang w:val="es-ES"/>
        </w:rPr>
        <w:t xml:space="preserve">En general la calidad de los productos entregados se consideró alta.  </w:t>
      </w:r>
      <w:r w:rsidR="005A2116" w:rsidRPr="00D44271">
        <w:rPr>
          <w:bCs/>
          <w:szCs w:val="22"/>
          <w:lang w:val="es-ES"/>
        </w:rPr>
        <w:t>V</w:t>
      </w:r>
      <w:r w:rsidRPr="00D44271">
        <w:rPr>
          <w:bCs/>
          <w:szCs w:val="22"/>
          <w:lang w:val="es-ES"/>
        </w:rPr>
        <w:t>arios de los indicadores</w:t>
      </w:r>
      <w:r w:rsidR="005A2116" w:rsidRPr="00D44271">
        <w:rPr>
          <w:bCs/>
          <w:szCs w:val="22"/>
          <w:lang w:val="es-ES"/>
        </w:rPr>
        <w:t xml:space="preserve"> </w:t>
      </w:r>
      <w:r w:rsidRPr="00D44271">
        <w:rPr>
          <w:bCs/>
          <w:szCs w:val="22"/>
          <w:lang w:val="es-ES"/>
        </w:rPr>
        <w:t>superaron significativamente las expectativas, por ejemplo en lo relativo a las estadísticas de descarga de los informes PLR,</w:t>
      </w:r>
      <w:r w:rsidR="005A2116" w:rsidRPr="00D44271">
        <w:rPr>
          <w:bCs/>
          <w:szCs w:val="22"/>
          <w:lang w:val="es-ES"/>
        </w:rPr>
        <w:t xml:space="preserve"> a la contribución a los foros internacionales de negociación, al número y calidad de los talleres y a la implicación del equipo del proyecto en actos de promoción externa</w:t>
      </w:r>
      <w:r w:rsidR="004E756C" w:rsidRPr="00D44271">
        <w:rPr>
          <w:bCs/>
          <w:szCs w:val="22"/>
          <w:lang w:val="es-ES"/>
        </w:rPr>
        <w:t>.</w:t>
      </w:r>
      <w:r w:rsidR="00621703" w:rsidRPr="00D44271">
        <w:rPr>
          <w:bCs/>
          <w:szCs w:val="22"/>
          <w:lang w:val="es-ES"/>
        </w:rPr>
        <w:t xml:space="preserve"> </w:t>
      </w:r>
    </w:p>
    <w:p w14:paraId="74F230A3" w14:textId="44D33000" w:rsidR="00621703" w:rsidRPr="00D44271" w:rsidRDefault="005A2116" w:rsidP="005F054C">
      <w:pPr>
        <w:numPr>
          <w:ilvl w:val="0"/>
          <w:numId w:val="12"/>
        </w:numPr>
        <w:spacing w:before="120" w:after="120"/>
        <w:rPr>
          <w:bCs/>
          <w:szCs w:val="22"/>
          <w:lang w:val="es-ES"/>
        </w:rPr>
      </w:pPr>
      <w:r w:rsidRPr="00D44271">
        <w:rPr>
          <w:bCs/>
          <w:szCs w:val="22"/>
          <w:lang w:val="es-ES"/>
        </w:rPr>
        <w:t>La experiencia de usuario, basada en los resultados de las encuestas sobre los informes PLR, en las estadísticas de descargas y en las encuestas realizadas entre los participantes en los talleres, figura íntegramente descrita en el Apéndice II del informe.</w:t>
      </w:r>
      <w:r w:rsidR="00621703" w:rsidRPr="00D44271">
        <w:rPr>
          <w:bCs/>
          <w:szCs w:val="22"/>
          <w:lang w:val="es-ES"/>
        </w:rPr>
        <w:t xml:space="preserve"> </w:t>
      </w:r>
    </w:p>
    <w:p w14:paraId="0A40C080" w14:textId="2DBC0A70" w:rsidR="00621703" w:rsidRPr="00D44271" w:rsidRDefault="00D04DF4" w:rsidP="005F054C">
      <w:pPr>
        <w:numPr>
          <w:ilvl w:val="0"/>
          <w:numId w:val="12"/>
        </w:numPr>
        <w:spacing w:before="120" w:after="120"/>
        <w:rPr>
          <w:bCs/>
          <w:szCs w:val="22"/>
          <w:lang w:val="es-ES"/>
        </w:rPr>
      </w:pPr>
      <w:r w:rsidRPr="00D44271">
        <w:rPr>
          <w:bCs/>
          <w:szCs w:val="22"/>
          <w:lang w:val="es-ES"/>
        </w:rPr>
        <w:t xml:space="preserve">El tráfico registrado en el sitio web y las descargas de informes PLR aumentaron significativamente durante la Fase II, contabilizándose cerca de 13.000 visitas al sitio web, el doble de las cifras correspondientes a 2012.  Se produjeron más de 26.000 descargas de informes PLR elaborados por la OMPI durante los años 2012 y 2013.    </w:t>
      </w:r>
      <w:r w:rsidR="00621703" w:rsidRPr="00D44271">
        <w:rPr>
          <w:bCs/>
          <w:szCs w:val="22"/>
          <w:lang w:val="es-ES"/>
        </w:rPr>
        <w:t xml:space="preserve"> </w:t>
      </w:r>
    </w:p>
    <w:p w14:paraId="71259589" w14:textId="191B1325" w:rsidR="00621703" w:rsidRPr="00D44271" w:rsidRDefault="00D04DF4" w:rsidP="005F054C">
      <w:pPr>
        <w:numPr>
          <w:ilvl w:val="0"/>
          <w:numId w:val="12"/>
        </w:numPr>
        <w:spacing w:before="120" w:after="120"/>
        <w:rPr>
          <w:bCs/>
          <w:szCs w:val="22"/>
          <w:lang w:val="es-ES"/>
        </w:rPr>
      </w:pPr>
      <w:r w:rsidRPr="00D44271">
        <w:rPr>
          <w:bCs/>
          <w:szCs w:val="22"/>
          <w:lang w:val="es-ES"/>
        </w:rPr>
        <w:t xml:space="preserve">Los informes </w:t>
      </w:r>
      <w:r w:rsidR="00621703" w:rsidRPr="00D44271">
        <w:rPr>
          <w:bCs/>
          <w:szCs w:val="22"/>
          <w:lang w:val="es-ES"/>
        </w:rPr>
        <w:t>PLR</w:t>
      </w:r>
      <w:r w:rsidRPr="00D44271">
        <w:rPr>
          <w:bCs/>
          <w:szCs w:val="22"/>
          <w:lang w:val="es-ES"/>
        </w:rPr>
        <w:t xml:space="preserve"> y los talleres obtuvieron valoraciones sistemáticamente altas en lo referente a su relevancia y calidad</w:t>
      </w:r>
      <w:r w:rsidR="00621703" w:rsidRPr="00D44271">
        <w:rPr>
          <w:bCs/>
          <w:szCs w:val="22"/>
          <w:lang w:val="es-ES"/>
        </w:rPr>
        <w:t xml:space="preserve">. </w:t>
      </w:r>
    </w:p>
    <w:p w14:paraId="097A816A" w14:textId="61DBCC88" w:rsidR="002D2D64" w:rsidRPr="00D44271" w:rsidRDefault="00D04DF4" w:rsidP="005F054C">
      <w:pPr>
        <w:numPr>
          <w:ilvl w:val="0"/>
          <w:numId w:val="12"/>
        </w:numPr>
        <w:spacing w:before="120" w:after="120"/>
        <w:rPr>
          <w:bCs/>
          <w:szCs w:val="22"/>
          <w:lang w:val="es-ES"/>
        </w:rPr>
      </w:pPr>
      <w:r w:rsidRPr="00D44271">
        <w:rPr>
          <w:bCs/>
          <w:szCs w:val="22"/>
          <w:lang w:val="es-ES"/>
        </w:rPr>
        <w:t>En</w:t>
      </w:r>
      <w:r w:rsidR="00621703" w:rsidRPr="00D44271">
        <w:rPr>
          <w:bCs/>
          <w:szCs w:val="22"/>
          <w:lang w:val="es-ES"/>
        </w:rPr>
        <w:t xml:space="preserve"> general, </w:t>
      </w:r>
      <w:r w:rsidR="007C1A56" w:rsidRPr="00D44271">
        <w:rPr>
          <w:bCs/>
          <w:szCs w:val="22"/>
          <w:lang w:val="es-ES"/>
        </w:rPr>
        <w:t xml:space="preserve">se consideró que </w:t>
      </w:r>
      <w:r w:rsidRPr="00D44271">
        <w:rPr>
          <w:bCs/>
          <w:szCs w:val="22"/>
          <w:lang w:val="es-ES"/>
        </w:rPr>
        <w:t xml:space="preserve">las actividades de la Fase II </w:t>
      </w:r>
      <w:r w:rsidR="007C1A56" w:rsidRPr="00D44271">
        <w:rPr>
          <w:bCs/>
          <w:szCs w:val="22"/>
          <w:lang w:val="es-ES"/>
        </w:rPr>
        <w:t xml:space="preserve">contribuyeron a ampliar la comprensión del valor de los informes sobre la actividad de </w:t>
      </w:r>
      <w:proofErr w:type="spellStart"/>
      <w:r w:rsidR="007C1A56" w:rsidRPr="00D44271">
        <w:rPr>
          <w:bCs/>
          <w:szCs w:val="22"/>
          <w:lang w:val="es-ES"/>
        </w:rPr>
        <w:t>patentamiento</w:t>
      </w:r>
      <w:proofErr w:type="spellEnd"/>
      <w:r w:rsidR="007C1A56" w:rsidRPr="00D44271">
        <w:rPr>
          <w:bCs/>
          <w:szCs w:val="22"/>
          <w:lang w:val="es-ES"/>
        </w:rPr>
        <w:t xml:space="preserve">, y que con ellas se habrían sentado </w:t>
      </w:r>
      <w:r w:rsidR="0086002B">
        <w:rPr>
          <w:bCs/>
          <w:szCs w:val="22"/>
          <w:lang w:val="es-ES"/>
        </w:rPr>
        <w:t>unas bases</w:t>
      </w:r>
      <w:r w:rsidR="007C1A56" w:rsidRPr="00D44271">
        <w:rPr>
          <w:bCs/>
          <w:szCs w:val="22"/>
          <w:lang w:val="es-ES"/>
        </w:rPr>
        <w:t xml:space="preserve"> para que los Estados Miembros y otros actores puedan identificar aquellas áreas tecnológicas en las cuales</w:t>
      </w:r>
      <w:r w:rsidR="00137292">
        <w:rPr>
          <w:bCs/>
          <w:szCs w:val="22"/>
          <w:lang w:val="es-ES"/>
        </w:rPr>
        <w:t>, el hecho de</w:t>
      </w:r>
      <w:r w:rsidR="007C1A56" w:rsidRPr="00D44271">
        <w:rPr>
          <w:bCs/>
          <w:szCs w:val="22"/>
          <w:lang w:val="es-ES"/>
        </w:rPr>
        <w:t xml:space="preserve"> disponer de informes PLR</w:t>
      </w:r>
      <w:r w:rsidR="00137292">
        <w:rPr>
          <w:bCs/>
          <w:szCs w:val="22"/>
          <w:lang w:val="es-ES"/>
        </w:rPr>
        <w:t>, sería beneficioso para el</w:t>
      </w:r>
      <w:r w:rsidR="007C1A56" w:rsidRPr="00D44271">
        <w:rPr>
          <w:bCs/>
          <w:szCs w:val="22"/>
          <w:lang w:val="es-ES"/>
        </w:rPr>
        <w:t xml:space="preserve"> diseño de la política nacional.</w:t>
      </w:r>
      <w:r w:rsidR="00621703" w:rsidRPr="00D44271">
        <w:rPr>
          <w:bCs/>
          <w:szCs w:val="22"/>
          <w:lang w:val="es-ES"/>
        </w:rPr>
        <w:t xml:space="preserve"> </w:t>
      </w:r>
    </w:p>
    <w:p w14:paraId="4720B500" w14:textId="28364F07" w:rsidR="002D2D64" w:rsidRPr="00D44271" w:rsidRDefault="007C1A56" w:rsidP="005F054C">
      <w:pPr>
        <w:numPr>
          <w:ilvl w:val="0"/>
          <w:numId w:val="12"/>
        </w:numPr>
        <w:spacing w:before="120" w:after="120"/>
        <w:rPr>
          <w:bCs/>
          <w:szCs w:val="22"/>
          <w:lang w:val="es-ES"/>
        </w:rPr>
      </w:pPr>
      <w:r w:rsidRPr="00D44271">
        <w:rPr>
          <w:bCs/>
          <w:szCs w:val="22"/>
          <w:lang w:val="es-ES"/>
        </w:rPr>
        <w:t xml:space="preserve">Además, se consideró que las actividades de la Fase II </w:t>
      </w:r>
      <w:r w:rsidR="00C15AFE" w:rsidRPr="00D44271">
        <w:rPr>
          <w:bCs/>
          <w:szCs w:val="22"/>
          <w:lang w:val="es-ES"/>
        </w:rPr>
        <w:t>habrían favorecido, en los Estados Miembros, el desarrollo incipiente de una base de capacidades en materia de estudio analítico sobre patentes, que se está reforzando a través de las actividades posteriores a la Fase II.</w:t>
      </w:r>
    </w:p>
    <w:p w14:paraId="4E0A00A5" w14:textId="17F2D047" w:rsidR="002D2D64" w:rsidRPr="00D44271" w:rsidRDefault="009E5907" w:rsidP="006D7D14">
      <w:pPr>
        <w:numPr>
          <w:ilvl w:val="0"/>
          <w:numId w:val="12"/>
        </w:numPr>
        <w:spacing w:before="120" w:after="120"/>
        <w:rPr>
          <w:bCs/>
          <w:szCs w:val="22"/>
          <w:lang w:val="es-ES"/>
        </w:rPr>
      </w:pPr>
      <w:r w:rsidRPr="00D44271">
        <w:rPr>
          <w:bCs/>
          <w:szCs w:val="22"/>
          <w:lang w:val="es-ES"/>
        </w:rPr>
        <w:t xml:space="preserve">Gracias a las actividades llevadas a cabo en la Fase II, el proyecto </w:t>
      </w:r>
      <w:r w:rsidR="001E77E6" w:rsidRPr="00D44271">
        <w:rPr>
          <w:bCs/>
          <w:szCs w:val="22"/>
          <w:lang w:val="es-ES"/>
        </w:rPr>
        <w:t>contribuyó</w:t>
      </w:r>
      <w:r w:rsidR="006D7D14" w:rsidRPr="00D44271">
        <w:rPr>
          <w:bCs/>
          <w:szCs w:val="22"/>
          <w:lang w:val="es-ES"/>
        </w:rPr>
        <w:t xml:space="preserve"> </w:t>
      </w:r>
      <w:r w:rsidRPr="00D44271">
        <w:rPr>
          <w:bCs/>
          <w:szCs w:val="22"/>
          <w:lang w:val="es-ES"/>
        </w:rPr>
        <w:t>directa</w:t>
      </w:r>
      <w:r w:rsidR="006D7D14" w:rsidRPr="00D44271">
        <w:rPr>
          <w:bCs/>
          <w:szCs w:val="22"/>
          <w:lang w:val="es-ES"/>
        </w:rPr>
        <w:t>mente</w:t>
      </w:r>
      <w:r w:rsidRPr="00D44271">
        <w:rPr>
          <w:bCs/>
          <w:szCs w:val="22"/>
          <w:lang w:val="es-ES"/>
        </w:rPr>
        <w:t xml:space="preserve"> </w:t>
      </w:r>
      <w:r w:rsidR="006D7D14" w:rsidRPr="00D44271">
        <w:rPr>
          <w:bCs/>
          <w:szCs w:val="22"/>
          <w:lang w:val="es-ES"/>
        </w:rPr>
        <w:t>a los debates celebrados en foros internacionales y entre los Estados Miembros en materia de residuos electrónicos (e-</w:t>
      </w:r>
      <w:proofErr w:type="spellStart"/>
      <w:r w:rsidR="006D7D14" w:rsidRPr="00D44271">
        <w:rPr>
          <w:bCs/>
          <w:szCs w:val="22"/>
          <w:lang w:val="es-ES"/>
        </w:rPr>
        <w:t>waste</w:t>
      </w:r>
      <w:proofErr w:type="spellEnd"/>
      <w:r w:rsidR="006D7D14" w:rsidRPr="00D44271">
        <w:rPr>
          <w:bCs/>
          <w:szCs w:val="22"/>
          <w:lang w:val="es-ES"/>
        </w:rPr>
        <w:t xml:space="preserve">), recursos genéticos animales </w:t>
      </w:r>
      <w:r w:rsidR="00925547" w:rsidRPr="00D44271">
        <w:rPr>
          <w:bCs/>
          <w:szCs w:val="22"/>
          <w:lang w:val="es-ES"/>
        </w:rPr>
        <w:t>y acceso a los medicamentos esenciales</w:t>
      </w:r>
      <w:r w:rsidR="00621703" w:rsidRPr="00D44271">
        <w:rPr>
          <w:bCs/>
          <w:szCs w:val="22"/>
          <w:lang w:val="es-ES"/>
        </w:rPr>
        <w:t>.</w:t>
      </w:r>
    </w:p>
    <w:p w14:paraId="206244D5" w14:textId="71A0B7F8" w:rsidR="00621703" w:rsidRPr="00D44271" w:rsidRDefault="001E77E6" w:rsidP="005F054C">
      <w:pPr>
        <w:numPr>
          <w:ilvl w:val="0"/>
          <w:numId w:val="12"/>
        </w:numPr>
        <w:spacing w:before="120" w:after="120"/>
        <w:rPr>
          <w:bCs/>
          <w:szCs w:val="22"/>
          <w:lang w:val="es-ES"/>
        </w:rPr>
      </w:pPr>
      <w:r w:rsidRPr="00D44271">
        <w:rPr>
          <w:bCs/>
          <w:szCs w:val="22"/>
          <w:lang w:val="es-ES"/>
        </w:rPr>
        <w:t xml:space="preserve">Se consideró que las actividades de la Fase II, además de resultar valiosas en y por sí mismas, contribuyeron a potenciar la concienciación sobre la función y el valor </w:t>
      </w:r>
      <w:r w:rsidR="000064D9" w:rsidRPr="00D44271">
        <w:rPr>
          <w:bCs/>
          <w:szCs w:val="22"/>
          <w:lang w:val="es-ES"/>
        </w:rPr>
        <w:t>que tiene el</w:t>
      </w:r>
      <w:r w:rsidRPr="00D44271">
        <w:rPr>
          <w:bCs/>
          <w:szCs w:val="22"/>
          <w:lang w:val="es-ES"/>
        </w:rPr>
        <w:t xml:space="preserve"> </w:t>
      </w:r>
      <w:r w:rsidRPr="00D44271">
        <w:rPr>
          <w:bCs/>
          <w:szCs w:val="22"/>
          <w:lang w:val="es-ES"/>
        </w:rPr>
        <w:lastRenderedPageBreak/>
        <w:t>acceso a la información de patentes</w:t>
      </w:r>
      <w:r w:rsidR="000064D9" w:rsidRPr="00D44271">
        <w:rPr>
          <w:bCs/>
          <w:szCs w:val="22"/>
          <w:lang w:val="es-ES"/>
        </w:rPr>
        <w:t xml:space="preserve">, tendencia que se vio reforzada por la participación del equipo del proyecto en más de 20 actividades externas destinadas a promocionar los objetivos del proyecto entre 2013 y 2014. </w:t>
      </w:r>
      <w:r w:rsidRPr="00D44271">
        <w:rPr>
          <w:bCs/>
          <w:szCs w:val="22"/>
          <w:lang w:val="es-ES"/>
        </w:rPr>
        <w:t xml:space="preserve"> </w:t>
      </w:r>
      <w:r w:rsidR="004E756C" w:rsidRPr="00D44271">
        <w:rPr>
          <w:bCs/>
          <w:szCs w:val="22"/>
          <w:lang w:val="es-ES"/>
        </w:rPr>
        <w:t xml:space="preserve"> </w:t>
      </w:r>
      <w:r w:rsidR="00621703" w:rsidRPr="00D44271">
        <w:rPr>
          <w:bCs/>
          <w:szCs w:val="22"/>
          <w:lang w:val="es-ES"/>
        </w:rPr>
        <w:t xml:space="preserve"> </w:t>
      </w:r>
    </w:p>
    <w:p w14:paraId="088FA752" w14:textId="4C513D5A" w:rsidR="002D2D64" w:rsidRPr="00D44271" w:rsidRDefault="000064D9" w:rsidP="005F054C">
      <w:pPr>
        <w:numPr>
          <w:ilvl w:val="0"/>
          <w:numId w:val="14"/>
        </w:numPr>
        <w:spacing w:before="120" w:after="120"/>
        <w:rPr>
          <w:bCs/>
          <w:szCs w:val="22"/>
          <w:lang w:val="es-ES"/>
        </w:rPr>
      </w:pPr>
      <w:r w:rsidRPr="00D44271">
        <w:rPr>
          <w:bCs/>
          <w:szCs w:val="22"/>
          <w:lang w:val="es-ES"/>
        </w:rPr>
        <w:t xml:space="preserve">Se consideró que los talleres regionales e interregionales facilitaron las relaciones personales y la formación de redes informales de contactos entre las oficinas nacionales de patentes.  Los participantes subrayaron el valor que para ellos tienen estas redes de contactos, y expresaron su deseo de que las mismas se vayan fortaleciendo con el tiempo </w:t>
      </w:r>
      <w:r w:rsidR="007569F3" w:rsidRPr="00D44271">
        <w:rPr>
          <w:bCs/>
          <w:szCs w:val="22"/>
          <w:lang w:val="es-ES"/>
        </w:rPr>
        <w:t>gracias a</w:t>
      </w:r>
      <w:r w:rsidRPr="00D44271">
        <w:rPr>
          <w:bCs/>
          <w:szCs w:val="22"/>
          <w:lang w:val="es-ES"/>
        </w:rPr>
        <w:t xml:space="preserve"> futuras actividades organizadas por la OMPI</w:t>
      </w:r>
      <w:r w:rsidR="002D2D64" w:rsidRPr="00D44271">
        <w:rPr>
          <w:bCs/>
          <w:szCs w:val="22"/>
          <w:lang w:val="es-ES"/>
        </w:rPr>
        <w:t>.</w:t>
      </w:r>
    </w:p>
    <w:p w14:paraId="2B1BE0E8" w14:textId="17C96646" w:rsidR="002D2D64" w:rsidRPr="00D44271" w:rsidRDefault="007569F3" w:rsidP="00363BED">
      <w:pPr>
        <w:numPr>
          <w:ilvl w:val="0"/>
          <w:numId w:val="14"/>
        </w:numPr>
        <w:spacing w:before="120" w:after="120"/>
        <w:rPr>
          <w:bCs/>
          <w:szCs w:val="22"/>
          <w:lang w:val="es-ES"/>
        </w:rPr>
      </w:pPr>
      <w:r w:rsidRPr="00D44271">
        <w:rPr>
          <w:bCs/>
          <w:szCs w:val="22"/>
          <w:lang w:val="es-ES"/>
        </w:rPr>
        <w:t xml:space="preserve">Los participantes sugirieron que se lleven a cabo actividades de seguimiento para fortalecer dichas redes de contactos.  En particular, manifestaron su deseo de tener oportunidades </w:t>
      </w:r>
      <w:r w:rsidR="008B29A3" w:rsidRPr="00D44271">
        <w:rPr>
          <w:bCs/>
          <w:szCs w:val="22"/>
          <w:lang w:val="es-ES"/>
        </w:rPr>
        <w:t>de intercambiar</w:t>
      </w:r>
      <w:r w:rsidRPr="00D44271">
        <w:rPr>
          <w:bCs/>
          <w:szCs w:val="22"/>
          <w:lang w:val="es-ES"/>
        </w:rPr>
        <w:t xml:space="preserve"> información sobre prácticas óptimas</w:t>
      </w:r>
      <w:r w:rsidR="008B29A3" w:rsidRPr="00D44271">
        <w:rPr>
          <w:bCs/>
          <w:szCs w:val="22"/>
          <w:lang w:val="es-ES"/>
        </w:rPr>
        <w:t xml:space="preserve"> con países que ya atesoren capacidades y experiencia en materia de informes PLR y de análisis de patentes, y que éstos expongan su propio trabajo en ese campo.  Por ejemplo, los participantes sugirieron que sería bueno que los gobiernos de Singapur, el Reino Unido, Malasia y Filipinas compartieran sus experiencias.  Estas peticiones están siendo estudiadas por el equipo del proyecto </w:t>
      </w:r>
      <w:r w:rsidR="00EB4969" w:rsidRPr="00D44271">
        <w:rPr>
          <w:bCs/>
          <w:szCs w:val="22"/>
          <w:lang w:val="es-ES"/>
        </w:rPr>
        <w:t>en el período posterior a la Fase II</w:t>
      </w:r>
      <w:r w:rsidR="00621703" w:rsidRPr="00D44271">
        <w:rPr>
          <w:bCs/>
          <w:szCs w:val="22"/>
          <w:lang w:val="es-ES"/>
        </w:rPr>
        <w:t>.</w:t>
      </w:r>
    </w:p>
    <w:p w14:paraId="63B03205" w14:textId="72E40330" w:rsidR="00621703" w:rsidRPr="00D44271" w:rsidRDefault="00D857F7" w:rsidP="005F054C">
      <w:pPr>
        <w:numPr>
          <w:ilvl w:val="0"/>
          <w:numId w:val="14"/>
        </w:numPr>
        <w:spacing w:before="120" w:after="120"/>
        <w:rPr>
          <w:bCs/>
          <w:szCs w:val="22"/>
          <w:lang w:val="es-ES"/>
        </w:rPr>
      </w:pPr>
      <w:r w:rsidRPr="00D44271">
        <w:rPr>
          <w:bCs/>
          <w:szCs w:val="22"/>
          <w:lang w:val="es-ES"/>
        </w:rPr>
        <w:t xml:space="preserve">Tal como se explica en </w:t>
      </w:r>
      <w:r w:rsidR="00C53D6E" w:rsidRPr="00D44271">
        <w:rPr>
          <w:bCs/>
          <w:szCs w:val="22"/>
          <w:lang w:val="es-ES"/>
        </w:rPr>
        <w:t xml:space="preserve">el </w:t>
      </w:r>
      <w:r w:rsidR="00621703" w:rsidRPr="00D44271">
        <w:rPr>
          <w:bCs/>
          <w:szCs w:val="22"/>
          <w:lang w:val="es-ES"/>
        </w:rPr>
        <w:t>A</w:t>
      </w:r>
      <w:r w:rsidR="00C53D6E" w:rsidRPr="00D44271">
        <w:rPr>
          <w:bCs/>
          <w:szCs w:val="22"/>
          <w:lang w:val="es-ES"/>
        </w:rPr>
        <w:t>péndice II del informe</w:t>
      </w:r>
      <w:r w:rsidRPr="00D44271">
        <w:rPr>
          <w:bCs/>
          <w:szCs w:val="22"/>
          <w:lang w:val="es-ES"/>
        </w:rPr>
        <w:t xml:space="preserve">, la mayoría de </w:t>
      </w:r>
      <w:r w:rsidR="00E61CD8" w:rsidRPr="00D44271">
        <w:rPr>
          <w:bCs/>
          <w:szCs w:val="22"/>
          <w:lang w:val="es-ES"/>
        </w:rPr>
        <w:t xml:space="preserve">los participantes en las actividades del proyecto consideraron que </w:t>
      </w:r>
      <w:r w:rsidRPr="00D44271">
        <w:rPr>
          <w:bCs/>
          <w:szCs w:val="22"/>
          <w:lang w:val="es-ES"/>
        </w:rPr>
        <w:t xml:space="preserve">gracias a estas últimas, </w:t>
      </w:r>
      <w:r w:rsidR="00621703" w:rsidRPr="00D44271">
        <w:rPr>
          <w:bCs/>
          <w:szCs w:val="22"/>
          <w:lang w:val="es-ES"/>
        </w:rPr>
        <w:t>s</w:t>
      </w:r>
      <w:r w:rsidRPr="00D44271">
        <w:rPr>
          <w:bCs/>
          <w:szCs w:val="22"/>
          <w:lang w:val="es-ES"/>
        </w:rPr>
        <w:t>u conocimiento acerca de la relevancia y del valor de la información de patentes se había visto enriquecido, así como su capacidad para identificar áreas tecnológicas en las cuales la información de patentes podría mejorar las decisiones políticas, las estrategias de desarrollo y la transferencia de tecnología</w:t>
      </w:r>
      <w:r w:rsidR="00621703" w:rsidRPr="00D44271">
        <w:rPr>
          <w:bCs/>
          <w:szCs w:val="22"/>
          <w:lang w:val="es-ES"/>
        </w:rPr>
        <w:t>.</w:t>
      </w:r>
    </w:p>
    <w:p w14:paraId="21607366" w14:textId="59D13D53" w:rsidR="00621703" w:rsidRPr="00D44271" w:rsidRDefault="00752047" w:rsidP="005F054C">
      <w:pPr>
        <w:numPr>
          <w:ilvl w:val="0"/>
          <w:numId w:val="16"/>
        </w:numPr>
        <w:spacing w:before="120" w:after="120"/>
        <w:rPr>
          <w:bCs/>
          <w:szCs w:val="22"/>
          <w:lang w:val="es-ES"/>
        </w:rPr>
      </w:pPr>
      <w:r w:rsidRPr="00D44271">
        <w:rPr>
          <w:bCs/>
          <w:szCs w:val="22"/>
          <w:lang w:val="es-ES"/>
        </w:rPr>
        <w:t>En la Fase II fueron redactados más informes PLR, en paralelo a las directrices metodológicas sobre prácticas óptimas</w:t>
      </w:r>
      <w:r w:rsidR="00621703" w:rsidRPr="00D44271">
        <w:rPr>
          <w:bCs/>
          <w:szCs w:val="22"/>
          <w:lang w:val="es-ES"/>
        </w:rPr>
        <w:t xml:space="preserve">. </w:t>
      </w:r>
    </w:p>
    <w:p w14:paraId="062C8B47" w14:textId="34C21848" w:rsidR="00D77A57" w:rsidRPr="00D44271" w:rsidRDefault="00C72C93" w:rsidP="005F054C">
      <w:pPr>
        <w:numPr>
          <w:ilvl w:val="0"/>
          <w:numId w:val="16"/>
        </w:numPr>
        <w:spacing w:before="120" w:after="120"/>
        <w:rPr>
          <w:bCs/>
          <w:szCs w:val="22"/>
          <w:lang w:val="es-ES"/>
        </w:rPr>
      </w:pPr>
      <w:r w:rsidRPr="00D44271">
        <w:rPr>
          <w:bCs/>
          <w:szCs w:val="22"/>
          <w:lang w:val="es-ES"/>
        </w:rPr>
        <w:t>Los talleres sirvieron para consultar en profundidad y afinar las directrices metodológicas con el fin de que éstas fueran dirigidas adecuadamente a los destinatarios de los países en desarrollo y países menos adelantados</w:t>
      </w:r>
      <w:r w:rsidR="00621703" w:rsidRPr="00D44271">
        <w:rPr>
          <w:bCs/>
          <w:szCs w:val="22"/>
          <w:lang w:val="es-ES"/>
        </w:rPr>
        <w:t xml:space="preserve">. </w:t>
      </w:r>
    </w:p>
    <w:p w14:paraId="5A4E5CD7" w14:textId="52E2565E" w:rsidR="00AB6C53" w:rsidRPr="00D44271" w:rsidRDefault="00C72C93" w:rsidP="005F054C">
      <w:pPr>
        <w:numPr>
          <w:ilvl w:val="0"/>
          <w:numId w:val="16"/>
        </w:numPr>
        <w:spacing w:before="120" w:after="120"/>
        <w:rPr>
          <w:bCs/>
          <w:szCs w:val="22"/>
          <w:lang w:val="es-ES"/>
        </w:rPr>
      </w:pPr>
      <w:r w:rsidRPr="00D44271">
        <w:rPr>
          <w:bCs/>
          <w:szCs w:val="22"/>
          <w:lang w:val="es-ES"/>
        </w:rPr>
        <w:t>Pese a las limitaciones del sitio web de la OMPI con respecto a la posibilidad de rastrear la utilidad y el impacto de los instrumentos creados, sí se llevó a cabo algún tipo de seguimiento.  Así, se registraron el número de visitas al sitio web y el número de descargas de informes PLR, y se llevaron a cabo encuestas sobre la experiencia de usuario de los informes PLR y encuestas entre los participantes en los talleres</w:t>
      </w:r>
      <w:r w:rsidR="00621703" w:rsidRPr="00D44271">
        <w:rPr>
          <w:bCs/>
          <w:szCs w:val="22"/>
          <w:lang w:val="es-ES"/>
        </w:rPr>
        <w:t>.</w:t>
      </w:r>
    </w:p>
    <w:p w14:paraId="10DBDAD7" w14:textId="40E60DF0" w:rsidR="00AB6C53" w:rsidRPr="00D44271" w:rsidRDefault="00401684" w:rsidP="005F054C">
      <w:pPr>
        <w:spacing w:before="120" w:after="120"/>
        <w:rPr>
          <w:i/>
          <w:szCs w:val="22"/>
          <w:lang w:val="es-ES"/>
        </w:rPr>
      </w:pPr>
      <w:r w:rsidRPr="00D44271">
        <w:rPr>
          <w:i/>
          <w:szCs w:val="22"/>
          <w:lang w:val="es-ES"/>
        </w:rPr>
        <w:t>Sostenibilidad</w:t>
      </w:r>
    </w:p>
    <w:p w14:paraId="4D92BA68" w14:textId="14441875" w:rsidR="00621703" w:rsidRPr="00D44271" w:rsidRDefault="00171CAB" w:rsidP="005F054C">
      <w:pPr>
        <w:numPr>
          <w:ilvl w:val="0"/>
          <w:numId w:val="17"/>
        </w:numPr>
        <w:spacing w:before="120" w:after="120"/>
        <w:rPr>
          <w:bCs/>
          <w:szCs w:val="22"/>
          <w:lang w:val="es-ES"/>
        </w:rPr>
      </w:pPr>
      <w:r w:rsidRPr="00D44271">
        <w:rPr>
          <w:bCs/>
          <w:szCs w:val="22"/>
          <w:lang w:val="es-ES"/>
        </w:rPr>
        <w:t xml:space="preserve">El proyecto incluyó diversos elementos sobre los que se </w:t>
      </w:r>
      <w:r w:rsidR="0086002B">
        <w:rPr>
          <w:bCs/>
          <w:szCs w:val="22"/>
          <w:lang w:val="es-ES"/>
        </w:rPr>
        <w:t>apoyaría</w:t>
      </w:r>
      <w:r w:rsidRPr="00D44271">
        <w:rPr>
          <w:bCs/>
          <w:szCs w:val="22"/>
          <w:lang w:val="es-ES"/>
        </w:rPr>
        <w:t xml:space="preserve"> su propia sostenibilidad. Entre estos, cabe citar</w:t>
      </w:r>
      <w:r w:rsidR="00621703" w:rsidRPr="00D44271">
        <w:rPr>
          <w:bCs/>
          <w:szCs w:val="22"/>
          <w:lang w:val="es-ES"/>
        </w:rPr>
        <w:t xml:space="preserve">: </w:t>
      </w:r>
    </w:p>
    <w:p w14:paraId="110603CC" w14:textId="04B6A4DF" w:rsidR="00621703" w:rsidRPr="00D44271" w:rsidRDefault="00171CAB" w:rsidP="005F054C">
      <w:pPr>
        <w:numPr>
          <w:ilvl w:val="1"/>
          <w:numId w:val="17"/>
        </w:numPr>
        <w:spacing w:before="120" w:after="120"/>
        <w:rPr>
          <w:bCs/>
          <w:szCs w:val="22"/>
          <w:lang w:val="es-ES"/>
        </w:rPr>
      </w:pPr>
      <w:r w:rsidRPr="00D44271">
        <w:rPr>
          <w:bCs/>
          <w:szCs w:val="22"/>
          <w:lang w:val="es-ES"/>
        </w:rPr>
        <w:t>Las actividades de promoción llevadas a cabo por el equipo del proyecto</w:t>
      </w:r>
      <w:r w:rsidR="00621703" w:rsidRPr="00D44271">
        <w:rPr>
          <w:bCs/>
          <w:szCs w:val="22"/>
          <w:lang w:val="es-ES"/>
        </w:rPr>
        <w:t>.</w:t>
      </w:r>
    </w:p>
    <w:p w14:paraId="2ECC5EAF" w14:textId="375113CB" w:rsidR="00621703" w:rsidRPr="00D44271" w:rsidRDefault="00171CAB" w:rsidP="005F054C">
      <w:pPr>
        <w:numPr>
          <w:ilvl w:val="1"/>
          <w:numId w:val="17"/>
        </w:numPr>
        <w:spacing w:before="120" w:after="120"/>
        <w:rPr>
          <w:bCs/>
          <w:szCs w:val="22"/>
          <w:lang w:val="es-ES"/>
        </w:rPr>
      </w:pPr>
      <w:r w:rsidRPr="00D44271">
        <w:rPr>
          <w:bCs/>
          <w:szCs w:val="22"/>
          <w:lang w:val="es-ES"/>
        </w:rPr>
        <w:t>El valor ilustrativo de los informes PLR elaborados</w:t>
      </w:r>
      <w:r w:rsidR="00621703" w:rsidRPr="00D44271">
        <w:rPr>
          <w:bCs/>
          <w:szCs w:val="22"/>
          <w:lang w:val="es-ES"/>
        </w:rPr>
        <w:t xml:space="preserve">. </w:t>
      </w:r>
    </w:p>
    <w:p w14:paraId="7159348A" w14:textId="21CFF980" w:rsidR="00621703" w:rsidRPr="00D44271" w:rsidRDefault="00171CAB" w:rsidP="005F054C">
      <w:pPr>
        <w:numPr>
          <w:ilvl w:val="1"/>
          <w:numId w:val="17"/>
        </w:numPr>
        <w:spacing w:before="120" w:after="120"/>
        <w:rPr>
          <w:bCs/>
          <w:szCs w:val="22"/>
          <w:lang w:val="es-ES"/>
        </w:rPr>
      </w:pPr>
      <w:r w:rsidRPr="00D44271">
        <w:rPr>
          <w:bCs/>
          <w:szCs w:val="22"/>
          <w:lang w:val="es-ES"/>
        </w:rPr>
        <w:t>Una contribución demostrada al desarrollo de las políticas</w:t>
      </w:r>
      <w:r w:rsidR="00621703" w:rsidRPr="00D44271">
        <w:rPr>
          <w:bCs/>
          <w:szCs w:val="22"/>
          <w:lang w:val="es-ES"/>
        </w:rPr>
        <w:t xml:space="preserve">. </w:t>
      </w:r>
    </w:p>
    <w:p w14:paraId="06419197" w14:textId="3EA9E0DE" w:rsidR="00621703" w:rsidRPr="00D44271" w:rsidRDefault="00171CAB" w:rsidP="005F054C">
      <w:pPr>
        <w:numPr>
          <w:ilvl w:val="1"/>
          <w:numId w:val="17"/>
        </w:numPr>
        <w:spacing w:before="120" w:after="120"/>
        <w:rPr>
          <w:bCs/>
          <w:szCs w:val="22"/>
          <w:lang w:val="es-ES"/>
        </w:rPr>
      </w:pPr>
      <w:r w:rsidRPr="00D44271">
        <w:rPr>
          <w:bCs/>
          <w:szCs w:val="22"/>
          <w:lang w:val="es-ES"/>
        </w:rPr>
        <w:t xml:space="preserve">La contribución de los talleres </w:t>
      </w:r>
      <w:r w:rsidR="00485900" w:rsidRPr="00D44271">
        <w:rPr>
          <w:bCs/>
          <w:szCs w:val="22"/>
          <w:lang w:val="es-ES"/>
        </w:rPr>
        <w:t>como elemento favorecedor para la formación de redes informales de contactos</w:t>
      </w:r>
      <w:r w:rsidR="00621703" w:rsidRPr="00D44271">
        <w:rPr>
          <w:bCs/>
          <w:szCs w:val="22"/>
          <w:lang w:val="es-ES"/>
        </w:rPr>
        <w:t xml:space="preserve">. </w:t>
      </w:r>
    </w:p>
    <w:p w14:paraId="1C7B0049" w14:textId="01C755C0" w:rsidR="00621703" w:rsidRPr="00D44271" w:rsidRDefault="007A66EE" w:rsidP="005F054C">
      <w:pPr>
        <w:numPr>
          <w:ilvl w:val="1"/>
          <w:numId w:val="17"/>
        </w:numPr>
        <w:spacing w:before="120" w:after="120"/>
        <w:rPr>
          <w:bCs/>
          <w:szCs w:val="22"/>
          <w:lang w:val="es-ES"/>
        </w:rPr>
      </w:pPr>
      <w:r w:rsidRPr="00D44271">
        <w:rPr>
          <w:bCs/>
          <w:szCs w:val="22"/>
          <w:lang w:val="es-ES"/>
        </w:rPr>
        <w:t xml:space="preserve">El valor de las directrices </w:t>
      </w:r>
      <w:r w:rsidR="0059753E" w:rsidRPr="00D44271">
        <w:rPr>
          <w:bCs/>
          <w:szCs w:val="22"/>
          <w:lang w:val="es-ES"/>
        </w:rPr>
        <w:t xml:space="preserve">metodológicas </w:t>
      </w:r>
      <w:r w:rsidR="00AA648B" w:rsidRPr="00D44271">
        <w:rPr>
          <w:bCs/>
          <w:szCs w:val="22"/>
          <w:lang w:val="es-ES"/>
        </w:rPr>
        <w:t>para la aplicación de prácticas óptimas</w:t>
      </w:r>
      <w:r w:rsidR="00DF532E" w:rsidRPr="00D44271">
        <w:rPr>
          <w:bCs/>
          <w:szCs w:val="22"/>
          <w:lang w:val="es-ES"/>
        </w:rPr>
        <w:t xml:space="preserve">, como </w:t>
      </w:r>
      <w:r w:rsidR="002B6264" w:rsidRPr="00D44271">
        <w:rPr>
          <w:bCs/>
          <w:szCs w:val="22"/>
          <w:lang w:val="es-ES"/>
        </w:rPr>
        <w:t>elemento de asistencia a</w:t>
      </w:r>
      <w:r w:rsidR="008C4A91" w:rsidRPr="00D44271">
        <w:rPr>
          <w:bCs/>
          <w:szCs w:val="22"/>
          <w:lang w:val="es-ES"/>
        </w:rPr>
        <w:t xml:space="preserve"> los países en desarrollo</w:t>
      </w:r>
      <w:r w:rsidR="006431BE" w:rsidRPr="00D44271">
        <w:rPr>
          <w:bCs/>
          <w:szCs w:val="22"/>
          <w:lang w:val="es-ES"/>
        </w:rPr>
        <w:t>,</w:t>
      </w:r>
      <w:r w:rsidR="008C4A91" w:rsidRPr="00D44271">
        <w:rPr>
          <w:bCs/>
          <w:szCs w:val="22"/>
          <w:lang w:val="es-ES"/>
        </w:rPr>
        <w:t xml:space="preserve"> países menos adelantados</w:t>
      </w:r>
      <w:r w:rsidR="006431BE" w:rsidRPr="00D44271">
        <w:rPr>
          <w:bCs/>
          <w:szCs w:val="22"/>
          <w:lang w:val="es-ES"/>
        </w:rPr>
        <w:t xml:space="preserve"> y otros</w:t>
      </w:r>
      <w:r w:rsidR="000E65F1" w:rsidRPr="00D44271">
        <w:rPr>
          <w:bCs/>
          <w:szCs w:val="22"/>
          <w:lang w:val="es-ES"/>
        </w:rPr>
        <w:t xml:space="preserve"> </w:t>
      </w:r>
      <w:r w:rsidR="00227745" w:rsidRPr="00D44271">
        <w:rPr>
          <w:bCs/>
          <w:szCs w:val="22"/>
          <w:lang w:val="es-ES"/>
        </w:rPr>
        <w:t xml:space="preserve">para </w:t>
      </w:r>
      <w:r w:rsidR="002D45D9" w:rsidRPr="00D44271">
        <w:rPr>
          <w:bCs/>
          <w:szCs w:val="22"/>
          <w:lang w:val="es-ES"/>
        </w:rPr>
        <w:t>la elaboración de sus propios informes PLR en</w:t>
      </w:r>
      <w:r w:rsidR="00216C03" w:rsidRPr="00D44271">
        <w:rPr>
          <w:bCs/>
          <w:szCs w:val="22"/>
          <w:lang w:val="es-ES"/>
        </w:rPr>
        <w:t xml:space="preserve"> sus propias áreas de interés</w:t>
      </w:r>
      <w:r w:rsidR="00621703" w:rsidRPr="00D44271">
        <w:rPr>
          <w:bCs/>
          <w:szCs w:val="22"/>
          <w:lang w:val="es-ES"/>
        </w:rPr>
        <w:t xml:space="preserve">. </w:t>
      </w:r>
    </w:p>
    <w:p w14:paraId="35C6AD5D" w14:textId="7B5621D8" w:rsidR="00621703" w:rsidRPr="00D44271" w:rsidRDefault="0013778D" w:rsidP="005F054C">
      <w:pPr>
        <w:numPr>
          <w:ilvl w:val="0"/>
          <w:numId w:val="17"/>
        </w:numPr>
        <w:spacing w:before="120" w:after="120"/>
        <w:rPr>
          <w:bCs/>
          <w:szCs w:val="22"/>
          <w:lang w:val="es-ES"/>
        </w:rPr>
      </w:pPr>
      <w:r w:rsidRPr="00D44271">
        <w:rPr>
          <w:bCs/>
          <w:szCs w:val="22"/>
          <w:lang w:val="es-ES"/>
        </w:rPr>
        <w:t xml:space="preserve">Convendría continuar reforzando los elementos de sostenibilidad más allá de la Fase II.  </w:t>
      </w:r>
      <w:r w:rsidR="008512D6" w:rsidRPr="00D44271">
        <w:rPr>
          <w:bCs/>
          <w:szCs w:val="22"/>
          <w:lang w:val="es-ES"/>
        </w:rPr>
        <w:t>Esto se podría conseguir</w:t>
      </w:r>
      <w:r w:rsidRPr="00D44271">
        <w:rPr>
          <w:bCs/>
          <w:szCs w:val="22"/>
          <w:lang w:val="es-ES"/>
        </w:rPr>
        <w:t xml:space="preserve"> emprend</w:t>
      </w:r>
      <w:r w:rsidR="008512D6" w:rsidRPr="00D44271">
        <w:rPr>
          <w:bCs/>
          <w:szCs w:val="22"/>
          <w:lang w:val="es-ES"/>
        </w:rPr>
        <w:t>iendo</w:t>
      </w:r>
      <w:r w:rsidRPr="00D44271">
        <w:rPr>
          <w:bCs/>
          <w:szCs w:val="22"/>
          <w:lang w:val="es-ES"/>
        </w:rPr>
        <w:t xml:space="preserve"> más actividades de creación de capacidades</w:t>
      </w:r>
      <w:r w:rsidR="008512D6" w:rsidRPr="00D44271">
        <w:rPr>
          <w:bCs/>
          <w:szCs w:val="22"/>
          <w:lang w:val="es-ES"/>
        </w:rPr>
        <w:t xml:space="preserve"> y mejorando los instrumentos de acceso, lo cual incluiría</w:t>
      </w:r>
      <w:r w:rsidR="00621703" w:rsidRPr="00D44271">
        <w:rPr>
          <w:bCs/>
          <w:szCs w:val="22"/>
          <w:lang w:val="es-ES"/>
        </w:rPr>
        <w:t xml:space="preserve">: </w:t>
      </w:r>
    </w:p>
    <w:p w14:paraId="21F58F25" w14:textId="472632D5" w:rsidR="00621703" w:rsidRPr="00D44271" w:rsidRDefault="008512D6" w:rsidP="005F054C">
      <w:pPr>
        <w:numPr>
          <w:ilvl w:val="1"/>
          <w:numId w:val="17"/>
        </w:numPr>
        <w:spacing w:before="120" w:after="120"/>
        <w:rPr>
          <w:bCs/>
          <w:szCs w:val="22"/>
          <w:lang w:val="es-ES"/>
        </w:rPr>
      </w:pPr>
      <w:r w:rsidRPr="00D44271">
        <w:rPr>
          <w:bCs/>
          <w:szCs w:val="22"/>
          <w:lang w:val="es-ES"/>
        </w:rPr>
        <w:t>Aumentar la gama de herramientas electrónicas disponibles</w:t>
      </w:r>
      <w:r w:rsidR="00621703" w:rsidRPr="00D44271">
        <w:rPr>
          <w:bCs/>
          <w:szCs w:val="22"/>
          <w:lang w:val="es-ES"/>
        </w:rPr>
        <w:t>.</w:t>
      </w:r>
    </w:p>
    <w:p w14:paraId="6481476B" w14:textId="2EC53AE5" w:rsidR="00621703" w:rsidRPr="00D44271" w:rsidRDefault="008512D6" w:rsidP="005F054C">
      <w:pPr>
        <w:numPr>
          <w:ilvl w:val="1"/>
          <w:numId w:val="17"/>
        </w:numPr>
        <w:spacing w:before="120" w:after="120"/>
        <w:rPr>
          <w:bCs/>
          <w:szCs w:val="22"/>
          <w:lang w:val="es-ES"/>
        </w:rPr>
      </w:pPr>
      <w:r w:rsidRPr="00D44271">
        <w:rPr>
          <w:bCs/>
          <w:szCs w:val="22"/>
          <w:lang w:val="es-ES"/>
        </w:rPr>
        <w:lastRenderedPageBreak/>
        <w:t xml:space="preserve">Hacer promoción de los instrumentos, de manera que éstos alcancen una base más amplia de sujetos potencialmente interesados, </w:t>
      </w:r>
      <w:r w:rsidR="003D28EF" w:rsidRPr="00D44271">
        <w:rPr>
          <w:bCs/>
          <w:szCs w:val="22"/>
          <w:lang w:val="es-ES"/>
        </w:rPr>
        <w:t>en particular a más departamentos gubernamentales.</w:t>
      </w:r>
    </w:p>
    <w:p w14:paraId="4E9DD0ED" w14:textId="2E97AFBD" w:rsidR="00621703" w:rsidRPr="00D44271" w:rsidRDefault="003D28EF" w:rsidP="003D28EF">
      <w:pPr>
        <w:numPr>
          <w:ilvl w:val="1"/>
          <w:numId w:val="17"/>
        </w:numPr>
        <w:spacing w:before="120" w:after="120"/>
        <w:rPr>
          <w:bCs/>
          <w:szCs w:val="22"/>
          <w:lang w:val="es-ES"/>
        </w:rPr>
      </w:pPr>
      <w:r w:rsidRPr="00D44271">
        <w:rPr>
          <w:bCs/>
          <w:szCs w:val="22"/>
          <w:lang w:val="es-ES"/>
        </w:rPr>
        <w:t>Crear módulos avanzados que podrían ser ofrecidos a través de la Academia de la OMPI o de los Centros de Apoyo a la Tecnología y la Innovación (CATI)</w:t>
      </w:r>
      <w:r w:rsidR="00621703" w:rsidRPr="00D44271">
        <w:rPr>
          <w:bCs/>
          <w:szCs w:val="22"/>
          <w:lang w:val="es-ES"/>
        </w:rPr>
        <w:t xml:space="preserve">. </w:t>
      </w:r>
    </w:p>
    <w:p w14:paraId="721868FA" w14:textId="5DB50020" w:rsidR="005F054C" w:rsidRPr="00D44271" w:rsidRDefault="00621703" w:rsidP="005F054C">
      <w:pPr>
        <w:numPr>
          <w:ilvl w:val="1"/>
          <w:numId w:val="17"/>
        </w:numPr>
        <w:spacing w:before="120" w:after="120"/>
        <w:rPr>
          <w:bCs/>
          <w:szCs w:val="22"/>
          <w:lang w:val="es-ES"/>
        </w:rPr>
      </w:pPr>
      <w:r w:rsidRPr="00D44271">
        <w:rPr>
          <w:bCs/>
          <w:szCs w:val="22"/>
          <w:lang w:val="es-ES"/>
        </w:rPr>
        <w:t>Continu</w:t>
      </w:r>
      <w:r w:rsidR="003D28EF" w:rsidRPr="00D44271">
        <w:rPr>
          <w:bCs/>
          <w:szCs w:val="22"/>
          <w:lang w:val="es-ES"/>
        </w:rPr>
        <w:t xml:space="preserve">ar la labor dirigida a facilitar el acceso a las herramientas de código abierto para la búsqueda y análisis de patentes. </w:t>
      </w:r>
    </w:p>
    <w:p w14:paraId="3FBBDA55" w14:textId="124045DA" w:rsidR="00AB6C53" w:rsidRPr="00D44271" w:rsidRDefault="00621703" w:rsidP="005F054C">
      <w:pPr>
        <w:numPr>
          <w:ilvl w:val="1"/>
          <w:numId w:val="17"/>
        </w:numPr>
        <w:spacing w:before="120" w:after="120"/>
        <w:rPr>
          <w:bCs/>
          <w:szCs w:val="22"/>
          <w:lang w:val="es-ES"/>
        </w:rPr>
      </w:pPr>
      <w:r w:rsidRPr="00D44271">
        <w:rPr>
          <w:bCs/>
          <w:szCs w:val="22"/>
          <w:lang w:val="es-ES"/>
        </w:rPr>
        <w:t>Facilita</w:t>
      </w:r>
      <w:r w:rsidR="003D28EF" w:rsidRPr="00D44271">
        <w:rPr>
          <w:bCs/>
          <w:szCs w:val="22"/>
          <w:lang w:val="es-ES"/>
        </w:rPr>
        <w:t>r el intercambio de experiencias y prácticas óptimas entre los distintos países</w:t>
      </w:r>
      <w:r w:rsidRPr="00D44271">
        <w:rPr>
          <w:bCs/>
          <w:szCs w:val="22"/>
          <w:lang w:val="es-ES"/>
        </w:rPr>
        <w:t>.</w:t>
      </w:r>
    </w:p>
    <w:p w14:paraId="049B10D1" w14:textId="34528A5B" w:rsidR="00621703" w:rsidRPr="00D44271" w:rsidRDefault="00AD70E4" w:rsidP="005F054C">
      <w:pPr>
        <w:spacing w:before="120" w:after="120"/>
        <w:rPr>
          <w:i/>
          <w:szCs w:val="22"/>
          <w:lang w:val="es-ES"/>
        </w:rPr>
      </w:pPr>
      <w:r w:rsidRPr="00D44271">
        <w:rPr>
          <w:i/>
          <w:szCs w:val="22"/>
          <w:lang w:val="es-ES"/>
        </w:rPr>
        <w:t>Aplicación de las R</w:t>
      </w:r>
      <w:r w:rsidR="00E52D18" w:rsidRPr="00D44271">
        <w:rPr>
          <w:i/>
          <w:szCs w:val="22"/>
          <w:lang w:val="es-ES"/>
        </w:rPr>
        <w:t>ecomendaciones de la Ag</w:t>
      </w:r>
      <w:r w:rsidRPr="00D44271">
        <w:rPr>
          <w:i/>
          <w:szCs w:val="22"/>
          <w:lang w:val="es-ES"/>
        </w:rPr>
        <w:t xml:space="preserve">enda para el Desarrollo </w:t>
      </w:r>
    </w:p>
    <w:p w14:paraId="4BE0D793" w14:textId="0E42EE06" w:rsidR="00621703" w:rsidRPr="00D44271" w:rsidRDefault="0062138B" w:rsidP="000E5535">
      <w:pPr>
        <w:pStyle w:val="ListParagraph"/>
        <w:numPr>
          <w:ilvl w:val="0"/>
          <w:numId w:val="72"/>
        </w:numPr>
        <w:spacing w:before="120" w:after="120"/>
        <w:rPr>
          <w:bCs/>
          <w:szCs w:val="22"/>
          <w:lang w:val="es-ES"/>
        </w:rPr>
      </w:pPr>
      <w:r w:rsidRPr="00D44271">
        <w:rPr>
          <w:bCs/>
          <w:szCs w:val="22"/>
          <w:lang w:val="es-ES"/>
        </w:rPr>
        <w:t xml:space="preserve">El proyecto generó la percepción generalizada de haber contribuido positivamente a la consecución de los objetivos enunciados en las </w:t>
      </w:r>
      <w:r w:rsidR="00E52D18" w:rsidRPr="00D44271">
        <w:rPr>
          <w:bCs/>
          <w:szCs w:val="22"/>
          <w:lang w:val="es-ES"/>
        </w:rPr>
        <w:t>Recomendacione</w:t>
      </w:r>
      <w:r w:rsidR="00621703" w:rsidRPr="00D44271">
        <w:rPr>
          <w:bCs/>
          <w:szCs w:val="22"/>
          <w:lang w:val="es-ES"/>
        </w:rPr>
        <w:t>s 19, 30</w:t>
      </w:r>
      <w:r w:rsidRPr="00D44271">
        <w:rPr>
          <w:bCs/>
          <w:szCs w:val="22"/>
          <w:lang w:val="es-ES"/>
        </w:rPr>
        <w:t xml:space="preserve"> y</w:t>
      </w:r>
      <w:r w:rsidR="00621703" w:rsidRPr="00D44271">
        <w:rPr>
          <w:bCs/>
          <w:szCs w:val="22"/>
          <w:lang w:val="es-ES"/>
        </w:rPr>
        <w:t xml:space="preserve"> 31</w:t>
      </w:r>
      <w:r w:rsidRPr="00D44271">
        <w:rPr>
          <w:bCs/>
          <w:szCs w:val="22"/>
          <w:lang w:val="es-ES"/>
        </w:rPr>
        <w:t xml:space="preserve"> de la Agenda para el Desarrollo</w:t>
      </w:r>
      <w:r w:rsidR="00621703" w:rsidRPr="00D44271">
        <w:rPr>
          <w:bCs/>
          <w:szCs w:val="22"/>
          <w:lang w:val="es-ES"/>
        </w:rPr>
        <w:t xml:space="preserve">. </w:t>
      </w:r>
    </w:p>
    <w:p w14:paraId="0BBAFE58" w14:textId="5A7C5022" w:rsidR="00621703" w:rsidRPr="00D44271" w:rsidRDefault="0062138B" w:rsidP="005F054C">
      <w:pPr>
        <w:numPr>
          <w:ilvl w:val="0"/>
          <w:numId w:val="18"/>
        </w:numPr>
        <w:spacing w:before="120" w:after="120"/>
        <w:rPr>
          <w:bCs/>
          <w:szCs w:val="22"/>
          <w:lang w:val="es-ES"/>
        </w:rPr>
      </w:pPr>
      <w:r w:rsidRPr="00D44271">
        <w:rPr>
          <w:bCs/>
          <w:szCs w:val="22"/>
          <w:lang w:val="es-ES"/>
        </w:rPr>
        <w:t xml:space="preserve">Gracias a los esfuerzos realizados por lograr que los informes PLR cubrieran temas de relevancia internacional, a través de colaboraciones con otras organizaciones internacionales, la contribución en favor de la aplicación de la </w:t>
      </w:r>
      <w:r w:rsidR="00E52D18" w:rsidRPr="00D44271">
        <w:rPr>
          <w:bCs/>
          <w:szCs w:val="22"/>
          <w:lang w:val="es-ES"/>
        </w:rPr>
        <w:t>Recomendación</w:t>
      </w:r>
      <w:r w:rsidR="00621703" w:rsidRPr="00D44271">
        <w:rPr>
          <w:bCs/>
          <w:szCs w:val="22"/>
          <w:lang w:val="es-ES"/>
        </w:rPr>
        <w:t xml:space="preserve"> 30 </w:t>
      </w:r>
      <w:r w:rsidR="0086002B">
        <w:rPr>
          <w:bCs/>
          <w:szCs w:val="22"/>
          <w:lang w:val="es-ES"/>
        </w:rPr>
        <w:t>fue</w:t>
      </w:r>
      <w:r w:rsidRPr="00D44271">
        <w:rPr>
          <w:bCs/>
          <w:szCs w:val="22"/>
          <w:lang w:val="es-ES"/>
        </w:rPr>
        <w:t xml:space="preserve"> particularmente destacada</w:t>
      </w:r>
      <w:r w:rsidR="00621703" w:rsidRPr="00D44271">
        <w:rPr>
          <w:bCs/>
          <w:szCs w:val="22"/>
          <w:lang w:val="es-ES"/>
        </w:rPr>
        <w:t xml:space="preserve">. </w:t>
      </w:r>
    </w:p>
    <w:p w14:paraId="584C27D8" w14:textId="39D38EDE" w:rsidR="005F054C" w:rsidRPr="00D44271" w:rsidRDefault="00607684" w:rsidP="005F054C">
      <w:pPr>
        <w:numPr>
          <w:ilvl w:val="0"/>
          <w:numId w:val="18"/>
        </w:numPr>
        <w:spacing w:before="120" w:after="120"/>
        <w:rPr>
          <w:bCs/>
          <w:szCs w:val="22"/>
          <w:lang w:val="es-ES"/>
        </w:rPr>
      </w:pPr>
      <w:r w:rsidRPr="00D44271">
        <w:rPr>
          <w:bCs/>
          <w:szCs w:val="22"/>
          <w:lang w:val="es-ES"/>
        </w:rPr>
        <w:t xml:space="preserve">Siempre puede surgir, y en este caso también se planteó, </w:t>
      </w:r>
      <w:r w:rsidR="0062138B" w:rsidRPr="00D44271">
        <w:rPr>
          <w:bCs/>
          <w:szCs w:val="22"/>
          <w:lang w:val="es-ES"/>
        </w:rPr>
        <w:t>la cuestión de hasta qué punto el proyecto ha</w:t>
      </w:r>
      <w:r w:rsidRPr="00D44271">
        <w:rPr>
          <w:bCs/>
          <w:szCs w:val="22"/>
          <w:lang w:val="es-ES"/>
        </w:rPr>
        <w:t>bría</w:t>
      </w:r>
      <w:r w:rsidR="0062138B" w:rsidRPr="00D44271">
        <w:rPr>
          <w:bCs/>
          <w:szCs w:val="22"/>
          <w:lang w:val="es-ES"/>
        </w:rPr>
        <w:t xml:space="preserve"> dado respuesta a </w:t>
      </w:r>
      <w:r w:rsidRPr="00D44271">
        <w:rPr>
          <w:bCs/>
          <w:szCs w:val="22"/>
          <w:lang w:val="es-ES"/>
        </w:rPr>
        <w:t>aquellas</w:t>
      </w:r>
      <w:r w:rsidR="0062138B" w:rsidRPr="00D44271">
        <w:rPr>
          <w:bCs/>
          <w:szCs w:val="22"/>
          <w:lang w:val="es-ES"/>
        </w:rPr>
        <w:t xml:space="preserve"> áreas </w:t>
      </w:r>
      <w:r w:rsidRPr="00D44271">
        <w:rPr>
          <w:bCs/>
          <w:szCs w:val="22"/>
          <w:lang w:val="es-ES"/>
        </w:rPr>
        <w:t>en las que las necesidades eran mayores</w:t>
      </w:r>
      <w:r w:rsidR="0062138B" w:rsidRPr="00D44271">
        <w:rPr>
          <w:bCs/>
          <w:szCs w:val="22"/>
          <w:lang w:val="es-ES"/>
        </w:rPr>
        <w:t xml:space="preserve">, </w:t>
      </w:r>
      <w:r w:rsidR="007B5668" w:rsidRPr="00D44271">
        <w:rPr>
          <w:bCs/>
          <w:szCs w:val="22"/>
          <w:lang w:val="es-ES"/>
        </w:rPr>
        <w:t>unida al</w:t>
      </w:r>
      <w:r w:rsidRPr="00D44271">
        <w:rPr>
          <w:bCs/>
          <w:szCs w:val="22"/>
          <w:lang w:val="es-ES"/>
        </w:rPr>
        <w:t xml:space="preserve"> argumento de que los más beneficiados por el proyecto habrían sido aquellos que </w:t>
      </w:r>
      <w:r w:rsidR="007B5668" w:rsidRPr="00D44271">
        <w:rPr>
          <w:bCs/>
          <w:szCs w:val="22"/>
          <w:lang w:val="es-ES"/>
        </w:rPr>
        <w:t xml:space="preserve">ya </w:t>
      </w:r>
      <w:r w:rsidRPr="00D44271">
        <w:rPr>
          <w:bCs/>
          <w:szCs w:val="22"/>
          <w:lang w:val="es-ES"/>
        </w:rPr>
        <w:t>disfruta</w:t>
      </w:r>
      <w:r w:rsidR="007B5668" w:rsidRPr="00D44271">
        <w:rPr>
          <w:bCs/>
          <w:szCs w:val="22"/>
          <w:lang w:val="es-ES"/>
        </w:rPr>
        <w:t>ba</w:t>
      </w:r>
      <w:r w:rsidRPr="00D44271">
        <w:rPr>
          <w:bCs/>
          <w:szCs w:val="22"/>
          <w:lang w:val="es-ES"/>
        </w:rPr>
        <w:t xml:space="preserve">n de una mayor capacidad para emprender este tipo de </w:t>
      </w:r>
      <w:r w:rsidR="007B5668" w:rsidRPr="00D44271">
        <w:rPr>
          <w:bCs/>
          <w:szCs w:val="22"/>
          <w:lang w:val="es-ES"/>
        </w:rPr>
        <w:t xml:space="preserve">trabajos por sí mismos.  Aunque este argumento tiene algo de cierto, tampoco haría justicia a la contribución que sí tuvo el proyecto en políticas internacionales relevantes para los PMA, como las relativas a los residuos electrónicos, los recursos genéticos y el acceso a los medicamentos esenciales y contra el VIH.  Tampoco convendría menoscabar la utilidad de que los países que </w:t>
      </w:r>
      <w:r w:rsidR="00FB5703" w:rsidRPr="00D44271">
        <w:rPr>
          <w:bCs/>
          <w:szCs w:val="22"/>
          <w:lang w:val="es-ES"/>
        </w:rPr>
        <w:t xml:space="preserve">ya </w:t>
      </w:r>
      <w:r w:rsidR="007B5668" w:rsidRPr="00D44271">
        <w:rPr>
          <w:bCs/>
          <w:szCs w:val="22"/>
          <w:lang w:val="es-ES"/>
        </w:rPr>
        <w:t>gozan de capacidade</w:t>
      </w:r>
      <w:r w:rsidR="00FB5703" w:rsidRPr="00D44271">
        <w:rPr>
          <w:bCs/>
          <w:szCs w:val="22"/>
          <w:lang w:val="es-ES"/>
        </w:rPr>
        <w:t>s e interés por la información de patentes perfeccionen aún más sus propias capacidades, y reciban la asistencia de la OMPI para compartir dichas capacidades y experiencias con otros Estados Miembros, lo cual bie</w:t>
      </w:r>
      <w:r w:rsidR="00B812AA" w:rsidRPr="00D44271">
        <w:rPr>
          <w:bCs/>
          <w:szCs w:val="22"/>
          <w:lang w:val="es-ES"/>
        </w:rPr>
        <w:t>n</w:t>
      </w:r>
      <w:r w:rsidR="00FB5703" w:rsidRPr="00D44271">
        <w:rPr>
          <w:bCs/>
          <w:szCs w:val="22"/>
          <w:lang w:val="es-ES"/>
        </w:rPr>
        <w:t xml:space="preserve">  podría ser objeto de una labor futura en este campo</w:t>
      </w:r>
      <w:r w:rsidR="005F054C" w:rsidRPr="00D44271">
        <w:rPr>
          <w:bCs/>
          <w:szCs w:val="22"/>
          <w:lang w:val="es-ES"/>
        </w:rPr>
        <w:t>.</w:t>
      </w:r>
    </w:p>
    <w:p w14:paraId="1D2389F8" w14:textId="0A3F6230" w:rsidR="00AB6C53" w:rsidRPr="00D44271" w:rsidRDefault="00FB5703" w:rsidP="005F054C">
      <w:pPr>
        <w:numPr>
          <w:ilvl w:val="0"/>
          <w:numId w:val="18"/>
        </w:numPr>
        <w:spacing w:before="120" w:after="120"/>
        <w:rPr>
          <w:bCs/>
          <w:szCs w:val="22"/>
          <w:lang w:val="es-ES"/>
        </w:rPr>
      </w:pPr>
      <w:r w:rsidRPr="00D44271">
        <w:rPr>
          <w:bCs/>
          <w:szCs w:val="22"/>
          <w:lang w:val="es-ES"/>
        </w:rPr>
        <w:t xml:space="preserve">Sería más apropiado entender el proyecto como un proyecto </w:t>
      </w:r>
      <w:r w:rsidR="00470428" w:rsidRPr="00D44271">
        <w:rPr>
          <w:bCs/>
          <w:szCs w:val="22"/>
          <w:lang w:val="es-ES"/>
        </w:rPr>
        <w:t xml:space="preserve">cuyo desarrollo </w:t>
      </w:r>
      <w:r w:rsidR="0086002B">
        <w:rPr>
          <w:bCs/>
          <w:szCs w:val="22"/>
          <w:lang w:val="es-ES"/>
        </w:rPr>
        <w:t>fue</w:t>
      </w:r>
      <w:r w:rsidR="00470428" w:rsidRPr="00D44271">
        <w:rPr>
          <w:bCs/>
          <w:szCs w:val="22"/>
          <w:lang w:val="es-ES"/>
        </w:rPr>
        <w:t xml:space="preserve"> en aumento</w:t>
      </w:r>
      <w:r w:rsidR="0086002B">
        <w:rPr>
          <w:bCs/>
          <w:szCs w:val="22"/>
          <w:lang w:val="es-ES"/>
        </w:rPr>
        <w:t>,</w:t>
      </w:r>
      <w:r w:rsidRPr="00D44271">
        <w:rPr>
          <w:bCs/>
          <w:szCs w:val="22"/>
          <w:lang w:val="es-ES"/>
        </w:rPr>
        <w:t xml:space="preserve"> y destinado a continuar </w:t>
      </w:r>
      <w:r w:rsidR="00470428" w:rsidRPr="00D44271">
        <w:rPr>
          <w:bCs/>
          <w:szCs w:val="22"/>
          <w:lang w:val="es-ES"/>
        </w:rPr>
        <w:t xml:space="preserve">con la misma tendencia </w:t>
      </w:r>
      <w:r w:rsidR="00470428" w:rsidRPr="00D44271">
        <w:rPr>
          <w:bCs/>
          <w:i/>
          <w:szCs w:val="22"/>
          <w:lang w:val="es-ES"/>
        </w:rPr>
        <w:t>in crescendo</w:t>
      </w:r>
      <w:r w:rsidR="00470428" w:rsidRPr="00D44271">
        <w:rPr>
          <w:bCs/>
          <w:szCs w:val="22"/>
          <w:lang w:val="es-ES"/>
        </w:rPr>
        <w:t>.  Est</w:t>
      </w:r>
      <w:r w:rsidR="0086002B">
        <w:rPr>
          <w:bCs/>
          <w:szCs w:val="22"/>
          <w:lang w:val="es-ES"/>
        </w:rPr>
        <w:t xml:space="preserve">e efecto responde a la </w:t>
      </w:r>
      <w:r w:rsidR="00470428" w:rsidRPr="00D44271">
        <w:rPr>
          <w:bCs/>
          <w:szCs w:val="22"/>
          <w:lang w:val="es-ES"/>
        </w:rPr>
        <w:t xml:space="preserve">creciente concienciación respecto al valor de la información de patentes, </w:t>
      </w:r>
      <w:r w:rsidR="0086002B">
        <w:rPr>
          <w:bCs/>
          <w:szCs w:val="22"/>
          <w:lang w:val="es-ES"/>
        </w:rPr>
        <w:t xml:space="preserve">a </w:t>
      </w:r>
      <w:r w:rsidR="00470428" w:rsidRPr="00D44271">
        <w:rPr>
          <w:bCs/>
          <w:szCs w:val="22"/>
          <w:lang w:val="es-ES"/>
        </w:rPr>
        <w:t>la facilitación del acceso a los instrumentos de acceso a la información de patentes, al desarrollo de una base de capacidades entr</w:t>
      </w:r>
      <w:r w:rsidR="00133410" w:rsidRPr="00D44271">
        <w:rPr>
          <w:bCs/>
          <w:szCs w:val="22"/>
          <w:lang w:val="es-ES"/>
        </w:rPr>
        <w:t>e</w:t>
      </w:r>
      <w:r w:rsidR="00470428" w:rsidRPr="00D44271">
        <w:rPr>
          <w:bCs/>
          <w:szCs w:val="22"/>
          <w:lang w:val="es-ES"/>
        </w:rPr>
        <w:t xml:space="preserve"> una gama cada vez mayor de interesados y al fomento de los intercambios de experiencias e información entre los distintos países.  Llevar est</w:t>
      </w:r>
      <w:r w:rsidR="00133410" w:rsidRPr="00D44271">
        <w:rPr>
          <w:bCs/>
          <w:szCs w:val="22"/>
          <w:lang w:val="es-ES"/>
        </w:rPr>
        <w:t xml:space="preserve">e potencial </w:t>
      </w:r>
      <w:r w:rsidR="00470428" w:rsidRPr="00D44271">
        <w:rPr>
          <w:bCs/>
          <w:szCs w:val="22"/>
          <w:lang w:val="es-ES"/>
        </w:rPr>
        <w:t>a la práctica en tod</w:t>
      </w:r>
      <w:r w:rsidR="00133410" w:rsidRPr="00D44271">
        <w:rPr>
          <w:bCs/>
          <w:szCs w:val="22"/>
          <w:lang w:val="es-ES"/>
        </w:rPr>
        <w:t xml:space="preserve">a su extensión </w:t>
      </w:r>
      <w:r w:rsidR="00470428" w:rsidRPr="00D44271">
        <w:rPr>
          <w:bCs/>
          <w:szCs w:val="22"/>
          <w:lang w:val="es-ES"/>
        </w:rPr>
        <w:t>exigirí</w:t>
      </w:r>
      <w:r w:rsidR="00133410" w:rsidRPr="00D44271">
        <w:rPr>
          <w:bCs/>
          <w:szCs w:val="22"/>
          <w:lang w:val="es-ES"/>
        </w:rPr>
        <w:t xml:space="preserve">a un compromiso a largo plazo en favor del proyecto por parte de los Estados Miembros y de la Secretaría, así como el reconocimiento de la necesidad de dotarlo de capacidades especializadas en tanto que </w:t>
      </w:r>
      <w:r w:rsidR="0086002B">
        <w:rPr>
          <w:bCs/>
          <w:szCs w:val="22"/>
          <w:lang w:val="es-ES"/>
        </w:rPr>
        <w:t xml:space="preserve">se trata de un </w:t>
      </w:r>
      <w:r w:rsidR="00133410" w:rsidRPr="00D44271">
        <w:rPr>
          <w:bCs/>
          <w:szCs w:val="22"/>
          <w:lang w:val="es-ES"/>
        </w:rPr>
        <w:t>proyecto de prestación de servicios.  Además</w:t>
      </w:r>
      <w:r w:rsidR="0086002B">
        <w:rPr>
          <w:bCs/>
          <w:szCs w:val="22"/>
          <w:lang w:val="es-ES"/>
        </w:rPr>
        <w:t>,</w:t>
      </w:r>
      <w:r w:rsidR="00133410" w:rsidRPr="00D44271">
        <w:rPr>
          <w:bCs/>
          <w:szCs w:val="22"/>
          <w:lang w:val="es-ES"/>
        </w:rPr>
        <w:t xml:space="preserve"> sería necesario </w:t>
      </w:r>
      <w:r w:rsidR="002446ED" w:rsidRPr="00D44271">
        <w:rPr>
          <w:bCs/>
          <w:szCs w:val="22"/>
          <w:lang w:val="es-ES"/>
        </w:rPr>
        <w:t>el</w:t>
      </w:r>
      <w:r w:rsidR="00133410" w:rsidRPr="00D44271">
        <w:rPr>
          <w:bCs/>
          <w:szCs w:val="22"/>
          <w:lang w:val="es-ES"/>
        </w:rPr>
        <w:t xml:space="preserve"> reconocimiento de</w:t>
      </w:r>
      <w:r w:rsidR="002446ED" w:rsidRPr="00D44271">
        <w:rPr>
          <w:bCs/>
          <w:szCs w:val="22"/>
          <w:lang w:val="es-ES"/>
        </w:rPr>
        <w:t xml:space="preserve"> que e</w:t>
      </w:r>
      <w:r w:rsidR="00133410" w:rsidRPr="00D44271">
        <w:rPr>
          <w:bCs/>
          <w:szCs w:val="22"/>
          <w:lang w:val="es-ES"/>
        </w:rPr>
        <w:t>l proyecto</w:t>
      </w:r>
      <w:r w:rsidR="002446ED" w:rsidRPr="00D44271">
        <w:rPr>
          <w:bCs/>
          <w:szCs w:val="22"/>
          <w:lang w:val="es-ES"/>
        </w:rPr>
        <w:t xml:space="preserve"> exigiría una colaboración plena y eficaz entre socios internos y externos para establecer vínculos entre las capacidades en el campo de la tecnología y en el área de las políticas públicas</w:t>
      </w:r>
      <w:r w:rsidR="00621703" w:rsidRPr="00D44271">
        <w:rPr>
          <w:bCs/>
          <w:szCs w:val="22"/>
          <w:lang w:val="es-ES"/>
        </w:rPr>
        <w:t xml:space="preserve">.  </w:t>
      </w:r>
    </w:p>
    <w:p w14:paraId="61195127" w14:textId="77777777" w:rsidR="0028072A" w:rsidRPr="00D44271" w:rsidRDefault="0028072A" w:rsidP="0028072A">
      <w:pPr>
        <w:rPr>
          <w:b/>
          <w:lang w:val="es-ES"/>
        </w:rPr>
      </w:pPr>
    </w:p>
    <w:p w14:paraId="4EFC7095" w14:textId="1CC6F416" w:rsidR="0028072A" w:rsidRPr="00D44271" w:rsidRDefault="0028072A" w:rsidP="0028072A">
      <w:pPr>
        <w:rPr>
          <w:b/>
          <w:lang w:val="es-ES"/>
        </w:rPr>
      </w:pPr>
      <w:r w:rsidRPr="00D44271">
        <w:rPr>
          <w:b/>
          <w:lang w:val="es-ES"/>
        </w:rPr>
        <w:t>Conclusion</w:t>
      </w:r>
      <w:r w:rsidR="00E52D18" w:rsidRPr="00D44271">
        <w:rPr>
          <w:b/>
          <w:lang w:val="es-ES"/>
        </w:rPr>
        <w:t>e</w:t>
      </w:r>
      <w:r w:rsidRPr="00D44271">
        <w:rPr>
          <w:b/>
          <w:lang w:val="es-ES"/>
        </w:rPr>
        <w:t xml:space="preserve">s </w:t>
      </w:r>
    </w:p>
    <w:p w14:paraId="4577E5C3" w14:textId="77777777" w:rsidR="0028072A" w:rsidRPr="00D44271" w:rsidRDefault="0028072A" w:rsidP="0028072A">
      <w:pPr>
        <w:rPr>
          <w:lang w:val="es-ES"/>
        </w:rPr>
      </w:pPr>
    </w:p>
    <w:p w14:paraId="23B63751" w14:textId="3BA65C67" w:rsidR="0028072A" w:rsidRPr="00D44271" w:rsidRDefault="00FB5703" w:rsidP="0028072A">
      <w:pPr>
        <w:rPr>
          <w:lang w:val="es-ES"/>
        </w:rPr>
      </w:pPr>
      <w:r w:rsidRPr="00D44271">
        <w:rPr>
          <w:lang w:val="es-ES"/>
        </w:rPr>
        <w:t>De las constataciones anteriormente expuestas, así como de toda la información contenida en los Apéndices I y II, pueden extraerse las siguientes conclusiones</w:t>
      </w:r>
      <w:r w:rsidR="0028072A" w:rsidRPr="00D44271">
        <w:rPr>
          <w:lang w:val="es-ES"/>
        </w:rPr>
        <w:t xml:space="preserve">: </w:t>
      </w:r>
    </w:p>
    <w:p w14:paraId="2074F139" w14:textId="77777777" w:rsidR="0028072A" w:rsidRPr="00D44271" w:rsidRDefault="0028072A" w:rsidP="0028072A">
      <w:pPr>
        <w:rPr>
          <w:lang w:val="es-ES"/>
        </w:rPr>
      </w:pPr>
    </w:p>
    <w:p w14:paraId="64CECAED" w14:textId="77777777" w:rsidR="00395AD1" w:rsidRDefault="00395AD1">
      <w:pPr>
        <w:rPr>
          <w:i/>
          <w:szCs w:val="22"/>
          <w:lang w:val="es-ES"/>
        </w:rPr>
      </w:pPr>
      <w:r>
        <w:rPr>
          <w:i/>
          <w:szCs w:val="22"/>
          <w:lang w:val="es-ES"/>
        </w:rPr>
        <w:br w:type="page"/>
      </w:r>
    </w:p>
    <w:p w14:paraId="32DE319D" w14:textId="40930FB8" w:rsidR="00FB5703" w:rsidRPr="00D44271" w:rsidRDefault="00FB5703" w:rsidP="00FB5703">
      <w:pPr>
        <w:spacing w:before="120" w:after="120"/>
        <w:rPr>
          <w:i/>
          <w:szCs w:val="22"/>
          <w:lang w:val="es-ES"/>
        </w:rPr>
      </w:pPr>
      <w:r w:rsidRPr="00D44271">
        <w:rPr>
          <w:i/>
          <w:szCs w:val="22"/>
          <w:lang w:val="es-ES"/>
        </w:rPr>
        <w:lastRenderedPageBreak/>
        <w:t>Diseño y gestión del proyecto</w:t>
      </w:r>
    </w:p>
    <w:p w14:paraId="3DD6CC8B" w14:textId="77777777" w:rsidR="0028072A" w:rsidRPr="00D44271" w:rsidRDefault="0028072A" w:rsidP="0028072A">
      <w:pPr>
        <w:rPr>
          <w:bCs/>
          <w:szCs w:val="22"/>
          <w:lang w:val="es-ES"/>
        </w:rPr>
      </w:pPr>
    </w:p>
    <w:p w14:paraId="7471C1DE" w14:textId="7E6512CE" w:rsidR="0028072A" w:rsidRPr="00D44271" w:rsidRDefault="00D27897" w:rsidP="008534E1">
      <w:pPr>
        <w:numPr>
          <w:ilvl w:val="0"/>
          <w:numId w:val="61"/>
        </w:numPr>
        <w:rPr>
          <w:bCs/>
          <w:szCs w:val="22"/>
          <w:lang w:val="es-ES"/>
        </w:rPr>
      </w:pPr>
      <w:r w:rsidRPr="00D44271">
        <w:rPr>
          <w:bCs/>
          <w:szCs w:val="22"/>
          <w:lang w:val="es-ES"/>
        </w:rPr>
        <w:t>El proyecto se reveló demasiado ambicioso para el plazo establecido, si bien, en última instancia, el proyecto llegó a ejecución con una gran calidad, y en algunos aspectos se superaron las expectativas</w:t>
      </w:r>
      <w:r w:rsidR="0028072A" w:rsidRPr="00D44271">
        <w:rPr>
          <w:bCs/>
          <w:szCs w:val="22"/>
          <w:lang w:val="es-ES"/>
        </w:rPr>
        <w:t xml:space="preserve">. </w:t>
      </w:r>
    </w:p>
    <w:p w14:paraId="4B274587" w14:textId="77777777" w:rsidR="0028072A" w:rsidRPr="00D44271" w:rsidRDefault="0028072A" w:rsidP="0028072A">
      <w:pPr>
        <w:ind w:left="360"/>
        <w:rPr>
          <w:bCs/>
          <w:szCs w:val="22"/>
          <w:lang w:val="es-ES"/>
        </w:rPr>
      </w:pPr>
    </w:p>
    <w:p w14:paraId="3CA32AD4" w14:textId="6F61D29B" w:rsidR="0028072A" w:rsidRPr="00D44271" w:rsidRDefault="00D27897" w:rsidP="008534E1">
      <w:pPr>
        <w:numPr>
          <w:ilvl w:val="0"/>
          <w:numId w:val="61"/>
        </w:numPr>
        <w:rPr>
          <w:bCs/>
          <w:szCs w:val="22"/>
          <w:lang w:val="es-ES"/>
        </w:rPr>
      </w:pPr>
      <w:r w:rsidRPr="00D44271">
        <w:rPr>
          <w:bCs/>
          <w:szCs w:val="22"/>
          <w:lang w:val="es-ES"/>
        </w:rPr>
        <w:t xml:space="preserve">La coincidencia en el tiempo de la evaluación de la Fase I y la propuesta de proyecto de la Fase II dio lugar a que no pudieran tenerse en cuenta todas las recomendaciones que habrían sido susceptibles de ser aplicadas en dicha Fase II.  No obstante, algunas de </w:t>
      </w:r>
      <w:r w:rsidR="005405DE" w:rsidRPr="00D44271">
        <w:rPr>
          <w:bCs/>
          <w:szCs w:val="22"/>
          <w:lang w:val="es-ES"/>
        </w:rPr>
        <w:t>las recomendaciones sobre la concepción del proyecto y su gestión se fueron integrando en el proyecto con posterioridad</w:t>
      </w:r>
      <w:r w:rsidR="0028072A" w:rsidRPr="00D44271">
        <w:rPr>
          <w:bCs/>
          <w:szCs w:val="22"/>
          <w:lang w:val="es-ES"/>
        </w:rPr>
        <w:t xml:space="preserve">. </w:t>
      </w:r>
    </w:p>
    <w:p w14:paraId="5AAED83D" w14:textId="77777777" w:rsidR="0028072A" w:rsidRPr="00D44271" w:rsidRDefault="0028072A" w:rsidP="0028072A">
      <w:pPr>
        <w:rPr>
          <w:bCs/>
          <w:szCs w:val="22"/>
          <w:lang w:val="es-ES"/>
        </w:rPr>
      </w:pPr>
    </w:p>
    <w:p w14:paraId="00AA721B" w14:textId="4C28EED8" w:rsidR="0028072A" w:rsidRPr="00D44271" w:rsidRDefault="00FB5B30" w:rsidP="008534E1">
      <w:pPr>
        <w:numPr>
          <w:ilvl w:val="0"/>
          <w:numId w:val="61"/>
        </w:numPr>
        <w:rPr>
          <w:bCs/>
          <w:szCs w:val="22"/>
          <w:lang w:val="es-ES"/>
        </w:rPr>
      </w:pPr>
      <w:r w:rsidRPr="00D44271">
        <w:rPr>
          <w:bCs/>
          <w:szCs w:val="22"/>
          <w:lang w:val="es-ES"/>
        </w:rPr>
        <w:t xml:space="preserve">La propuesta de proyecto y las herramientas de gestión resultaron muy adecuadas para la duración y complejidad del proyecto, aunque se podrían haber enriquecido, tal como ya se indicó en las recomendaciones de la Fase I, con la inclusión de algunos elementos, por ejemplo indicadores de nivel de impacto, análisis de riegos ponderados o identificación de asunciones externas, entre otros. </w:t>
      </w:r>
    </w:p>
    <w:p w14:paraId="25E83666" w14:textId="77777777" w:rsidR="0028072A" w:rsidRPr="00D44271" w:rsidRDefault="0028072A" w:rsidP="0028072A">
      <w:pPr>
        <w:rPr>
          <w:bCs/>
          <w:szCs w:val="22"/>
          <w:lang w:val="es-ES"/>
        </w:rPr>
      </w:pPr>
    </w:p>
    <w:p w14:paraId="587BB08F" w14:textId="5C240EA4" w:rsidR="0028072A" w:rsidRPr="00D44271" w:rsidRDefault="007D7207" w:rsidP="008534E1">
      <w:pPr>
        <w:numPr>
          <w:ilvl w:val="0"/>
          <w:numId w:val="61"/>
        </w:numPr>
        <w:rPr>
          <w:bCs/>
          <w:szCs w:val="22"/>
          <w:lang w:val="es-ES"/>
        </w:rPr>
      </w:pPr>
      <w:r w:rsidRPr="00D44271">
        <w:rPr>
          <w:bCs/>
          <w:szCs w:val="22"/>
          <w:lang w:val="es-ES"/>
        </w:rPr>
        <w:t>Cabría prestar atención para que la estrategia de supervisión y evaluación quedara definida desde el arranque del proyecto, y posteriormente fuera sistemáticamente aplicada a lo largo de todo el proyecto con la debida coherencia.  En particular, el proceso de supervisión y evaluación debería prever una valoración precisa de todos los indicadores establecidos en el diseño del proyecto, en la última evaluación</w:t>
      </w:r>
      <w:r w:rsidR="0028072A" w:rsidRPr="00D44271">
        <w:rPr>
          <w:bCs/>
          <w:szCs w:val="22"/>
          <w:lang w:val="es-ES"/>
        </w:rPr>
        <w:t xml:space="preserve">. </w:t>
      </w:r>
    </w:p>
    <w:p w14:paraId="1C314A8F" w14:textId="77777777" w:rsidR="0028072A" w:rsidRPr="00D44271" w:rsidRDefault="0028072A" w:rsidP="0028072A">
      <w:pPr>
        <w:rPr>
          <w:bCs/>
          <w:szCs w:val="22"/>
          <w:lang w:val="es-ES"/>
        </w:rPr>
      </w:pPr>
    </w:p>
    <w:p w14:paraId="2A06219F" w14:textId="5AB304EE" w:rsidR="0028072A" w:rsidRPr="00D44271" w:rsidRDefault="007D7207" w:rsidP="008534E1">
      <w:pPr>
        <w:numPr>
          <w:ilvl w:val="0"/>
          <w:numId w:val="61"/>
        </w:numPr>
        <w:rPr>
          <w:bCs/>
          <w:szCs w:val="22"/>
          <w:lang w:val="es-ES"/>
        </w:rPr>
      </w:pPr>
      <w:r w:rsidRPr="00D44271">
        <w:rPr>
          <w:bCs/>
          <w:szCs w:val="22"/>
          <w:lang w:val="es-ES"/>
        </w:rPr>
        <w:t xml:space="preserve">El proyecto adoleció de unos presupuestos </w:t>
      </w:r>
      <w:r w:rsidR="000248A9" w:rsidRPr="00D44271">
        <w:rPr>
          <w:bCs/>
          <w:szCs w:val="22"/>
          <w:lang w:val="es-ES"/>
        </w:rPr>
        <w:t xml:space="preserve">que no contemplaron adecuadamente </w:t>
      </w:r>
      <w:r w:rsidRPr="00D44271">
        <w:rPr>
          <w:bCs/>
          <w:szCs w:val="22"/>
          <w:lang w:val="es-ES"/>
        </w:rPr>
        <w:t xml:space="preserve">la traducción y </w:t>
      </w:r>
      <w:r w:rsidR="000248A9" w:rsidRPr="00D44271">
        <w:rPr>
          <w:bCs/>
          <w:szCs w:val="22"/>
          <w:lang w:val="es-ES"/>
        </w:rPr>
        <w:t xml:space="preserve">difusión de los productos del proyecto ni la participación del personal en actividades externas.  Muchas de estas actividades fueron sufragadas por otras divisiones u organizaciones.  Cabe </w:t>
      </w:r>
      <w:r w:rsidR="0086002B">
        <w:rPr>
          <w:bCs/>
          <w:szCs w:val="22"/>
          <w:lang w:val="es-ES"/>
        </w:rPr>
        <w:t>destacar</w:t>
      </w:r>
      <w:r w:rsidR="000248A9" w:rsidRPr="00D44271">
        <w:rPr>
          <w:bCs/>
          <w:szCs w:val="22"/>
          <w:lang w:val="es-ES"/>
        </w:rPr>
        <w:t xml:space="preserve"> la importancia que revisten estas actividades para la identificación de temas sobre los que elaborar informes PLR relevantes para los Estados Miembros y OIG</w:t>
      </w:r>
      <w:r w:rsidR="0028072A" w:rsidRPr="00D44271">
        <w:rPr>
          <w:bCs/>
          <w:szCs w:val="22"/>
          <w:lang w:val="es-ES"/>
        </w:rPr>
        <w:t xml:space="preserve">. </w:t>
      </w:r>
    </w:p>
    <w:p w14:paraId="4844AA27" w14:textId="77777777" w:rsidR="0028072A" w:rsidRPr="00D44271" w:rsidRDefault="0028072A" w:rsidP="0028072A">
      <w:pPr>
        <w:rPr>
          <w:i/>
          <w:lang w:val="es-ES"/>
        </w:rPr>
      </w:pPr>
    </w:p>
    <w:p w14:paraId="0D406866" w14:textId="09CD03A7" w:rsidR="0028072A" w:rsidRPr="00D44271" w:rsidRDefault="0028072A" w:rsidP="0028072A">
      <w:pPr>
        <w:rPr>
          <w:i/>
          <w:lang w:val="es-ES"/>
        </w:rPr>
      </w:pPr>
      <w:r w:rsidRPr="00D44271">
        <w:rPr>
          <w:i/>
          <w:lang w:val="es-ES"/>
        </w:rPr>
        <w:t>Relevanc</w:t>
      </w:r>
      <w:r w:rsidR="002446ED" w:rsidRPr="00D44271">
        <w:rPr>
          <w:i/>
          <w:lang w:val="es-ES"/>
        </w:rPr>
        <w:t>ia</w:t>
      </w:r>
    </w:p>
    <w:p w14:paraId="7AF1B671" w14:textId="77777777" w:rsidR="0028072A" w:rsidRPr="00D44271" w:rsidRDefault="0028072A" w:rsidP="0028072A">
      <w:pPr>
        <w:rPr>
          <w:i/>
          <w:lang w:val="es-ES"/>
        </w:rPr>
      </w:pPr>
    </w:p>
    <w:p w14:paraId="25F0FF65" w14:textId="0620256A" w:rsidR="0028072A" w:rsidRPr="00D44271" w:rsidRDefault="000248A9" w:rsidP="008534E1">
      <w:pPr>
        <w:numPr>
          <w:ilvl w:val="0"/>
          <w:numId w:val="65"/>
        </w:numPr>
        <w:rPr>
          <w:bCs/>
          <w:lang w:val="es-ES"/>
        </w:rPr>
      </w:pPr>
      <w:r w:rsidRPr="00D44271">
        <w:rPr>
          <w:bCs/>
          <w:szCs w:val="22"/>
          <w:lang w:val="es-ES"/>
        </w:rPr>
        <w:t>Dado que el valor de los estudios analíticos sobre patentes no era mayoritariamente conocido por el público no experto en P.I., es natural que al proyecto le costara cierto tiempo encontrar partidarios –la elaboración de informes PLR, la realización de talleres y de la guía didáctica electrónica, y la elaboración de las directrices metodológicas debían ser consideradas no sólo útiles en sí mismas, sino como catalizadores de una comprensión más extensa acerca del valor de los informes PLR para la política pública, el desarrollo estratégico y la transferencia de tecnología</w:t>
      </w:r>
      <w:r w:rsidR="00BC2E5A" w:rsidRPr="00D44271">
        <w:rPr>
          <w:bCs/>
          <w:szCs w:val="22"/>
          <w:lang w:val="es-ES"/>
        </w:rPr>
        <w:t xml:space="preserve">.  Los destinatarios naturales y apropiados de este proyecto iban más allá de las oficinas nacionales de P.I.  Según se fueron redactando y utilizando más informes PLR, los Estados Miembros y otros potenciales socios externos fueron siendo más proclives a tomar conciencia de su valor y utilidad y, por ende, fueron adoptando actitudes más activas en cuanto a la identificación y propuesta de nuevos temas sobre los que emprender informes </w:t>
      </w:r>
      <w:r w:rsidR="0028072A" w:rsidRPr="00D44271">
        <w:rPr>
          <w:bCs/>
          <w:lang w:val="es-ES"/>
        </w:rPr>
        <w:t xml:space="preserve">PLR. </w:t>
      </w:r>
    </w:p>
    <w:p w14:paraId="2982805D" w14:textId="77777777" w:rsidR="0028072A" w:rsidRPr="00D44271" w:rsidRDefault="0028072A" w:rsidP="0028072A">
      <w:pPr>
        <w:ind w:left="360"/>
        <w:rPr>
          <w:bCs/>
          <w:lang w:val="es-ES"/>
        </w:rPr>
      </w:pPr>
    </w:p>
    <w:p w14:paraId="0E832BE2" w14:textId="1A662EF7" w:rsidR="0028072A" w:rsidRPr="00D44271" w:rsidRDefault="003F01C4" w:rsidP="008534E1">
      <w:pPr>
        <w:numPr>
          <w:ilvl w:val="0"/>
          <w:numId w:val="65"/>
        </w:numPr>
        <w:rPr>
          <w:i/>
          <w:lang w:val="es-ES"/>
        </w:rPr>
      </w:pPr>
      <w:r w:rsidRPr="00D44271">
        <w:rPr>
          <w:lang w:val="es-ES"/>
        </w:rPr>
        <w:t xml:space="preserve">La importancia de la traducción de cara a conseguir relevancia para los usuarios, y el apoyo a todo aquello que favorezca la relevancia del proyecto, su eficiencia y eficacia, no deberían ser desestimados.  </w:t>
      </w:r>
    </w:p>
    <w:p w14:paraId="59372423" w14:textId="77777777" w:rsidR="0028072A" w:rsidRPr="00D44271" w:rsidRDefault="0028072A" w:rsidP="0028072A">
      <w:pPr>
        <w:rPr>
          <w:i/>
          <w:lang w:val="es-ES"/>
        </w:rPr>
      </w:pPr>
    </w:p>
    <w:p w14:paraId="337244E8" w14:textId="5AF61118" w:rsidR="0028072A" w:rsidRPr="00D44271" w:rsidRDefault="002446ED" w:rsidP="0028072A">
      <w:pPr>
        <w:rPr>
          <w:i/>
          <w:lang w:val="es-ES"/>
        </w:rPr>
      </w:pPr>
      <w:r w:rsidRPr="00D44271">
        <w:rPr>
          <w:i/>
          <w:lang w:val="es-ES"/>
        </w:rPr>
        <w:t>Eficacia</w:t>
      </w:r>
    </w:p>
    <w:p w14:paraId="41CA4B3A" w14:textId="77777777" w:rsidR="0028072A" w:rsidRPr="00D44271" w:rsidRDefault="0028072A" w:rsidP="0028072A">
      <w:pPr>
        <w:rPr>
          <w:i/>
          <w:lang w:val="es-ES"/>
        </w:rPr>
      </w:pPr>
    </w:p>
    <w:p w14:paraId="08B4CCD6" w14:textId="07E957C9" w:rsidR="0028072A" w:rsidRPr="00D44271" w:rsidRDefault="003F01C4" w:rsidP="0028072A">
      <w:pPr>
        <w:numPr>
          <w:ilvl w:val="0"/>
          <w:numId w:val="12"/>
        </w:numPr>
        <w:rPr>
          <w:bCs/>
          <w:lang w:val="es-ES"/>
        </w:rPr>
      </w:pPr>
      <w:r w:rsidRPr="00D44271">
        <w:rPr>
          <w:bCs/>
          <w:lang w:val="es-ES"/>
        </w:rPr>
        <w:t>El proyecto fue muy eficaz en la consecución de sus propios objetivos.  La labor futura debería centrarse en consolidar los cimientos asentados en la Fase I, en la Fase II y posteriormente a ésta, y seguir construyendo sobre dicha base</w:t>
      </w:r>
      <w:r w:rsidR="0028072A" w:rsidRPr="00D44271">
        <w:rPr>
          <w:bCs/>
          <w:lang w:val="es-ES"/>
        </w:rPr>
        <w:t>.</w:t>
      </w:r>
    </w:p>
    <w:p w14:paraId="1B22DC46" w14:textId="77777777" w:rsidR="0028072A" w:rsidRPr="00D44271" w:rsidRDefault="0028072A" w:rsidP="0028072A">
      <w:pPr>
        <w:ind w:left="360"/>
        <w:rPr>
          <w:bCs/>
          <w:lang w:val="es-ES"/>
        </w:rPr>
      </w:pPr>
    </w:p>
    <w:p w14:paraId="00DC8DFE" w14:textId="4A6989B3" w:rsidR="001D4B69" w:rsidRPr="00D44271" w:rsidRDefault="003F01C4" w:rsidP="001D4B69">
      <w:pPr>
        <w:numPr>
          <w:ilvl w:val="0"/>
          <w:numId w:val="12"/>
        </w:numPr>
        <w:rPr>
          <w:bCs/>
          <w:lang w:val="es-ES"/>
        </w:rPr>
      </w:pPr>
      <w:r w:rsidRPr="00D44271">
        <w:rPr>
          <w:bCs/>
          <w:lang w:val="es-ES"/>
        </w:rPr>
        <w:t>E</w:t>
      </w:r>
      <w:r w:rsidR="0028072A" w:rsidRPr="00D44271">
        <w:rPr>
          <w:bCs/>
          <w:lang w:val="es-ES"/>
        </w:rPr>
        <w:t xml:space="preserve">n general, </w:t>
      </w:r>
      <w:r w:rsidRPr="00D44271">
        <w:rPr>
          <w:bCs/>
          <w:lang w:val="es-ES"/>
        </w:rPr>
        <w:t xml:space="preserve">y además de contribuir a los debates internacionales sobre aspectos tecnológicos importantes en los campos de la sanidad y el medioambiente, las actividades de la Fase II han contribuido a ampliar </w:t>
      </w:r>
      <w:r w:rsidR="001D4B69" w:rsidRPr="00D44271">
        <w:rPr>
          <w:bCs/>
          <w:lang w:val="es-ES"/>
        </w:rPr>
        <w:t xml:space="preserve">el entendimiento acerca del valor de los informes PLR así como en general de la información y del estudio analítico de patentes.  Gracias a estas actividades se habrían sentado los cimientos para que los Estados Miembros y otros actores puedan identificar aquellas áreas tecnológicas en las cuales disponer de informes PLR redundaría en beneficio de la concepción de las políticas nacionales e internacionales. </w:t>
      </w:r>
    </w:p>
    <w:p w14:paraId="2840090A" w14:textId="2AE20EFA" w:rsidR="001D4B69" w:rsidRPr="00D44271" w:rsidRDefault="001D4B69" w:rsidP="001D4B69">
      <w:pPr>
        <w:ind w:left="360"/>
        <w:rPr>
          <w:bCs/>
          <w:lang w:val="es-ES"/>
        </w:rPr>
      </w:pPr>
      <w:r w:rsidRPr="00D44271">
        <w:rPr>
          <w:bCs/>
          <w:lang w:val="es-ES"/>
        </w:rPr>
        <w:t xml:space="preserve">Además, las actividades de la Fase II habrían favorecido, en los Estados Miembros, el desarrollo incipiente de una base de capacidades en materia de estudio analítico sobre patentes, </w:t>
      </w:r>
      <w:r w:rsidR="00F84376" w:rsidRPr="00D44271">
        <w:rPr>
          <w:bCs/>
          <w:lang w:val="es-ES"/>
        </w:rPr>
        <w:t>lo cual conducirá progresivamente hacia su mayor autosuficiencia en ese campo</w:t>
      </w:r>
      <w:r w:rsidRPr="00D44271">
        <w:rPr>
          <w:bCs/>
          <w:lang w:val="es-ES"/>
        </w:rPr>
        <w:t>.</w:t>
      </w:r>
    </w:p>
    <w:p w14:paraId="171E6D10" w14:textId="14E8B20D" w:rsidR="0028072A" w:rsidRPr="00D44271" w:rsidRDefault="0028072A" w:rsidP="001D4B69">
      <w:pPr>
        <w:ind w:left="360"/>
        <w:rPr>
          <w:i/>
          <w:lang w:val="es-ES"/>
        </w:rPr>
      </w:pPr>
    </w:p>
    <w:p w14:paraId="054AB451" w14:textId="2A514E60" w:rsidR="0028072A" w:rsidRPr="00D44271" w:rsidRDefault="002446ED" w:rsidP="00056950">
      <w:pPr>
        <w:keepNext/>
        <w:rPr>
          <w:i/>
          <w:szCs w:val="22"/>
          <w:lang w:val="es-ES"/>
        </w:rPr>
      </w:pPr>
      <w:r w:rsidRPr="00D44271">
        <w:rPr>
          <w:i/>
          <w:szCs w:val="22"/>
          <w:lang w:val="es-ES"/>
        </w:rPr>
        <w:t>Sostenibilidad</w:t>
      </w:r>
    </w:p>
    <w:p w14:paraId="6FD2A1F8" w14:textId="77777777" w:rsidR="00056950" w:rsidRPr="00D44271" w:rsidRDefault="00056950" w:rsidP="00056950">
      <w:pPr>
        <w:keepNext/>
        <w:ind w:left="360"/>
        <w:rPr>
          <w:bCs/>
          <w:szCs w:val="22"/>
          <w:lang w:val="es-ES"/>
        </w:rPr>
      </w:pPr>
    </w:p>
    <w:p w14:paraId="15CBEA50" w14:textId="23CA7771" w:rsidR="00F84376" w:rsidRPr="00D44271" w:rsidRDefault="00F84376" w:rsidP="00056950">
      <w:pPr>
        <w:keepNext/>
        <w:numPr>
          <w:ilvl w:val="0"/>
          <w:numId w:val="18"/>
        </w:numPr>
        <w:rPr>
          <w:bCs/>
          <w:szCs w:val="22"/>
          <w:lang w:val="es-ES"/>
        </w:rPr>
      </w:pPr>
      <w:r w:rsidRPr="00D44271">
        <w:rPr>
          <w:bCs/>
          <w:szCs w:val="22"/>
          <w:lang w:val="es-ES"/>
        </w:rPr>
        <w:t xml:space="preserve">El proyecto incluyó diversos elementos sobre los que se </w:t>
      </w:r>
      <w:r w:rsidR="0086002B">
        <w:rPr>
          <w:bCs/>
          <w:szCs w:val="22"/>
          <w:lang w:val="es-ES"/>
        </w:rPr>
        <w:t>apoyaría</w:t>
      </w:r>
      <w:r w:rsidRPr="00D44271">
        <w:rPr>
          <w:bCs/>
          <w:szCs w:val="22"/>
          <w:lang w:val="es-ES"/>
        </w:rPr>
        <w:t xml:space="preserve"> su propia </w:t>
      </w:r>
      <w:r w:rsidR="00056950" w:rsidRPr="00D44271">
        <w:rPr>
          <w:bCs/>
          <w:szCs w:val="22"/>
          <w:lang w:val="es-ES"/>
        </w:rPr>
        <w:t>s</w:t>
      </w:r>
      <w:r w:rsidRPr="00D44271">
        <w:rPr>
          <w:bCs/>
          <w:szCs w:val="22"/>
          <w:lang w:val="es-ES"/>
        </w:rPr>
        <w:t xml:space="preserve">ostenibilidad. Convendría continuar reforzando </w:t>
      </w:r>
      <w:r w:rsidR="00056950" w:rsidRPr="00D44271">
        <w:rPr>
          <w:bCs/>
          <w:szCs w:val="22"/>
          <w:lang w:val="es-ES"/>
        </w:rPr>
        <w:t>dichos</w:t>
      </w:r>
      <w:r w:rsidRPr="00D44271">
        <w:rPr>
          <w:bCs/>
          <w:szCs w:val="22"/>
          <w:lang w:val="es-ES"/>
        </w:rPr>
        <w:t xml:space="preserve"> elementos más allá de la Fase II.  </w:t>
      </w:r>
    </w:p>
    <w:p w14:paraId="7E9CA3EC" w14:textId="77777777" w:rsidR="00056950" w:rsidRPr="00D44271" w:rsidRDefault="00056950" w:rsidP="00056950">
      <w:pPr>
        <w:keepNext/>
        <w:ind w:left="360"/>
        <w:rPr>
          <w:bCs/>
          <w:szCs w:val="22"/>
          <w:lang w:val="es-ES"/>
        </w:rPr>
      </w:pPr>
    </w:p>
    <w:p w14:paraId="11425A14" w14:textId="7F959BA4" w:rsidR="0028072A" w:rsidRPr="00D44271" w:rsidRDefault="00F84376" w:rsidP="00056950">
      <w:pPr>
        <w:keepNext/>
        <w:numPr>
          <w:ilvl w:val="0"/>
          <w:numId w:val="18"/>
        </w:numPr>
        <w:rPr>
          <w:bCs/>
          <w:szCs w:val="22"/>
          <w:lang w:val="es-ES"/>
        </w:rPr>
      </w:pPr>
      <w:r w:rsidRPr="00D44271">
        <w:rPr>
          <w:bCs/>
          <w:szCs w:val="22"/>
          <w:lang w:val="es-ES"/>
        </w:rPr>
        <w:t>Las actividades futuras deberían estimular la creación de capacidades e insistir en el fomento de</w:t>
      </w:r>
      <w:r w:rsidR="00056950" w:rsidRPr="00D44271">
        <w:rPr>
          <w:bCs/>
          <w:szCs w:val="22"/>
          <w:lang w:val="es-ES"/>
        </w:rPr>
        <w:t xml:space="preserve"> las herramientas de aprendizaje a distancia y de acceso remoto.  Esto facilitaría que el proyecto alcanzara a un mayor número de Estados Miembros, una gama más amplia de departamentos gubernamentales, un mayor número de personas dentro de los departamentos pertinentes, y a una base más extensa de destinatarios interesados, a saber OIG y ONG, el sector privado y las instituciones de investigación</w:t>
      </w:r>
      <w:r w:rsidR="0028072A" w:rsidRPr="00D44271">
        <w:rPr>
          <w:bCs/>
          <w:szCs w:val="22"/>
          <w:lang w:val="es-ES"/>
        </w:rPr>
        <w:t xml:space="preserve">.  </w:t>
      </w:r>
    </w:p>
    <w:p w14:paraId="398669FD" w14:textId="77777777" w:rsidR="0028072A" w:rsidRPr="00D44271" w:rsidRDefault="0028072A" w:rsidP="0028072A">
      <w:pPr>
        <w:rPr>
          <w:i/>
          <w:szCs w:val="22"/>
          <w:lang w:val="es-ES"/>
        </w:rPr>
      </w:pPr>
    </w:p>
    <w:p w14:paraId="6F05A34F" w14:textId="77777777" w:rsidR="002446ED" w:rsidRPr="00D44271" w:rsidRDefault="002446ED" w:rsidP="002446ED">
      <w:pPr>
        <w:spacing w:before="120" w:after="120"/>
        <w:rPr>
          <w:i/>
          <w:szCs w:val="22"/>
          <w:lang w:val="es-ES"/>
        </w:rPr>
      </w:pPr>
      <w:r w:rsidRPr="00D44271">
        <w:rPr>
          <w:i/>
          <w:szCs w:val="22"/>
          <w:lang w:val="es-ES"/>
        </w:rPr>
        <w:t xml:space="preserve">Aplicación de las Recomendaciones de la Agenda para el Desarrollo </w:t>
      </w:r>
    </w:p>
    <w:p w14:paraId="3FBCE066" w14:textId="77777777" w:rsidR="0028072A" w:rsidRPr="00D44271" w:rsidRDefault="0028072A" w:rsidP="008534E1">
      <w:pPr>
        <w:keepNext/>
        <w:rPr>
          <w:bCs/>
          <w:i/>
          <w:szCs w:val="22"/>
          <w:lang w:val="es-ES"/>
        </w:rPr>
      </w:pPr>
    </w:p>
    <w:p w14:paraId="4BF99194" w14:textId="658A39B2" w:rsidR="0028072A" w:rsidRPr="00D44271" w:rsidRDefault="00DD7503" w:rsidP="008534E1">
      <w:pPr>
        <w:keepNext/>
        <w:numPr>
          <w:ilvl w:val="0"/>
          <w:numId w:val="18"/>
        </w:numPr>
        <w:rPr>
          <w:bCs/>
          <w:szCs w:val="22"/>
          <w:lang w:val="es-ES"/>
        </w:rPr>
      </w:pPr>
      <w:r w:rsidRPr="00D44271">
        <w:rPr>
          <w:bCs/>
          <w:szCs w:val="22"/>
          <w:lang w:val="es-ES"/>
        </w:rPr>
        <w:t>El proyecto generó la percepción generalizada de haber contribuido positivamente a la consecución de los objetivos enunciados en las Recomendaciones 19, 30 y 31 de la Agenda para el Desarrollo</w:t>
      </w:r>
      <w:r w:rsidR="0028072A" w:rsidRPr="00D44271">
        <w:rPr>
          <w:bCs/>
          <w:szCs w:val="22"/>
          <w:lang w:val="es-ES"/>
        </w:rPr>
        <w:t>.</w:t>
      </w:r>
    </w:p>
    <w:p w14:paraId="4052C384" w14:textId="77777777" w:rsidR="0028072A" w:rsidRPr="00D44271" w:rsidRDefault="0028072A" w:rsidP="008534E1">
      <w:pPr>
        <w:keepNext/>
        <w:rPr>
          <w:b/>
          <w:szCs w:val="22"/>
          <w:lang w:val="es-ES"/>
        </w:rPr>
      </w:pPr>
    </w:p>
    <w:p w14:paraId="4223763F" w14:textId="7A3E8F39" w:rsidR="0028072A" w:rsidRPr="00D44271" w:rsidRDefault="00DD7503" w:rsidP="0028072A">
      <w:pPr>
        <w:numPr>
          <w:ilvl w:val="0"/>
          <w:numId w:val="18"/>
        </w:numPr>
        <w:rPr>
          <w:bCs/>
          <w:szCs w:val="22"/>
          <w:lang w:val="es-ES"/>
        </w:rPr>
      </w:pPr>
      <w:r w:rsidRPr="00D44271">
        <w:rPr>
          <w:bCs/>
          <w:szCs w:val="22"/>
          <w:lang w:val="es-ES"/>
        </w:rPr>
        <w:t>El acceso a la información de patentes s</w:t>
      </w:r>
      <w:r w:rsidR="00CE111D" w:rsidRPr="00D44271">
        <w:rPr>
          <w:bCs/>
          <w:szCs w:val="22"/>
          <w:lang w:val="es-ES"/>
        </w:rPr>
        <w:t>e</w:t>
      </w:r>
      <w:r w:rsidRPr="00D44271">
        <w:rPr>
          <w:bCs/>
          <w:szCs w:val="22"/>
          <w:lang w:val="es-ES"/>
        </w:rPr>
        <w:t>rv</w:t>
      </w:r>
      <w:r w:rsidR="00CE111D" w:rsidRPr="00D44271">
        <w:rPr>
          <w:bCs/>
          <w:szCs w:val="22"/>
          <w:lang w:val="es-ES"/>
        </w:rPr>
        <w:t>iría</w:t>
      </w:r>
      <w:r w:rsidRPr="00D44271">
        <w:rPr>
          <w:bCs/>
          <w:szCs w:val="22"/>
          <w:lang w:val="es-ES"/>
        </w:rPr>
        <w:t xml:space="preserve"> mejor a la consecución de la Agenda para el Desarrollo si todos cuantos intervienen en los procesos de examen de patentes, I+D, ejecución de las políticas, procedimientos de oposición</w:t>
      </w:r>
      <w:r w:rsidR="00CE111D" w:rsidRPr="00D44271">
        <w:rPr>
          <w:bCs/>
          <w:szCs w:val="22"/>
          <w:lang w:val="es-ES"/>
        </w:rPr>
        <w:t>, así como</w:t>
      </w:r>
      <w:r w:rsidRPr="00D44271">
        <w:rPr>
          <w:bCs/>
          <w:szCs w:val="22"/>
          <w:lang w:val="es-ES"/>
        </w:rPr>
        <w:t xml:space="preserve"> los comercializadores de las innovaciones disp</w:t>
      </w:r>
      <w:r w:rsidR="00CE111D" w:rsidRPr="00D44271">
        <w:rPr>
          <w:bCs/>
          <w:szCs w:val="22"/>
          <w:lang w:val="es-ES"/>
        </w:rPr>
        <w:t>usieran</w:t>
      </w:r>
      <w:r w:rsidRPr="00D44271">
        <w:rPr>
          <w:bCs/>
          <w:szCs w:val="22"/>
          <w:lang w:val="es-ES"/>
        </w:rPr>
        <w:t xml:space="preserve"> de acceso a la información de patentes y a las bases de datos de búsqueda y análisis.</w:t>
      </w:r>
      <w:r w:rsidR="0028072A" w:rsidRPr="00D44271">
        <w:rPr>
          <w:bCs/>
          <w:szCs w:val="22"/>
          <w:lang w:val="es-ES"/>
        </w:rPr>
        <w:t xml:space="preserve"> </w:t>
      </w:r>
    </w:p>
    <w:p w14:paraId="657C19D0" w14:textId="77777777" w:rsidR="0028072A" w:rsidRPr="00D44271" w:rsidRDefault="0028072A" w:rsidP="0028072A">
      <w:pPr>
        <w:rPr>
          <w:b/>
          <w:lang w:val="es-ES"/>
        </w:rPr>
      </w:pPr>
    </w:p>
    <w:p w14:paraId="24BB9772" w14:textId="4447DC9F" w:rsidR="006C7C4E" w:rsidRPr="00D44271" w:rsidRDefault="00CE111D" w:rsidP="0028072A">
      <w:pPr>
        <w:numPr>
          <w:ilvl w:val="0"/>
          <w:numId w:val="18"/>
        </w:numPr>
        <w:rPr>
          <w:b/>
          <w:lang w:val="es-ES"/>
        </w:rPr>
      </w:pPr>
      <w:r w:rsidRPr="00D44271">
        <w:rPr>
          <w:bCs/>
          <w:szCs w:val="22"/>
          <w:lang w:val="es-ES"/>
        </w:rPr>
        <w:t xml:space="preserve">El proyecto tuvo un arranque lento en sus fases iniciales, pero se fue desarrollando de manera creciente, y así continuará haciéndolo con tendencia a que su impacto sea cada vez mayor a medida que se vayan consolidando los resultados de las primeras fases.  </w:t>
      </w:r>
      <w:r w:rsidR="00B812AA" w:rsidRPr="00D44271">
        <w:rPr>
          <w:bCs/>
          <w:szCs w:val="22"/>
          <w:lang w:val="es-ES"/>
        </w:rPr>
        <w:t xml:space="preserve">El proyecto ha conseguido esto, y continuará lográndolo, por medio de una creciente concienciación respecto al valor de la información de patentes, </w:t>
      </w:r>
      <w:r w:rsidR="00E16851">
        <w:rPr>
          <w:bCs/>
          <w:szCs w:val="22"/>
          <w:lang w:val="es-ES"/>
        </w:rPr>
        <w:t xml:space="preserve">y gracias a </w:t>
      </w:r>
      <w:r w:rsidR="00B812AA" w:rsidRPr="00D44271">
        <w:rPr>
          <w:bCs/>
          <w:szCs w:val="22"/>
          <w:lang w:val="es-ES"/>
        </w:rPr>
        <w:t xml:space="preserve">la facilitación del acceso a los instrumentos de acceso a la información de patentes, </w:t>
      </w:r>
      <w:r w:rsidR="00E16851">
        <w:rPr>
          <w:bCs/>
          <w:szCs w:val="22"/>
          <w:lang w:val="es-ES"/>
        </w:rPr>
        <w:t>al</w:t>
      </w:r>
      <w:r w:rsidR="00B812AA" w:rsidRPr="00D44271">
        <w:rPr>
          <w:bCs/>
          <w:szCs w:val="22"/>
          <w:lang w:val="es-ES"/>
        </w:rPr>
        <w:t xml:space="preserve"> desarrollo de una base de capacidades entre una gama cada vez mayor de interesados y </w:t>
      </w:r>
      <w:r w:rsidR="00E16851">
        <w:rPr>
          <w:bCs/>
          <w:szCs w:val="22"/>
          <w:lang w:val="es-ES"/>
        </w:rPr>
        <w:t>a</w:t>
      </w:r>
      <w:r w:rsidR="00B812AA" w:rsidRPr="00D44271">
        <w:rPr>
          <w:bCs/>
          <w:szCs w:val="22"/>
          <w:lang w:val="es-ES"/>
        </w:rPr>
        <w:t xml:space="preserve">l fomento de los intercambios de experiencias e información entre los distintos países.  Llevar este potencial a la práctica en toda su extensión exigiría un compromiso más largo en favor del proyecto por parte de los Estados Miembros y de la Secretaría, así como el reconocimiento de la necesidad de dotarlo de capacidades especializadas en tanto que se trata de un proyecto de prestación de servicios.  Además sería necesario el reconocimiento de que el proyecto exigiría una colaboración plena y eficaz entre socios internos y externos, de manera </w:t>
      </w:r>
      <w:r w:rsidR="00FD1736" w:rsidRPr="00D44271">
        <w:rPr>
          <w:bCs/>
          <w:szCs w:val="22"/>
          <w:lang w:val="es-ES"/>
        </w:rPr>
        <w:t xml:space="preserve">a que </w:t>
      </w:r>
      <w:r w:rsidR="00B812AA" w:rsidRPr="00D44271">
        <w:rPr>
          <w:bCs/>
          <w:szCs w:val="22"/>
          <w:lang w:val="es-ES"/>
        </w:rPr>
        <w:t xml:space="preserve">la pericia y los servicios </w:t>
      </w:r>
      <w:r w:rsidR="00FD1736" w:rsidRPr="00D44271">
        <w:rPr>
          <w:bCs/>
          <w:szCs w:val="22"/>
          <w:lang w:val="es-ES"/>
        </w:rPr>
        <w:t>que se presten</w:t>
      </w:r>
      <w:r w:rsidR="00B812AA" w:rsidRPr="00D44271">
        <w:rPr>
          <w:bCs/>
          <w:szCs w:val="22"/>
          <w:lang w:val="es-ES"/>
        </w:rPr>
        <w:t xml:space="preserve"> </w:t>
      </w:r>
      <w:r w:rsidR="00FD1736" w:rsidRPr="00D44271">
        <w:rPr>
          <w:bCs/>
          <w:szCs w:val="22"/>
          <w:lang w:val="es-ES"/>
        </w:rPr>
        <w:t xml:space="preserve">puedan ofrecerse conjuntamente tanto </w:t>
      </w:r>
      <w:r w:rsidR="00B812AA" w:rsidRPr="00D44271">
        <w:rPr>
          <w:bCs/>
          <w:szCs w:val="22"/>
          <w:lang w:val="es-ES"/>
        </w:rPr>
        <w:t xml:space="preserve">en el campo de la tecnología </w:t>
      </w:r>
      <w:r w:rsidR="00FD1736" w:rsidRPr="00D44271">
        <w:rPr>
          <w:bCs/>
          <w:szCs w:val="22"/>
          <w:lang w:val="es-ES"/>
        </w:rPr>
        <w:t>como</w:t>
      </w:r>
      <w:r w:rsidR="00B812AA" w:rsidRPr="00D44271">
        <w:rPr>
          <w:bCs/>
          <w:szCs w:val="22"/>
          <w:lang w:val="es-ES"/>
        </w:rPr>
        <w:t xml:space="preserve"> en el área de las políticas públicas</w:t>
      </w:r>
      <w:r w:rsidR="00FD1736" w:rsidRPr="00D44271">
        <w:rPr>
          <w:bCs/>
          <w:szCs w:val="22"/>
          <w:lang w:val="es-ES"/>
        </w:rPr>
        <w:t>.</w:t>
      </w:r>
      <w:r w:rsidR="0028072A" w:rsidRPr="00D44271">
        <w:rPr>
          <w:bCs/>
          <w:szCs w:val="22"/>
          <w:lang w:val="es-ES"/>
        </w:rPr>
        <w:t xml:space="preserve"> </w:t>
      </w:r>
    </w:p>
    <w:p w14:paraId="621B94FA" w14:textId="77777777" w:rsidR="006C7C4E" w:rsidRPr="00D44271" w:rsidRDefault="006C7C4E" w:rsidP="006C7C4E">
      <w:pPr>
        <w:rPr>
          <w:b/>
          <w:lang w:val="es-ES"/>
        </w:rPr>
      </w:pPr>
    </w:p>
    <w:p w14:paraId="35EEB3BC" w14:textId="77777777" w:rsidR="00395AD1" w:rsidRDefault="00395AD1">
      <w:pPr>
        <w:rPr>
          <w:b/>
          <w:lang w:val="es-ES"/>
        </w:rPr>
      </w:pPr>
      <w:r>
        <w:rPr>
          <w:b/>
          <w:lang w:val="es-ES"/>
        </w:rPr>
        <w:br w:type="page"/>
      </w:r>
    </w:p>
    <w:p w14:paraId="0A66FEE3" w14:textId="6C4BE074" w:rsidR="0028072A" w:rsidRPr="00D44271" w:rsidRDefault="00E52D18" w:rsidP="006C7C4E">
      <w:pPr>
        <w:rPr>
          <w:b/>
          <w:lang w:val="es-ES"/>
        </w:rPr>
      </w:pPr>
      <w:r w:rsidRPr="00D44271">
        <w:rPr>
          <w:b/>
          <w:lang w:val="es-ES"/>
        </w:rPr>
        <w:lastRenderedPageBreak/>
        <w:t>Recom</w:t>
      </w:r>
      <w:r w:rsidR="0028072A" w:rsidRPr="00D44271">
        <w:rPr>
          <w:b/>
          <w:lang w:val="es-ES"/>
        </w:rPr>
        <w:t>enda</w:t>
      </w:r>
      <w:r w:rsidRPr="00D44271">
        <w:rPr>
          <w:b/>
          <w:lang w:val="es-ES"/>
        </w:rPr>
        <w:t>ciones</w:t>
      </w:r>
    </w:p>
    <w:p w14:paraId="2C4CFA32" w14:textId="77777777" w:rsidR="0028072A" w:rsidRPr="00D44271" w:rsidRDefault="0028072A" w:rsidP="0028072A">
      <w:pPr>
        <w:rPr>
          <w:b/>
          <w:lang w:val="es-ES"/>
        </w:rPr>
      </w:pPr>
    </w:p>
    <w:p w14:paraId="20271EB1" w14:textId="495D67FF" w:rsidR="0028072A" w:rsidRPr="00D44271" w:rsidRDefault="00E52D18" w:rsidP="0028072A">
      <w:pPr>
        <w:rPr>
          <w:lang w:val="es-ES"/>
        </w:rPr>
      </w:pPr>
      <w:r w:rsidRPr="00D44271">
        <w:rPr>
          <w:b/>
          <w:lang w:val="es-ES"/>
        </w:rPr>
        <w:t>Recomendación</w:t>
      </w:r>
      <w:r w:rsidR="0028072A" w:rsidRPr="00D44271">
        <w:rPr>
          <w:b/>
          <w:lang w:val="es-ES"/>
        </w:rPr>
        <w:t xml:space="preserve"> 1:</w:t>
      </w:r>
      <w:r w:rsidR="0028072A" w:rsidRPr="00D44271">
        <w:rPr>
          <w:lang w:val="es-ES"/>
        </w:rPr>
        <w:t xml:space="preserve"> </w:t>
      </w:r>
      <w:r w:rsidR="00286556" w:rsidRPr="00D44271">
        <w:rPr>
          <w:lang w:val="es-ES"/>
        </w:rPr>
        <w:t xml:space="preserve"> se recomienda a la Secretaría de la OMPI que los calendarios de las evaluaciones de </w:t>
      </w:r>
      <w:r w:rsidR="00E16851">
        <w:rPr>
          <w:lang w:val="es-ES"/>
        </w:rPr>
        <w:t xml:space="preserve">los </w:t>
      </w:r>
      <w:r w:rsidR="00286556" w:rsidRPr="00D44271">
        <w:rPr>
          <w:lang w:val="es-ES"/>
        </w:rPr>
        <w:t xml:space="preserve">proyectos se programen de tal manera que las divisiones </w:t>
      </w:r>
      <w:r w:rsidR="00E16851">
        <w:rPr>
          <w:lang w:val="es-ES"/>
        </w:rPr>
        <w:t xml:space="preserve">competentes </w:t>
      </w:r>
      <w:r w:rsidR="00286556" w:rsidRPr="00D44271">
        <w:rPr>
          <w:lang w:val="es-ES"/>
        </w:rPr>
        <w:t xml:space="preserve">tengan acceso a las recomendaciones de la evaluación que sean relevantes para el diseño de las siguientes fases del proyecto durante la etapa de preparación de la propuesta de proyecto, </w:t>
      </w:r>
      <w:r w:rsidR="004814FC" w:rsidRPr="00D44271">
        <w:rPr>
          <w:lang w:val="es-ES"/>
        </w:rPr>
        <w:t xml:space="preserve">y antes de que esta última deba ser presentada ante el </w:t>
      </w:r>
      <w:r w:rsidR="0028072A" w:rsidRPr="00D44271">
        <w:rPr>
          <w:lang w:val="es-ES"/>
        </w:rPr>
        <w:t xml:space="preserve">CDIP </w:t>
      </w:r>
      <w:r w:rsidR="004814FC" w:rsidRPr="00D44271">
        <w:rPr>
          <w:lang w:val="es-ES"/>
        </w:rPr>
        <w:t>para su aprobación</w:t>
      </w:r>
      <w:r w:rsidR="0028072A" w:rsidRPr="00D44271">
        <w:rPr>
          <w:lang w:val="es-ES"/>
        </w:rPr>
        <w:t xml:space="preserve">. </w:t>
      </w:r>
    </w:p>
    <w:p w14:paraId="17D12D91" w14:textId="77777777" w:rsidR="0028072A" w:rsidRPr="00D44271" w:rsidRDefault="0028072A" w:rsidP="0028072A">
      <w:pPr>
        <w:rPr>
          <w:b/>
          <w:lang w:val="es-ES"/>
        </w:rPr>
      </w:pPr>
    </w:p>
    <w:p w14:paraId="4ECDCF2B" w14:textId="3731AA89" w:rsidR="0028072A" w:rsidRPr="00D44271" w:rsidRDefault="00E52D18" w:rsidP="0028072A">
      <w:pPr>
        <w:rPr>
          <w:lang w:val="es-ES"/>
        </w:rPr>
      </w:pPr>
      <w:r w:rsidRPr="00D44271">
        <w:rPr>
          <w:b/>
          <w:lang w:val="es-ES"/>
        </w:rPr>
        <w:t>Recomendación</w:t>
      </w:r>
      <w:r w:rsidR="0028072A" w:rsidRPr="00D44271">
        <w:rPr>
          <w:b/>
          <w:lang w:val="es-ES"/>
        </w:rPr>
        <w:t xml:space="preserve"> 2:</w:t>
      </w:r>
      <w:r w:rsidR="0028072A" w:rsidRPr="00D44271">
        <w:rPr>
          <w:lang w:val="es-ES"/>
        </w:rPr>
        <w:t xml:space="preserve"> </w:t>
      </w:r>
      <w:r w:rsidR="004814FC" w:rsidRPr="00D44271">
        <w:rPr>
          <w:lang w:val="es-ES"/>
        </w:rPr>
        <w:t xml:space="preserve"> se recomienda a la Secretaría de la OMPI y a los Estados Miembros que, aunque posiblemente no todos los materiales y actividades deban ser traducidos a todas las lenguas oficiales, convendría tomar en consideración, caso por caso, en qué medida la traducción de cada uno de los productos de un proyecto ayudaría a la consecución de los objetivos del proyecto y contribuiría a su eficiencia y eficacia.  Las propuestas de proyecto deberían incluir partidas presupuestarias suficientes en este sentido</w:t>
      </w:r>
      <w:r w:rsidR="0028072A" w:rsidRPr="00D44271">
        <w:rPr>
          <w:lang w:val="es-ES"/>
        </w:rPr>
        <w:t xml:space="preserve">. </w:t>
      </w:r>
    </w:p>
    <w:p w14:paraId="48918700" w14:textId="77777777" w:rsidR="0028072A" w:rsidRPr="00D44271" w:rsidRDefault="0028072A" w:rsidP="0028072A">
      <w:pPr>
        <w:rPr>
          <w:lang w:val="es-ES"/>
        </w:rPr>
      </w:pPr>
    </w:p>
    <w:p w14:paraId="11F4F7CD" w14:textId="390843E1" w:rsidR="0028072A" w:rsidRPr="00D44271" w:rsidRDefault="00E52D18" w:rsidP="0028072A">
      <w:pPr>
        <w:rPr>
          <w:lang w:val="es-ES"/>
        </w:rPr>
      </w:pPr>
      <w:r w:rsidRPr="00D44271">
        <w:rPr>
          <w:b/>
          <w:lang w:val="es-ES"/>
        </w:rPr>
        <w:t>Recomendación</w:t>
      </w:r>
      <w:r w:rsidR="0028072A" w:rsidRPr="00D44271">
        <w:rPr>
          <w:b/>
          <w:lang w:val="es-ES"/>
        </w:rPr>
        <w:t xml:space="preserve"> 3:</w:t>
      </w:r>
      <w:r w:rsidR="0028072A" w:rsidRPr="00D44271">
        <w:rPr>
          <w:lang w:val="es-ES"/>
        </w:rPr>
        <w:t xml:space="preserve"> </w:t>
      </w:r>
      <w:r w:rsidR="004814FC" w:rsidRPr="00D44271">
        <w:rPr>
          <w:lang w:val="es-ES"/>
        </w:rPr>
        <w:t xml:space="preserve">se recomienda a la Secretaría de la OMPI y a los Estados Miembros que </w:t>
      </w:r>
      <w:r w:rsidR="00AA4417" w:rsidRPr="00D44271">
        <w:rPr>
          <w:lang w:val="es-ES"/>
        </w:rPr>
        <w:t>la difusión de los productos del proyecto resulta esencial a efectos de la relevancia y eficacia de este último, por lo que se debería incluir la correspondiente partida en el presupuesto.</w:t>
      </w:r>
      <w:r w:rsidR="0028072A" w:rsidRPr="00D44271">
        <w:rPr>
          <w:lang w:val="es-ES"/>
        </w:rPr>
        <w:t xml:space="preserve"> </w:t>
      </w:r>
    </w:p>
    <w:p w14:paraId="7DD31D0E" w14:textId="77777777" w:rsidR="0028072A" w:rsidRPr="00D44271" w:rsidRDefault="0028072A" w:rsidP="0028072A">
      <w:pPr>
        <w:rPr>
          <w:lang w:val="es-ES"/>
        </w:rPr>
      </w:pPr>
    </w:p>
    <w:p w14:paraId="270E9B06" w14:textId="1F6B7316" w:rsidR="0028072A" w:rsidRPr="00D44271" w:rsidRDefault="00E52D18" w:rsidP="0028072A">
      <w:pPr>
        <w:rPr>
          <w:lang w:val="es-ES"/>
        </w:rPr>
      </w:pPr>
      <w:r w:rsidRPr="00D44271">
        <w:rPr>
          <w:b/>
          <w:lang w:val="es-ES"/>
        </w:rPr>
        <w:t>Recomendación</w:t>
      </w:r>
      <w:r w:rsidR="0028072A" w:rsidRPr="00D44271">
        <w:rPr>
          <w:b/>
          <w:lang w:val="es-ES"/>
        </w:rPr>
        <w:t xml:space="preserve"> 4:</w:t>
      </w:r>
      <w:r w:rsidR="0028072A" w:rsidRPr="00D44271">
        <w:rPr>
          <w:lang w:val="es-ES"/>
        </w:rPr>
        <w:t xml:space="preserve"> </w:t>
      </w:r>
      <w:r w:rsidR="00AA4417" w:rsidRPr="00D44271">
        <w:rPr>
          <w:lang w:val="es-ES"/>
        </w:rPr>
        <w:t xml:space="preserve">se recomienda a la Secretaría de la OMPI </w:t>
      </w:r>
      <w:r w:rsidR="001D7E24" w:rsidRPr="00D44271">
        <w:rPr>
          <w:lang w:val="es-ES"/>
        </w:rPr>
        <w:t>estudiar</w:t>
      </w:r>
      <w:r w:rsidR="00AA4417" w:rsidRPr="00D44271">
        <w:rPr>
          <w:lang w:val="es-ES"/>
        </w:rPr>
        <w:t xml:space="preserve"> y evaluar </w:t>
      </w:r>
      <w:r w:rsidR="001D7E24" w:rsidRPr="00D44271">
        <w:rPr>
          <w:lang w:val="es-ES"/>
        </w:rPr>
        <w:t xml:space="preserve">las distintas alternativas sobre el </w:t>
      </w:r>
      <w:r w:rsidR="00AA4417" w:rsidRPr="00D44271">
        <w:rPr>
          <w:lang w:val="es-ES"/>
        </w:rPr>
        <w:t xml:space="preserve">modo </w:t>
      </w:r>
      <w:r w:rsidR="001D7E24" w:rsidRPr="00D44271">
        <w:rPr>
          <w:lang w:val="es-ES"/>
        </w:rPr>
        <w:t>en que se podría efectuar el rastreo de l</w:t>
      </w:r>
      <w:r w:rsidR="00AA4417" w:rsidRPr="00D44271">
        <w:rPr>
          <w:lang w:val="es-ES"/>
        </w:rPr>
        <w:t xml:space="preserve">a experiencia de usuario, </w:t>
      </w:r>
      <w:r w:rsidR="001D7E24" w:rsidRPr="00D44271">
        <w:rPr>
          <w:lang w:val="es-ES"/>
        </w:rPr>
        <w:t>y valorar también qué</w:t>
      </w:r>
      <w:r w:rsidR="00AA4417" w:rsidRPr="00D44271">
        <w:rPr>
          <w:lang w:val="es-ES"/>
        </w:rPr>
        <w:t xml:space="preserve"> actividades </w:t>
      </w:r>
      <w:r w:rsidR="001D7E24" w:rsidRPr="00D44271">
        <w:rPr>
          <w:lang w:val="es-ES"/>
        </w:rPr>
        <w:t xml:space="preserve">podrían resultar convenientes para </w:t>
      </w:r>
      <w:r w:rsidR="00AA4417" w:rsidRPr="00D44271">
        <w:rPr>
          <w:lang w:val="es-ES"/>
        </w:rPr>
        <w:t xml:space="preserve">fomentar la comunicación de los logros del proyecto a todos aquellos </w:t>
      </w:r>
      <w:r w:rsidR="001D7E24" w:rsidRPr="00D44271">
        <w:rPr>
          <w:lang w:val="es-ES"/>
        </w:rPr>
        <w:t xml:space="preserve">que puedan tener una implicación directa con </w:t>
      </w:r>
      <w:r w:rsidR="00AA4417" w:rsidRPr="00D44271">
        <w:rPr>
          <w:lang w:val="es-ES"/>
        </w:rPr>
        <w:t xml:space="preserve">el mismo.  Por ejemplo, mediante la creación de un boletín de noticias </w:t>
      </w:r>
      <w:r w:rsidR="001D7E24" w:rsidRPr="00D44271">
        <w:rPr>
          <w:lang w:val="es-ES"/>
        </w:rPr>
        <w:t>y</w:t>
      </w:r>
      <w:r w:rsidR="00AA4417" w:rsidRPr="00D44271">
        <w:rPr>
          <w:lang w:val="es-ES"/>
        </w:rPr>
        <w:t xml:space="preserve">/o mediante la actualización más frecuente del sitio web o de las </w:t>
      </w:r>
      <w:r w:rsidR="001D7E24" w:rsidRPr="00D44271">
        <w:rPr>
          <w:lang w:val="es-ES"/>
        </w:rPr>
        <w:t>redes sociales</w:t>
      </w:r>
      <w:r w:rsidR="0028072A" w:rsidRPr="00D44271">
        <w:rPr>
          <w:lang w:val="es-ES"/>
        </w:rPr>
        <w:t xml:space="preserve">.  </w:t>
      </w:r>
    </w:p>
    <w:p w14:paraId="765DEF3F" w14:textId="77777777" w:rsidR="0028072A" w:rsidRPr="00D44271" w:rsidRDefault="0028072A" w:rsidP="0028072A">
      <w:pPr>
        <w:rPr>
          <w:b/>
          <w:bCs/>
          <w:lang w:val="es-ES"/>
        </w:rPr>
      </w:pPr>
    </w:p>
    <w:p w14:paraId="0CB03B53" w14:textId="782AD779" w:rsidR="0028072A" w:rsidRPr="00D44271" w:rsidRDefault="00E52D18" w:rsidP="0028072A">
      <w:pPr>
        <w:rPr>
          <w:bCs/>
          <w:i/>
          <w:lang w:val="es-ES"/>
        </w:rPr>
      </w:pPr>
      <w:r w:rsidRPr="00D44271">
        <w:rPr>
          <w:b/>
          <w:bCs/>
          <w:lang w:val="es-ES"/>
        </w:rPr>
        <w:t>Recomendación</w:t>
      </w:r>
      <w:r w:rsidR="0028072A" w:rsidRPr="00D44271">
        <w:rPr>
          <w:b/>
          <w:bCs/>
          <w:lang w:val="es-ES"/>
        </w:rPr>
        <w:t xml:space="preserve"> 5: </w:t>
      </w:r>
      <w:r w:rsidR="00AA4417" w:rsidRPr="00D44271">
        <w:rPr>
          <w:lang w:val="es-ES"/>
        </w:rPr>
        <w:t>se recomienda a la Secretaría de la OMPI que</w:t>
      </w:r>
      <w:r w:rsidR="000F0A5B" w:rsidRPr="00D44271">
        <w:rPr>
          <w:lang w:val="es-ES"/>
        </w:rPr>
        <w:t xml:space="preserve">, en el marco de la incorporación de la Agenda para el Desarrollo, el proyecto continúe siendo considerado como </w:t>
      </w:r>
      <w:r w:rsidR="000F0A5B" w:rsidRPr="00D44271">
        <w:rPr>
          <w:bCs/>
          <w:szCs w:val="22"/>
          <w:lang w:val="es-ES"/>
        </w:rPr>
        <w:t xml:space="preserve">un proyecto de prestación de servicios que requiere capacidades especializadas, experiencia y pericia, por lo que se debería dotar de la correspondiente organización y </w:t>
      </w:r>
      <w:r w:rsidR="00E16851">
        <w:rPr>
          <w:bCs/>
          <w:szCs w:val="22"/>
          <w:lang w:val="es-ES"/>
        </w:rPr>
        <w:t xml:space="preserve">de los </w:t>
      </w:r>
      <w:r w:rsidR="000F0A5B" w:rsidRPr="00D44271">
        <w:rPr>
          <w:bCs/>
          <w:szCs w:val="22"/>
          <w:lang w:val="es-ES"/>
        </w:rPr>
        <w:t>recursos humanos oportunos.</w:t>
      </w:r>
      <w:r w:rsidR="0028072A" w:rsidRPr="00D44271">
        <w:rPr>
          <w:bCs/>
          <w:lang w:val="es-ES"/>
        </w:rPr>
        <w:t xml:space="preserve"> </w:t>
      </w:r>
    </w:p>
    <w:p w14:paraId="5FE0A74F" w14:textId="77777777" w:rsidR="0028072A" w:rsidRPr="00D44271" w:rsidRDefault="0028072A" w:rsidP="0028072A">
      <w:pPr>
        <w:rPr>
          <w:b/>
          <w:lang w:val="es-ES"/>
        </w:rPr>
      </w:pPr>
    </w:p>
    <w:p w14:paraId="487F5877" w14:textId="7D8FAC2A" w:rsidR="0028072A" w:rsidRPr="00D44271" w:rsidRDefault="00E52D18" w:rsidP="008534E1">
      <w:pPr>
        <w:keepNext/>
        <w:rPr>
          <w:lang w:val="es-ES"/>
        </w:rPr>
      </w:pPr>
      <w:r w:rsidRPr="00D44271">
        <w:rPr>
          <w:b/>
          <w:lang w:val="es-ES"/>
        </w:rPr>
        <w:t>Recomendación</w:t>
      </w:r>
      <w:r w:rsidR="0028072A" w:rsidRPr="00D44271">
        <w:rPr>
          <w:b/>
          <w:lang w:val="es-ES"/>
        </w:rPr>
        <w:t xml:space="preserve"> 6:  </w:t>
      </w:r>
      <w:r w:rsidR="000F0A5B" w:rsidRPr="00D44271">
        <w:rPr>
          <w:lang w:val="es-ES"/>
        </w:rPr>
        <w:t>sin perjuicio de las deliberaciones de los Estados Miembros, se recomienda que la</w:t>
      </w:r>
      <w:r w:rsidR="0025213F" w:rsidRPr="00D44271">
        <w:rPr>
          <w:lang w:val="es-ES"/>
        </w:rPr>
        <w:t xml:space="preserve"> OMPI y sus Estados Miembros emprendan en el futuro, en el ámbito de este proyecto, actividades que:</w:t>
      </w:r>
    </w:p>
    <w:p w14:paraId="5871B41B" w14:textId="77777777" w:rsidR="0028072A" w:rsidRPr="00D44271" w:rsidRDefault="0028072A" w:rsidP="008534E1">
      <w:pPr>
        <w:keepNext/>
        <w:rPr>
          <w:lang w:val="es-ES"/>
        </w:rPr>
      </w:pPr>
    </w:p>
    <w:p w14:paraId="1D1758B6" w14:textId="4B6F93E4" w:rsidR="0028072A" w:rsidRPr="00D44271" w:rsidRDefault="0025213F" w:rsidP="008534E1">
      <w:pPr>
        <w:pStyle w:val="ONUME"/>
        <w:numPr>
          <w:ilvl w:val="0"/>
          <w:numId w:val="70"/>
        </w:numPr>
        <w:ind w:left="574" w:hanging="7"/>
        <w:rPr>
          <w:lang w:val="es-ES"/>
        </w:rPr>
      </w:pPr>
      <w:r w:rsidRPr="00D44271">
        <w:rPr>
          <w:lang w:val="es-ES"/>
        </w:rPr>
        <w:t>Cons</w:t>
      </w:r>
      <w:r w:rsidR="00AE002D" w:rsidRPr="00D44271">
        <w:rPr>
          <w:lang w:val="es-ES"/>
        </w:rPr>
        <w:t>oliden lo</w:t>
      </w:r>
      <w:r w:rsidRPr="00D44271">
        <w:rPr>
          <w:lang w:val="es-ES"/>
        </w:rPr>
        <w:t xml:space="preserve">s cimientos asentados en las Fases I y II, sigan contribuyendo a los debates sobre las políticas internacionales mediante la elaboración de informes PLR, y trabajen junto a los Estados Miembros en la identificación de áreas tecnológicas específicas </w:t>
      </w:r>
      <w:r w:rsidR="00AE002D" w:rsidRPr="00D44271">
        <w:rPr>
          <w:lang w:val="es-ES"/>
        </w:rPr>
        <w:t>para la emisión de informes PLR</w:t>
      </w:r>
      <w:r w:rsidR="0028072A" w:rsidRPr="00D44271">
        <w:rPr>
          <w:lang w:val="es-ES"/>
        </w:rPr>
        <w:t xml:space="preserve">. </w:t>
      </w:r>
    </w:p>
    <w:p w14:paraId="23B2FCFC" w14:textId="3D22E291" w:rsidR="0028072A" w:rsidRPr="00D44271" w:rsidRDefault="00AE002D" w:rsidP="008534E1">
      <w:pPr>
        <w:pStyle w:val="ONUME"/>
        <w:numPr>
          <w:ilvl w:val="0"/>
          <w:numId w:val="70"/>
        </w:numPr>
        <w:ind w:left="574" w:hanging="7"/>
        <w:rPr>
          <w:lang w:val="es-ES"/>
        </w:rPr>
      </w:pPr>
      <w:r w:rsidRPr="00D44271">
        <w:rPr>
          <w:lang w:val="es-ES"/>
        </w:rPr>
        <w:t>Estimulen la creación de capacidades, por ejemplo mediante el desarrollo de más herramientas electrónicas.  Se podría crear un módulo avanzado de formación que podría ser ofrecido por la Academia de la OMPI, e integrado como módulo ordinario en los CATI</w:t>
      </w:r>
      <w:r w:rsidR="0028072A" w:rsidRPr="00D44271">
        <w:rPr>
          <w:lang w:val="es-ES"/>
        </w:rPr>
        <w:t>.</w:t>
      </w:r>
    </w:p>
    <w:p w14:paraId="24A0123C" w14:textId="1E993DE9" w:rsidR="0028072A" w:rsidRPr="00D44271" w:rsidRDefault="0028072A" w:rsidP="008534E1">
      <w:pPr>
        <w:pStyle w:val="ONUME"/>
        <w:numPr>
          <w:ilvl w:val="0"/>
          <w:numId w:val="70"/>
        </w:numPr>
        <w:ind w:left="574" w:hanging="7"/>
        <w:rPr>
          <w:lang w:val="es-ES"/>
        </w:rPr>
      </w:pPr>
      <w:r w:rsidRPr="00D44271">
        <w:rPr>
          <w:lang w:val="es-ES"/>
        </w:rPr>
        <w:t>F</w:t>
      </w:r>
      <w:r w:rsidR="00605947" w:rsidRPr="00D44271">
        <w:rPr>
          <w:lang w:val="es-ES"/>
        </w:rPr>
        <w:t>acili</w:t>
      </w:r>
      <w:r w:rsidRPr="00D44271">
        <w:rPr>
          <w:lang w:val="es-ES"/>
        </w:rPr>
        <w:t>te</w:t>
      </w:r>
      <w:r w:rsidR="00605947" w:rsidRPr="00D44271">
        <w:rPr>
          <w:lang w:val="es-ES"/>
        </w:rPr>
        <w:t>n formación práctica para el desarrollo de capacidades en el ámbito de la búsqueda y análisis de patentes, teniendo en cuenta que esto podrá requerir una inversión modesta por parte de la OMPI, en concepto de suscripción a herramientas y bases de datos especializadas</w:t>
      </w:r>
      <w:r w:rsidR="00F21303" w:rsidRPr="00D44271">
        <w:rPr>
          <w:lang w:val="es-ES"/>
        </w:rPr>
        <w:t>.</w:t>
      </w:r>
    </w:p>
    <w:p w14:paraId="2BE8549A" w14:textId="734A2C46" w:rsidR="0028072A" w:rsidRPr="00D44271" w:rsidRDefault="0028072A" w:rsidP="008534E1">
      <w:pPr>
        <w:pStyle w:val="ONUME"/>
        <w:numPr>
          <w:ilvl w:val="0"/>
          <w:numId w:val="70"/>
        </w:numPr>
        <w:ind w:left="574" w:hanging="7"/>
        <w:rPr>
          <w:lang w:val="es-ES"/>
        </w:rPr>
      </w:pPr>
      <w:r w:rsidRPr="00D44271">
        <w:rPr>
          <w:lang w:val="es-ES"/>
        </w:rPr>
        <w:t>Facilit</w:t>
      </w:r>
      <w:r w:rsidR="00605947" w:rsidRPr="00D44271">
        <w:rPr>
          <w:lang w:val="es-ES"/>
        </w:rPr>
        <w:t>en el acceso a herramientas de código abierto para la búsqueda y el análisis de patentes, así como formación para su uso</w:t>
      </w:r>
      <w:r w:rsidR="00F21303" w:rsidRPr="00D44271">
        <w:rPr>
          <w:lang w:val="es-ES"/>
        </w:rPr>
        <w:t>.</w:t>
      </w:r>
    </w:p>
    <w:p w14:paraId="0B025265" w14:textId="488B1F44" w:rsidR="0028072A" w:rsidRPr="00D44271" w:rsidRDefault="00605947" w:rsidP="008534E1">
      <w:pPr>
        <w:pStyle w:val="ONUME"/>
        <w:numPr>
          <w:ilvl w:val="0"/>
          <w:numId w:val="70"/>
        </w:numPr>
        <w:ind w:left="574" w:hanging="7"/>
        <w:rPr>
          <w:lang w:val="es-ES"/>
        </w:rPr>
      </w:pPr>
      <w:r w:rsidRPr="00D44271">
        <w:rPr>
          <w:lang w:val="es-ES"/>
        </w:rPr>
        <w:t xml:space="preserve">Estén diseñadas de manera que se dirijan y alcancen a una base más amplia de interesados que debería abarcar a los departamentos gubernamentales </w:t>
      </w:r>
      <w:r w:rsidR="00485282" w:rsidRPr="00D44271">
        <w:rPr>
          <w:lang w:val="es-ES"/>
        </w:rPr>
        <w:t xml:space="preserve">incorporados, al </w:t>
      </w:r>
      <w:r w:rsidR="00485282" w:rsidRPr="00D44271">
        <w:rPr>
          <w:lang w:val="es-ES"/>
        </w:rPr>
        <w:lastRenderedPageBreak/>
        <w:t>sector privado de los países en desarrollo y países menos adelantados, a las ONG e instituciones de investigación</w:t>
      </w:r>
      <w:r w:rsidR="0028072A" w:rsidRPr="00D44271">
        <w:rPr>
          <w:lang w:val="es-ES"/>
        </w:rPr>
        <w:t xml:space="preserve">. </w:t>
      </w:r>
    </w:p>
    <w:p w14:paraId="731F93E0" w14:textId="519C620A" w:rsidR="0028072A" w:rsidRPr="00D44271" w:rsidRDefault="00485282" w:rsidP="008534E1">
      <w:pPr>
        <w:pStyle w:val="ONUME"/>
        <w:numPr>
          <w:ilvl w:val="0"/>
          <w:numId w:val="70"/>
        </w:numPr>
        <w:ind w:left="574" w:hanging="7"/>
        <w:rPr>
          <w:lang w:val="es-ES"/>
        </w:rPr>
      </w:pPr>
      <w:r w:rsidRPr="00D44271">
        <w:rPr>
          <w:lang w:val="es-ES"/>
        </w:rPr>
        <w:t>Fomenten el intercambio de experiencias y prácticas óptimas entre los distintos países</w:t>
      </w:r>
      <w:r w:rsidR="0028072A" w:rsidRPr="00D44271">
        <w:rPr>
          <w:lang w:val="es-ES"/>
        </w:rPr>
        <w:t xml:space="preserve">. </w:t>
      </w:r>
    </w:p>
    <w:p w14:paraId="1D78F881" w14:textId="77777777" w:rsidR="0028072A" w:rsidRPr="00D44271" w:rsidRDefault="0028072A" w:rsidP="008534E1">
      <w:pPr>
        <w:ind w:left="574" w:hanging="7"/>
        <w:rPr>
          <w:lang w:val="es-ES"/>
        </w:rPr>
      </w:pPr>
    </w:p>
    <w:p w14:paraId="6250C0AC" w14:textId="51C25A47" w:rsidR="00CE78B4" w:rsidRPr="00D44271" w:rsidRDefault="007B4A15" w:rsidP="007B4A15">
      <w:pPr>
        <w:pStyle w:val="Endofdocument-Annex"/>
        <w:rPr>
          <w:lang w:val="es-ES"/>
        </w:rPr>
      </w:pPr>
      <w:r w:rsidRPr="00D44271">
        <w:rPr>
          <w:lang w:val="es-ES"/>
        </w:rPr>
        <w:t>[</w:t>
      </w:r>
      <w:r w:rsidR="00F61F52" w:rsidRPr="00D44271">
        <w:rPr>
          <w:lang w:val="es-ES"/>
        </w:rPr>
        <w:t>Fin del Anexo y del documento</w:t>
      </w:r>
      <w:r w:rsidRPr="00D44271">
        <w:rPr>
          <w:lang w:val="es-ES"/>
        </w:rPr>
        <w:t>]</w:t>
      </w:r>
    </w:p>
    <w:sectPr w:rsidR="00CE78B4" w:rsidRPr="00D44271" w:rsidSect="006A0F6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A3ACE" w14:textId="77777777" w:rsidR="00B3160D" w:rsidRDefault="00B3160D">
      <w:r>
        <w:separator/>
      </w:r>
    </w:p>
  </w:endnote>
  <w:endnote w:type="continuationSeparator" w:id="0">
    <w:p w14:paraId="62D11D5B" w14:textId="77777777" w:rsidR="00B3160D" w:rsidRDefault="00B3160D" w:rsidP="003B38C1">
      <w:r>
        <w:separator/>
      </w:r>
    </w:p>
    <w:p w14:paraId="0B602A17" w14:textId="77777777" w:rsidR="00B3160D" w:rsidRPr="003B38C1" w:rsidRDefault="00B3160D" w:rsidP="003B38C1">
      <w:pPr>
        <w:spacing w:after="60"/>
        <w:rPr>
          <w:sz w:val="17"/>
        </w:rPr>
      </w:pPr>
      <w:r>
        <w:rPr>
          <w:sz w:val="17"/>
        </w:rPr>
        <w:t>[Endnote continued from previous page]</w:t>
      </w:r>
    </w:p>
  </w:endnote>
  <w:endnote w:type="continuationNotice" w:id="1">
    <w:p w14:paraId="1C07C5A7" w14:textId="77777777" w:rsidR="00B3160D" w:rsidRPr="003B38C1" w:rsidRDefault="00B316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1213" w14:textId="77777777" w:rsidR="00C72C93" w:rsidRDefault="00C72C93" w:rsidP="00C06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0484">
      <w:rPr>
        <w:rStyle w:val="PageNumber"/>
        <w:noProof/>
      </w:rPr>
      <w:t>1</w:t>
    </w:r>
    <w:r>
      <w:rPr>
        <w:rStyle w:val="PageNumber"/>
      </w:rPr>
      <w:fldChar w:fldCharType="end"/>
    </w:r>
  </w:p>
  <w:p w14:paraId="15FD7158" w14:textId="77777777" w:rsidR="00C72C93" w:rsidRDefault="00C72C93" w:rsidP="00C06B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8338C" w14:textId="77777777" w:rsidR="00C72C93" w:rsidRDefault="00C72C93" w:rsidP="00C06BD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6292F" w14:textId="77777777" w:rsidR="00C72C93" w:rsidRDefault="00C72C93" w:rsidP="006E0F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62A8D" w14:textId="77777777" w:rsidR="00B3160D" w:rsidRDefault="00B3160D">
      <w:r>
        <w:separator/>
      </w:r>
    </w:p>
  </w:footnote>
  <w:footnote w:type="continuationSeparator" w:id="0">
    <w:p w14:paraId="31B7B467" w14:textId="77777777" w:rsidR="00B3160D" w:rsidRDefault="00B3160D" w:rsidP="008B60B2">
      <w:r>
        <w:separator/>
      </w:r>
    </w:p>
    <w:p w14:paraId="6F909B46" w14:textId="77777777" w:rsidR="00B3160D" w:rsidRPr="00ED77FB" w:rsidRDefault="00B3160D" w:rsidP="008B60B2">
      <w:pPr>
        <w:spacing w:after="60"/>
        <w:rPr>
          <w:sz w:val="17"/>
          <w:szCs w:val="17"/>
        </w:rPr>
      </w:pPr>
      <w:r w:rsidRPr="00ED77FB">
        <w:rPr>
          <w:sz w:val="17"/>
          <w:szCs w:val="17"/>
        </w:rPr>
        <w:t>[Footnote continued from previous page]</w:t>
      </w:r>
    </w:p>
  </w:footnote>
  <w:footnote w:type="continuationNotice" w:id="1">
    <w:p w14:paraId="6A910A15" w14:textId="77777777" w:rsidR="00B3160D" w:rsidRPr="00ED77FB" w:rsidRDefault="00B3160D" w:rsidP="008B60B2">
      <w:pPr>
        <w:spacing w:before="60"/>
        <w:jc w:val="right"/>
        <w:rPr>
          <w:sz w:val="17"/>
          <w:szCs w:val="17"/>
        </w:rPr>
      </w:pPr>
      <w:r w:rsidRPr="00ED77FB">
        <w:rPr>
          <w:sz w:val="17"/>
          <w:szCs w:val="17"/>
        </w:rPr>
        <w:t>[Footnote continued on next page]</w:t>
      </w:r>
    </w:p>
  </w:footnote>
  <w:footnote w:id="2">
    <w:p w14:paraId="27B6C393" w14:textId="73DCD06A" w:rsidR="00C72C93" w:rsidRPr="00967406" w:rsidRDefault="00C72C93" w:rsidP="00967406">
      <w:pPr>
        <w:pStyle w:val="FootnoteText"/>
        <w:rPr>
          <w:lang w:val="es-ES"/>
        </w:rPr>
      </w:pPr>
      <w:r>
        <w:rPr>
          <w:rStyle w:val="FootnoteReference"/>
        </w:rPr>
        <w:footnoteRef/>
      </w:r>
      <w:r w:rsidRPr="008A7662">
        <w:rPr>
          <w:lang w:val="es-ES_tradnl"/>
        </w:rPr>
        <w:t xml:space="preserve">  </w:t>
      </w:r>
      <w:r w:rsidRPr="00967406">
        <w:rPr>
          <w:lang w:val="es-ES"/>
        </w:rPr>
        <w:t>Adoptadas en el 18º período ordinario de se</w:t>
      </w:r>
      <w:r>
        <w:rPr>
          <w:lang w:val="es-ES"/>
        </w:rPr>
        <w:t>siones de la Asamblea General d</w:t>
      </w:r>
      <w:r w:rsidRPr="00967406">
        <w:rPr>
          <w:lang w:val="es-ES"/>
        </w:rPr>
        <w:t>e</w:t>
      </w:r>
      <w:r>
        <w:rPr>
          <w:lang w:val="es-ES"/>
        </w:rPr>
        <w:t xml:space="preserve"> </w:t>
      </w:r>
      <w:r w:rsidRPr="00967406">
        <w:rPr>
          <w:lang w:val="es-ES"/>
        </w:rPr>
        <w:t>la OMPI.</w:t>
      </w:r>
    </w:p>
  </w:footnote>
  <w:footnote w:id="3">
    <w:p w14:paraId="3DCEE4DC" w14:textId="30330C8B" w:rsidR="00C72C93" w:rsidRPr="008A7662" w:rsidRDefault="00C72C93" w:rsidP="0028072A">
      <w:pPr>
        <w:pStyle w:val="FootnoteText"/>
        <w:rPr>
          <w:lang w:val="es-ES_tradnl"/>
        </w:rPr>
      </w:pPr>
      <w:r>
        <w:rPr>
          <w:rStyle w:val="FootnoteReference"/>
        </w:rPr>
        <w:footnoteRef/>
      </w:r>
      <w:r w:rsidRPr="008A7662">
        <w:rPr>
          <w:lang w:val="es-ES_tradnl"/>
        </w:rPr>
        <w:t xml:space="preserve"> Véase, por ejemplo, http://www.wipo.int/patentscope/es/programs/patent_landscapes/index.html</w:t>
      </w:r>
    </w:p>
  </w:footnote>
  <w:footnote w:id="4">
    <w:p w14:paraId="452EA769" w14:textId="7C73B4F6" w:rsidR="00C72C93" w:rsidRPr="008A7662" w:rsidRDefault="00C72C93" w:rsidP="0028072A">
      <w:pPr>
        <w:pStyle w:val="FootnoteText"/>
        <w:rPr>
          <w:lang w:val="es-ES_tradnl"/>
        </w:rPr>
      </w:pPr>
      <w:r>
        <w:rPr>
          <w:rStyle w:val="FootnoteReference"/>
        </w:rPr>
        <w:footnoteRef/>
      </w:r>
      <w:r w:rsidRPr="008A7662">
        <w:rPr>
          <w:lang w:val="es-ES_tradnl"/>
        </w:rPr>
        <w:t xml:space="preserve"> Taller Interregional de la OMPI sobre el análisis de patentes, 4 a 6 de diciembre de 2013, Manila, documentos WIPO/IP/MNL/13: la </w:t>
      </w:r>
      <w:r>
        <w:rPr>
          <w:lang w:val="es-ES_tradnl"/>
        </w:rPr>
        <w:t>ponencia</w:t>
      </w:r>
      <w:r w:rsidRPr="008A7662">
        <w:rPr>
          <w:lang w:val="es-ES_tradnl"/>
        </w:rPr>
        <w:t xml:space="preserve"> del Tema 1 puede consultarse en </w:t>
      </w:r>
      <w:hyperlink r:id="rId1" w:history="1">
        <w:r w:rsidRPr="008A7662">
          <w:rPr>
            <w:rStyle w:val="Hyperlink"/>
            <w:lang w:val="es-ES_tradnl"/>
          </w:rPr>
          <w:t>http://www.wipo.int/meetings/en/details.jsp?meeting_id=31543</w:t>
        </w:r>
      </w:hyperlink>
      <w:r w:rsidRPr="008A7662">
        <w:rPr>
          <w:rStyle w:val="Hyperlink"/>
          <w:lang w:val="es-ES_tradnl"/>
        </w:rPr>
        <w:t xml:space="preserve"> </w:t>
      </w:r>
    </w:p>
  </w:footnote>
  <w:footnote w:id="5">
    <w:p w14:paraId="29D938AB" w14:textId="5D1A7ED7" w:rsidR="00C72C93" w:rsidRPr="00D50D55" w:rsidRDefault="00C72C93" w:rsidP="0028072A">
      <w:pPr>
        <w:pStyle w:val="FootnoteText"/>
        <w:rPr>
          <w:lang w:val="es-ES"/>
        </w:rPr>
      </w:pPr>
      <w:r>
        <w:rPr>
          <w:rStyle w:val="FootnoteReference"/>
        </w:rPr>
        <w:footnoteRef/>
      </w:r>
      <w:r w:rsidRPr="00395AD1">
        <w:rPr>
          <w:lang w:val="es-ES_tradnl"/>
        </w:rPr>
        <w:t xml:space="preserve"> </w:t>
      </w:r>
      <w:r w:rsidRPr="00D50D55">
        <w:rPr>
          <w:lang w:val="es-ES"/>
        </w:rPr>
        <w:t>Según</w:t>
      </w:r>
      <w:r>
        <w:rPr>
          <w:lang w:val="es-ES"/>
        </w:rPr>
        <w:t xml:space="preserve"> lo comunicado al autora de este informe en las entrevistas de evaluación</w:t>
      </w:r>
      <w:r w:rsidRPr="00D50D55">
        <w:rPr>
          <w:lang w:val="es-ES"/>
        </w:rPr>
        <w:t xml:space="preserve">. </w:t>
      </w:r>
    </w:p>
  </w:footnote>
  <w:footnote w:id="6">
    <w:p w14:paraId="0D5FC394" w14:textId="4E569782" w:rsidR="00C72C93" w:rsidRPr="00D50D55" w:rsidRDefault="00C72C93" w:rsidP="0028072A">
      <w:pPr>
        <w:pStyle w:val="FootnoteText"/>
        <w:rPr>
          <w:lang w:val="es-ES"/>
        </w:rPr>
      </w:pPr>
      <w:r w:rsidRPr="00D50D55">
        <w:rPr>
          <w:rStyle w:val="FootnoteReference"/>
          <w:lang w:val="es-ES"/>
        </w:rPr>
        <w:footnoteRef/>
      </w:r>
      <w:r w:rsidRPr="00D50D55">
        <w:rPr>
          <w:lang w:val="es-ES"/>
        </w:rPr>
        <w:t xml:space="preserve"> </w:t>
      </w:r>
      <w:r>
        <w:rPr>
          <w:bCs/>
          <w:lang w:val="es-ES"/>
        </w:rPr>
        <w:t>P</w:t>
      </w:r>
      <w:r w:rsidRPr="008841E3">
        <w:rPr>
          <w:bCs/>
          <w:lang w:val="es-ES"/>
        </w:rPr>
        <w:t>resupuesto por programas de la OMPI para el bienio 2014/15</w:t>
      </w:r>
      <w:r>
        <w:rPr>
          <w:lang w:val="es-ES"/>
        </w:rPr>
        <w:t xml:space="preserve">, </w:t>
      </w:r>
      <w:r w:rsidRPr="00522433">
        <w:rPr>
          <w:lang w:val="es-ES"/>
        </w:rPr>
        <w:t>aprobado por las Asambleas de los Estados miembros de la OMPI el 12 de diciembre de 2013</w:t>
      </w:r>
      <w:r w:rsidRPr="00D50D55">
        <w:rPr>
          <w:lang w:val="es-ES"/>
        </w:rPr>
        <w:t xml:space="preserve">. </w:t>
      </w:r>
      <w:r>
        <w:rPr>
          <w:lang w:val="es-ES"/>
        </w:rPr>
        <w:t xml:space="preserve"> </w:t>
      </w:r>
      <w:r w:rsidRPr="00D50D55">
        <w:rPr>
          <w:lang w:val="es-ES"/>
        </w:rPr>
        <w:t>P</w:t>
      </w:r>
      <w:r>
        <w:rPr>
          <w:lang w:val="es-ES"/>
        </w:rPr>
        <w:t>ágina</w:t>
      </w:r>
      <w:r w:rsidRPr="00D50D55">
        <w:rPr>
          <w:lang w:val="es-ES"/>
        </w:rPr>
        <w:t xml:space="preserve"> 27, </w:t>
      </w:r>
      <w:r>
        <w:rPr>
          <w:lang w:val="es-ES"/>
        </w:rPr>
        <w:t>párrafo</w:t>
      </w:r>
      <w:r w:rsidRPr="00D50D55">
        <w:rPr>
          <w:lang w:val="es-ES"/>
        </w:rPr>
        <w:t xml:space="preserve"> 56.</w:t>
      </w:r>
    </w:p>
  </w:footnote>
  <w:footnote w:id="7">
    <w:p w14:paraId="2DDEB4DF" w14:textId="4FA09A39" w:rsidR="00C72C93" w:rsidRPr="00D50D55" w:rsidRDefault="00C72C93" w:rsidP="0028072A">
      <w:pPr>
        <w:pStyle w:val="FootnoteText"/>
        <w:rPr>
          <w:lang w:val="es-ES"/>
        </w:rPr>
      </w:pPr>
      <w:r w:rsidRPr="00D50D55">
        <w:rPr>
          <w:rStyle w:val="FootnoteReference"/>
          <w:lang w:val="es-ES"/>
        </w:rPr>
        <w:footnoteRef/>
      </w:r>
      <w:r w:rsidRPr="00D50D55">
        <w:rPr>
          <w:lang w:val="es-ES"/>
        </w:rPr>
        <w:t xml:space="preserve"> </w:t>
      </w:r>
      <w:r w:rsidRPr="00D50D55">
        <w:rPr>
          <w:bCs/>
          <w:lang w:val="es-ES"/>
        </w:rPr>
        <w:t xml:space="preserve"> </w:t>
      </w:r>
      <w:r>
        <w:rPr>
          <w:bCs/>
          <w:lang w:val="es-ES"/>
        </w:rPr>
        <w:t>Por ejemplo, durante las entrevistas, la autora de este informe fue informada acerca de la elaboración de un informe sobre el aceite de palma junto con el Gobierno de Malasia</w:t>
      </w:r>
      <w:r w:rsidRPr="00D50D55">
        <w:rPr>
          <w:bCs/>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FC75" w14:textId="51E2BD3D" w:rsidR="00C72C93" w:rsidRDefault="00C72C93" w:rsidP="00477D6B">
    <w:pPr>
      <w:jc w:val="right"/>
    </w:pPr>
    <w:r>
      <w:t>CDIP/14/6</w:t>
    </w:r>
  </w:p>
  <w:p w14:paraId="1DBF606B" w14:textId="0282BB3C" w:rsidR="00C72C93" w:rsidRDefault="00C72C93" w:rsidP="00477D6B">
    <w:pPr>
      <w:jc w:val="right"/>
    </w:pPr>
    <w:r>
      <w:t xml:space="preserve">Annex, page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6AA13" w14:textId="77777777" w:rsidR="00C72C93" w:rsidRPr="00D65779" w:rsidRDefault="00C72C93" w:rsidP="00477D6B">
    <w:pPr>
      <w:jc w:val="right"/>
      <w:rPr>
        <w:lang w:val="es-ES"/>
      </w:rPr>
    </w:pPr>
    <w:r w:rsidRPr="00D65779">
      <w:rPr>
        <w:lang w:val="es-ES"/>
      </w:rPr>
      <w:t>CDIP/14/6</w:t>
    </w:r>
  </w:p>
  <w:p w14:paraId="51C7428A" w14:textId="1DB89E66" w:rsidR="00C72C93" w:rsidRPr="00D65779" w:rsidRDefault="00C72C93" w:rsidP="00477D6B">
    <w:pPr>
      <w:jc w:val="right"/>
      <w:rPr>
        <w:noProof/>
        <w:lang w:val="es-ES"/>
      </w:rPr>
    </w:pPr>
    <w:r w:rsidRPr="00D65779">
      <w:rPr>
        <w:lang w:val="es-ES"/>
      </w:rPr>
      <w:t xml:space="preserve">Anexo, página </w:t>
    </w:r>
    <w:r w:rsidRPr="00D65779">
      <w:rPr>
        <w:lang w:val="es-ES"/>
      </w:rPr>
      <w:fldChar w:fldCharType="begin"/>
    </w:r>
    <w:r w:rsidRPr="00D65779">
      <w:rPr>
        <w:lang w:val="es-ES"/>
      </w:rPr>
      <w:instrText xml:space="preserve"> PAGE   \* MERGEFORMAT </w:instrText>
    </w:r>
    <w:r w:rsidRPr="00D65779">
      <w:rPr>
        <w:lang w:val="es-ES"/>
      </w:rPr>
      <w:fldChar w:fldCharType="separate"/>
    </w:r>
    <w:r w:rsidR="00557E8A">
      <w:rPr>
        <w:noProof/>
        <w:lang w:val="es-ES"/>
      </w:rPr>
      <w:t>14</w:t>
    </w:r>
    <w:r w:rsidRPr="00D65779">
      <w:rPr>
        <w:noProof/>
        <w:lang w:val="es-ES"/>
      </w:rPr>
      <w:fldChar w:fldCharType="end"/>
    </w:r>
  </w:p>
  <w:p w14:paraId="64508558" w14:textId="77777777" w:rsidR="00C72C93" w:rsidRPr="00D65779" w:rsidRDefault="00C72C93"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C35E" w14:textId="77777777" w:rsidR="00C72C93" w:rsidRDefault="00C72C93" w:rsidP="00186DE9">
    <w:pPr>
      <w:pStyle w:val="Header"/>
      <w:jc w:val="right"/>
    </w:pPr>
    <w:r>
      <w:t>CDIP/14/6</w:t>
    </w:r>
  </w:p>
  <w:p w14:paraId="428AB8FA" w14:textId="41954809" w:rsidR="00C72C93" w:rsidRDefault="00C72C93" w:rsidP="00186DE9">
    <w:pPr>
      <w:pStyle w:val="Header"/>
      <w:jc w:val="right"/>
    </w:pPr>
    <w:r>
      <w:t>ANEXO</w:t>
    </w:r>
  </w:p>
  <w:p w14:paraId="5EE721C4" w14:textId="77777777" w:rsidR="00C72C93" w:rsidRDefault="00C72C93" w:rsidP="00186DE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E4A"/>
    <w:multiLevelType w:val="hybridMultilevel"/>
    <w:tmpl w:val="34483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214BBD"/>
    <w:multiLevelType w:val="hybridMultilevel"/>
    <w:tmpl w:val="A244A7EC"/>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CD29E3"/>
    <w:multiLevelType w:val="multilevel"/>
    <w:tmpl w:val="181E8E6A"/>
    <w:lvl w:ilvl="0">
      <w:start w:val="1"/>
      <w:numFmt w:val="lowerLetter"/>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567" w:firstLine="567"/>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083F77E0"/>
    <w:multiLevelType w:val="hybridMultilevel"/>
    <w:tmpl w:val="314457EA"/>
    <w:lvl w:ilvl="0" w:tplc="3F1C88C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709B4"/>
    <w:multiLevelType w:val="hybridMultilevel"/>
    <w:tmpl w:val="AE207B52"/>
    <w:lvl w:ilvl="0" w:tplc="98740256">
      <w:start w:val="1"/>
      <w:numFmt w:val="decimal"/>
      <w:lvlText w:val="%1."/>
      <w:lvlJc w:val="left"/>
      <w:pPr>
        <w:tabs>
          <w:tab w:val="num" w:pos="927"/>
        </w:tabs>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AA633C6"/>
    <w:multiLevelType w:val="hybridMultilevel"/>
    <w:tmpl w:val="F7E4B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F44567"/>
    <w:multiLevelType w:val="hybridMultilevel"/>
    <w:tmpl w:val="8404F542"/>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CB11E13"/>
    <w:multiLevelType w:val="hybridMultilevel"/>
    <w:tmpl w:val="E8466C56"/>
    <w:lvl w:ilvl="0" w:tplc="98740256">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AC4C50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93C00"/>
    <w:multiLevelType w:val="hybridMultilevel"/>
    <w:tmpl w:val="1BACD6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9">
    <w:nsid w:val="0F3F05F5"/>
    <w:multiLevelType w:val="hybridMultilevel"/>
    <w:tmpl w:val="92F8AEDE"/>
    <w:lvl w:ilvl="0" w:tplc="A4DE70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532C09"/>
    <w:multiLevelType w:val="hybridMultilevel"/>
    <w:tmpl w:val="E3A28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112744"/>
    <w:multiLevelType w:val="hybridMultilevel"/>
    <w:tmpl w:val="17FA4D28"/>
    <w:lvl w:ilvl="0" w:tplc="987402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6D71E2"/>
    <w:multiLevelType w:val="hybridMultilevel"/>
    <w:tmpl w:val="6F8EF4C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1A6D0F1F"/>
    <w:multiLevelType w:val="hybridMultilevel"/>
    <w:tmpl w:val="74F0A474"/>
    <w:lvl w:ilvl="0" w:tplc="A4DE70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7A577F"/>
    <w:multiLevelType w:val="hybridMultilevel"/>
    <w:tmpl w:val="34D899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1643E72"/>
    <w:multiLevelType w:val="hybridMultilevel"/>
    <w:tmpl w:val="977AA34E"/>
    <w:lvl w:ilvl="0" w:tplc="5EC4DA68">
      <w:start w:val="1"/>
      <w:numFmt w:val="lowerLetter"/>
      <w:lvlText w:val="(%1)"/>
      <w:lvlJc w:val="left"/>
      <w:pPr>
        <w:ind w:left="720" w:hanging="360"/>
      </w:pPr>
      <w:rPr>
        <w:rFonts w:cs="Times New Roman" w:hint="default"/>
        <w:b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261E0B33"/>
    <w:multiLevelType w:val="hybridMultilevel"/>
    <w:tmpl w:val="86DAE69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26943691"/>
    <w:multiLevelType w:val="hybridMultilevel"/>
    <w:tmpl w:val="11C883B4"/>
    <w:lvl w:ilvl="0" w:tplc="3F1C88CA">
      <w:start w:val="1"/>
      <w:numFmt w:val="bullet"/>
      <w:lvlText w:val=""/>
      <w:lvlJc w:val="left"/>
      <w:pPr>
        <w:tabs>
          <w:tab w:val="num" w:pos="717"/>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33008E"/>
    <w:multiLevelType w:val="hybridMultilevel"/>
    <w:tmpl w:val="F8F694FA"/>
    <w:lvl w:ilvl="0" w:tplc="3F1C88CA">
      <w:start w:val="1"/>
      <w:numFmt w:val="bullet"/>
      <w:lvlText w:val=""/>
      <w:lvlJc w:val="left"/>
      <w:pPr>
        <w:tabs>
          <w:tab w:val="num" w:pos="717"/>
        </w:tabs>
        <w:ind w:left="720" w:hanging="360"/>
      </w:pPr>
      <w:rPr>
        <w:rFonts w:ascii="Symbol" w:hAnsi="Symbol" w:hint="default"/>
      </w:rPr>
    </w:lvl>
    <w:lvl w:ilvl="1" w:tplc="100C0019" w:tentative="1">
      <w:start w:val="1"/>
      <w:numFmt w:val="lowerLetter"/>
      <w:lvlText w:val="%2."/>
      <w:lvlJc w:val="left"/>
      <w:pPr>
        <w:ind w:left="1800" w:hanging="360"/>
      </w:pPr>
      <w:rPr>
        <w:rFonts w:cs="Times New Roman"/>
      </w:rPr>
    </w:lvl>
    <w:lvl w:ilvl="2" w:tplc="100C001B" w:tentative="1">
      <w:start w:val="1"/>
      <w:numFmt w:val="lowerRoman"/>
      <w:lvlText w:val="%3."/>
      <w:lvlJc w:val="right"/>
      <w:pPr>
        <w:ind w:left="2520" w:hanging="180"/>
      </w:pPr>
      <w:rPr>
        <w:rFonts w:cs="Times New Roman"/>
      </w:rPr>
    </w:lvl>
    <w:lvl w:ilvl="3" w:tplc="100C000F" w:tentative="1">
      <w:start w:val="1"/>
      <w:numFmt w:val="decimal"/>
      <w:lvlText w:val="%4."/>
      <w:lvlJc w:val="left"/>
      <w:pPr>
        <w:ind w:left="3240" w:hanging="360"/>
      </w:pPr>
      <w:rPr>
        <w:rFonts w:cs="Times New Roman"/>
      </w:rPr>
    </w:lvl>
    <w:lvl w:ilvl="4" w:tplc="100C0019" w:tentative="1">
      <w:start w:val="1"/>
      <w:numFmt w:val="lowerLetter"/>
      <w:lvlText w:val="%5."/>
      <w:lvlJc w:val="left"/>
      <w:pPr>
        <w:ind w:left="3960" w:hanging="360"/>
      </w:pPr>
      <w:rPr>
        <w:rFonts w:cs="Times New Roman"/>
      </w:rPr>
    </w:lvl>
    <w:lvl w:ilvl="5" w:tplc="100C001B" w:tentative="1">
      <w:start w:val="1"/>
      <w:numFmt w:val="lowerRoman"/>
      <w:lvlText w:val="%6."/>
      <w:lvlJc w:val="right"/>
      <w:pPr>
        <w:ind w:left="4680" w:hanging="180"/>
      </w:pPr>
      <w:rPr>
        <w:rFonts w:cs="Times New Roman"/>
      </w:rPr>
    </w:lvl>
    <w:lvl w:ilvl="6" w:tplc="100C000F" w:tentative="1">
      <w:start w:val="1"/>
      <w:numFmt w:val="decimal"/>
      <w:lvlText w:val="%7."/>
      <w:lvlJc w:val="left"/>
      <w:pPr>
        <w:ind w:left="5400" w:hanging="360"/>
      </w:pPr>
      <w:rPr>
        <w:rFonts w:cs="Times New Roman"/>
      </w:rPr>
    </w:lvl>
    <w:lvl w:ilvl="7" w:tplc="100C0019" w:tentative="1">
      <w:start w:val="1"/>
      <w:numFmt w:val="lowerLetter"/>
      <w:lvlText w:val="%8."/>
      <w:lvlJc w:val="left"/>
      <w:pPr>
        <w:ind w:left="6120" w:hanging="360"/>
      </w:pPr>
      <w:rPr>
        <w:rFonts w:cs="Times New Roman"/>
      </w:rPr>
    </w:lvl>
    <w:lvl w:ilvl="8" w:tplc="100C001B" w:tentative="1">
      <w:start w:val="1"/>
      <w:numFmt w:val="lowerRoman"/>
      <w:lvlText w:val="%9."/>
      <w:lvlJc w:val="right"/>
      <w:pPr>
        <w:ind w:left="6840" w:hanging="180"/>
      </w:pPr>
      <w:rPr>
        <w:rFonts w:cs="Times New Roman"/>
      </w:rPr>
    </w:lvl>
  </w:abstractNum>
  <w:abstractNum w:abstractNumId="20">
    <w:nsid w:val="2CBD1A2E"/>
    <w:multiLevelType w:val="hybridMultilevel"/>
    <w:tmpl w:val="0160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CF4BD4"/>
    <w:multiLevelType w:val="hybridMultilevel"/>
    <w:tmpl w:val="944801C8"/>
    <w:lvl w:ilvl="0" w:tplc="3F1C88CA">
      <w:start w:val="1"/>
      <w:numFmt w:val="bullet"/>
      <w:lvlText w:val=""/>
      <w:lvlJc w:val="left"/>
      <w:pPr>
        <w:tabs>
          <w:tab w:val="num" w:pos="717"/>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76D6D"/>
    <w:multiLevelType w:val="hybridMultilevel"/>
    <w:tmpl w:val="87C6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C85CFB"/>
    <w:multiLevelType w:val="hybridMultilevel"/>
    <w:tmpl w:val="E8466C56"/>
    <w:lvl w:ilvl="0" w:tplc="98740256">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AC4C50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D07831"/>
    <w:multiLevelType w:val="hybridMultilevel"/>
    <w:tmpl w:val="6C461B9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5">
    <w:nsid w:val="3037708C"/>
    <w:multiLevelType w:val="hybridMultilevel"/>
    <w:tmpl w:val="1EAE3A1A"/>
    <w:lvl w:ilvl="0" w:tplc="6EA8AEFE">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nsid w:val="32215CC6"/>
    <w:multiLevelType w:val="hybridMultilevel"/>
    <w:tmpl w:val="E9C82C92"/>
    <w:lvl w:ilvl="0" w:tplc="88F2432A">
      <w:start w:val="1"/>
      <w:numFmt w:val="decimal"/>
      <w:lvlText w:val="%1."/>
      <w:lvlJc w:val="left"/>
      <w:pPr>
        <w:ind w:left="360" w:hanging="360"/>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7">
    <w:nsid w:val="380265F0"/>
    <w:multiLevelType w:val="hybridMultilevel"/>
    <w:tmpl w:val="35E63996"/>
    <w:lvl w:ilvl="0" w:tplc="3F1C88CA">
      <w:start w:val="1"/>
      <w:numFmt w:val="bullet"/>
      <w:lvlText w:val=""/>
      <w:lvlJc w:val="left"/>
      <w:pPr>
        <w:tabs>
          <w:tab w:val="num" w:pos="924"/>
        </w:tabs>
        <w:ind w:left="927"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9CB4FE1"/>
    <w:multiLevelType w:val="hybridMultilevel"/>
    <w:tmpl w:val="46DE0A4A"/>
    <w:lvl w:ilvl="0" w:tplc="88F24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1A3673"/>
    <w:multiLevelType w:val="hybridMultilevel"/>
    <w:tmpl w:val="6AF470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30">
    <w:nsid w:val="3C25114F"/>
    <w:multiLevelType w:val="hybridMultilevel"/>
    <w:tmpl w:val="84563E9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nsid w:val="3CB34FAB"/>
    <w:multiLevelType w:val="hybridMultilevel"/>
    <w:tmpl w:val="A4560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DBD4795"/>
    <w:multiLevelType w:val="hybridMultilevel"/>
    <w:tmpl w:val="C48488EA"/>
    <w:lvl w:ilvl="0" w:tplc="B3BCEA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296E7B"/>
    <w:multiLevelType w:val="hybridMultilevel"/>
    <w:tmpl w:val="7DA0BF5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nsid w:val="3F6C4092"/>
    <w:multiLevelType w:val="hybridMultilevel"/>
    <w:tmpl w:val="ED84A69A"/>
    <w:lvl w:ilvl="0" w:tplc="9874025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2223FD"/>
    <w:multiLevelType w:val="hybridMultilevel"/>
    <w:tmpl w:val="D65AFB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43C81430"/>
    <w:multiLevelType w:val="hybridMultilevel"/>
    <w:tmpl w:val="23FCBFFA"/>
    <w:lvl w:ilvl="0" w:tplc="88F24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DB57D3"/>
    <w:multiLevelType w:val="hybridMultilevel"/>
    <w:tmpl w:val="D25C89E6"/>
    <w:lvl w:ilvl="0" w:tplc="9AB0CA9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866409"/>
    <w:multiLevelType w:val="hybridMultilevel"/>
    <w:tmpl w:val="048CD1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4C8845EE"/>
    <w:multiLevelType w:val="hybridMultilevel"/>
    <w:tmpl w:val="F8A0B96C"/>
    <w:lvl w:ilvl="0" w:tplc="A4DE702C">
      <w:start w:val="1"/>
      <w:numFmt w:val="lowerLetter"/>
      <w:lvlText w:val="(%1)"/>
      <w:lvlJc w:val="left"/>
      <w:pPr>
        <w:tabs>
          <w:tab w:val="num" w:pos="720"/>
        </w:tabs>
        <w:ind w:left="720" w:hanging="360"/>
      </w:pPr>
      <w:rPr>
        <w:rFonts w:ascii="Arial" w:eastAsia="SimSun" w:hAnsi="Arial" w:cs="Arial" w:hint="default"/>
      </w:rPr>
    </w:lvl>
    <w:lvl w:ilvl="1" w:tplc="100C0019" w:tentative="1">
      <w:start w:val="1"/>
      <w:numFmt w:val="lowerLetter"/>
      <w:lvlText w:val="%2."/>
      <w:lvlJc w:val="left"/>
      <w:pPr>
        <w:ind w:left="1647" w:hanging="360"/>
      </w:pPr>
      <w:rPr>
        <w:rFonts w:cs="Times New Roman"/>
      </w:rPr>
    </w:lvl>
    <w:lvl w:ilvl="2" w:tplc="100C001B" w:tentative="1">
      <w:start w:val="1"/>
      <w:numFmt w:val="lowerRoman"/>
      <w:lvlText w:val="%3."/>
      <w:lvlJc w:val="right"/>
      <w:pPr>
        <w:ind w:left="2367" w:hanging="180"/>
      </w:pPr>
      <w:rPr>
        <w:rFonts w:cs="Times New Roman"/>
      </w:rPr>
    </w:lvl>
    <w:lvl w:ilvl="3" w:tplc="100C000F" w:tentative="1">
      <w:start w:val="1"/>
      <w:numFmt w:val="decimal"/>
      <w:lvlText w:val="%4."/>
      <w:lvlJc w:val="left"/>
      <w:pPr>
        <w:ind w:left="3087" w:hanging="360"/>
      </w:pPr>
      <w:rPr>
        <w:rFonts w:cs="Times New Roman"/>
      </w:rPr>
    </w:lvl>
    <w:lvl w:ilvl="4" w:tplc="100C0019" w:tentative="1">
      <w:start w:val="1"/>
      <w:numFmt w:val="lowerLetter"/>
      <w:lvlText w:val="%5."/>
      <w:lvlJc w:val="left"/>
      <w:pPr>
        <w:ind w:left="3807" w:hanging="360"/>
      </w:pPr>
      <w:rPr>
        <w:rFonts w:cs="Times New Roman"/>
      </w:rPr>
    </w:lvl>
    <w:lvl w:ilvl="5" w:tplc="100C001B" w:tentative="1">
      <w:start w:val="1"/>
      <w:numFmt w:val="lowerRoman"/>
      <w:lvlText w:val="%6."/>
      <w:lvlJc w:val="right"/>
      <w:pPr>
        <w:ind w:left="4527" w:hanging="180"/>
      </w:pPr>
      <w:rPr>
        <w:rFonts w:cs="Times New Roman"/>
      </w:rPr>
    </w:lvl>
    <w:lvl w:ilvl="6" w:tplc="100C000F" w:tentative="1">
      <w:start w:val="1"/>
      <w:numFmt w:val="decimal"/>
      <w:lvlText w:val="%7."/>
      <w:lvlJc w:val="left"/>
      <w:pPr>
        <w:ind w:left="5247" w:hanging="360"/>
      </w:pPr>
      <w:rPr>
        <w:rFonts w:cs="Times New Roman"/>
      </w:rPr>
    </w:lvl>
    <w:lvl w:ilvl="7" w:tplc="100C0019" w:tentative="1">
      <w:start w:val="1"/>
      <w:numFmt w:val="lowerLetter"/>
      <w:lvlText w:val="%8."/>
      <w:lvlJc w:val="left"/>
      <w:pPr>
        <w:ind w:left="5967" w:hanging="360"/>
      </w:pPr>
      <w:rPr>
        <w:rFonts w:cs="Times New Roman"/>
      </w:rPr>
    </w:lvl>
    <w:lvl w:ilvl="8" w:tplc="100C001B" w:tentative="1">
      <w:start w:val="1"/>
      <w:numFmt w:val="lowerRoman"/>
      <w:lvlText w:val="%9."/>
      <w:lvlJc w:val="right"/>
      <w:pPr>
        <w:ind w:left="6687" w:hanging="180"/>
      </w:pPr>
      <w:rPr>
        <w:rFonts w:cs="Times New Roman"/>
      </w:rPr>
    </w:lvl>
  </w:abstractNum>
  <w:abstractNum w:abstractNumId="4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DA90B61"/>
    <w:multiLevelType w:val="hybridMultilevel"/>
    <w:tmpl w:val="E926E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0186D2C"/>
    <w:multiLevelType w:val="hybridMultilevel"/>
    <w:tmpl w:val="3CEEF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07E3EAD"/>
    <w:multiLevelType w:val="hybridMultilevel"/>
    <w:tmpl w:val="678A915A"/>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44">
    <w:nsid w:val="53AA6F74"/>
    <w:multiLevelType w:val="hybridMultilevel"/>
    <w:tmpl w:val="B05A07CE"/>
    <w:lvl w:ilvl="0" w:tplc="6EA8AEFE">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5">
    <w:nsid w:val="54E52AC8"/>
    <w:multiLevelType w:val="hybridMultilevel"/>
    <w:tmpl w:val="0644D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8C5736"/>
    <w:multiLevelType w:val="hybridMultilevel"/>
    <w:tmpl w:val="0A36F8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9282800"/>
    <w:multiLevelType w:val="hybridMultilevel"/>
    <w:tmpl w:val="7376F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9392048"/>
    <w:multiLevelType w:val="hybridMultilevel"/>
    <w:tmpl w:val="434E975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nsid w:val="5A4B2E4D"/>
    <w:multiLevelType w:val="hybridMultilevel"/>
    <w:tmpl w:val="FCB693C6"/>
    <w:lvl w:ilvl="0" w:tplc="9AB0CA9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475B74"/>
    <w:multiLevelType w:val="hybridMultilevel"/>
    <w:tmpl w:val="B218E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707A14"/>
    <w:multiLevelType w:val="hybridMultilevel"/>
    <w:tmpl w:val="6630D130"/>
    <w:lvl w:ilvl="0" w:tplc="2E945B9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CC45AE"/>
    <w:multiLevelType w:val="hybridMultilevel"/>
    <w:tmpl w:val="947A7A7A"/>
    <w:lvl w:ilvl="0" w:tplc="0409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nsid w:val="64F3110D"/>
    <w:multiLevelType w:val="hybridMultilevel"/>
    <w:tmpl w:val="B2DE9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8AF4A8E"/>
    <w:multiLevelType w:val="hybridMultilevel"/>
    <w:tmpl w:val="30E8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E77525"/>
    <w:multiLevelType w:val="hybridMultilevel"/>
    <w:tmpl w:val="7AC0AC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56">
    <w:nsid w:val="70A240E7"/>
    <w:multiLevelType w:val="hybridMultilevel"/>
    <w:tmpl w:val="2FE00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1DA1468"/>
    <w:multiLevelType w:val="hybridMultilevel"/>
    <w:tmpl w:val="31EEF356"/>
    <w:lvl w:ilvl="0" w:tplc="2E945B9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nsid w:val="753A78F3"/>
    <w:multiLevelType w:val="hybridMultilevel"/>
    <w:tmpl w:val="BD086B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59">
    <w:nsid w:val="757D7DDD"/>
    <w:multiLevelType w:val="hybridMultilevel"/>
    <w:tmpl w:val="A14A2B64"/>
    <w:lvl w:ilvl="0" w:tplc="3F1C88CA">
      <w:start w:val="1"/>
      <w:numFmt w:val="bullet"/>
      <w:lvlText w:val=""/>
      <w:lvlJc w:val="left"/>
      <w:pPr>
        <w:tabs>
          <w:tab w:val="num" w:pos="717"/>
        </w:tabs>
        <w:ind w:left="720" w:hanging="360"/>
      </w:pPr>
      <w:rPr>
        <w:rFonts w:ascii="Symbol" w:hAnsi="Symbol" w:hint="default"/>
      </w:rPr>
    </w:lvl>
    <w:lvl w:ilvl="1" w:tplc="100C0019" w:tentative="1">
      <w:start w:val="1"/>
      <w:numFmt w:val="lowerLetter"/>
      <w:lvlText w:val="%2."/>
      <w:lvlJc w:val="left"/>
      <w:pPr>
        <w:ind w:left="1443" w:hanging="360"/>
      </w:pPr>
      <w:rPr>
        <w:rFonts w:cs="Times New Roman"/>
      </w:rPr>
    </w:lvl>
    <w:lvl w:ilvl="2" w:tplc="100C001B" w:tentative="1">
      <w:start w:val="1"/>
      <w:numFmt w:val="lowerRoman"/>
      <w:lvlText w:val="%3."/>
      <w:lvlJc w:val="right"/>
      <w:pPr>
        <w:ind w:left="2163" w:hanging="180"/>
      </w:pPr>
      <w:rPr>
        <w:rFonts w:cs="Times New Roman"/>
      </w:rPr>
    </w:lvl>
    <w:lvl w:ilvl="3" w:tplc="100C000F" w:tentative="1">
      <w:start w:val="1"/>
      <w:numFmt w:val="decimal"/>
      <w:lvlText w:val="%4."/>
      <w:lvlJc w:val="left"/>
      <w:pPr>
        <w:ind w:left="2883" w:hanging="360"/>
      </w:pPr>
      <w:rPr>
        <w:rFonts w:cs="Times New Roman"/>
      </w:rPr>
    </w:lvl>
    <w:lvl w:ilvl="4" w:tplc="100C0019" w:tentative="1">
      <w:start w:val="1"/>
      <w:numFmt w:val="lowerLetter"/>
      <w:lvlText w:val="%5."/>
      <w:lvlJc w:val="left"/>
      <w:pPr>
        <w:ind w:left="3603" w:hanging="360"/>
      </w:pPr>
      <w:rPr>
        <w:rFonts w:cs="Times New Roman"/>
      </w:rPr>
    </w:lvl>
    <w:lvl w:ilvl="5" w:tplc="100C001B" w:tentative="1">
      <w:start w:val="1"/>
      <w:numFmt w:val="lowerRoman"/>
      <w:lvlText w:val="%6."/>
      <w:lvlJc w:val="right"/>
      <w:pPr>
        <w:ind w:left="4323" w:hanging="180"/>
      </w:pPr>
      <w:rPr>
        <w:rFonts w:cs="Times New Roman"/>
      </w:rPr>
    </w:lvl>
    <w:lvl w:ilvl="6" w:tplc="100C000F" w:tentative="1">
      <w:start w:val="1"/>
      <w:numFmt w:val="decimal"/>
      <w:lvlText w:val="%7."/>
      <w:lvlJc w:val="left"/>
      <w:pPr>
        <w:ind w:left="5043" w:hanging="360"/>
      </w:pPr>
      <w:rPr>
        <w:rFonts w:cs="Times New Roman"/>
      </w:rPr>
    </w:lvl>
    <w:lvl w:ilvl="7" w:tplc="100C0019" w:tentative="1">
      <w:start w:val="1"/>
      <w:numFmt w:val="lowerLetter"/>
      <w:lvlText w:val="%8."/>
      <w:lvlJc w:val="left"/>
      <w:pPr>
        <w:ind w:left="5763" w:hanging="360"/>
      </w:pPr>
      <w:rPr>
        <w:rFonts w:cs="Times New Roman"/>
      </w:rPr>
    </w:lvl>
    <w:lvl w:ilvl="8" w:tplc="100C001B" w:tentative="1">
      <w:start w:val="1"/>
      <w:numFmt w:val="lowerRoman"/>
      <w:lvlText w:val="%9."/>
      <w:lvlJc w:val="right"/>
      <w:pPr>
        <w:ind w:left="6483" w:hanging="180"/>
      </w:pPr>
      <w:rPr>
        <w:rFonts w:cs="Times New Roman"/>
      </w:rPr>
    </w:lvl>
  </w:abstractNum>
  <w:abstractNum w:abstractNumId="60">
    <w:nsid w:val="759C459A"/>
    <w:multiLevelType w:val="hybridMultilevel"/>
    <w:tmpl w:val="E9C82C92"/>
    <w:lvl w:ilvl="0" w:tplc="88F2432A">
      <w:start w:val="1"/>
      <w:numFmt w:val="decimal"/>
      <w:lvlText w:val="%1."/>
      <w:lvlJc w:val="left"/>
      <w:pPr>
        <w:ind w:left="360" w:hanging="360"/>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61">
    <w:nsid w:val="7745627E"/>
    <w:multiLevelType w:val="hybridMultilevel"/>
    <w:tmpl w:val="9B326502"/>
    <w:lvl w:ilvl="0" w:tplc="3F1C88CA">
      <w:start w:val="1"/>
      <w:numFmt w:val="bullet"/>
      <w:lvlText w:val=""/>
      <w:lvlJc w:val="left"/>
      <w:pPr>
        <w:tabs>
          <w:tab w:val="num" w:pos="357"/>
        </w:tabs>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7222A9"/>
    <w:multiLevelType w:val="hybridMultilevel"/>
    <w:tmpl w:val="62FCB89E"/>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893785F"/>
    <w:multiLevelType w:val="hybridMultilevel"/>
    <w:tmpl w:val="08C0F388"/>
    <w:lvl w:ilvl="0" w:tplc="9874025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1F03E7"/>
    <w:multiLevelType w:val="hybridMultilevel"/>
    <w:tmpl w:val="B824C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D324DF2"/>
    <w:multiLevelType w:val="hybridMultilevel"/>
    <w:tmpl w:val="85CED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D5E53EE"/>
    <w:multiLevelType w:val="hybridMultilevel"/>
    <w:tmpl w:val="38323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E804569"/>
    <w:multiLevelType w:val="hybridMultilevel"/>
    <w:tmpl w:val="CE1A4C3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8">
    <w:nsid w:val="7F3726F7"/>
    <w:multiLevelType w:val="hybridMultilevel"/>
    <w:tmpl w:val="14FC4F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num w:numId="1">
    <w:abstractNumId w:val="40"/>
  </w:num>
  <w:num w:numId="2">
    <w:abstractNumId w:val="2"/>
  </w:num>
  <w:num w:numId="3">
    <w:abstractNumId w:val="15"/>
  </w:num>
  <w:num w:numId="4">
    <w:abstractNumId w:val="50"/>
  </w:num>
  <w:num w:numId="5">
    <w:abstractNumId w:val="26"/>
  </w:num>
  <w:num w:numId="6">
    <w:abstractNumId w:val="25"/>
  </w:num>
  <w:num w:numId="7">
    <w:abstractNumId w:val="44"/>
  </w:num>
  <w:num w:numId="8">
    <w:abstractNumId w:val="56"/>
  </w:num>
  <w:num w:numId="9">
    <w:abstractNumId w:val="5"/>
  </w:num>
  <w:num w:numId="10">
    <w:abstractNumId w:val="53"/>
  </w:num>
  <w:num w:numId="11">
    <w:abstractNumId w:val="64"/>
  </w:num>
  <w:num w:numId="12">
    <w:abstractNumId w:val="31"/>
  </w:num>
  <w:num w:numId="13">
    <w:abstractNumId w:val="65"/>
  </w:num>
  <w:num w:numId="14">
    <w:abstractNumId w:val="68"/>
  </w:num>
  <w:num w:numId="15">
    <w:abstractNumId w:val="8"/>
  </w:num>
  <w:num w:numId="16">
    <w:abstractNumId w:val="10"/>
  </w:num>
  <w:num w:numId="17">
    <w:abstractNumId w:val="41"/>
  </w:num>
  <w:num w:numId="18">
    <w:abstractNumId w:val="42"/>
  </w:num>
  <w:num w:numId="19">
    <w:abstractNumId w:val="32"/>
  </w:num>
  <w:num w:numId="20">
    <w:abstractNumId w:val="28"/>
  </w:num>
  <w:num w:numId="21">
    <w:abstractNumId w:val="36"/>
  </w:num>
  <w:num w:numId="22">
    <w:abstractNumId w:val="46"/>
  </w:num>
  <w:num w:numId="23">
    <w:abstractNumId w:val="37"/>
  </w:num>
  <w:num w:numId="24">
    <w:abstractNumId w:val="52"/>
  </w:num>
  <w:num w:numId="25">
    <w:abstractNumId w:val="29"/>
  </w:num>
  <w:num w:numId="26">
    <w:abstractNumId w:val="58"/>
  </w:num>
  <w:num w:numId="27">
    <w:abstractNumId w:val="14"/>
  </w:num>
  <w:num w:numId="28">
    <w:abstractNumId w:val="49"/>
  </w:num>
  <w:num w:numId="29">
    <w:abstractNumId w:val="55"/>
  </w:num>
  <w:num w:numId="30">
    <w:abstractNumId w:val="45"/>
  </w:num>
  <w:num w:numId="31">
    <w:abstractNumId w:val="66"/>
  </w:num>
  <w:num w:numId="32">
    <w:abstractNumId w:val="3"/>
  </w:num>
  <w:num w:numId="33">
    <w:abstractNumId w:val="1"/>
  </w:num>
  <w:num w:numId="34">
    <w:abstractNumId w:val="6"/>
  </w:num>
  <w:num w:numId="35">
    <w:abstractNumId w:val="39"/>
  </w:num>
  <w:num w:numId="36">
    <w:abstractNumId w:val="9"/>
  </w:num>
  <w:num w:numId="37">
    <w:abstractNumId w:val="13"/>
  </w:num>
  <w:num w:numId="38">
    <w:abstractNumId w:val="18"/>
  </w:num>
  <w:num w:numId="39">
    <w:abstractNumId w:val="21"/>
  </w:num>
  <w:num w:numId="40">
    <w:abstractNumId w:val="62"/>
  </w:num>
  <w:num w:numId="41">
    <w:abstractNumId w:val="27"/>
  </w:num>
  <w:num w:numId="42">
    <w:abstractNumId w:val="59"/>
  </w:num>
  <w:num w:numId="43">
    <w:abstractNumId w:val="19"/>
  </w:num>
  <w:num w:numId="44">
    <w:abstractNumId w:val="61"/>
  </w:num>
  <w:num w:numId="45">
    <w:abstractNumId w:val="43"/>
  </w:num>
  <w:num w:numId="46">
    <w:abstractNumId w:val="16"/>
  </w:num>
  <w:num w:numId="47">
    <w:abstractNumId w:val="57"/>
  </w:num>
  <w:num w:numId="48">
    <w:abstractNumId w:val="51"/>
  </w:num>
  <w:num w:numId="49">
    <w:abstractNumId w:val="63"/>
  </w:num>
  <w:num w:numId="50">
    <w:abstractNumId w:val="4"/>
  </w:num>
  <w:num w:numId="51">
    <w:abstractNumId w:val="7"/>
  </w:num>
  <w:num w:numId="52">
    <w:abstractNumId w:val="35"/>
  </w:num>
  <w:num w:numId="53">
    <w:abstractNumId w:val="33"/>
  </w:num>
  <w:num w:numId="54">
    <w:abstractNumId w:val="12"/>
  </w:num>
  <w:num w:numId="55">
    <w:abstractNumId w:val="48"/>
  </w:num>
  <w:num w:numId="56">
    <w:abstractNumId w:val="24"/>
  </w:num>
  <w:num w:numId="57">
    <w:abstractNumId w:val="34"/>
  </w:num>
  <w:num w:numId="58">
    <w:abstractNumId w:val="17"/>
  </w:num>
  <w:num w:numId="59">
    <w:abstractNumId w:val="30"/>
  </w:num>
  <w:num w:numId="60">
    <w:abstractNumId w:val="67"/>
  </w:num>
  <w:num w:numId="61">
    <w:abstractNumId w:val="47"/>
  </w:num>
  <w:num w:numId="62">
    <w:abstractNumId w:val="20"/>
  </w:num>
  <w:num w:numId="63">
    <w:abstractNumId w:val="60"/>
  </w:num>
  <w:num w:numId="64">
    <w:abstractNumId w:val="11"/>
  </w:num>
  <w:num w:numId="65">
    <w:abstractNumId w:val="0"/>
  </w:num>
  <w:num w:numId="66">
    <w:abstractNumId w:val="23"/>
  </w:num>
  <w:num w:numId="67">
    <w:abstractNumId w:val="22"/>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4"/>
  </w:num>
  <w:num w:numId="71">
    <w:abstractNumId w:val="2"/>
  </w:num>
  <w:num w:numId="72">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DA"/>
    <w:rsid w:val="00000A1A"/>
    <w:rsid w:val="000013A0"/>
    <w:rsid w:val="000064D9"/>
    <w:rsid w:val="0001444A"/>
    <w:rsid w:val="00015D6B"/>
    <w:rsid w:val="000200D2"/>
    <w:rsid w:val="0002178D"/>
    <w:rsid w:val="000242B6"/>
    <w:rsid w:val="000248A9"/>
    <w:rsid w:val="0002675A"/>
    <w:rsid w:val="00037459"/>
    <w:rsid w:val="00037EB2"/>
    <w:rsid w:val="00043CAA"/>
    <w:rsid w:val="00044864"/>
    <w:rsid w:val="00044BAD"/>
    <w:rsid w:val="00047399"/>
    <w:rsid w:val="00051E85"/>
    <w:rsid w:val="00056950"/>
    <w:rsid w:val="00057F5C"/>
    <w:rsid w:val="00065751"/>
    <w:rsid w:val="00067492"/>
    <w:rsid w:val="00075432"/>
    <w:rsid w:val="000816B0"/>
    <w:rsid w:val="00081B8F"/>
    <w:rsid w:val="00081FC1"/>
    <w:rsid w:val="00082099"/>
    <w:rsid w:val="0008323A"/>
    <w:rsid w:val="00091BBA"/>
    <w:rsid w:val="00094743"/>
    <w:rsid w:val="00094CE8"/>
    <w:rsid w:val="00095424"/>
    <w:rsid w:val="0009594D"/>
    <w:rsid w:val="000968ED"/>
    <w:rsid w:val="000A153E"/>
    <w:rsid w:val="000A3314"/>
    <w:rsid w:val="000A397D"/>
    <w:rsid w:val="000A689F"/>
    <w:rsid w:val="000A69EB"/>
    <w:rsid w:val="000B1412"/>
    <w:rsid w:val="000B2960"/>
    <w:rsid w:val="000B34FA"/>
    <w:rsid w:val="000B5CA7"/>
    <w:rsid w:val="000C012B"/>
    <w:rsid w:val="000C0DC0"/>
    <w:rsid w:val="000C2517"/>
    <w:rsid w:val="000C338D"/>
    <w:rsid w:val="000C36C9"/>
    <w:rsid w:val="000C49BF"/>
    <w:rsid w:val="000C5C8B"/>
    <w:rsid w:val="000D079F"/>
    <w:rsid w:val="000D0FDD"/>
    <w:rsid w:val="000D1916"/>
    <w:rsid w:val="000D5427"/>
    <w:rsid w:val="000D5EB2"/>
    <w:rsid w:val="000E14BE"/>
    <w:rsid w:val="000E3824"/>
    <w:rsid w:val="000E53FC"/>
    <w:rsid w:val="000E5535"/>
    <w:rsid w:val="000E65F1"/>
    <w:rsid w:val="000F0533"/>
    <w:rsid w:val="000F0A5B"/>
    <w:rsid w:val="000F2651"/>
    <w:rsid w:val="000F3884"/>
    <w:rsid w:val="000F5E56"/>
    <w:rsid w:val="000F7079"/>
    <w:rsid w:val="000F7876"/>
    <w:rsid w:val="001019E1"/>
    <w:rsid w:val="0010205A"/>
    <w:rsid w:val="00102CC4"/>
    <w:rsid w:val="00103BFD"/>
    <w:rsid w:val="00103E98"/>
    <w:rsid w:val="00105A5A"/>
    <w:rsid w:val="00106B3A"/>
    <w:rsid w:val="001112B0"/>
    <w:rsid w:val="00113F45"/>
    <w:rsid w:val="00117925"/>
    <w:rsid w:val="001214C0"/>
    <w:rsid w:val="00121972"/>
    <w:rsid w:val="001219BC"/>
    <w:rsid w:val="00124428"/>
    <w:rsid w:val="0012557C"/>
    <w:rsid w:val="00127C40"/>
    <w:rsid w:val="00131135"/>
    <w:rsid w:val="00131F7E"/>
    <w:rsid w:val="00133410"/>
    <w:rsid w:val="00133BF0"/>
    <w:rsid w:val="00135A37"/>
    <w:rsid w:val="00135C8C"/>
    <w:rsid w:val="00135F8B"/>
    <w:rsid w:val="001362EE"/>
    <w:rsid w:val="00137292"/>
    <w:rsid w:val="0013778D"/>
    <w:rsid w:val="00140651"/>
    <w:rsid w:val="00140C3A"/>
    <w:rsid w:val="00142CB6"/>
    <w:rsid w:val="001430FF"/>
    <w:rsid w:val="00144060"/>
    <w:rsid w:val="0015067E"/>
    <w:rsid w:val="00152D1E"/>
    <w:rsid w:val="00152EFE"/>
    <w:rsid w:val="00162769"/>
    <w:rsid w:val="00163571"/>
    <w:rsid w:val="00163A8D"/>
    <w:rsid w:val="00167FCD"/>
    <w:rsid w:val="0017161C"/>
    <w:rsid w:val="00171CAB"/>
    <w:rsid w:val="00174C73"/>
    <w:rsid w:val="00174D65"/>
    <w:rsid w:val="001768F0"/>
    <w:rsid w:val="00177BB6"/>
    <w:rsid w:val="00180DA1"/>
    <w:rsid w:val="0018226E"/>
    <w:rsid w:val="001832A6"/>
    <w:rsid w:val="00183E23"/>
    <w:rsid w:val="00186DE9"/>
    <w:rsid w:val="00187121"/>
    <w:rsid w:val="00187949"/>
    <w:rsid w:val="00191EFF"/>
    <w:rsid w:val="001950EF"/>
    <w:rsid w:val="00195426"/>
    <w:rsid w:val="001A1847"/>
    <w:rsid w:val="001A3B2D"/>
    <w:rsid w:val="001A53B4"/>
    <w:rsid w:val="001A5E13"/>
    <w:rsid w:val="001B09E6"/>
    <w:rsid w:val="001B138C"/>
    <w:rsid w:val="001B18D7"/>
    <w:rsid w:val="001B1E51"/>
    <w:rsid w:val="001B2D46"/>
    <w:rsid w:val="001B5DB2"/>
    <w:rsid w:val="001C144F"/>
    <w:rsid w:val="001C1A3C"/>
    <w:rsid w:val="001D2B2A"/>
    <w:rsid w:val="001D4B69"/>
    <w:rsid w:val="001D6080"/>
    <w:rsid w:val="001D6622"/>
    <w:rsid w:val="001D6CB3"/>
    <w:rsid w:val="001D7E24"/>
    <w:rsid w:val="001E13D6"/>
    <w:rsid w:val="001E13DE"/>
    <w:rsid w:val="001E4D49"/>
    <w:rsid w:val="001E77E6"/>
    <w:rsid w:val="001F3898"/>
    <w:rsid w:val="001F3ABD"/>
    <w:rsid w:val="001F4B25"/>
    <w:rsid w:val="001F5D2B"/>
    <w:rsid w:val="002001B5"/>
    <w:rsid w:val="00200998"/>
    <w:rsid w:val="00204929"/>
    <w:rsid w:val="00204EB6"/>
    <w:rsid w:val="00204F0F"/>
    <w:rsid w:val="00206513"/>
    <w:rsid w:val="002065C2"/>
    <w:rsid w:val="002066E5"/>
    <w:rsid w:val="002108E5"/>
    <w:rsid w:val="002121D9"/>
    <w:rsid w:val="00212704"/>
    <w:rsid w:val="00212E2E"/>
    <w:rsid w:val="00216AEB"/>
    <w:rsid w:val="00216C03"/>
    <w:rsid w:val="00217234"/>
    <w:rsid w:val="00220AA8"/>
    <w:rsid w:val="00221092"/>
    <w:rsid w:val="0022554E"/>
    <w:rsid w:val="00225DCC"/>
    <w:rsid w:val="00227745"/>
    <w:rsid w:val="00230D18"/>
    <w:rsid w:val="002314CC"/>
    <w:rsid w:val="00234379"/>
    <w:rsid w:val="00235B86"/>
    <w:rsid w:val="0024078A"/>
    <w:rsid w:val="00240843"/>
    <w:rsid w:val="00241912"/>
    <w:rsid w:val="00241DA9"/>
    <w:rsid w:val="00244011"/>
    <w:rsid w:val="002446ED"/>
    <w:rsid w:val="00246901"/>
    <w:rsid w:val="00250EF2"/>
    <w:rsid w:val="0025213F"/>
    <w:rsid w:val="0025489E"/>
    <w:rsid w:val="00257E8E"/>
    <w:rsid w:val="00260CF1"/>
    <w:rsid w:val="002619A7"/>
    <w:rsid w:val="002634C4"/>
    <w:rsid w:val="00263609"/>
    <w:rsid w:val="002667C5"/>
    <w:rsid w:val="00274784"/>
    <w:rsid w:val="00275A04"/>
    <w:rsid w:val="002777B8"/>
    <w:rsid w:val="0028072A"/>
    <w:rsid w:val="00283069"/>
    <w:rsid w:val="00283726"/>
    <w:rsid w:val="0028386B"/>
    <w:rsid w:val="00283B09"/>
    <w:rsid w:val="00286556"/>
    <w:rsid w:val="002919F8"/>
    <w:rsid w:val="002928D3"/>
    <w:rsid w:val="002A19EA"/>
    <w:rsid w:val="002A1C70"/>
    <w:rsid w:val="002A70D3"/>
    <w:rsid w:val="002B1759"/>
    <w:rsid w:val="002B2383"/>
    <w:rsid w:val="002B53A8"/>
    <w:rsid w:val="002B6264"/>
    <w:rsid w:val="002C20A9"/>
    <w:rsid w:val="002C6B51"/>
    <w:rsid w:val="002C7675"/>
    <w:rsid w:val="002D1A13"/>
    <w:rsid w:val="002D2D64"/>
    <w:rsid w:val="002D4408"/>
    <w:rsid w:val="002D45D9"/>
    <w:rsid w:val="002D47CC"/>
    <w:rsid w:val="002D4DE7"/>
    <w:rsid w:val="002D7422"/>
    <w:rsid w:val="002E0622"/>
    <w:rsid w:val="002E4323"/>
    <w:rsid w:val="002E4343"/>
    <w:rsid w:val="002F1FE6"/>
    <w:rsid w:val="002F4E68"/>
    <w:rsid w:val="002F58F7"/>
    <w:rsid w:val="00300CE7"/>
    <w:rsid w:val="00301A28"/>
    <w:rsid w:val="003039B7"/>
    <w:rsid w:val="00306BAB"/>
    <w:rsid w:val="003073AF"/>
    <w:rsid w:val="00310E63"/>
    <w:rsid w:val="00312F7F"/>
    <w:rsid w:val="00313125"/>
    <w:rsid w:val="00315F00"/>
    <w:rsid w:val="00316F1A"/>
    <w:rsid w:val="003174A0"/>
    <w:rsid w:val="003212BD"/>
    <w:rsid w:val="00321BF4"/>
    <w:rsid w:val="0032527D"/>
    <w:rsid w:val="003275EB"/>
    <w:rsid w:val="00332FD5"/>
    <w:rsid w:val="0033507A"/>
    <w:rsid w:val="00340252"/>
    <w:rsid w:val="003437B7"/>
    <w:rsid w:val="003437B9"/>
    <w:rsid w:val="003440BE"/>
    <w:rsid w:val="00347F79"/>
    <w:rsid w:val="00353151"/>
    <w:rsid w:val="00354DA9"/>
    <w:rsid w:val="0035541F"/>
    <w:rsid w:val="00356B7F"/>
    <w:rsid w:val="00356EC2"/>
    <w:rsid w:val="00360FFE"/>
    <w:rsid w:val="00361450"/>
    <w:rsid w:val="00363BED"/>
    <w:rsid w:val="003673CF"/>
    <w:rsid w:val="00367813"/>
    <w:rsid w:val="003729DB"/>
    <w:rsid w:val="00372F40"/>
    <w:rsid w:val="00375E3C"/>
    <w:rsid w:val="003772FA"/>
    <w:rsid w:val="00377D3C"/>
    <w:rsid w:val="003803FA"/>
    <w:rsid w:val="003811F0"/>
    <w:rsid w:val="00381586"/>
    <w:rsid w:val="003845C1"/>
    <w:rsid w:val="00385BCC"/>
    <w:rsid w:val="00385D53"/>
    <w:rsid w:val="0038714E"/>
    <w:rsid w:val="00392B6D"/>
    <w:rsid w:val="00395814"/>
    <w:rsid w:val="00395AD1"/>
    <w:rsid w:val="003960FF"/>
    <w:rsid w:val="00396A25"/>
    <w:rsid w:val="00397540"/>
    <w:rsid w:val="003A2853"/>
    <w:rsid w:val="003A3EAB"/>
    <w:rsid w:val="003A5201"/>
    <w:rsid w:val="003A6865"/>
    <w:rsid w:val="003A6F89"/>
    <w:rsid w:val="003B0FE4"/>
    <w:rsid w:val="003B2303"/>
    <w:rsid w:val="003B250F"/>
    <w:rsid w:val="003B38C1"/>
    <w:rsid w:val="003B561B"/>
    <w:rsid w:val="003C1221"/>
    <w:rsid w:val="003C1842"/>
    <w:rsid w:val="003C1DF1"/>
    <w:rsid w:val="003C2A99"/>
    <w:rsid w:val="003D28EF"/>
    <w:rsid w:val="003D35FE"/>
    <w:rsid w:val="003E0B39"/>
    <w:rsid w:val="003E3CCD"/>
    <w:rsid w:val="003E3ED7"/>
    <w:rsid w:val="003E63EE"/>
    <w:rsid w:val="003F0096"/>
    <w:rsid w:val="003F01C4"/>
    <w:rsid w:val="003F0A0F"/>
    <w:rsid w:val="003F4448"/>
    <w:rsid w:val="003F4F64"/>
    <w:rsid w:val="003F662C"/>
    <w:rsid w:val="003F6782"/>
    <w:rsid w:val="003F70E7"/>
    <w:rsid w:val="00401684"/>
    <w:rsid w:val="004039B0"/>
    <w:rsid w:val="00407BFB"/>
    <w:rsid w:val="00413C85"/>
    <w:rsid w:val="00415F39"/>
    <w:rsid w:val="0041660D"/>
    <w:rsid w:val="00417E7E"/>
    <w:rsid w:val="00423E3E"/>
    <w:rsid w:val="00423FB2"/>
    <w:rsid w:val="00425302"/>
    <w:rsid w:val="004257C9"/>
    <w:rsid w:val="00427AF4"/>
    <w:rsid w:val="00431582"/>
    <w:rsid w:val="004324D2"/>
    <w:rsid w:val="00440354"/>
    <w:rsid w:val="00443FB4"/>
    <w:rsid w:val="00454386"/>
    <w:rsid w:val="004545E2"/>
    <w:rsid w:val="00460F80"/>
    <w:rsid w:val="004647DA"/>
    <w:rsid w:val="004655EF"/>
    <w:rsid w:val="00467CC2"/>
    <w:rsid w:val="00470428"/>
    <w:rsid w:val="00471E76"/>
    <w:rsid w:val="00472DF6"/>
    <w:rsid w:val="00474062"/>
    <w:rsid w:val="00474754"/>
    <w:rsid w:val="00476629"/>
    <w:rsid w:val="00477D6B"/>
    <w:rsid w:val="004814FC"/>
    <w:rsid w:val="00484B28"/>
    <w:rsid w:val="00485282"/>
    <w:rsid w:val="00485900"/>
    <w:rsid w:val="004869EF"/>
    <w:rsid w:val="00486B0F"/>
    <w:rsid w:val="00490CBA"/>
    <w:rsid w:val="004953DB"/>
    <w:rsid w:val="00495900"/>
    <w:rsid w:val="004A01C3"/>
    <w:rsid w:val="004A2A31"/>
    <w:rsid w:val="004A2C37"/>
    <w:rsid w:val="004A71F4"/>
    <w:rsid w:val="004B19D9"/>
    <w:rsid w:val="004B53B0"/>
    <w:rsid w:val="004B5541"/>
    <w:rsid w:val="004B61B9"/>
    <w:rsid w:val="004C49E3"/>
    <w:rsid w:val="004C7936"/>
    <w:rsid w:val="004D06AE"/>
    <w:rsid w:val="004D0F49"/>
    <w:rsid w:val="004D1573"/>
    <w:rsid w:val="004D2E63"/>
    <w:rsid w:val="004D4A22"/>
    <w:rsid w:val="004D7D65"/>
    <w:rsid w:val="004E15FB"/>
    <w:rsid w:val="004E17D2"/>
    <w:rsid w:val="004E2045"/>
    <w:rsid w:val="004E27E4"/>
    <w:rsid w:val="004E4164"/>
    <w:rsid w:val="004E4D46"/>
    <w:rsid w:val="004E756C"/>
    <w:rsid w:val="004F2C0E"/>
    <w:rsid w:val="00500A56"/>
    <w:rsid w:val="0050139A"/>
    <w:rsid w:val="005019FF"/>
    <w:rsid w:val="0050284E"/>
    <w:rsid w:val="00503128"/>
    <w:rsid w:val="00504F5F"/>
    <w:rsid w:val="005056AE"/>
    <w:rsid w:val="0050571D"/>
    <w:rsid w:val="00506310"/>
    <w:rsid w:val="005107A7"/>
    <w:rsid w:val="00513D3D"/>
    <w:rsid w:val="00514FB9"/>
    <w:rsid w:val="00522433"/>
    <w:rsid w:val="00524B18"/>
    <w:rsid w:val="0053057A"/>
    <w:rsid w:val="00530BAA"/>
    <w:rsid w:val="00530F36"/>
    <w:rsid w:val="00531119"/>
    <w:rsid w:val="005334A8"/>
    <w:rsid w:val="00533736"/>
    <w:rsid w:val="00533B8E"/>
    <w:rsid w:val="00536B04"/>
    <w:rsid w:val="0053734C"/>
    <w:rsid w:val="0053776F"/>
    <w:rsid w:val="005405DE"/>
    <w:rsid w:val="00540FCB"/>
    <w:rsid w:val="00545ECD"/>
    <w:rsid w:val="005540ED"/>
    <w:rsid w:val="00554C17"/>
    <w:rsid w:val="00555EAD"/>
    <w:rsid w:val="00556236"/>
    <w:rsid w:val="00557E8A"/>
    <w:rsid w:val="00560A29"/>
    <w:rsid w:val="00560E57"/>
    <w:rsid w:val="0056232D"/>
    <w:rsid w:val="00570ED6"/>
    <w:rsid w:val="00572609"/>
    <w:rsid w:val="00576B2B"/>
    <w:rsid w:val="00580758"/>
    <w:rsid w:val="005823CC"/>
    <w:rsid w:val="00582A32"/>
    <w:rsid w:val="005839D3"/>
    <w:rsid w:val="0058411A"/>
    <w:rsid w:val="00587846"/>
    <w:rsid w:val="00587987"/>
    <w:rsid w:val="00592715"/>
    <w:rsid w:val="0059320A"/>
    <w:rsid w:val="00595362"/>
    <w:rsid w:val="0059753E"/>
    <w:rsid w:val="005A2116"/>
    <w:rsid w:val="005A5B76"/>
    <w:rsid w:val="005A7CF0"/>
    <w:rsid w:val="005B38F2"/>
    <w:rsid w:val="005C0010"/>
    <w:rsid w:val="005C061E"/>
    <w:rsid w:val="005C16B1"/>
    <w:rsid w:val="005C351D"/>
    <w:rsid w:val="005C362B"/>
    <w:rsid w:val="005C6649"/>
    <w:rsid w:val="005D198D"/>
    <w:rsid w:val="005E06DD"/>
    <w:rsid w:val="005F054C"/>
    <w:rsid w:val="005F0866"/>
    <w:rsid w:val="005F51D4"/>
    <w:rsid w:val="005F5872"/>
    <w:rsid w:val="005F5E8F"/>
    <w:rsid w:val="005F785D"/>
    <w:rsid w:val="00605827"/>
    <w:rsid w:val="00605947"/>
    <w:rsid w:val="00607684"/>
    <w:rsid w:val="00610A72"/>
    <w:rsid w:val="006110B7"/>
    <w:rsid w:val="00611E6B"/>
    <w:rsid w:val="00613DD0"/>
    <w:rsid w:val="006152E0"/>
    <w:rsid w:val="00615FCF"/>
    <w:rsid w:val="0062138B"/>
    <w:rsid w:val="00621703"/>
    <w:rsid w:val="006236EF"/>
    <w:rsid w:val="00626153"/>
    <w:rsid w:val="00626187"/>
    <w:rsid w:val="006303DF"/>
    <w:rsid w:val="00631170"/>
    <w:rsid w:val="00634122"/>
    <w:rsid w:val="006431BE"/>
    <w:rsid w:val="00644964"/>
    <w:rsid w:val="00646050"/>
    <w:rsid w:val="006473B9"/>
    <w:rsid w:val="006508E5"/>
    <w:rsid w:val="00651A68"/>
    <w:rsid w:val="00653A65"/>
    <w:rsid w:val="00654A86"/>
    <w:rsid w:val="0065658B"/>
    <w:rsid w:val="00657625"/>
    <w:rsid w:val="00660796"/>
    <w:rsid w:val="006631AE"/>
    <w:rsid w:val="0066415E"/>
    <w:rsid w:val="00665271"/>
    <w:rsid w:val="00666DA8"/>
    <w:rsid w:val="006671F3"/>
    <w:rsid w:val="00670484"/>
    <w:rsid w:val="006713CA"/>
    <w:rsid w:val="006728CC"/>
    <w:rsid w:val="00672AC4"/>
    <w:rsid w:val="00676C5C"/>
    <w:rsid w:val="00682EAD"/>
    <w:rsid w:val="0068315D"/>
    <w:rsid w:val="006840AB"/>
    <w:rsid w:val="00684782"/>
    <w:rsid w:val="00687271"/>
    <w:rsid w:val="0069311E"/>
    <w:rsid w:val="006973B8"/>
    <w:rsid w:val="00697E1E"/>
    <w:rsid w:val="006A0270"/>
    <w:rsid w:val="006A0F6F"/>
    <w:rsid w:val="006A2372"/>
    <w:rsid w:val="006A314F"/>
    <w:rsid w:val="006A38A3"/>
    <w:rsid w:val="006A511B"/>
    <w:rsid w:val="006A71DD"/>
    <w:rsid w:val="006A7A4F"/>
    <w:rsid w:val="006B12B6"/>
    <w:rsid w:val="006B3FAE"/>
    <w:rsid w:val="006B4010"/>
    <w:rsid w:val="006B7A56"/>
    <w:rsid w:val="006C0DD6"/>
    <w:rsid w:val="006C34D9"/>
    <w:rsid w:val="006C7C4E"/>
    <w:rsid w:val="006D35E9"/>
    <w:rsid w:val="006D3DC5"/>
    <w:rsid w:val="006D7D14"/>
    <w:rsid w:val="006E0F87"/>
    <w:rsid w:val="006E3750"/>
    <w:rsid w:val="006E7A56"/>
    <w:rsid w:val="006F06AB"/>
    <w:rsid w:val="006F16A2"/>
    <w:rsid w:val="006F18B3"/>
    <w:rsid w:val="006F2109"/>
    <w:rsid w:val="0070142E"/>
    <w:rsid w:val="00701CDB"/>
    <w:rsid w:val="00702E75"/>
    <w:rsid w:val="00707FFC"/>
    <w:rsid w:val="00711017"/>
    <w:rsid w:val="00711A51"/>
    <w:rsid w:val="0071209D"/>
    <w:rsid w:val="00715893"/>
    <w:rsid w:val="00716A41"/>
    <w:rsid w:val="0072025B"/>
    <w:rsid w:val="00721352"/>
    <w:rsid w:val="00722DBD"/>
    <w:rsid w:val="00724222"/>
    <w:rsid w:val="00724EDF"/>
    <w:rsid w:val="007303A1"/>
    <w:rsid w:val="00732E12"/>
    <w:rsid w:val="00734D61"/>
    <w:rsid w:val="00735616"/>
    <w:rsid w:val="007405E3"/>
    <w:rsid w:val="00744933"/>
    <w:rsid w:val="00752047"/>
    <w:rsid w:val="007533C3"/>
    <w:rsid w:val="00753D09"/>
    <w:rsid w:val="00754946"/>
    <w:rsid w:val="007569F3"/>
    <w:rsid w:val="007570BA"/>
    <w:rsid w:val="00760147"/>
    <w:rsid w:val="007672C4"/>
    <w:rsid w:val="00770124"/>
    <w:rsid w:val="0077218A"/>
    <w:rsid w:val="007742E9"/>
    <w:rsid w:val="00774927"/>
    <w:rsid w:val="00774B03"/>
    <w:rsid w:val="00774CC6"/>
    <w:rsid w:val="007751D7"/>
    <w:rsid w:val="00781E48"/>
    <w:rsid w:val="007849A0"/>
    <w:rsid w:val="00784B1E"/>
    <w:rsid w:val="00784DBB"/>
    <w:rsid w:val="007858BF"/>
    <w:rsid w:val="00787CC7"/>
    <w:rsid w:val="0079451B"/>
    <w:rsid w:val="007961C1"/>
    <w:rsid w:val="0079698D"/>
    <w:rsid w:val="00797894"/>
    <w:rsid w:val="007A0647"/>
    <w:rsid w:val="007A4EFC"/>
    <w:rsid w:val="007A4FF5"/>
    <w:rsid w:val="007A5D9D"/>
    <w:rsid w:val="007A655F"/>
    <w:rsid w:val="007A66EE"/>
    <w:rsid w:val="007A6789"/>
    <w:rsid w:val="007A6D00"/>
    <w:rsid w:val="007A7D50"/>
    <w:rsid w:val="007B3F05"/>
    <w:rsid w:val="007B4A15"/>
    <w:rsid w:val="007B5668"/>
    <w:rsid w:val="007B7CA7"/>
    <w:rsid w:val="007C1A56"/>
    <w:rsid w:val="007C3E8E"/>
    <w:rsid w:val="007C528D"/>
    <w:rsid w:val="007C5780"/>
    <w:rsid w:val="007C7D69"/>
    <w:rsid w:val="007D088B"/>
    <w:rsid w:val="007D0EE8"/>
    <w:rsid w:val="007D1613"/>
    <w:rsid w:val="007D7207"/>
    <w:rsid w:val="007E01F2"/>
    <w:rsid w:val="007E16A8"/>
    <w:rsid w:val="007E7906"/>
    <w:rsid w:val="007F0AFC"/>
    <w:rsid w:val="007F36D0"/>
    <w:rsid w:val="007F3D51"/>
    <w:rsid w:val="007F54D1"/>
    <w:rsid w:val="007F637C"/>
    <w:rsid w:val="007F645B"/>
    <w:rsid w:val="0080606A"/>
    <w:rsid w:val="00807EDE"/>
    <w:rsid w:val="00810125"/>
    <w:rsid w:val="00815A7D"/>
    <w:rsid w:val="00816444"/>
    <w:rsid w:val="0082078D"/>
    <w:rsid w:val="00822F89"/>
    <w:rsid w:val="00823347"/>
    <w:rsid w:val="008246D4"/>
    <w:rsid w:val="00825364"/>
    <w:rsid w:val="00827184"/>
    <w:rsid w:val="00830673"/>
    <w:rsid w:val="00831927"/>
    <w:rsid w:val="0083332F"/>
    <w:rsid w:val="00833F0A"/>
    <w:rsid w:val="0083408D"/>
    <w:rsid w:val="00835D35"/>
    <w:rsid w:val="0083787A"/>
    <w:rsid w:val="008464BA"/>
    <w:rsid w:val="00850459"/>
    <w:rsid w:val="008512D6"/>
    <w:rsid w:val="00851D16"/>
    <w:rsid w:val="008520C7"/>
    <w:rsid w:val="00852B2D"/>
    <w:rsid w:val="008534E1"/>
    <w:rsid w:val="008562B7"/>
    <w:rsid w:val="0086002B"/>
    <w:rsid w:val="008646D2"/>
    <w:rsid w:val="00864822"/>
    <w:rsid w:val="008659E0"/>
    <w:rsid w:val="008702EE"/>
    <w:rsid w:val="008705B2"/>
    <w:rsid w:val="008726E4"/>
    <w:rsid w:val="00874754"/>
    <w:rsid w:val="008772CA"/>
    <w:rsid w:val="0088290A"/>
    <w:rsid w:val="008841E3"/>
    <w:rsid w:val="008907BF"/>
    <w:rsid w:val="00891209"/>
    <w:rsid w:val="00892C3E"/>
    <w:rsid w:val="00893AFC"/>
    <w:rsid w:val="00894BA3"/>
    <w:rsid w:val="00894CD6"/>
    <w:rsid w:val="00895842"/>
    <w:rsid w:val="00896561"/>
    <w:rsid w:val="008A00B6"/>
    <w:rsid w:val="008A22B5"/>
    <w:rsid w:val="008A2562"/>
    <w:rsid w:val="008A5B02"/>
    <w:rsid w:val="008A7091"/>
    <w:rsid w:val="008A72AA"/>
    <w:rsid w:val="008A7662"/>
    <w:rsid w:val="008B064A"/>
    <w:rsid w:val="008B25F8"/>
    <w:rsid w:val="008B29A3"/>
    <w:rsid w:val="008B2CC1"/>
    <w:rsid w:val="008B60B2"/>
    <w:rsid w:val="008C1A21"/>
    <w:rsid w:val="008C28EF"/>
    <w:rsid w:val="008C4A91"/>
    <w:rsid w:val="008C4FB1"/>
    <w:rsid w:val="008D1B7A"/>
    <w:rsid w:val="008D73D2"/>
    <w:rsid w:val="008E3F54"/>
    <w:rsid w:val="008E621E"/>
    <w:rsid w:val="008F2876"/>
    <w:rsid w:val="008F4C57"/>
    <w:rsid w:val="008F6E72"/>
    <w:rsid w:val="00902FC1"/>
    <w:rsid w:val="0090731E"/>
    <w:rsid w:val="00910B6B"/>
    <w:rsid w:val="00913450"/>
    <w:rsid w:val="00915AF5"/>
    <w:rsid w:val="00915BC6"/>
    <w:rsid w:val="00916EE2"/>
    <w:rsid w:val="009173C5"/>
    <w:rsid w:val="0092068E"/>
    <w:rsid w:val="009219D4"/>
    <w:rsid w:val="009239BE"/>
    <w:rsid w:val="0092437C"/>
    <w:rsid w:val="00925547"/>
    <w:rsid w:val="00925747"/>
    <w:rsid w:val="009279AA"/>
    <w:rsid w:val="00930B6C"/>
    <w:rsid w:val="00931E6E"/>
    <w:rsid w:val="00935FEE"/>
    <w:rsid w:val="009363B7"/>
    <w:rsid w:val="00940320"/>
    <w:rsid w:val="009413AA"/>
    <w:rsid w:val="009413DA"/>
    <w:rsid w:val="00942891"/>
    <w:rsid w:val="0094725A"/>
    <w:rsid w:val="00950DBF"/>
    <w:rsid w:val="00951353"/>
    <w:rsid w:val="00951C23"/>
    <w:rsid w:val="00952122"/>
    <w:rsid w:val="00954591"/>
    <w:rsid w:val="00957B0B"/>
    <w:rsid w:val="00957C95"/>
    <w:rsid w:val="009602CA"/>
    <w:rsid w:val="00961A12"/>
    <w:rsid w:val="009624F1"/>
    <w:rsid w:val="00963626"/>
    <w:rsid w:val="00963BE0"/>
    <w:rsid w:val="00965014"/>
    <w:rsid w:val="00966A22"/>
    <w:rsid w:val="0096722F"/>
    <w:rsid w:val="00967406"/>
    <w:rsid w:val="00970C74"/>
    <w:rsid w:val="00971DD8"/>
    <w:rsid w:val="00974BC4"/>
    <w:rsid w:val="00975496"/>
    <w:rsid w:val="00976DC5"/>
    <w:rsid w:val="00977736"/>
    <w:rsid w:val="00980843"/>
    <w:rsid w:val="0098198C"/>
    <w:rsid w:val="00981B04"/>
    <w:rsid w:val="009827EB"/>
    <w:rsid w:val="009909C4"/>
    <w:rsid w:val="009916A2"/>
    <w:rsid w:val="00991818"/>
    <w:rsid w:val="00991C72"/>
    <w:rsid w:val="009922A9"/>
    <w:rsid w:val="00992550"/>
    <w:rsid w:val="009937E3"/>
    <w:rsid w:val="00993A72"/>
    <w:rsid w:val="009A1B35"/>
    <w:rsid w:val="009A37DE"/>
    <w:rsid w:val="009A48EC"/>
    <w:rsid w:val="009A4D6D"/>
    <w:rsid w:val="009A51BC"/>
    <w:rsid w:val="009B15F9"/>
    <w:rsid w:val="009B3ED4"/>
    <w:rsid w:val="009B71E6"/>
    <w:rsid w:val="009B7348"/>
    <w:rsid w:val="009C0151"/>
    <w:rsid w:val="009C0276"/>
    <w:rsid w:val="009C0ADC"/>
    <w:rsid w:val="009C0F52"/>
    <w:rsid w:val="009C6655"/>
    <w:rsid w:val="009C67A3"/>
    <w:rsid w:val="009D05B2"/>
    <w:rsid w:val="009D27FA"/>
    <w:rsid w:val="009D2BB7"/>
    <w:rsid w:val="009D4305"/>
    <w:rsid w:val="009E2791"/>
    <w:rsid w:val="009E2A14"/>
    <w:rsid w:val="009E3F6F"/>
    <w:rsid w:val="009E5907"/>
    <w:rsid w:val="009E5BF8"/>
    <w:rsid w:val="009F3AE2"/>
    <w:rsid w:val="009F499F"/>
    <w:rsid w:val="00A0204F"/>
    <w:rsid w:val="00A02644"/>
    <w:rsid w:val="00A03D4A"/>
    <w:rsid w:val="00A04BC6"/>
    <w:rsid w:val="00A078CA"/>
    <w:rsid w:val="00A11049"/>
    <w:rsid w:val="00A127ED"/>
    <w:rsid w:val="00A12D5B"/>
    <w:rsid w:val="00A15421"/>
    <w:rsid w:val="00A17F7C"/>
    <w:rsid w:val="00A20695"/>
    <w:rsid w:val="00A21271"/>
    <w:rsid w:val="00A24BB9"/>
    <w:rsid w:val="00A27877"/>
    <w:rsid w:val="00A309D5"/>
    <w:rsid w:val="00A31582"/>
    <w:rsid w:val="00A31D70"/>
    <w:rsid w:val="00A32BE0"/>
    <w:rsid w:val="00A334FC"/>
    <w:rsid w:val="00A336AA"/>
    <w:rsid w:val="00A34E5F"/>
    <w:rsid w:val="00A42DAF"/>
    <w:rsid w:val="00A44CC6"/>
    <w:rsid w:val="00A44F2C"/>
    <w:rsid w:val="00A45BD8"/>
    <w:rsid w:val="00A45CDA"/>
    <w:rsid w:val="00A465EC"/>
    <w:rsid w:val="00A514ED"/>
    <w:rsid w:val="00A51560"/>
    <w:rsid w:val="00A56789"/>
    <w:rsid w:val="00A56AAA"/>
    <w:rsid w:val="00A56ECA"/>
    <w:rsid w:val="00A6521B"/>
    <w:rsid w:val="00A6584A"/>
    <w:rsid w:val="00A6776F"/>
    <w:rsid w:val="00A70804"/>
    <w:rsid w:val="00A71360"/>
    <w:rsid w:val="00A77489"/>
    <w:rsid w:val="00A817B1"/>
    <w:rsid w:val="00A83721"/>
    <w:rsid w:val="00A86345"/>
    <w:rsid w:val="00A869B7"/>
    <w:rsid w:val="00A90C98"/>
    <w:rsid w:val="00A9158A"/>
    <w:rsid w:val="00A91B94"/>
    <w:rsid w:val="00A92602"/>
    <w:rsid w:val="00A9294F"/>
    <w:rsid w:val="00A96B16"/>
    <w:rsid w:val="00A971BE"/>
    <w:rsid w:val="00AA030E"/>
    <w:rsid w:val="00AA28CC"/>
    <w:rsid w:val="00AA4417"/>
    <w:rsid w:val="00AA4518"/>
    <w:rsid w:val="00AA648B"/>
    <w:rsid w:val="00AB4BBC"/>
    <w:rsid w:val="00AB68E5"/>
    <w:rsid w:val="00AB6C53"/>
    <w:rsid w:val="00AC205C"/>
    <w:rsid w:val="00AC2E21"/>
    <w:rsid w:val="00AD1687"/>
    <w:rsid w:val="00AD4F92"/>
    <w:rsid w:val="00AD67A8"/>
    <w:rsid w:val="00AD70E4"/>
    <w:rsid w:val="00AE002D"/>
    <w:rsid w:val="00AE15F3"/>
    <w:rsid w:val="00AE4EEC"/>
    <w:rsid w:val="00AE57B8"/>
    <w:rsid w:val="00AE5D87"/>
    <w:rsid w:val="00AE7E3E"/>
    <w:rsid w:val="00AF0A6B"/>
    <w:rsid w:val="00AF1C1F"/>
    <w:rsid w:val="00AF2097"/>
    <w:rsid w:val="00AF7140"/>
    <w:rsid w:val="00B04E5D"/>
    <w:rsid w:val="00B05A69"/>
    <w:rsid w:val="00B0774E"/>
    <w:rsid w:val="00B10213"/>
    <w:rsid w:val="00B118DD"/>
    <w:rsid w:val="00B21409"/>
    <w:rsid w:val="00B22096"/>
    <w:rsid w:val="00B237E3"/>
    <w:rsid w:val="00B26784"/>
    <w:rsid w:val="00B26EC2"/>
    <w:rsid w:val="00B27621"/>
    <w:rsid w:val="00B27EE3"/>
    <w:rsid w:val="00B3001C"/>
    <w:rsid w:val="00B30760"/>
    <w:rsid w:val="00B3160D"/>
    <w:rsid w:val="00B37117"/>
    <w:rsid w:val="00B41CC7"/>
    <w:rsid w:val="00B45C43"/>
    <w:rsid w:val="00B46630"/>
    <w:rsid w:val="00B50551"/>
    <w:rsid w:val="00B514E0"/>
    <w:rsid w:val="00B51FDA"/>
    <w:rsid w:val="00B60304"/>
    <w:rsid w:val="00B633EF"/>
    <w:rsid w:val="00B65820"/>
    <w:rsid w:val="00B667F8"/>
    <w:rsid w:val="00B70ACA"/>
    <w:rsid w:val="00B721C2"/>
    <w:rsid w:val="00B7382E"/>
    <w:rsid w:val="00B74425"/>
    <w:rsid w:val="00B753C9"/>
    <w:rsid w:val="00B760BC"/>
    <w:rsid w:val="00B76D7F"/>
    <w:rsid w:val="00B80D25"/>
    <w:rsid w:val="00B812AA"/>
    <w:rsid w:val="00B82A7D"/>
    <w:rsid w:val="00B8525B"/>
    <w:rsid w:val="00B86133"/>
    <w:rsid w:val="00B87BBC"/>
    <w:rsid w:val="00B92046"/>
    <w:rsid w:val="00B933FF"/>
    <w:rsid w:val="00B9734B"/>
    <w:rsid w:val="00BA2654"/>
    <w:rsid w:val="00BA3FF0"/>
    <w:rsid w:val="00BA5706"/>
    <w:rsid w:val="00BB0456"/>
    <w:rsid w:val="00BB0B83"/>
    <w:rsid w:val="00BB0E32"/>
    <w:rsid w:val="00BB2F46"/>
    <w:rsid w:val="00BB3280"/>
    <w:rsid w:val="00BB65B7"/>
    <w:rsid w:val="00BC027B"/>
    <w:rsid w:val="00BC2E5A"/>
    <w:rsid w:val="00BC59F7"/>
    <w:rsid w:val="00BE12C5"/>
    <w:rsid w:val="00BE1688"/>
    <w:rsid w:val="00BE41EC"/>
    <w:rsid w:val="00BE496A"/>
    <w:rsid w:val="00BF39B8"/>
    <w:rsid w:val="00BF4AA1"/>
    <w:rsid w:val="00BF60C7"/>
    <w:rsid w:val="00C04348"/>
    <w:rsid w:val="00C05910"/>
    <w:rsid w:val="00C06AFA"/>
    <w:rsid w:val="00C06BDB"/>
    <w:rsid w:val="00C077FF"/>
    <w:rsid w:val="00C07C72"/>
    <w:rsid w:val="00C11BFE"/>
    <w:rsid w:val="00C135CB"/>
    <w:rsid w:val="00C13A00"/>
    <w:rsid w:val="00C15AFE"/>
    <w:rsid w:val="00C17999"/>
    <w:rsid w:val="00C204C2"/>
    <w:rsid w:val="00C223C3"/>
    <w:rsid w:val="00C2559D"/>
    <w:rsid w:val="00C26CC5"/>
    <w:rsid w:val="00C27F05"/>
    <w:rsid w:val="00C3036B"/>
    <w:rsid w:val="00C3475E"/>
    <w:rsid w:val="00C42763"/>
    <w:rsid w:val="00C461D4"/>
    <w:rsid w:val="00C53C4B"/>
    <w:rsid w:val="00C53D6E"/>
    <w:rsid w:val="00C54790"/>
    <w:rsid w:val="00C5704D"/>
    <w:rsid w:val="00C575CB"/>
    <w:rsid w:val="00C6185B"/>
    <w:rsid w:val="00C62C61"/>
    <w:rsid w:val="00C6530C"/>
    <w:rsid w:val="00C657D1"/>
    <w:rsid w:val="00C65B21"/>
    <w:rsid w:val="00C6668B"/>
    <w:rsid w:val="00C66F45"/>
    <w:rsid w:val="00C675B3"/>
    <w:rsid w:val="00C72C93"/>
    <w:rsid w:val="00C8161E"/>
    <w:rsid w:val="00C84C31"/>
    <w:rsid w:val="00C84E32"/>
    <w:rsid w:val="00C9025E"/>
    <w:rsid w:val="00C93736"/>
    <w:rsid w:val="00C94E17"/>
    <w:rsid w:val="00CB23B2"/>
    <w:rsid w:val="00CB72D4"/>
    <w:rsid w:val="00CB7BDA"/>
    <w:rsid w:val="00CC111E"/>
    <w:rsid w:val="00CC21A0"/>
    <w:rsid w:val="00CC295F"/>
    <w:rsid w:val="00CC5D09"/>
    <w:rsid w:val="00CC711D"/>
    <w:rsid w:val="00CD1456"/>
    <w:rsid w:val="00CD1E92"/>
    <w:rsid w:val="00CD5185"/>
    <w:rsid w:val="00CE111D"/>
    <w:rsid w:val="00CE30E7"/>
    <w:rsid w:val="00CE56C9"/>
    <w:rsid w:val="00CE632A"/>
    <w:rsid w:val="00CE6AEA"/>
    <w:rsid w:val="00CE78B4"/>
    <w:rsid w:val="00CE7ACD"/>
    <w:rsid w:val="00CF03CA"/>
    <w:rsid w:val="00CF4674"/>
    <w:rsid w:val="00D01172"/>
    <w:rsid w:val="00D01692"/>
    <w:rsid w:val="00D034EF"/>
    <w:rsid w:val="00D04DF4"/>
    <w:rsid w:val="00D056FB"/>
    <w:rsid w:val="00D07B60"/>
    <w:rsid w:val="00D07DC4"/>
    <w:rsid w:val="00D16C2E"/>
    <w:rsid w:val="00D215B3"/>
    <w:rsid w:val="00D22E1A"/>
    <w:rsid w:val="00D23032"/>
    <w:rsid w:val="00D24C2A"/>
    <w:rsid w:val="00D26F04"/>
    <w:rsid w:val="00D2739C"/>
    <w:rsid w:val="00D27897"/>
    <w:rsid w:val="00D315BE"/>
    <w:rsid w:val="00D33FC6"/>
    <w:rsid w:val="00D35C3F"/>
    <w:rsid w:val="00D44271"/>
    <w:rsid w:val="00D44E0E"/>
    <w:rsid w:val="00D45252"/>
    <w:rsid w:val="00D4674C"/>
    <w:rsid w:val="00D476FE"/>
    <w:rsid w:val="00D50D55"/>
    <w:rsid w:val="00D53488"/>
    <w:rsid w:val="00D55268"/>
    <w:rsid w:val="00D606E6"/>
    <w:rsid w:val="00D62912"/>
    <w:rsid w:val="00D64483"/>
    <w:rsid w:val="00D64AD2"/>
    <w:rsid w:val="00D65779"/>
    <w:rsid w:val="00D65E9F"/>
    <w:rsid w:val="00D66FDA"/>
    <w:rsid w:val="00D671A7"/>
    <w:rsid w:val="00D6739B"/>
    <w:rsid w:val="00D71B4D"/>
    <w:rsid w:val="00D72E74"/>
    <w:rsid w:val="00D72F85"/>
    <w:rsid w:val="00D770B5"/>
    <w:rsid w:val="00D771E5"/>
    <w:rsid w:val="00D77A57"/>
    <w:rsid w:val="00D82AAC"/>
    <w:rsid w:val="00D845BF"/>
    <w:rsid w:val="00D857F7"/>
    <w:rsid w:val="00D865B1"/>
    <w:rsid w:val="00D93D55"/>
    <w:rsid w:val="00D950BA"/>
    <w:rsid w:val="00D9570F"/>
    <w:rsid w:val="00DA29A5"/>
    <w:rsid w:val="00DA30C5"/>
    <w:rsid w:val="00DA3D6F"/>
    <w:rsid w:val="00DA4B2A"/>
    <w:rsid w:val="00DA527B"/>
    <w:rsid w:val="00DA5BFA"/>
    <w:rsid w:val="00DA5EA6"/>
    <w:rsid w:val="00DA75AD"/>
    <w:rsid w:val="00DB078E"/>
    <w:rsid w:val="00DC2B1B"/>
    <w:rsid w:val="00DC4E3E"/>
    <w:rsid w:val="00DC51D9"/>
    <w:rsid w:val="00DD25ED"/>
    <w:rsid w:val="00DD7503"/>
    <w:rsid w:val="00DE192D"/>
    <w:rsid w:val="00DE64CC"/>
    <w:rsid w:val="00DF31B2"/>
    <w:rsid w:val="00DF532E"/>
    <w:rsid w:val="00DF7555"/>
    <w:rsid w:val="00DF77E9"/>
    <w:rsid w:val="00E007AC"/>
    <w:rsid w:val="00E020FD"/>
    <w:rsid w:val="00E02FA6"/>
    <w:rsid w:val="00E036B4"/>
    <w:rsid w:val="00E0498C"/>
    <w:rsid w:val="00E11E3D"/>
    <w:rsid w:val="00E13682"/>
    <w:rsid w:val="00E138CF"/>
    <w:rsid w:val="00E14811"/>
    <w:rsid w:val="00E16851"/>
    <w:rsid w:val="00E2146C"/>
    <w:rsid w:val="00E2223F"/>
    <w:rsid w:val="00E25432"/>
    <w:rsid w:val="00E27D4F"/>
    <w:rsid w:val="00E335FE"/>
    <w:rsid w:val="00E341D9"/>
    <w:rsid w:val="00E36E14"/>
    <w:rsid w:val="00E41BD4"/>
    <w:rsid w:val="00E43228"/>
    <w:rsid w:val="00E44D27"/>
    <w:rsid w:val="00E44DF6"/>
    <w:rsid w:val="00E454DD"/>
    <w:rsid w:val="00E47AC3"/>
    <w:rsid w:val="00E511AC"/>
    <w:rsid w:val="00E52D18"/>
    <w:rsid w:val="00E536C9"/>
    <w:rsid w:val="00E53CF3"/>
    <w:rsid w:val="00E55A10"/>
    <w:rsid w:val="00E60CC3"/>
    <w:rsid w:val="00E61CD8"/>
    <w:rsid w:val="00E629C4"/>
    <w:rsid w:val="00E6356E"/>
    <w:rsid w:val="00E67CFD"/>
    <w:rsid w:val="00E763D9"/>
    <w:rsid w:val="00E77EA7"/>
    <w:rsid w:val="00E812C9"/>
    <w:rsid w:val="00E83553"/>
    <w:rsid w:val="00E83AC3"/>
    <w:rsid w:val="00EA12C0"/>
    <w:rsid w:val="00EA15C3"/>
    <w:rsid w:val="00EA223B"/>
    <w:rsid w:val="00EA2E1B"/>
    <w:rsid w:val="00EA3816"/>
    <w:rsid w:val="00EA55E3"/>
    <w:rsid w:val="00EA6701"/>
    <w:rsid w:val="00EB1B55"/>
    <w:rsid w:val="00EB4575"/>
    <w:rsid w:val="00EB4969"/>
    <w:rsid w:val="00EC46B5"/>
    <w:rsid w:val="00EC4E49"/>
    <w:rsid w:val="00EC5951"/>
    <w:rsid w:val="00EC711E"/>
    <w:rsid w:val="00ED0C88"/>
    <w:rsid w:val="00ED2056"/>
    <w:rsid w:val="00ED41C5"/>
    <w:rsid w:val="00ED77FB"/>
    <w:rsid w:val="00EE181E"/>
    <w:rsid w:val="00EE1D29"/>
    <w:rsid w:val="00EE45FA"/>
    <w:rsid w:val="00EE65B4"/>
    <w:rsid w:val="00EF181B"/>
    <w:rsid w:val="00EF2F68"/>
    <w:rsid w:val="00EF4046"/>
    <w:rsid w:val="00EF78F7"/>
    <w:rsid w:val="00F047AA"/>
    <w:rsid w:val="00F054EA"/>
    <w:rsid w:val="00F05DEC"/>
    <w:rsid w:val="00F069D0"/>
    <w:rsid w:val="00F0729F"/>
    <w:rsid w:val="00F13350"/>
    <w:rsid w:val="00F1345B"/>
    <w:rsid w:val="00F141A9"/>
    <w:rsid w:val="00F15B17"/>
    <w:rsid w:val="00F16125"/>
    <w:rsid w:val="00F17644"/>
    <w:rsid w:val="00F21303"/>
    <w:rsid w:val="00F21E26"/>
    <w:rsid w:val="00F2608D"/>
    <w:rsid w:val="00F279C3"/>
    <w:rsid w:val="00F27F13"/>
    <w:rsid w:val="00F308A4"/>
    <w:rsid w:val="00F31F7E"/>
    <w:rsid w:val="00F35681"/>
    <w:rsid w:val="00F400E0"/>
    <w:rsid w:val="00F40AA0"/>
    <w:rsid w:val="00F44980"/>
    <w:rsid w:val="00F4531B"/>
    <w:rsid w:val="00F460DF"/>
    <w:rsid w:val="00F46446"/>
    <w:rsid w:val="00F46CB2"/>
    <w:rsid w:val="00F51DB0"/>
    <w:rsid w:val="00F53EBC"/>
    <w:rsid w:val="00F56F34"/>
    <w:rsid w:val="00F600DC"/>
    <w:rsid w:val="00F609DB"/>
    <w:rsid w:val="00F61F52"/>
    <w:rsid w:val="00F62DB8"/>
    <w:rsid w:val="00F65B6E"/>
    <w:rsid w:val="00F65BEE"/>
    <w:rsid w:val="00F66152"/>
    <w:rsid w:val="00F730C7"/>
    <w:rsid w:val="00F73C95"/>
    <w:rsid w:val="00F74637"/>
    <w:rsid w:val="00F74C5B"/>
    <w:rsid w:val="00F80921"/>
    <w:rsid w:val="00F81737"/>
    <w:rsid w:val="00F81C1B"/>
    <w:rsid w:val="00F84376"/>
    <w:rsid w:val="00F862AB"/>
    <w:rsid w:val="00F8748C"/>
    <w:rsid w:val="00F9091F"/>
    <w:rsid w:val="00F90FE8"/>
    <w:rsid w:val="00F92C05"/>
    <w:rsid w:val="00F94213"/>
    <w:rsid w:val="00F94DC7"/>
    <w:rsid w:val="00F96E8B"/>
    <w:rsid w:val="00FA0395"/>
    <w:rsid w:val="00FA58A0"/>
    <w:rsid w:val="00FA5927"/>
    <w:rsid w:val="00FA6752"/>
    <w:rsid w:val="00FA77AB"/>
    <w:rsid w:val="00FB27A3"/>
    <w:rsid w:val="00FB4B33"/>
    <w:rsid w:val="00FB5703"/>
    <w:rsid w:val="00FB5B30"/>
    <w:rsid w:val="00FB6282"/>
    <w:rsid w:val="00FC01E9"/>
    <w:rsid w:val="00FC2C17"/>
    <w:rsid w:val="00FC66D5"/>
    <w:rsid w:val="00FD1736"/>
    <w:rsid w:val="00FD221C"/>
    <w:rsid w:val="00FD6CAB"/>
    <w:rsid w:val="00FE0952"/>
    <w:rsid w:val="00FE0A1B"/>
    <w:rsid w:val="00FE304F"/>
    <w:rsid w:val="00FE4753"/>
    <w:rsid w:val="00FE62A7"/>
    <w:rsid w:val="00FF1158"/>
    <w:rsid w:val="00FF22E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282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843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72025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FirstIndent">
    <w:name w:val="Body Text First Indent"/>
    <w:basedOn w:val="BodyText"/>
    <w:rsid w:val="00D66FDA"/>
    <w:pPr>
      <w:spacing w:after="120"/>
      <w:ind w:firstLine="210"/>
    </w:pPr>
    <w:rPr>
      <w:rFonts w:eastAsia="Times New Roman"/>
      <w:lang w:eastAsia="en-US"/>
    </w:rPr>
  </w:style>
  <w:style w:type="table" w:styleId="TableGrid">
    <w:name w:val="Table Grid"/>
    <w:basedOn w:val="TableNormal"/>
    <w:rsid w:val="00D66FDA"/>
    <w:rPr>
      <w:rFonts w:ascii="Cambria" w:eastAsia="MS Mincho" w:hAnsi="Cambr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66FDA"/>
    <w:rPr>
      <w:vertAlign w:val="superscript"/>
    </w:rPr>
  </w:style>
  <w:style w:type="paragraph" w:styleId="TOCHeading">
    <w:name w:val="TOC Heading"/>
    <w:basedOn w:val="Heading1"/>
    <w:next w:val="Normal"/>
    <w:qFormat/>
    <w:rsid w:val="00D66FDA"/>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D66FDA"/>
    <w:rPr>
      <w:rFonts w:eastAsia="Times New Roman"/>
      <w:lang w:eastAsia="en-US"/>
    </w:rPr>
  </w:style>
  <w:style w:type="paragraph" w:styleId="TOC2">
    <w:name w:val="toc 2"/>
    <w:basedOn w:val="Normal"/>
    <w:next w:val="Normal"/>
    <w:autoRedefine/>
    <w:uiPriority w:val="39"/>
    <w:rsid w:val="00D66FDA"/>
    <w:pPr>
      <w:ind w:left="220"/>
    </w:pPr>
    <w:rPr>
      <w:rFonts w:eastAsia="Times New Roman"/>
      <w:lang w:eastAsia="en-US"/>
    </w:rPr>
  </w:style>
  <w:style w:type="character" w:styleId="Hyperlink">
    <w:name w:val="Hyperlink"/>
    <w:rsid w:val="00D66FDA"/>
    <w:rPr>
      <w:color w:val="0000FF"/>
      <w:u w:val="single"/>
    </w:rPr>
  </w:style>
  <w:style w:type="character" w:styleId="PageNumber">
    <w:name w:val="page number"/>
    <w:rsid w:val="00D66FDA"/>
    <w:rPr>
      <w:rFonts w:cs="Times New Roman"/>
    </w:rPr>
  </w:style>
  <w:style w:type="paragraph" w:styleId="ListParagraph">
    <w:name w:val="List Paragraph"/>
    <w:basedOn w:val="Normal"/>
    <w:uiPriority w:val="34"/>
    <w:qFormat/>
    <w:rsid w:val="00D66FDA"/>
    <w:pPr>
      <w:ind w:left="720"/>
    </w:pPr>
    <w:rPr>
      <w:rFonts w:eastAsia="Times New Roman"/>
      <w:lang w:eastAsia="en-US"/>
    </w:rPr>
  </w:style>
  <w:style w:type="character" w:customStyle="1" w:styleId="BalloonTextChar">
    <w:name w:val="Balloon Text Char"/>
    <w:link w:val="BalloonText"/>
    <w:locked/>
    <w:rsid w:val="00D66FDA"/>
    <w:rPr>
      <w:rFonts w:ascii="Tahoma" w:eastAsia="SimSun" w:hAnsi="Tahoma" w:cs="Tahoma"/>
      <w:sz w:val="16"/>
      <w:szCs w:val="16"/>
      <w:lang w:val="en-US" w:eastAsia="zh-CN" w:bidi="ar-SA"/>
    </w:rPr>
  </w:style>
  <w:style w:type="character" w:customStyle="1" w:styleId="HeaderChar">
    <w:name w:val="Header Char"/>
    <w:link w:val="Header"/>
    <w:locked/>
    <w:rsid w:val="00D66FDA"/>
    <w:rPr>
      <w:rFonts w:ascii="Arial" w:eastAsia="SimSun" w:hAnsi="Arial" w:cs="Arial"/>
      <w:sz w:val="22"/>
      <w:lang w:val="en-US" w:eastAsia="zh-CN" w:bidi="ar-SA"/>
    </w:rPr>
  </w:style>
  <w:style w:type="paragraph" w:styleId="Revision">
    <w:name w:val="Revision"/>
    <w:hidden/>
    <w:rsid w:val="00D66FDA"/>
    <w:rPr>
      <w:rFonts w:ascii="Arial" w:hAnsi="Arial" w:cs="Arial"/>
      <w:sz w:val="22"/>
      <w:lang w:val="en-US"/>
    </w:rPr>
  </w:style>
  <w:style w:type="character" w:customStyle="1" w:styleId="Heading1Char">
    <w:name w:val="Heading 1 Char"/>
    <w:link w:val="Heading1"/>
    <w:rsid w:val="00A971BE"/>
    <w:rPr>
      <w:rFonts w:ascii="Arial" w:eastAsia="SimSun" w:hAnsi="Arial" w:cs="Arial"/>
      <w:b/>
      <w:bCs/>
      <w:caps/>
      <w:kern w:val="32"/>
      <w:sz w:val="22"/>
      <w:szCs w:val="32"/>
      <w:lang w:val="en-US" w:eastAsia="zh-CN" w:bidi="ar-SA"/>
    </w:rPr>
  </w:style>
  <w:style w:type="character" w:customStyle="1" w:styleId="Heading2Char">
    <w:name w:val="Heading 2 Char"/>
    <w:link w:val="Heading2"/>
    <w:rsid w:val="00D22E1A"/>
    <w:rPr>
      <w:rFonts w:ascii="Arial" w:eastAsia="SimSun" w:hAnsi="Arial" w:cs="Arial"/>
      <w:bCs/>
      <w:iCs/>
      <w:caps/>
      <w:sz w:val="22"/>
      <w:szCs w:val="28"/>
      <w:lang w:val="en-US" w:eastAsia="zh-CN" w:bidi="ar-SA"/>
    </w:rPr>
  </w:style>
  <w:style w:type="character" w:customStyle="1" w:styleId="Heading4Char">
    <w:name w:val="Heading 4 Char"/>
    <w:link w:val="Heading4"/>
    <w:rsid w:val="00A56789"/>
    <w:rPr>
      <w:rFonts w:ascii="Arial" w:eastAsia="SimSun" w:hAnsi="Arial" w:cs="Arial"/>
      <w:bCs/>
      <w:i/>
      <w:sz w:val="22"/>
      <w:szCs w:val="28"/>
      <w:lang w:val="en-US" w:eastAsia="zh-CN" w:bidi="ar-SA"/>
    </w:rPr>
  </w:style>
  <w:style w:type="paragraph" w:customStyle="1" w:styleId="Default">
    <w:name w:val="Default"/>
    <w:rsid w:val="00212704"/>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212704"/>
    <w:rPr>
      <w:rFonts w:ascii="Arial" w:eastAsia="SimSun" w:hAnsi="Arial" w:cs="Arial"/>
      <w:sz w:val="22"/>
      <w:lang w:val="en-US" w:eastAsia="zh-CN" w:bidi="ar-SA"/>
    </w:rPr>
  </w:style>
  <w:style w:type="character" w:customStyle="1" w:styleId="FootnoteTextChar">
    <w:name w:val="Footnote Text Char"/>
    <w:link w:val="FootnoteText"/>
    <w:semiHidden/>
    <w:rsid w:val="00C04348"/>
    <w:rPr>
      <w:rFonts w:ascii="Arial" w:eastAsia="SimSun" w:hAnsi="Arial" w:cs="Arial"/>
      <w:sz w:val="18"/>
      <w:lang w:val="en-US" w:eastAsia="zh-CN"/>
    </w:rPr>
  </w:style>
  <w:style w:type="paragraph" w:styleId="TOC3">
    <w:name w:val="toc 3"/>
    <w:basedOn w:val="Normal"/>
    <w:next w:val="Normal"/>
    <w:autoRedefine/>
    <w:uiPriority w:val="39"/>
    <w:rsid w:val="007533C3"/>
    <w:pPr>
      <w:ind w:left="440"/>
    </w:pPr>
  </w:style>
  <w:style w:type="paragraph" w:styleId="NormalWeb">
    <w:name w:val="Normal (Web)"/>
    <w:basedOn w:val="Normal"/>
    <w:rsid w:val="00E53CF3"/>
    <w:rPr>
      <w:rFonts w:ascii="Times New Roman" w:hAnsi="Times New Roman" w:cs="Times New Roman"/>
      <w:sz w:val="24"/>
      <w:szCs w:val="24"/>
    </w:rPr>
  </w:style>
  <w:style w:type="character" w:styleId="CommentReference">
    <w:name w:val="annotation reference"/>
    <w:basedOn w:val="DefaultParagraphFont"/>
    <w:rsid w:val="006303DF"/>
    <w:rPr>
      <w:sz w:val="18"/>
      <w:szCs w:val="18"/>
    </w:rPr>
  </w:style>
  <w:style w:type="paragraph" w:styleId="CommentSubject">
    <w:name w:val="annotation subject"/>
    <w:basedOn w:val="CommentText"/>
    <w:next w:val="CommentText"/>
    <w:link w:val="CommentSubjectChar"/>
    <w:rsid w:val="006303DF"/>
    <w:rPr>
      <w:b/>
      <w:bCs/>
      <w:sz w:val="20"/>
    </w:rPr>
  </w:style>
  <w:style w:type="character" w:customStyle="1" w:styleId="CommentTextChar">
    <w:name w:val="Comment Text Char"/>
    <w:basedOn w:val="DefaultParagraphFont"/>
    <w:link w:val="CommentText"/>
    <w:semiHidden/>
    <w:rsid w:val="006303DF"/>
    <w:rPr>
      <w:rFonts w:ascii="Arial" w:eastAsia="SimSun" w:hAnsi="Arial" w:cs="Arial"/>
      <w:sz w:val="18"/>
      <w:lang w:val="en-US" w:eastAsia="zh-CN"/>
    </w:rPr>
  </w:style>
  <w:style w:type="character" w:customStyle="1" w:styleId="CommentSubjectChar">
    <w:name w:val="Comment Subject Char"/>
    <w:basedOn w:val="CommentTextChar"/>
    <w:link w:val="CommentSubject"/>
    <w:rsid w:val="006303DF"/>
    <w:rPr>
      <w:rFonts w:ascii="Arial" w:eastAsia="SimSun" w:hAnsi="Arial" w:cs="Arial"/>
      <w:b/>
      <w:bCs/>
      <w:sz w:val="18"/>
      <w:lang w:val="en-US" w:eastAsia="zh-CN"/>
    </w:rPr>
  </w:style>
  <w:style w:type="character" w:customStyle="1" w:styleId="hps">
    <w:name w:val="hps"/>
    <w:basedOn w:val="DefaultParagraphFont"/>
    <w:rsid w:val="00E55A10"/>
  </w:style>
  <w:style w:type="character" w:customStyle="1" w:styleId="atn">
    <w:name w:val="atn"/>
    <w:basedOn w:val="DefaultParagraphFont"/>
    <w:rsid w:val="00E55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843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72025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FirstIndent">
    <w:name w:val="Body Text First Indent"/>
    <w:basedOn w:val="BodyText"/>
    <w:rsid w:val="00D66FDA"/>
    <w:pPr>
      <w:spacing w:after="120"/>
      <w:ind w:firstLine="210"/>
    </w:pPr>
    <w:rPr>
      <w:rFonts w:eastAsia="Times New Roman"/>
      <w:lang w:eastAsia="en-US"/>
    </w:rPr>
  </w:style>
  <w:style w:type="table" w:styleId="TableGrid">
    <w:name w:val="Table Grid"/>
    <w:basedOn w:val="TableNormal"/>
    <w:rsid w:val="00D66FDA"/>
    <w:rPr>
      <w:rFonts w:ascii="Cambria" w:eastAsia="MS Mincho" w:hAnsi="Cambr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66FDA"/>
    <w:rPr>
      <w:vertAlign w:val="superscript"/>
    </w:rPr>
  </w:style>
  <w:style w:type="paragraph" w:styleId="TOCHeading">
    <w:name w:val="TOC Heading"/>
    <w:basedOn w:val="Heading1"/>
    <w:next w:val="Normal"/>
    <w:qFormat/>
    <w:rsid w:val="00D66FDA"/>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D66FDA"/>
    <w:rPr>
      <w:rFonts w:eastAsia="Times New Roman"/>
      <w:lang w:eastAsia="en-US"/>
    </w:rPr>
  </w:style>
  <w:style w:type="paragraph" w:styleId="TOC2">
    <w:name w:val="toc 2"/>
    <w:basedOn w:val="Normal"/>
    <w:next w:val="Normal"/>
    <w:autoRedefine/>
    <w:uiPriority w:val="39"/>
    <w:rsid w:val="00D66FDA"/>
    <w:pPr>
      <w:ind w:left="220"/>
    </w:pPr>
    <w:rPr>
      <w:rFonts w:eastAsia="Times New Roman"/>
      <w:lang w:eastAsia="en-US"/>
    </w:rPr>
  </w:style>
  <w:style w:type="character" w:styleId="Hyperlink">
    <w:name w:val="Hyperlink"/>
    <w:rsid w:val="00D66FDA"/>
    <w:rPr>
      <w:color w:val="0000FF"/>
      <w:u w:val="single"/>
    </w:rPr>
  </w:style>
  <w:style w:type="character" w:styleId="PageNumber">
    <w:name w:val="page number"/>
    <w:rsid w:val="00D66FDA"/>
    <w:rPr>
      <w:rFonts w:cs="Times New Roman"/>
    </w:rPr>
  </w:style>
  <w:style w:type="paragraph" w:styleId="ListParagraph">
    <w:name w:val="List Paragraph"/>
    <w:basedOn w:val="Normal"/>
    <w:uiPriority w:val="34"/>
    <w:qFormat/>
    <w:rsid w:val="00D66FDA"/>
    <w:pPr>
      <w:ind w:left="720"/>
    </w:pPr>
    <w:rPr>
      <w:rFonts w:eastAsia="Times New Roman"/>
      <w:lang w:eastAsia="en-US"/>
    </w:rPr>
  </w:style>
  <w:style w:type="character" w:customStyle="1" w:styleId="BalloonTextChar">
    <w:name w:val="Balloon Text Char"/>
    <w:link w:val="BalloonText"/>
    <w:locked/>
    <w:rsid w:val="00D66FDA"/>
    <w:rPr>
      <w:rFonts w:ascii="Tahoma" w:eastAsia="SimSun" w:hAnsi="Tahoma" w:cs="Tahoma"/>
      <w:sz w:val="16"/>
      <w:szCs w:val="16"/>
      <w:lang w:val="en-US" w:eastAsia="zh-CN" w:bidi="ar-SA"/>
    </w:rPr>
  </w:style>
  <w:style w:type="character" w:customStyle="1" w:styleId="HeaderChar">
    <w:name w:val="Header Char"/>
    <w:link w:val="Header"/>
    <w:locked/>
    <w:rsid w:val="00D66FDA"/>
    <w:rPr>
      <w:rFonts w:ascii="Arial" w:eastAsia="SimSun" w:hAnsi="Arial" w:cs="Arial"/>
      <w:sz w:val="22"/>
      <w:lang w:val="en-US" w:eastAsia="zh-CN" w:bidi="ar-SA"/>
    </w:rPr>
  </w:style>
  <w:style w:type="paragraph" w:styleId="Revision">
    <w:name w:val="Revision"/>
    <w:hidden/>
    <w:rsid w:val="00D66FDA"/>
    <w:rPr>
      <w:rFonts w:ascii="Arial" w:hAnsi="Arial" w:cs="Arial"/>
      <w:sz w:val="22"/>
      <w:lang w:val="en-US"/>
    </w:rPr>
  </w:style>
  <w:style w:type="character" w:customStyle="1" w:styleId="Heading1Char">
    <w:name w:val="Heading 1 Char"/>
    <w:link w:val="Heading1"/>
    <w:rsid w:val="00A971BE"/>
    <w:rPr>
      <w:rFonts w:ascii="Arial" w:eastAsia="SimSun" w:hAnsi="Arial" w:cs="Arial"/>
      <w:b/>
      <w:bCs/>
      <w:caps/>
      <w:kern w:val="32"/>
      <w:sz w:val="22"/>
      <w:szCs w:val="32"/>
      <w:lang w:val="en-US" w:eastAsia="zh-CN" w:bidi="ar-SA"/>
    </w:rPr>
  </w:style>
  <w:style w:type="character" w:customStyle="1" w:styleId="Heading2Char">
    <w:name w:val="Heading 2 Char"/>
    <w:link w:val="Heading2"/>
    <w:rsid w:val="00D22E1A"/>
    <w:rPr>
      <w:rFonts w:ascii="Arial" w:eastAsia="SimSun" w:hAnsi="Arial" w:cs="Arial"/>
      <w:bCs/>
      <w:iCs/>
      <w:caps/>
      <w:sz w:val="22"/>
      <w:szCs w:val="28"/>
      <w:lang w:val="en-US" w:eastAsia="zh-CN" w:bidi="ar-SA"/>
    </w:rPr>
  </w:style>
  <w:style w:type="character" w:customStyle="1" w:styleId="Heading4Char">
    <w:name w:val="Heading 4 Char"/>
    <w:link w:val="Heading4"/>
    <w:rsid w:val="00A56789"/>
    <w:rPr>
      <w:rFonts w:ascii="Arial" w:eastAsia="SimSun" w:hAnsi="Arial" w:cs="Arial"/>
      <w:bCs/>
      <w:i/>
      <w:sz w:val="22"/>
      <w:szCs w:val="28"/>
      <w:lang w:val="en-US" w:eastAsia="zh-CN" w:bidi="ar-SA"/>
    </w:rPr>
  </w:style>
  <w:style w:type="paragraph" w:customStyle="1" w:styleId="Default">
    <w:name w:val="Default"/>
    <w:rsid w:val="00212704"/>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212704"/>
    <w:rPr>
      <w:rFonts w:ascii="Arial" w:eastAsia="SimSun" w:hAnsi="Arial" w:cs="Arial"/>
      <w:sz w:val="22"/>
      <w:lang w:val="en-US" w:eastAsia="zh-CN" w:bidi="ar-SA"/>
    </w:rPr>
  </w:style>
  <w:style w:type="character" w:customStyle="1" w:styleId="FootnoteTextChar">
    <w:name w:val="Footnote Text Char"/>
    <w:link w:val="FootnoteText"/>
    <w:semiHidden/>
    <w:rsid w:val="00C04348"/>
    <w:rPr>
      <w:rFonts w:ascii="Arial" w:eastAsia="SimSun" w:hAnsi="Arial" w:cs="Arial"/>
      <w:sz w:val="18"/>
      <w:lang w:val="en-US" w:eastAsia="zh-CN"/>
    </w:rPr>
  </w:style>
  <w:style w:type="paragraph" w:styleId="TOC3">
    <w:name w:val="toc 3"/>
    <w:basedOn w:val="Normal"/>
    <w:next w:val="Normal"/>
    <w:autoRedefine/>
    <w:uiPriority w:val="39"/>
    <w:rsid w:val="007533C3"/>
    <w:pPr>
      <w:ind w:left="440"/>
    </w:pPr>
  </w:style>
  <w:style w:type="paragraph" w:styleId="NormalWeb">
    <w:name w:val="Normal (Web)"/>
    <w:basedOn w:val="Normal"/>
    <w:rsid w:val="00E53CF3"/>
    <w:rPr>
      <w:rFonts w:ascii="Times New Roman" w:hAnsi="Times New Roman" w:cs="Times New Roman"/>
      <w:sz w:val="24"/>
      <w:szCs w:val="24"/>
    </w:rPr>
  </w:style>
  <w:style w:type="character" w:styleId="CommentReference">
    <w:name w:val="annotation reference"/>
    <w:basedOn w:val="DefaultParagraphFont"/>
    <w:rsid w:val="006303DF"/>
    <w:rPr>
      <w:sz w:val="18"/>
      <w:szCs w:val="18"/>
    </w:rPr>
  </w:style>
  <w:style w:type="paragraph" w:styleId="CommentSubject">
    <w:name w:val="annotation subject"/>
    <w:basedOn w:val="CommentText"/>
    <w:next w:val="CommentText"/>
    <w:link w:val="CommentSubjectChar"/>
    <w:rsid w:val="006303DF"/>
    <w:rPr>
      <w:b/>
      <w:bCs/>
      <w:sz w:val="20"/>
    </w:rPr>
  </w:style>
  <w:style w:type="character" w:customStyle="1" w:styleId="CommentTextChar">
    <w:name w:val="Comment Text Char"/>
    <w:basedOn w:val="DefaultParagraphFont"/>
    <w:link w:val="CommentText"/>
    <w:semiHidden/>
    <w:rsid w:val="006303DF"/>
    <w:rPr>
      <w:rFonts w:ascii="Arial" w:eastAsia="SimSun" w:hAnsi="Arial" w:cs="Arial"/>
      <w:sz w:val="18"/>
      <w:lang w:val="en-US" w:eastAsia="zh-CN"/>
    </w:rPr>
  </w:style>
  <w:style w:type="character" w:customStyle="1" w:styleId="CommentSubjectChar">
    <w:name w:val="Comment Subject Char"/>
    <w:basedOn w:val="CommentTextChar"/>
    <w:link w:val="CommentSubject"/>
    <w:rsid w:val="006303DF"/>
    <w:rPr>
      <w:rFonts w:ascii="Arial" w:eastAsia="SimSun" w:hAnsi="Arial" w:cs="Arial"/>
      <w:b/>
      <w:bCs/>
      <w:sz w:val="18"/>
      <w:lang w:val="en-US" w:eastAsia="zh-CN"/>
    </w:rPr>
  </w:style>
  <w:style w:type="character" w:customStyle="1" w:styleId="hps">
    <w:name w:val="hps"/>
    <w:basedOn w:val="DefaultParagraphFont"/>
    <w:rsid w:val="00E55A10"/>
  </w:style>
  <w:style w:type="character" w:customStyle="1" w:styleId="atn">
    <w:name w:val="atn"/>
    <w:basedOn w:val="DefaultParagraphFont"/>
    <w:rsid w:val="00E55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5241">
      <w:bodyDiv w:val="1"/>
      <w:marLeft w:val="0"/>
      <w:marRight w:val="0"/>
      <w:marTop w:val="0"/>
      <w:marBottom w:val="0"/>
      <w:divBdr>
        <w:top w:val="none" w:sz="0" w:space="0" w:color="auto"/>
        <w:left w:val="none" w:sz="0" w:space="0" w:color="auto"/>
        <w:bottom w:val="none" w:sz="0" w:space="0" w:color="auto"/>
        <w:right w:val="none" w:sz="0" w:space="0" w:color="auto"/>
      </w:divBdr>
    </w:div>
    <w:div w:id="1405101752">
      <w:bodyDiv w:val="1"/>
      <w:marLeft w:val="0"/>
      <w:marRight w:val="0"/>
      <w:marTop w:val="0"/>
      <w:marBottom w:val="0"/>
      <w:divBdr>
        <w:top w:val="none" w:sz="0" w:space="0" w:color="auto"/>
        <w:left w:val="none" w:sz="0" w:space="0" w:color="auto"/>
        <w:bottom w:val="none" w:sz="0" w:space="0" w:color="auto"/>
        <w:right w:val="none" w:sz="0" w:space="0" w:color="auto"/>
      </w:divBdr>
    </w:div>
    <w:div w:id="1504277103">
      <w:bodyDiv w:val="1"/>
      <w:marLeft w:val="0"/>
      <w:marRight w:val="0"/>
      <w:marTop w:val="0"/>
      <w:marBottom w:val="0"/>
      <w:divBdr>
        <w:top w:val="none" w:sz="0" w:space="0" w:color="auto"/>
        <w:left w:val="none" w:sz="0" w:space="0" w:color="auto"/>
        <w:bottom w:val="none" w:sz="0" w:space="0" w:color="auto"/>
        <w:right w:val="none" w:sz="0" w:space="0" w:color="auto"/>
      </w:divBdr>
    </w:div>
    <w:div w:id="1641110376">
      <w:bodyDiv w:val="1"/>
      <w:marLeft w:val="0"/>
      <w:marRight w:val="0"/>
      <w:marTop w:val="0"/>
      <w:marBottom w:val="0"/>
      <w:divBdr>
        <w:top w:val="none" w:sz="0" w:space="0" w:color="auto"/>
        <w:left w:val="none" w:sz="0" w:space="0" w:color="auto"/>
        <w:bottom w:val="none" w:sz="0" w:space="0" w:color="auto"/>
        <w:right w:val="none" w:sz="0" w:space="0" w:color="auto"/>
      </w:divBdr>
    </w:div>
    <w:div w:id="176561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31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7D4B-0E98-4D80-991D-C2D3DD83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6996</Words>
  <Characters>39880</Characters>
  <Application>Microsoft Office Word</Application>
  <DocSecurity>0</DocSecurity>
  <Lines>332</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CDIP/14/6</vt:lpstr>
      <vt:lpstr>CDIP/14/6</vt:lpstr>
    </vt:vector>
  </TitlesOfParts>
  <Company>WIPO</Company>
  <LinksUpToDate>false</LinksUpToDate>
  <CharactersWithSpaces>46783</CharactersWithSpaces>
  <SharedDoc>false</SharedDoc>
  <HLinks>
    <vt:vector size="84" baseType="variant">
      <vt:variant>
        <vt:i4>1245185</vt:i4>
      </vt:variant>
      <vt:variant>
        <vt:i4>80</vt:i4>
      </vt:variant>
      <vt:variant>
        <vt:i4>0</vt:i4>
      </vt:variant>
      <vt:variant>
        <vt:i4>5</vt:i4>
      </vt:variant>
      <vt:variant>
        <vt:lpwstr/>
      </vt:variant>
      <vt:variant>
        <vt:lpwstr>_Toc336424472</vt:lpwstr>
      </vt:variant>
      <vt:variant>
        <vt:i4>1245186</vt:i4>
      </vt:variant>
      <vt:variant>
        <vt:i4>74</vt:i4>
      </vt:variant>
      <vt:variant>
        <vt:i4>0</vt:i4>
      </vt:variant>
      <vt:variant>
        <vt:i4>5</vt:i4>
      </vt:variant>
      <vt:variant>
        <vt:lpwstr/>
      </vt:variant>
      <vt:variant>
        <vt:lpwstr>_Toc336424471</vt:lpwstr>
      </vt:variant>
      <vt:variant>
        <vt:i4>1245187</vt:i4>
      </vt:variant>
      <vt:variant>
        <vt:i4>68</vt:i4>
      </vt:variant>
      <vt:variant>
        <vt:i4>0</vt:i4>
      </vt:variant>
      <vt:variant>
        <vt:i4>5</vt:i4>
      </vt:variant>
      <vt:variant>
        <vt:lpwstr/>
      </vt:variant>
      <vt:variant>
        <vt:lpwstr>_Toc336424470</vt:lpwstr>
      </vt:variant>
      <vt:variant>
        <vt:i4>1179658</vt:i4>
      </vt:variant>
      <vt:variant>
        <vt:i4>62</vt:i4>
      </vt:variant>
      <vt:variant>
        <vt:i4>0</vt:i4>
      </vt:variant>
      <vt:variant>
        <vt:i4>5</vt:i4>
      </vt:variant>
      <vt:variant>
        <vt:lpwstr/>
      </vt:variant>
      <vt:variant>
        <vt:lpwstr>_Toc336424469</vt:lpwstr>
      </vt:variant>
      <vt:variant>
        <vt:i4>1179659</vt:i4>
      </vt:variant>
      <vt:variant>
        <vt:i4>56</vt:i4>
      </vt:variant>
      <vt:variant>
        <vt:i4>0</vt:i4>
      </vt:variant>
      <vt:variant>
        <vt:i4>5</vt:i4>
      </vt:variant>
      <vt:variant>
        <vt:lpwstr/>
      </vt:variant>
      <vt:variant>
        <vt:lpwstr>_Toc336424468</vt:lpwstr>
      </vt:variant>
      <vt:variant>
        <vt:i4>1179652</vt:i4>
      </vt:variant>
      <vt:variant>
        <vt:i4>50</vt:i4>
      </vt:variant>
      <vt:variant>
        <vt:i4>0</vt:i4>
      </vt:variant>
      <vt:variant>
        <vt:i4>5</vt:i4>
      </vt:variant>
      <vt:variant>
        <vt:lpwstr/>
      </vt:variant>
      <vt:variant>
        <vt:lpwstr>_Toc336424467</vt:lpwstr>
      </vt:variant>
      <vt:variant>
        <vt:i4>1179653</vt:i4>
      </vt:variant>
      <vt:variant>
        <vt:i4>44</vt:i4>
      </vt:variant>
      <vt:variant>
        <vt:i4>0</vt:i4>
      </vt:variant>
      <vt:variant>
        <vt:i4>5</vt:i4>
      </vt:variant>
      <vt:variant>
        <vt:lpwstr/>
      </vt:variant>
      <vt:variant>
        <vt:lpwstr>_Toc336424466</vt:lpwstr>
      </vt:variant>
      <vt:variant>
        <vt:i4>1179654</vt:i4>
      </vt:variant>
      <vt:variant>
        <vt:i4>38</vt:i4>
      </vt:variant>
      <vt:variant>
        <vt:i4>0</vt:i4>
      </vt:variant>
      <vt:variant>
        <vt:i4>5</vt:i4>
      </vt:variant>
      <vt:variant>
        <vt:lpwstr/>
      </vt:variant>
      <vt:variant>
        <vt:lpwstr>_Toc336424465</vt:lpwstr>
      </vt:variant>
      <vt:variant>
        <vt:i4>1179655</vt:i4>
      </vt:variant>
      <vt:variant>
        <vt:i4>32</vt:i4>
      </vt:variant>
      <vt:variant>
        <vt:i4>0</vt:i4>
      </vt:variant>
      <vt:variant>
        <vt:i4>5</vt:i4>
      </vt:variant>
      <vt:variant>
        <vt:lpwstr/>
      </vt:variant>
      <vt:variant>
        <vt:lpwstr>_Toc336424464</vt:lpwstr>
      </vt:variant>
      <vt:variant>
        <vt:i4>1179648</vt:i4>
      </vt:variant>
      <vt:variant>
        <vt:i4>26</vt:i4>
      </vt:variant>
      <vt:variant>
        <vt:i4>0</vt:i4>
      </vt:variant>
      <vt:variant>
        <vt:i4>5</vt:i4>
      </vt:variant>
      <vt:variant>
        <vt:lpwstr/>
      </vt:variant>
      <vt:variant>
        <vt:lpwstr>_Toc336424463</vt:lpwstr>
      </vt:variant>
      <vt:variant>
        <vt:i4>1179649</vt:i4>
      </vt:variant>
      <vt:variant>
        <vt:i4>20</vt:i4>
      </vt:variant>
      <vt:variant>
        <vt:i4>0</vt:i4>
      </vt:variant>
      <vt:variant>
        <vt:i4>5</vt:i4>
      </vt:variant>
      <vt:variant>
        <vt:lpwstr/>
      </vt:variant>
      <vt:variant>
        <vt:lpwstr>_Toc336424462</vt:lpwstr>
      </vt:variant>
      <vt:variant>
        <vt:i4>1179650</vt:i4>
      </vt:variant>
      <vt:variant>
        <vt:i4>14</vt:i4>
      </vt:variant>
      <vt:variant>
        <vt:i4>0</vt:i4>
      </vt:variant>
      <vt:variant>
        <vt:i4>5</vt:i4>
      </vt:variant>
      <vt:variant>
        <vt:lpwstr/>
      </vt:variant>
      <vt:variant>
        <vt:lpwstr>_Toc336424461</vt:lpwstr>
      </vt:variant>
      <vt:variant>
        <vt:i4>1179651</vt:i4>
      </vt:variant>
      <vt:variant>
        <vt:i4>8</vt:i4>
      </vt:variant>
      <vt:variant>
        <vt:i4>0</vt:i4>
      </vt:variant>
      <vt:variant>
        <vt:i4>5</vt:i4>
      </vt:variant>
      <vt:variant>
        <vt:lpwstr/>
      </vt:variant>
      <vt:variant>
        <vt:lpwstr>_Toc336424460</vt:lpwstr>
      </vt:variant>
      <vt:variant>
        <vt:i4>1114122</vt:i4>
      </vt:variant>
      <vt:variant>
        <vt:i4>2</vt:i4>
      </vt:variant>
      <vt:variant>
        <vt:i4>0</vt:i4>
      </vt:variant>
      <vt:variant>
        <vt:i4>5</vt:i4>
      </vt:variant>
      <vt:variant>
        <vt:lpwstr/>
      </vt:variant>
      <vt:variant>
        <vt:lpwstr>_Toc336424459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CDIP/14/6</dc:title>
  <dc:subject>Resumen del informe de evaluación del proyecto sobre creación de instrumentos de acceso a la información sobre patentes - Fase II</dc:subject>
  <dc:creator>Celia</dc:creator>
  <dc:description>CF (trad. ext) - 24/9/2014;
MH (preQC)</dc:description>
  <cp:lastModifiedBy>IBRAHIM Ammar</cp:lastModifiedBy>
  <cp:revision>10</cp:revision>
  <cp:lastPrinted>2014-10-31T08:35:00Z</cp:lastPrinted>
  <dcterms:created xsi:type="dcterms:W3CDTF">2014-10-01T13:48:00Z</dcterms:created>
  <dcterms:modified xsi:type="dcterms:W3CDTF">2014-10-31T08:36:00Z</dcterms:modified>
</cp:coreProperties>
</file>