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61C17" w:rsidRPr="00B83E1A" w14:paraId="4E068CB1" w14:textId="77777777" w:rsidTr="0088395E">
        <w:tc>
          <w:tcPr>
            <w:tcW w:w="4513" w:type="dxa"/>
            <w:tcBorders>
              <w:bottom w:val="single" w:sz="4" w:space="0" w:color="auto"/>
            </w:tcBorders>
            <w:tcMar>
              <w:bottom w:w="170" w:type="dxa"/>
            </w:tcMar>
          </w:tcPr>
          <w:p w14:paraId="63E9693B" w14:textId="77777777" w:rsidR="00E504E5" w:rsidRPr="00B83E1A" w:rsidRDefault="00E504E5" w:rsidP="00AB613D"/>
        </w:tc>
        <w:tc>
          <w:tcPr>
            <w:tcW w:w="4337" w:type="dxa"/>
            <w:tcBorders>
              <w:bottom w:val="single" w:sz="4" w:space="0" w:color="auto"/>
            </w:tcBorders>
            <w:tcMar>
              <w:left w:w="0" w:type="dxa"/>
              <w:right w:w="0" w:type="dxa"/>
            </w:tcMar>
          </w:tcPr>
          <w:p w14:paraId="0C76F11A" w14:textId="77777777" w:rsidR="00E504E5" w:rsidRPr="00B83E1A" w:rsidRDefault="00B3097E" w:rsidP="00AB613D">
            <w:r w:rsidRPr="00B83E1A">
              <w:rPr>
                <w:noProof/>
                <w:lang w:val="en-US" w:eastAsia="en-US"/>
              </w:rPr>
              <w:drawing>
                <wp:inline distT="0" distB="0" distL="0" distR="0" wp14:anchorId="1CFB6A3E" wp14:editId="74278B1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A0C1ECD" w14:textId="77777777" w:rsidR="00E504E5" w:rsidRPr="00B83E1A" w:rsidRDefault="00E504E5" w:rsidP="00AB613D">
            <w:pPr>
              <w:jc w:val="right"/>
            </w:pPr>
            <w:r w:rsidRPr="00B83E1A">
              <w:rPr>
                <w:b/>
                <w:sz w:val="40"/>
                <w:szCs w:val="40"/>
              </w:rPr>
              <w:t>S</w:t>
            </w:r>
          </w:p>
        </w:tc>
      </w:tr>
      <w:tr w:rsidR="00A61C17" w:rsidRPr="00B83E1A" w14:paraId="5E3C95F2" w14:textId="77777777" w:rsidTr="00AB613D">
        <w:trPr>
          <w:trHeight w:hRule="exact" w:val="340"/>
        </w:trPr>
        <w:tc>
          <w:tcPr>
            <w:tcW w:w="9356" w:type="dxa"/>
            <w:gridSpan w:val="3"/>
            <w:tcBorders>
              <w:top w:val="single" w:sz="4" w:space="0" w:color="auto"/>
            </w:tcBorders>
            <w:tcMar>
              <w:top w:w="170" w:type="dxa"/>
              <w:left w:w="0" w:type="dxa"/>
              <w:right w:w="0" w:type="dxa"/>
            </w:tcMar>
            <w:vAlign w:val="bottom"/>
          </w:tcPr>
          <w:p w14:paraId="6C50438E" w14:textId="76B69A3E" w:rsidR="008B2CC1" w:rsidRPr="00B83E1A" w:rsidRDefault="001A614D" w:rsidP="008565A4">
            <w:pPr>
              <w:jc w:val="right"/>
              <w:rPr>
                <w:rFonts w:ascii="Arial Black" w:hAnsi="Arial Black"/>
                <w:caps/>
                <w:sz w:val="15"/>
              </w:rPr>
            </w:pPr>
            <w:r w:rsidRPr="00B83E1A">
              <w:rPr>
                <w:rFonts w:ascii="Arial Black" w:hAnsi="Arial Black"/>
                <w:sz w:val="15"/>
              </w:rPr>
              <w:t>CDIP/12/</w:t>
            </w:r>
            <w:bookmarkStart w:id="0" w:name="Code"/>
            <w:bookmarkEnd w:id="0"/>
            <w:r w:rsidR="008565A4" w:rsidRPr="00B83E1A">
              <w:rPr>
                <w:rFonts w:ascii="Arial Black" w:hAnsi="Arial Black"/>
                <w:sz w:val="15"/>
              </w:rPr>
              <w:t>8</w:t>
            </w:r>
          </w:p>
        </w:tc>
      </w:tr>
      <w:tr w:rsidR="00A61C17" w:rsidRPr="00B83E1A" w14:paraId="2AEC6C40" w14:textId="77777777" w:rsidTr="00AB613D">
        <w:trPr>
          <w:trHeight w:hRule="exact" w:val="170"/>
        </w:trPr>
        <w:tc>
          <w:tcPr>
            <w:tcW w:w="9356" w:type="dxa"/>
            <w:gridSpan w:val="3"/>
            <w:noWrap/>
            <w:tcMar>
              <w:left w:w="0" w:type="dxa"/>
              <w:right w:w="0" w:type="dxa"/>
            </w:tcMar>
            <w:vAlign w:val="bottom"/>
          </w:tcPr>
          <w:p w14:paraId="55514C64" w14:textId="646D264C" w:rsidR="008B2CC1" w:rsidRPr="00B83E1A" w:rsidRDefault="001A614D" w:rsidP="00AB613D">
            <w:pPr>
              <w:jc w:val="right"/>
              <w:rPr>
                <w:rFonts w:ascii="Arial Black" w:hAnsi="Arial Black"/>
                <w:caps/>
                <w:sz w:val="15"/>
              </w:rPr>
            </w:pPr>
            <w:r w:rsidRPr="00B83E1A">
              <w:rPr>
                <w:rFonts w:ascii="Arial Black" w:hAnsi="Arial Black"/>
                <w:sz w:val="15"/>
              </w:rPr>
              <w:t xml:space="preserve">ORIGINAL:  </w:t>
            </w:r>
            <w:bookmarkStart w:id="1" w:name="Original"/>
            <w:bookmarkEnd w:id="1"/>
            <w:r w:rsidRPr="00B83E1A">
              <w:rPr>
                <w:rFonts w:ascii="Arial Black" w:hAnsi="Arial Black"/>
                <w:sz w:val="15"/>
              </w:rPr>
              <w:t>INGLÉS</w:t>
            </w:r>
          </w:p>
        </w:tc>
      </w:tr>
      <w:tr w:rsidR="00A61C17" w:rsidRPr="00B83E1A" w14:paraId="171E4247" w14:textId="77777777" w:rsidTr="00AB613D">
        <w:trPr>
          <w:trHeight w:hRule="exact" w:val="198"/>
        </w:trPr>
        <w:tc>
          <w:tcPr>
            <w:tcW w:w="9356" w:type="dxa"/>
            <w:gridSpan w:val="3"/>
            <w:tcMar>
              <w:left w:w="0" w:type="dxa"/>
              <w:right w:w="0" w:type="dxa"/>
            </w:tcMar>
            <w:vAlign w:val="bottom"/>
          </w:tcPr>
          <w:p w14:paraId="4B019782" w14:textId="58CB9DA2" w:rsidR="008B2CC1" w:rsidRPr="00B83E1A" w:rsidRDefault="001A614D" w:rsidP="00A61C17">
            <w:pPr>
              <w:jc w:val="right"/>
              <w:rPr>
                <w:rFonts w:ascii="Arial Black" w:hAnsi="Arial Black"/>
                <w:caps/>
                <w:sz w:val="15"/>
              </w:rPr>
            </w:pPr>
            <w:r w:rsidRPr="00B83E1A">
              <w:rPr>
                <w:rFonts w:ascii="Arial Black" w:hAnsi="Arial Black"/>
                <w:sz w:val="15"/>
              </w:rPr>
              <w:t xml:space="preserve">FECHA:  </w:t>
            </w:r>
            <w:bookmarkStart w:id="2" w:name="Date"/>
            <w:bookmarkEnd w:id="2"/>
            <w:r w:rsidRPr="00B83E1A">
              <w:rPr>
                <w:rFonts w:ascii="Arial Black" w:hAnsi="Arial Black"/>
                <w:sz w:val="15"/>
              </w:rPr>
              <w:t>8 DE OCTUBRE DE 2013</w:t>
            </w:r>
          </w:p>
        </w:tc>
      </w:tr>
    </w:tbl>
    <w:p w14:paraId="7EE14E6B" w14:textId="77777777" w:rsidR="008B2CC1" w:rsidRPr="00B83E1A" w:rsidRDefault="008B2CC1" w:rsidP="008B2CC1"/>
    <w:p w14:paraId="248A5AA8" w14:textId="77777777" w:rsidR="008B2CC1" w:rsidRPr="00B83E1A" w:rsidRDefault="008B2CC1" w:rsidP="008B2CC1"/>
    <w:p w14:paraId="6AC49534" w14:textId="77777777" w:rsidR="008B2CC1" w:rsidRPr="00B83E1A" w:rsidRDefault="008B2CC1" w:rsidP="008B2CC1"/>
    <w:p w14:paraId="129CD23F" w14:textId="77777777" w:rsidR="008B2CC1" w:rsidRPr="00B83E1A" w:rsidRDefault="008B2CC1" w:rsidP="008B2CC1"/>
    <w:p w14:paraId="253A7303" w14:textId="77777777" w:rsidR="008B2CC1" w:rsidRPr="00B83E1A" w:rsidRDefault="008B2CC1" w:rsidP="008B2CC1"/>
    <w:p w14:paraId="4E5AEF70" w14:textId="77777777" w:rsidR="004B1BAE" w:rsidRPr="00B83E1A" w:rsidRDefault="004B1BAE" w:rsidP="004B1BAE">
      <w:pPr>
        <w:rPr>
          <w:b/>
          <w:sz w:val="28"/>
          <w:szCs w:val="28"/>
        </w:rPr>
      </w:pPr>
      <w:r w:rsidRPr="00B83E1A">
        <w:rPr>
          <w:b/>
          <w:sz w:val="28"/>
          <w:szCs w:val="28"/>
        </w:rPr>
        <w:t>Comité de Desarrollo y Propiedad Intelectual (CDIP)</w:t>
      </w:r>
    </w:p>
    <w:p w14:paraId="11A0821E" w14:textId="77777777" w:rsidR="003845C1" w:rsidRPr="00B83E1A" w:rsidRDefault="003845C1" w:rsidP="003845C1"/>
    <w:p w14:paraId="55AC77FD" w14:textId="77777777" w:rsidR="003845C1" w:rsidRPr="00B83E1A" w:rsidRDefault="003845C1" w:rsidP="003845C1"/>
    <w:p w14:paraId="5483FC80" w14:textId="77777777" w:rsidR="004B1BAE" w:rsidRPr="00B83E1A" w:rsidRDefault="004B1BAE" w:rsidP="004B1BAE">
      <w:pPr>
        <w:rPr>
          <w:b/>
          <w:sz w:val="24"/>
          <w:szCs w:val="24"/>
        </w:rPr>
      </w:pPr>
      <w:r w:rsidRPr="00B83E1A">
        <w:rPr>
          <w:b/>
          <w:sz w:val="24"/>
          <w:szCs w:val="24"/>
        </w:rPr>
        <w:t>Duodécima sesión</w:t>
      </w:r>
    </w:p>
    <w:p w14:paraId="667AA14D" w14:textId="77777777" w:rsidR="004B1BAE" w:rsidRPr="00B83E1A" w:rsidRDefault="004B1BAE" w:rsidP="004B1BAE">
      <w:pPr>
        <w:rPr>
          <w:b/>
          <w:sz w:val="24"/>
          <w:szCs w:val="24"/>
        </w:rPr>
      </w:pPr>
      <w:r w:rsidRPr="00B83E1A">
        <w:rPr>
          <w:b/>
          <w:sz w:val="24"/>
          <w:szCs w:val="24"/>
        </w:rPr>
        <w:t>Ginebra, 18 a 21 de noviembre de 2013</w:t>
      </w:r>
    </w:p>
    <w:p w14:paraId="098AE8E8" w14:textId="77777777" w:rsidR="008B2CC1" w:rsidRPr="00B83E1A" w:rsidRDefault="008B2CC1" w:rsidP="008B2CC1"/>
    <w:p w14:paraId="3115CF45" w14:textId="77777777" w:rsidR="008B2CC1" w:rsidRPr="00B83E1A" w:rsidRDefault="008B2CC1" w:rsidP="008B2CC1"/>
    <w:p w14:paraId="1AD059D7" w14:textId="7364D254" w:rsidR="00CB71C2" w:rsidRPr="00B83E1A" w:rsidRDefault="00BF0D5C" w:rsidP="00BF0D5C">
      <w:pPr>
        <w:rPr>
          <w:sz w:val="24"/>
          <w:szCs w:val="24"/>
        </w:rPr>
      </w:pPr>
      <w:r w:rsidRPr="00B83E1A">
        <w:rPr>
          <w:caps/>
          <w:sz w:val="24"/>
        </w:rPr>
        <w:t>Medición de los objetivos de desarrollo del milenio (ODM) en otros organismos de las naciones unidas y contribución de la OMPI a los mismos</w:t>
      </w:r>
    </w:p>
    <w:p w14:paraId="46135E07" w14:textId="77777777" w:rsidR="00CB71C2" w:rsidRPr="00B83E1A" w:rsidRDefault="00CB71C2" w:rsidP="00CB71C2"/>
    <w:p w14:paraId="700B12F9" w14:textId="6D5F05B9" w:rsidR="00CB71C2" w:rsidRPr="00B83E1A" w:rsidRDefault="00365EA4" w:rsidP="00CB71C2">
      <w:pPr>
        <w:rPr>
          <w:i/>
          <w:iCs/>
        </w:rPr>
      </w:pPr>
      <w:r w:rsidRPr="00B83E1A">
        <w:rPr>
          <w:i/>
          <w:iCs/>
        </w:rPr>
        <w:t>preparado por la Secretaría</w:t>
      </w:r>
    </w:p>
    <w:p w14:paraId="73E3D1E4" w14:textId="77777777" w:rsidR="00CB71C2" w:rsidRPr="00B83E1A" w:rsidRDefault="00CB71C2" w:rsidP="00CB71C2"/>
    <w:p w14:paraId="05F80634" w14:textId="77777777" w:rsidR="00CB71C2" w:rsidRPr="00B83E1A" w:rsidRDefault="00CB71C2" w:rsidP="00CB71C2"/>
    <w:p w14:paraId="17129B6F" w14:textId="77777777" w:rsidR="00CB71C2" w:rsidRPr="00B83E1A" w:rsidRDefault="00CB71C2" w:rsidP="00CB71C2"/>
    <w:p w14:paraId="3FE1C10C" w14:textId="77777777" w:rsidR="00CB71C2" w:rsidRPr="00B83E1A" w:rsidRDefault="00CB71C2" w:rsidP="00CB71C2"/>
    <w:p w14:paraId="25B4A263" w14:textId="6B6FBC31" w:rsidR="008565A4" w:rsidRPr="00B83E1A" w:rsidRDefault="008565A4" w:rsidP="00133E88"/>
    <w:p w14:paraId="29645619" w14:textId="104C0E4F" w:rsidR="001809D1" w:rsidRPr="00B83E1A" w:rsidRDefault="00BF0D5C" w:rsidP="00133E88">
      <w:pPr>
        <w:pStyle w:val="ONUMFS"/>
        <w:tabs>
          <w:tab w:val="clear" w:pos="4679"/>
          <w:tab w:val="num" w:pos="-4536"/>
        </w:tabs>
        <w:spacing w:after="0"/>
        <w:ind w:left="0"/>
      </w:pPr>
      <w:r w:rsidRPr="00B83E1A">
        <w:t>En su undécima sesión, en el marco de los debates sobre la contribución de la Organización Mundial de la Propiedad Intelectual (OMPI) a la consecución de los Objetivos de Desarrollo del Milenio (ODM), el Comité de Desarrollo y Propiedad Intelectual (CDIP) pidió a la Secretaría que prepare un documento dividido en dos partes, a saber:  i) una compilación de las prácticas utilizadas en otros organismos de las Naciones Unidas, en particular los otros organismos especializados, para medir la contribución en relación con los ODM;  y ii) un breve informe sobre la forma en que la OMPI ha contribuido hasta el momento a los ODM, informe que se basaría en los estudios existentes que se hayan encargado sobre el tema, y ello incluye, sin limitarse a él, el documento CDIP/11/3, y comprendería información sobre la contribución de la OMPI a las seis metas previstas en el marco de los OD</w:t>
      </w:r>
      <w:r w:rsidR="00133E88" w:rsidRPr="00B83E1A">
        <w:t>M 1</w:t>
      </w:r>
      <w:r w:rsidRPr="00B83E1A">
        <w:t xml:space="preserve">, 6 </w:t>
      </w:r>
      <w:r w:rsidR="00133E88" w:rsidRPr="00B83E1A">
        <w:t>y 8</w:t>
      </w:r>
      <w:r w:rsidRPr="00B83E1A">
        <w:t>, utilizando la metodología expuesta en el documento CDIP/11/3, así como una evaluación descriptiva acerca de la forma en que la OMPI contribuye a los otros cinco ODM.  La parte i) del documento se presenta en el Anexo I.  La parte ii) figura en el Anexo II</w:t>
      </w:r>
      <w:r w:rsidR="001809D1" w:rsidRPr="00B83E1A">
        <w:t>.</w:t>
      </w:r>
    </w:p>
    <w:p w14:paraId="1F2C4B8E" w14:textId="77777777" w:rsidR="00133E88" w:rsidRPr="00B83E1A" w:rsidRDefault="00133E88" w:rsidP="00133E88">
      <w:pPr>
        <w:pStyle w:val="ONUMFS"/>
        <w:numPr>
          <w:ilvl w:val="0"/>
          <w:numId w:val="0"/>
        </w:numPr>
        <w:spacing w:after="0"/>
      </w:pPr>
    </w:p>
    <w:p w14:paraId="3381963F" w14:textId="783521F3" w:rsidR="007F54BC" w:rsidRPr="00B83E1A" w:rsidRDefault="00BF0D5C" w:rsidP="00133E88">
      <w:pPr>
        <w:pStyle w:val="ONUMFS"/>
        <w:tabs>
          <w:tab w:val="clear" w:pos="4679"/>
        </w:tabs>
        <w:spacing w:after="0"/>
        <w:ind w:left="5534"/>
        <w:rPr>
          <w:i/>
        </w:rPr>
      </w:pPr>
      <w:r w:rsidRPr="00B83E1A">
        <w:rPr>
          <w:i/>
        </w:rPr>
        <w:t>Se invita al CDIP a tomar nota de la información que figura en el Anexo del presente documento.</w:t>
      </w:r>
    </w:p>
    <w:p w14:paraId="0D6DB82C" w14:textId="77777777" w:rsidR="007F54BC" w:rsidRPr="00B83E1A" w:rsidRDefault="007F54BC" w:rsidP="00133E88">
      <w:pPr>
        <w:rPr>
          <w:i/>
        </w:rPr>
      </w:pPr>
    </w:p>
    <w:p w14:paraId="20350F14" w14:textId="77777777" w:rsidR="007F54BC" w:rsidRPr="00B83E1A" w:rsidRDefault="007F54BC" w:rsidP="00133E88"/>
    <w:p w14:paraId="5F01564C" w14:textId="71B8A6DC" w:rsidR="008565A4" w:rsidRPr="00B83E1A" w:rsidRDefault="007F54BC" w:rsidP="00133E88">
      <w:pPr>
        <w:pStyle w:val="Endofdocument-Annex"/>
        <w:rPr>
          <w:lang w:val="es-ES"/>
        </w:rPr>
      </w:pPr>
      <w:r w:rsidRPr="00B83E1A">
        <w:rPr>
          <w:lang w:val="es-ES"/>
        </w:rPr>
        <w:t>[</w:t>
      </w:r>
      <w:r w:rsidR="002B7AAD" w:rsidRPr="00B83E1A">
        <w:rPr>
          <w:rFonts w:cs="Times New Roman"/>
          <w:lang w:val="es-ES"/>
        </w:rPr>
        <w:t>Siguen los Anexos</w:t>
      </w:r>
      <w:r w:rsidRPr="00B83E1A">
        <w:rPr>
          <w:lang w:val="es-ES"/>
        </w:rPr>
        <w:t>]</w:t>
      </w:r>
    </w:p>
    <w:p w14:paraId="757D83C3" w14:textId="77777777" w:rsidR="000275B2" w:rsidRPr="00B83E1A" w:rsidRDefault="000275B2" w:rsidP="00133E88"/>
    <w:p w14:paraId="65FE1DC7" w14:textId="77777777" w:rsidR="005A154B" w:rsidRPr="00B83E1A" w:rsidRDefault="005A154B" w:rsidP="00133E88">
      <w:pPr>
        <w:sectPr w:rsidR="005A154B" w:rsidRPr="00B83E1A" w:rsidSect="008565A4">
          <w:headerReference w:type="default" r:id="rId10"/>
          <w:pgSz w:w="11906" w:h="16838" w:code="9"/>
          <w:pgMar w:top="567" w:right="1418" w:bottom="1418" w:left="1418" w:header="709" w:footer="709" w:gutter="0"/>
          <w:cols w:space="708"/>
          <w:titlePg/>
          <w:docGrid w:linePitch="360"/>
        </w:sectPr>
      </w:pPr>
    </w:p>
    <w:p w14:paraId="1A82B556" w14:textId="316DB909" w:rsidR="004F460B" w:rsidRPr="00B83E1A" w:rsidRDefault="004F460B" w:rsidP="00133E88">
      <w:pPr>
        <w:jc w:val="center"/>
        <w:rPr>
          <w:rFonts w:eastAsia="Times New Roman"/>
          <w:b/>
          <w:sz w:val="24"/>
          <w:szCs w:val="24"/>
        </w:rPr>
      </w:pPr>
      <w:r w:rsidRPr="00B83E1A">
        <w:rPr>
          <w:rFonts w:eastAsia="Times New Roman"/>
          <w:b/>
          <w:sz w:val="24"/>
          <w:szCs w:val="24"/>
        </w:rPr>
        <w:lastRenderedPageBreak/>
        <w:t>ANEX</w:t>
      </w:r>
      <w:r w:rsidR="00040FB3" w:rsidRPr="00B83E1A">
        <w:rPr>
          <w:rFonts w:eastAsia="Times New Roman"/>
          <w:b/>
          <w:sz w:val="24"/>
          <w:szCs w:val="24"/>
        </w:rPr>
        <w:t>O</w:t>
      </w:r>
      <w:r w:rsidRPr="00B83E1A">
        <w:rPr>
          <w:rFonts w:eastAsia="Times New Roman"/>
          <w:b/>
          <w:sz w:val="24"/>
          <w:szCs w:val="24"/>
        </w:rPr>
        <w:t xml:space="preserve"> I</w:t>
      </w:r>
    </w:p>
    <w:p w14:paraId="237369ED" w14:textId="77777777" w:rsidR="004F460B" w:rsidRPr="00B83E1A" w:rsidRDefault="004F460B" w:rsidP="00133E88">
      <w:pPr>
        <w:jc w:val="center"/>
        <w:rPr>
          <w:rFonts w:eastAsia="Times New Roman"/>
          <w:b/>
          <w:sz w:val="24"/>
          <w:szCs w:val="24"/>
        </w:rPr>
      </w:pPr>
    </w:p>
    <w:p w14:paraId="65F7C5B7" w14:textId="77777777" w:rsidR="00040FB3" w:rsidRPr="00B83E1A" w:rsidRDefault="00040FB3" w:rsidP="00133E88">
      <w:pPr>
        <w:rPr>
          <w:b/>
        </w:rPr>
      </w:pPr>
      <w:r w:rsidRPr="00B83E1A">
        <w:rPr>
          <w:b/>
        </w:rPr>
        <w:t>INTRODUCCIÓN</w:t>
      </w:r>
    </w:p>
    <w:p w14:paraId="6D68F8A9" w14:textId="77777777" w:rsidR="00040FB3" w:rsidRPr="00B83E1A" w:rsidRDefault="00040FB3" w:rsidP="00133E88">
      <w:pPr>
        <w:rPr>
          <w:b/>
        </w:rPr>
      </w:pPr>
    </w:p>
    <w:p w14:paraId="220784B0" w14:textId="77777777" w:rsidR="001809D1" w:rsidRPr="00B83E1A" w:rsidRDefault="00040FB3" w:rsidP="00133E88">
      <w:pPr>
        <w:rPr>
          <w:color w:val="000000"/>
        </w:rPr>
      </w:pPr>
      <w:r w:rsidRPr="00B83E1A">
        <w:rPr>
          <w:color w:val="000000"/>
        </w:rPr>
        <w:t>En su undécima sesión, en el marco de los debates sobre la contribución de la Organización Mundial de la Propiedad Intelectual (OMPI) a la consecución de los Objetivos de Desarrollo del Milenio (ODM), el Comité de Desarrollo y Propiedad Intelectual (CDIP) pidió a la Secretaría que prepare una compilación de las prácticas utilizadas en otros organismos de las Naciones Unidas (ONU), en particular los otros organismos especializados, para medir su contribución en relación con los ODM</w:t>
      </w:r>
      <w:r w:rsidR="001809D1" w:rsidRPr="00B83E1A">
        <w:rPr>
          <w:color w:val="000000"/>
        </w:rPr>
        <w:t>.</w:t>
      </w:r>
    </w:p>
    <w:p w14:paraId="6DB1CA60" w14:textId="0947C970" w:rsidR="00040FB3" w:rsidRPr="00B83E1A" w:rsidRDefault="00040FB3" w:rsidP="00133E88"/>
    <w:p w14:paraId="58ADBF9B" w14:textId="77777777" w:rsidR="00040FB3" w:rsidRPr="00B83E1A" w:rsidRDefault="00040FB3" w:rsidP="00133E88">
      <w:pPr>
        <w:rPr>
          <w:b/>
        </w:rPr>
      </w:pPr>
      <w:r w:rsidRPr="00B83E1A">
        <w:rPr>
          <w:b/>
        </w:rPr>
        <w:t>METODOLOGÍA</w:t>
      </w:r>
    </w:p>
    <w:p w14:paraId="1C9C8B88" w14:textId="77777777" w:rsidR="00040FB3" w:rsidRPr="00B83E1A" w:rsidRDefault="00040FB3" w:rsidP="00133E88">
      <w:pPr>
        <w:rPr>
          <w:b/>
        </w:rPr>
      </w:pPr>
    </w:p>
    <w:p w14:paraId="3CA19B4D" w14:textId="105F7828" w:rsidR="00040FB3" w:rsidRPr="00B83E1A" w:rsidRDefault="00040FB3" w:rsidP="00133E88">
      <w:r w:rsidRPr="00B83E1A">
        <w:t>En respuesta a la solicitud del CDIP se evaluó un total d</w:t>
      </w:r>
      <w:r w:rsidR="00133E88" w:rsidRPr="00B83E1A">
        <w:t>e 1</w:t>
      </w:r>
      <w:r w:rsidRPr="00B83E1A">
        <w:t>7 organismos de la ONU</w:t>
      </w:r>
      <w:r w:rsidR="004B78AE" w:rsidRPr="00B83E1A">
        <w:t>,</w:t>
      </w:r>
      <w:r w:rsidR="004B78AE" w:rsidRPr="00B83E1A">
        <w:rPr>
          <w:rStyle w:val="FootnoteReference"/>
        </w:rPr>
        <w:footnoteReference w:id="2"/>
      </w:r>
      <w:r w:rsidRPr="00B83E1A">
        <w:t xml:space="preserve"> de los cuale</w:t>
      </w:r>
      <w:r w:rsidR="00133E88" w:rsidRPr="00B83E1A">
        <w:t>s 1</w:t>
      </w:r>
      <w:r w:rsidRPr="00B83E1A">
        <w:t>2 están clasificados como organismos especializados</w:t>
      </w:r>
      <w:r w:rsidR="004B78AE" w:rsidRPr="00B83E1A">
        <w:t>,</w:t>
      </w:r>
      <w:r w:rsidR="004B78AE" w:rsidRPr="00B83E1A">
        <w:rPr>
          <w:rStyle w:val="FootnoteReference"/>
        </w:rPr>
        <w:footnoteReference w:id="3"/>
      </w:r>
      <w:r w:rsidRPr="00B83E1A">
        <w:t xml:space="preserve"> cuatro como organizaciones relacionadas y uno como programa conjunto.  En el Apéndice I figura una lista de estos organismos.  La Secretaría examinó la información y los documentos de difusión pública, que se pueden consultar en los respectivos sitios web</w:t>
      </w:r>
      <w:r w:rsidRPr="00B83E1A">
        <w:rPr>
          <w:rStyle w:val="FootnoteReference"/>
        </w:rPr>
        <w:footnoteReference w:id="4"/>
      </w:r>
      <w:r w:rsidRPr="00B83E1A">
        <w:t xml:space="preserve"> de estos organismos, tales como planes estratégicos, documentos sobre programas y presupuestos, e informes anuales, cuando estén disponibles.  En el Apéndice II se facilitan enlaces a estas páginas web y a los documentos pertinentes.</w:t>
      </w:r>
    </w:p>
    <w:p w14:paraId="1ECFA9F9" w14:textId="77777777" w:rsidR="00040FB3" w:rsidRPr="00B83E1A" w:rsidRDefault="00040FB3" w:rsidP="00133E88"/>
    <w:p w14:paraId="512449EE" w14:textId="77777777" w:rsidR="001809D1" w:rsidRPr="00B83E1A" w:rsidRDefault="00040FB3" w:rsidP="00133E88">
      <w:r w:rsidRPr="00B83E1A">
        <w:t>La evaluación se centró en los datos e informes publicados en los dos últimos años con objeto de conservar una perspectiva congruente sobre las prácticas más recientes</w:t>
      </w:r>
      <w:r w:rsidR="001809D1" w:rsidRPr="00B83E1A">
        <w:t>.</w:t>
      </w:r>
    </w:p>
    <w:p w14:paraId="02A6B318" w14:textId="232B59E4" w:rsidR="00040FB3" w:rsidRPr="00B83E1A" w:rsidRDefault="00040FB3" w:rsidP="00454243"/>
    <w:p w14:paraId="503141BC" w14:textId="77777777" w:rsidR="00040FB3" w:rsidRPr="00B83E1A" w:rsidRDefault="00040FB3" w:rsidP="00454243">
      <w:r w:rsidRPr="00B83E1A">
        <w:t xml:space="preserve">El análisis se fundamentó en los criterios siguientes: </w:t>
      </w:r>
    </w:p>
    <w:p w14:paraId="0CB3B4FA" w14:textId="77777777" w:rsidR="00040FB3" w:rsidRPr="00B83E1A" w:rsidRDefault="00040FB3" w:rsidP="00454243">
      <w:pPr>
        <w:pStyle w:val="ListParagraph"/>
        <w:spacing w:before="0" w:after="0" w:line="240" w:lineRule="auto"/>
        <w:ind w:left="567"/>
        <w:rPr>
          <w:lang w:val="es-ES"/>
        </w:rPr>
      </w:pPr>
    </w:p>
    <w:p w14:paraId="65327F9C" w14:textId="77777777" w:rsidR="00040FB3" w:rsidRPr="00B83E1A" w:rsidRDefault="00040FB3" w:rsidP="00454243">
      <w:pPr>
        <w:pStyle w:val="ListParagraph"/>
        <w:spacing w:before="0" w:after="0" w:line="240" w:lineRule="auto"/>
        <w:ind w:left="284"/>
        <w:rPr>
          <w:lang w:val="es-ES"/>
        </w:rPr>
      </w:pPr>
      <w:r w:rsidRPr="00B83E1A">
        <w:rPr>
          <w:lang w:val="es-ES"/>
        </w:rPr>
        <w:t>El medio que, en general, utiliza el organismo para informar sobre su contribución en relación con los ODM, es decir:</w:t>
      </w:r>
    </w:p>
    <w:p w14:paraId="369D2BCF" w14:textId="77777777" w:rsidR="00454243" w:rsidRPr="00B83E1A" w:rsidRDefault="00454243" w:rsidP="00454243">
      <w:pPr>
        <w:pStyle w:val="ListParagraph"/>
        <w:spacing w:before="0" w:after="0" w:line="240" w:lineRule="auto"/>
        <w:ind w:left="284"/>
        <w:rPr>
          <w:lang w:val="es-ES"/>
        </w:rPr>
      </w:pPr>
    </w:p>
    <w:p w14:paraId="5D5664A1" w14:textId="28CE4E6B" w:rsidR="00040FB3" w:rsidRPr="00B83E1A" w:rsidRDefault="00040FB3" w:rsidP="00454243">
      <w:pPr>
        <w:pStyle w:val="ListParagraph"/>
        <w:numPr>
          <w:ilvl w:val="0"/>
          <w:numId w:val="19"/>
        </w:numPr>
        <w:spacing w:before="0" w:after="0" w:line="240" w:lineRule="auto"/>
        <w:ind w:left="1134" w:hanging="567"/>
        <w:rPr>
          <w:lang w:val="es-ES"/>
        </w:rPr>
      </w:pPr>
      <w:r w:rsidRPr="00B83E1A">
        <w:rPr>
          <w:lang w:val="es-ES"/>
        </w:rPr>
        <w:t>si dispone de una página web específica sobre los ODM;</w:t>
      </w:r>
    </w:p>
    <w:p w14:paraId="109A08B6" w14:textId="77777777" w:rsidR="00CC5163" w:rsidRPr="00B83E1A" w:rsidRDefault="00CC5163" w:rsidP="00454243">
      <w:pPr>
        <w:ind w:left="1134" w:hanging="567"/>
      </w:pPr>
    </w:p>
    <w:p w14:paraId="565F4FFA" w14:textId="37D469AF" w:rsidR="00040FB3" w:rsidRPr="00B83E1A" w:rsidRDefault="00040FB3" w:rsidP="00454243">
      <w:pPr>
        <w:pStyle w:val="ListParagraph"/>
        <w:numPr>
          <w:ilvl w:val="0"/>
          <w:numId w:val="19"/>
        </w:numPr>
        <w:spacing w:before="0" w:after="0" w:line="240" w:lineRule="auto"/>
        <w:ind w:left="1134" w:hanging="567"/>
        <w:rPr>
          <w:lang w:val="es-ES"/>
        </w:rPr>
      </w:pPr>
      <w:r w:rsidRPr="00B83E1A">
        <w:rPr>
          <w:lang w:val="es-ES"/>
        </w:rPr>
        <w:t>si trata en sus informes anuales cuestiones relacionadas con su contribución a los avances y a la consecución de las metas en el marco de los ODM;</w:t>
      </w:r>
    </w:p>
    <w:p w14:paraId="004CEA37" w14:textId="77777777" w:rsidR="00CC5163" w:rsidRPr="00B83E1A" w:rsidRDefault="00CC5163" w:rsidP="00454243">
      <w:pPr>
        <w:ind w:left="1134" w:hanging="567"/>
      </w:pPr>
    </w:p>
    <w:p w14:paraId="218BFB58" w14:textId="36B81069" w:rsidR="00040FB3" w:rsidRPr="00B83E1A" w:rsidRDefault="00040FB3" w:rsidP="00454243">
      <w:pPr>
        <w:pStyle w:val="ListParagraph"/>
        <w:numPr>
          <w:ilvl w:val="0"/>
          <w:numId w:val="19"/>
        </w:numPr>
        <w:spacing w:before="0" w:after="0" w:line="240" w:lineRule="auto"/>
        <w:ind w:left="1134" w:hanging="567"/>
        <w:rPr>
          <w:lang w:val="es-ES"/>
        </w:rPr>
      </w:pPr>
      <w:r w:rsidRPr="00B83E1A">
        <w:rPr>
          <w:lang w:val="es-ES"/>
        </w:rPr>
        <w:t>si se trata de un organismo principal y custodio mundial en lo referente a datos relacionados con los ODM</w:t>
      </w:r>
      <w:r w:rsidR="004B78AE" w:rsidRPr="00B83E1A">
        <w:rPr>
          <w:lang w:val="es-ES"/>
        </w:rPr>
        <w:t>.</w:t>
      </w:r>
      <w:r w:rsidR="004B78AE" w:rsidRPr="00B83E1A">
        <w:rPr>
          <w:rStyle w:val="FootnoteReference"/>
          <w:lang w:val="es-ES"/>
        </w:rPr>
        <w:footnoteReference w:id="5"/>
      </w:r>
      <w:r w:rsidRPr="00B83E1A">
        <w:rPr>
          <w:lang w:val="es-ES"/>
        </w:rPr>
        <w:t xml:space="preserve">  Y en caso de que así sea, si sus informes versan principalmente sobre su vertiente operativa o sobre su función de custodio mundial;</w:t>
      </w:r>
    </w:p>
    <w:p w14:paraId="21C1E705" w14:textId="77777777" w:rsidR="00CC5163" w:rsidRPr="00B83E1A" w:rsidRDefault="00CC5163" w:rsidP="00454243">
      <w:pPr>
        <w:pStyle w:val="ListParagraph"/>
        <w:spacing w:before="0" w:after="0" w:line="240" w:lineRule="auto"/>
        <w:ind w:left="1134" w:hanging="567"/>
        <w:rPr>
          <w:lang w:val="es-ES"/>
        </w:rPr>
      </w:pPr>
    </w:p>
    <w:p w14:paraId="075869B7" w14:textId="4E5A514E" w:rsidR="001809D1" w:rsidRPr="00B83E1A" w:rsidRDefault="00040FB3" w:rsidP="00454243">
      <w:pPr>
        <w:pStyle w:val="ListParagraph"/>
        <w:numPr>
          <w:ilvl w:val="0"/>
          <w:numId w:val="19"/>
        </w:numPr>
        <w:spacing w:before="0" w:after="0" w:line="240" w:lineRule="auto"/>
        <w:ind w:left="1134" w:hanging="567"/>
        <w:rPr>
          <w:lang w:val="es-ES"/>
        </w:rPr>
      </w:pPr>
      <w:r w:rsidRPr="00B83E1A">
        <w:rPr>
          <w:lang w:val="es-ES"/>
        </w:rPr>
        <w:t>si el organismo incorpora en su marco de resultados o en sus planes estratégicos indicadores o patrones específicos para las evaluaciones en relación con los ODM, y/o si en su marco de resultados tiene metas e indicadores directamente asignados a los ODM</w:t>
      </w:r>
      <w:r w:rsidR="001809D1" w:rsidRPr="00B83E1A">
        <w:rPr>
          <w:lang w:val="es-ES"/>
        </w:rPr>
        <w:t>.</w:t>
      </w:r>
    </w:p>
    <w:p w14:paraId="430647B4" w14:textId="157A13DB" w:rsidR="00040FB3" w:rsidRPr="00B83E1A" w:rsidRDefault="00040FB3" w:rsidP="00133E88"/>
    <w:p w14:paraId="62F98F64" w14:textId="77777777" w:rsidR="00040FB3" w:rsidRPr="00B83E1A" w:rsidRDefault="00040FB3" w:rsidP="00133E88">
      <w:pPr>
        <w:pStyle w:val="ListParagraph"/>
        <w:spacing w:before="0" w:after="0"/>
        <w:ind w:left="0"/>
        <w:rPr>
          <w:b/>
          <w:lang w:val="es-ES"/>
        </w:rPr>
      </w:pPr>
      <w:r w:rsidRPr="00B83E1A">
        <w:rPr>
          <w:b/>
          <w:lang w:val="es-ES"/>
        </w:rPr>
        <w:t>RESULTADOS</w:t>
      </w:r>
    </w:p>
    <w:p w14:paraId="1AFEE8B7" w14:textId="77777777" w:rsidR="00040FB3" w:rsidRPr="00B83E1A" w:rsidRDefault="00040FB3" w:rsidP="00133E88">
      <w:pPr>
        <w:pStyle w:val="ListParagraph"/>
        <w:spacing w:before="0" w:after="0"/>
        <w:ind w:left="0"/>
        <w:rPr>
          <w:lang w:val="es-ES"/>
        </w:rPr>
      </w:pPr>
    </w:p>
    <w:p w14:paraId="4F343254" w14:textId="77777777" w:rsidR="001809D1" w:rsidRPr="00B83E1A" w:rsidRDefault="00040FB3" w:rsidP="00133E88">
      <w:pPr>
        <w:pStyle w:val="ListParagraph"/>
        <w:spacing w:before="0" w:after="0"/>
        <w:ind w:left="0"/>
        <w:rPr>
          <w:lang w:val="es-ES"/>
        </w:rPr>
      </w:pPr>
      <w:r w:rsidRPr="00B83E1A">
        <w:rPr>
          <w:lang w:val="es-ES"/>
        </w:rPr>
        <w:t>En la presente sección se facilita un resumen de los resultados obtenidos a partir del análisis de las páginas web y de los documentos a disposición del público, que constan en el Apéndice II</w:t>
      </w:r>
      <w:r w:rsidR="001809D1" w:rsidRPr="00B83E1A">
        <w:rPr>
          <w:lang w:val="es-ES"/>
        </w:rPr>
        <w:t>.</w:t>
      </w:r>
    </w:p>
    <w:p w14:paraId="6A46629A" w14:textId="65DC4AF3" w:rsidR="00040FB3" w:rsidRPr="00B83E1A" w:rsidRDefault="00040FB3" w:rsidP="00133E88">
      <w:pPr>
        <w:pStyle w:val="ListParagraph"/>
        <w:spacing w:before="0" w:after="0"/>
        <w:ind w:left="0"/>
        <w:rPr>
          <w:lang w:val="es-ES"/>
        </w:rPr>
      </w:pPr>
    </w:p>
    <w:p w14:paraId="2941A6CE" w14:textId="77777777" w:rsidR="00040FB3" w:rsidRPr="00B83E1A" w:rsidRDefault="00040FB3" w:rsidP="00133E88">
      <w:pPr>
        <w:pStyle w:val="ListParagraph"/>
        <w:spacing w:before="0" w:after="0"/>
        <w:ind w:left="567"/>
        <w:rPr>
          <w:lang w:val="es-ES"/>
        </w:rPr>
      </w:pPr>
      <w:r w:rsidRPr="00B83E1A">
        <w:rPr>
          <w:lang w:val="es-ES"/>
        </w:rPr>
        <w:t>En el caso de tres organismos, no se encontró información relacionada con su contribución al logro de los ODM.</w:t>
      </w:r>
    </w:p>
    <w:p w14:paraId="56A90626" w14:textId="77777777" w:rsidR="00040FB3" w:rsidRPr="00B83E1A" w:rsidRDefault="00040FB3" w:rsidP="00133E88">
      <w:pPr>
        <w:pStyle w:val="ListParagraph"/>
        <w:spacing w:before="0" w:after="0"/>
        <w:ind w:left="567"/>
        <w:rPr>
          <w:lang w:val="es-ES"/>
        </w:rPr>
      </w:pPr>
    </w:p>
    <w:p w14:paraId="2D5DCD6D" w14:textId="04819C2A" w:rsidR="00040FB3" w:rsidRPr="00B83E1A" w:rsidRDefault="00040FB3" w:rsidP="00133E88">
      <w:pPr>
        <w:pStyle w:val="ListParagraph"/>
        <w:spacing w:before="0" w:after="0"/>
        <w:ind w:left="567"/>
        <w:rPr>
          <w:lang w:val="es-ES"/>
        </w:rPr>
      </w:pPr>
      <w:r w:rsidRPr="00B83E1A">
        <w:rPr>
          <w:lang w:val="es-ES"/>
        </w:rPr>
        <w:t>Uno</w:t>
      </w:r>
      <w:r w:rsidR="00133E88" w:rsidRPr="00B83E1A">
        <w:rPr>
          <w:lang w:val="es-ES"/>
        </w:rPr>
        <w:t>s 1</w:t>
      </w:r>
      <w:r w:rsidRPr="00B83E1A">
        <w:rPr>
          <w:lang w:val="es-ES"/>
        </w:rPr>
        <w:t>3 organismos tienen una página web específica sobre los ODM o sobre un ODM determinado.  En la mayor parte de estos casos, estas páginas específicas proporcionan información genérica en la materia y ofrecen enlaces generales con las actividades y las contribuciones concretas del organismo al logro de los ODM.  La mayoría de estos enlaces remiten a una actividad y/o a un proyecto.  En general, no se presentan criterios específicos para la medición de los ODM.</w:t>
      </w:r>
    </w:p>
    <w:p w14:paraId="029E9E7A" w14:textId="77777777" w:rsidR="00040FB3" w:rsidRPr="00B83E1A" w:rsidRDefault="00040FB3" w:rsidP="00133E88">
      <w:pPr>
        <w:pStyle w:val="ListParagraph"/>
        <w:spacing w:before="0" w:after="0"/>
        <w:ind w:left="567"/>
        <w:rPr>
          <w:lang w:val="es-ES"/>
        </w:rPr>
      </w:pPr>
    </w:p>
    <w:p w14:paraId="1A325390" w14:textId="77777777" w:rsidR="00040FB3" w:rsidRPr="00B83E1A" w:rsidRDefault="00040FB3" w:rsidP="00133E88">
      <w:pPr>
        <w:pStyle w:val="ListParagraph"/>
        <w:spacing w:before="0" w:after="0"/>
        <w:ind w:left="567"/>
        <w:rPr>
          <w:lang w:val="es-ES"/>
        </w:rPr>
      </w:pPr>
      <w:r w:rsidRPr="00B83E1A">
        <w:rPr>
          <w:lang w:val="es-ES"/>
        </w:rPr>
        <w:t>Siete organismos incluyen en sus informes anuales referencias generales a su contribución al logro de los ODM.  Un organismo declara haber realizado evaluaciones temáticas en diversos ámbitos de sus actividades con relación a su contribución a la logro de los ODM.  No obstante, ni explica los métodos empleados para medir esta contribución, ni precisa además los criterios específicos aplicados para ello.  En general, se observó que ninguno de los organismos aplica un método concreto y sistemático para la preparación de informes.</w:t>
      </w:r>
    </w:p>
    <w:p w14:paraId="43220C9B" w14:textId="0925C724" w:rsidR="001809D1" w:rsidRPr="00B83E1A" w:rsidRDefault="00040FB3" w:rsidP="00133E88">
      <w:pPr>
        <w:spacing w:line="276" w:lineRule="auto"/>
        <w:ind w:left="567"/>
      </w:pPr>
      <w:r w:rsidRPr="00B83E1A">
        <w:t>La Secretaría examinó cinco organismos principales de la ONU que desempeñan la función de custodio mundial.  Este examen reveló que estas cinco entidades responsables de la conservación de datos realizan un seguimiento a escala mundial de los informes sobre los ODM correspondientes a mandatos concretos.  Por consiguiente, su información corresponde en lo esencial a una perspectiva mundial.  Un organismo principal que actúa de custodio mundial recientemente ha incorporado en el más alto nivel de su marco de resultados metas e indicadores sobre mandatos concretos relativos a ODM</w:t>
      </w:r>
      <w:r w:rsidR="00133E88" w:rsidRPr="00B83E1A">
        <w:t>.  E</w:t>
      </w:r>
      <w:r w:rsidRPr="00B83E1A">
        <w:t>n conjunto, estos cinco organismos facilitan una información sobre sus logros institucionales, es decir, que todas ellas realizan una medición de carácter general de sus contribuciones individuales a la consecución de los ODM, y no se observó la aplicación de unos criterios específicos para la medición de los ODM</w:t>
      </w:r>
      <w:r w:rsidR="001809D1" w:rsidRPr="00B83E1A">
        <w:t>.</w:t>
      </w:r>
    </w:p>
    <w:p w14:paraId="348871D3" w14:textId="207BA97E" w:rsidR="00040FB3" w:rsidRPr="00B83E1A" w:rsidRDefault="00040FB3" w:rsidP="00133E88">
      <w:pPr>
        <w:ind w:left="567"/>
      </w:pPr>
    </w:p>
    <w:p w14:paraId="2066A057" w14:textId="59F1F2B6" w:rsidR="001809D1" w:rsidRPr="00B83E1A" w:rsidRDefault="00040FB3" w:rsidP="00133E88">
      <w:pPr>
        <w:pStyle w:val="ListParagraph"/>
        <w:spacing w:before="0" w:after="0"/>
        <w:ind w:left="567"/>
        <w:rPr>
          <w:lang w:val="es-ES"/>
        </w:rPr>
      </w:pPr>
      <w:r w:rsidRPr="00B83E1A">
        <w:rPr>
          <w:lang w:val="es-ES"/>
        </w:rPr>
        <w:t>Uno</w:t>
      </w:r>
      <w:r w:rsidR="00133E88" w:rsidRPr="00B83E1A">
        <w:rPr>
          <w:lang w:val="es-ES"/>
        </w:rPr>
        <w:t>s 1</w:t>
      </w:r>
      <w:r w:rsidRPr="00B83E1A">
        <w:rPr>
          <w:lang w:val="es-ES"/>
        </w:rPr>
        <w:t>1 de lo</w:t>
      </w:r>
      <w:r w:rsidR="00133E88" w:rsidRPr="00B83E1A">
        <w:rPr>
          <w:lang w:val="es-ES"/>
        </w:rPr>
        <w:t>s 1</w:t>
      </w:r>
      <w:r w:rsidRPr="00B83E1A">
        <w:rPr>
          <w:lang w:val="es-ES"/>
        </w:rPr>
        <w:t xml:space="preserve">5 organismos se refieren en términos generales a los ODM en sus planes estratégicos y/o documentos sobre programas y presupuestos.  En general, con excepción de uno de los organismos principales mencionados </w:t>
      </w:r>
      <w:r w:rsidRPr="00B83E1A">
        <w:rPr>
          <w:i/>
          <w:lang w:val="es-ES"/>
        </w:rPr>
        <w:t>supra</w:t>
      </w:r>
      <w:r w:rsidRPr="00B83E1A">
        <w:rPr>
          <w:lang w:val="es-ES"/>
        </w:rPr>
        <w:t>, no se observó la aplicación de criterios específicos para la medición de los ODM</w:t>
      </w:r>
      <w:r w:rsidR="001809D1" w:rsidRPr="00B83E1A">
        <w:rPr>
          <w:lang w:val="es-ES"/>
        </w:rPr>
        <w:t>.</w:t>
      </w:r>
    </w:p>
    <w:p w14:paraId="1B18D4E4" w14:textId="77777777" w:rsidR="00040FB3" w:rsidRPr="00B83E1A" w:rsidRDefault="00040FB3" w:rsidP="00133E88">
      <w:pPr>
        <w:pStyle w:val="ListParagraph"/>
        <w:spacing w:before="0" w:after="0"/>
        <w:ind w:left="360"/>
        <w:rPr>
          <w:lang w:val="es-ES"/>
        </w:rPr>
      </w:pPr>
    </w:p>
    <w:p w14:paraId="22ABFE1B" w14:textId="7AEED2BB" w:rsidR="00040FB3" w:rsidRPr="00B83E1A" w:rsidRDefault="00040FB3" w:rsidP="00856503">
      <w:pPr>
        <w:pStyle w:val="ListParagraph"/>
        <w:keepNext/>
        <w:keepLines/>
        <w:spacing w:before="0" w:after="0"/>
        <w:ind w:left="567"/>
        <w:rPr>
          <w:lang w:val="es-ES"/>
        </w:rPr>
      </w:pPr>
      <w:r w:rsidRPr="00B83E1A">
        <w:rPr>
          <w:lang w:val="es-ES"/>
        </w:rPr>
        <w:lastRenderedPageBreak/>
        <w:t>Los informes de seis organismos que no son principales sobre su contribución en relación con los ODM no abarcan el conjunto total de los ocho objetivos.  Estos organismos prefieren centrar la información y su contribución en el logro de unos ODM determinados que concuerden con sus mandatos y/o esferas de especialización.  Dos organismos mencionan que, en esencia, contribuyen a un único ODM.  Uno de ellos postula además que su contribución al logro del OD</w:t>
      </w:r>
      <w:r w:rsidR="00133E88" w:rsidRPr="00B83E1A">
        <w:rPr>
          <w:lang w:val="es-ES"/>
        </w:rPr>
        <w:t>M 8</w:t>
      </w:r>
      <w:r w:rsidRPr="00B83E1A">
        <w:rPr>
          <w:lang w:val="es-ES"/>
        </w:rPr>
        <w:t xml:space="preserve"> beneficia indirectamente al de los demás objetivos.  Otro organismo menciona que contribuye a la consecución de dos ODM específicos.  Dos organismos informan que su contribución se centra en cuatro ODM concretos.</w:t>
      </w:r>
    </w:p>
    <w:p w14:paraId="3B400C07" w14:textId="77777777" w:rsidR="00040FB3" w:rsidRPr="00B83E1A" w:rsidRDefault="00040FB3" w:rsidP="00133E88"/>
    <w:p w14:paraId="231A478E" w14:textId="77777777" w:rsidR="00040FB3" w:rsidRPr="00B83E1A" w:rsidRDefault="00040FB3" w:rsidP="00133E88">
      <w:r w:rsidRPr="00B83E1A">
        <w:t>En conclusión, este examen reveló que la mayor parte de los organismos examinados no han formulado resultados, indicadores u otros criterios de medición específicos para evaluar su contribución al logro de los ODM, si bien se observaron esfuerzos para orientar la labor institucional en pro de la consecución de los mismos.  Por otro lado, la mayor parte de las referencias a los ODM que figuran en los informes y documentos examinados son esencialmente exposiciones de carácter general sobre las contribuciones de los organismos respectivos a la consecución de los ODM, basadas en gran medida en sustanciales vínculos de alto nivel con dichos ODM.</w:t>
      </w:r>
    </w:p>
    <w:p w14:paraId="4237D25A" w14:textId="77777777" w:rsidR="00040FB3" w:rsidRPr="00B83E1A" w:rsidRDefault="00040FB3" w:rsidP="00133E88"/>
    <w:p w14:paraId="5EC31826" w14:textId="77777777" w:rsidR="00040FB3" w:rsidRPr="00B83E1A" w:rsidRDefault="00040FB3" w:rsidP="00133E88"/>
    <w:p w14:paraId="7D824583" w14:textId="77777777" w:rsidR="00040FB3" w:rsidRPr="00B83E1A" w:rsidRDefault="00040FB3" w:rsidP="00133E88"/>
    <w:p w14:paraId="09B1BF62" w14:textId="77777777" w:rsidR="00040FB3" w:rsidRPr="00B83E1A" w:rsidRDefault="00040FB3" w:rsidP="00133E88">
      <w:pPr>
        <w:pStyle w:val="Endofdocument-Annex"/>
        <w:rPr>
          <w:lang w:val="es-ES"/>
        </w:rPr>
      </w:pPr>
      <w:r w:rsidRPr="00B83E1A">
        <w:rPr>
          <w:lang w:val="es-ES"/>
        </w:rPr>
        <w:t>[Sigue el Apéndice I]</w:t>
      </w:r>
    </w:p>
    <w:p w14:paraId="563FD338" w14:textId="77777777" w:rsidR="00040FB3" w:rsidRPr="00B83E1A" w:rsidRDefault="00040FB3" w:rsidP="00040FB3"/>
    <w:p w14:paraId="0755BA85" w14:textId="0917828B" w:rsidR="004F460B" w:rsidRPr="00B83E1A" w:rsidRDefault="004F460B" w:rsidP="004F460B"/>
    <w:p w14:paraId="2099770D" w14:textId="77777777" w:rsidR="006053CC" w:rsidRPr="00B83E1A" w:rsidRDefault="006053CC" w:rsidP="000275B2">
      <w:pPr>
        <w:sectPr w:rsidR="006053CC" w:rsidRPr="00B83E1A" w:rsidSect="004F460B">
          <w:headerReference w:type="default" r:id="rId11"/>
          <w:headerReference w:type="first" r:id="rId12"/>
          <w:pgSz w:w="11906" w:h="16838" w:code="9"/>
          <w:pgMar w:top="567" w:right="1418" w:bottom="1418" w:left="1418" w:header="709" w:footer="709" w:gutter="0"/>
          <w:pgNumType w:start="1"/>
          <w:cols w:space="708"/>
          <w:titlePg/>
          <w:docGrid w:linePitch="360"/>
        </w:sectPr>
      </w:pPr>
    </w:p>
    <w:p w14:paraId="6B34BDC2" w14:textId="5B08EA5A" w:rsidR="006053CC" w:rsidRPr="00B83E1A" w:rsidRDefault="006053CC"/>
    <w:p w14:paraId="04B0AF27" w14:textId="77777777" w:rsidR="006053CC" w:rsidRPr="00B83E1A" w:rsidRDefault="006053CC" w:rsidP="006053CC">
      <w:pPr>
        <w:jc w:val="center"/>
        <w:rPr>
          <w:b/>
        </w:rPr>
      </w:pPr>
      <w:r w:rsidRPr="00B83E1A">
        <w:rPr>
          <w:b/>
        </w:rPr>
        <w:t>APÉNDICE I</w:t>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28"/>
      </w:tblGrid>
      <w:tr w:rsidR="006053CC" w:rsidRPr="00B83E1A" w14:paraId="5F965276" w14:textId="77777777" w:rsidTr="004E65E7">
        <w:tc>
          <w:tcPr>
            <w:tcW w:w="8928" w:type="dxa"/>
          </w:tcPr>
          <w:p w14:paraId="093C0B9E" w14:textId="77777777" w:rsidR="006053CC" w:rsidRPr="00B83E1A" w:rsidRDefault="006053CC" w:rsidP="004E65E7">
            <w:pPr>
              <w:spacing w:before="240" w:after="200"/>
              <w:ind w:left="360"/>
              <w:jc w:val="center"/>
              <w:rPr>
                <w:b/>
                <w:lang w:val="es-ES"/>
              </w:rPr>
            </w:pPr>
            <w:r w:rsidRPr="00B83E1A">
              <w:rPr>
                <w:b/>
                <w:lang w:val="es-ES"/>
              </w:rPr>
              <w:t>Lista revisada de Organismos de las Naciones Unidas</w:t>
            </w:r>
            <w:r w:rsidRPr="00B83E1A">
              <w:rPr>
                <w:rStyle w:val="FootnoteReference"/>
                <w:lang w:val="es-ES"/>
              </w:rPr>
              <w:footnoteReference w:id="6"/>
            </w:r>
          </w:p>
        </w:tc>
      </w:tr>
      <w:tr w:rsidR="006053CC" w:rsidRPr="00B83E1A" w14:paraId="34922952" w14:textId="77777777" w:rsidTr="004E65E7">
        <w:tc>
          <w:tcPr>
            <w:tcW w:w="8928" w:type="dxa"/>
          </w:tcPr>
          <w:p w14:paraId="24E65D33"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r>
              <w:fldChar w:fldCharType="begin"/>
            </w:r>
            <w:r w:rsidRPr="002D4C76">
              <w:rPr>
                <w:lang w:val="fr-CH"/>
              </w:rPr>
              <w:instrText xml:space="preserve"> HYPERLINK "http://www.ctbto.org/" </w:instrText>
            </w:r>
            <w:r>
              <w:fldChar w:fldCharType="separate"/>
            </w:r>
            <w:r w:rsidR="006053CC" w:rsidRPr="00B83E1A">
              <w:rPr>
                <w:rStyle w:val="Hyperlink"/>
                <w:lang w:val="es-ES"/>
              </w:rPr>
              <w:t>Comisión Preparatoria de la Organización del Tratado de Prohibición Completa de los Ensayos Nucleares</w:t>
            </w:r>
            <w:r>
              <w:rPr>
                <w:rStyle w:val="Hyperlink"/>
                <w:lang w:val="es-ES"/>
              </w:rPr>
              <w:fldChar w:fldCharType="end"/>
            </w:r>
            <w:r w:rsidR="006053CC" w:rsidRPr="00B83E1A" w:rsidDel="00820669">
              <w:rPr>
                <w:lang w:val="es-ES"/>
              </w:rPr>
              <w:t xml:space="preserve"> </w:t>
            </w:r>
            <w:r w:rsidR="006053CC" w:rsidRPr="00B83E1A">
              <w:rPr>
                <w:lang w:val="es-ES"/>
              </w:rPr>
              <w:t>(CTBTO)</w:t>
            </w:r>
            <w:r w:rsidR="006053CC" w:rsidRPr="00B83E1A">
              <w:rPr>
                <w:rStyle w:val="FootnoteReference"/>
                <w:lang w:val="es-ES"/>
              </w:rPr>
              <w:footnoteReference w:id="7"/>
            </w:r>
          </w:p>
        </w:tc>
      </w:tr>
      <w:tr w:rsidR="006053CC" w:rsidRPr="00B83E1A" w14:paraId="74351D85" w14:textId="77777777" w:rsidTr="004E65E7">
        <w:tc>
          <w:tcPr>
            <w:tcW w:w="8928" w:type="dxa"/>
          </w:tcPr>
          <w:p w14:paraId="664806AE"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r>
              <w:fldChar w:fldCharType="begin"/>
            </w:r>
            <w:r w:rsidRPr="002D4C76">
              <w:rPr>
                <w:lang w:val="fr-CH"/>
              </w:rPr>
              <w:instrText xml:space="preserve"> HYPERLINK "http://www.fao.org/" </w:instrText>
            </w:r>
            <w:r>
              <w:fldChar w:fldCharType="separate"/>
            </w:r>
            <w:r w:rsidR="006053CC" w:rsidRPr="00B83E1A">
              <w:rPr>
                <w:rStyle w:val="Hyperlink"/>
                <w:lang w:val="es-ES"/>
              </w:rPr>
              <w:t>Organización de las Naciones Unidas para la Alimentación y la Agricultura</w:t>
            </w:r>
            <w:r>
              <w:rPr>
                <w:rStyle w:val="Hyperlink"/>
                <w:lang w:val="es-ES"/>
              </w:rPr>
              <w:fldChar w:fldCharType="end"/>
            </w:r>
            <w:r w:rsidR="006053CC" w:rsidRPr="00B83E1A">
              <w:rPr>
                <w:lang w:val="es-ES"/>
              </w:rPr>
              <w:t> (FAO)</w:t>
            </w:r>
          </w:p>
        </w:tc>
      </w:tr>
      <w:tr w:rsidR="006053CC" w:rsidRPr="00B83E1A" w14:paraId="6F46098C" w14:textId="77777777" w:rsidTr="004E65E7">
        <w:tc>
          <w:tcPr>
            <w:tcW w:w="8928" w:type="dxa"/>
          </w:tcPr>
          <w:p w14:paraId="34BA6F21"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13" w:history="1">
              <w:r w:rsidR="006053CC" w:rsidRPr="00B83E1A">
                <w:rPr>
                  <w:rStyle w:val="Hyperlink"/>
                  <w:lang w:val="es-ES"/>
                </w:rPr>
                <w:t>Organismo Internacional de Energía Atómica</w:t>
              </w:r>
            </w:hyperlink>
            <w:r w:rsidR="006053CC" w:rsidRPr="00B83E1A">
              <w:rPr>
                <w:lang w:val="es-ES"/>
              </w:rPr>
              <w:t> (OIEA)</w:t>
            </w:r>
            <w:r w:rsidR="006053CC" w:rsidRPr="00B83E1A">
              <w:rPr>
                <w:rStyle w:val="FootnoteReference"/>
                <w:lang w:val="es-ES"/>
              </w:rPr>
              <w:footnoteReference w:id="8"/>
            </w:r>
          </w:p>
        </w:tc>
      </w:tr>
      <w:tr w:rsidR="006053CC" w:rsidRPr="00B83E1A" w14:paraId="46B3CC87" w14:textId="77777777" w:rsidTr="004E65E7">
        <w:tc>
          <w:tcPr>
            <w:tcW w:w="8928" w:type="dxa"/>
          </w:tcPr>
          <w:p w14:paraId="6CE9216A"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14" w:history="1">
              <w:r w:rsidR="006053CC" w:rsidRPr="00B83E1A">
                <w:rPr>
                  <w:rStyle w:val="Hyperlink"/>
                  <w:lang w:val="es-ES"/>
                </w:rPr>
                <w:t>Organización de Aviación Civil Internacional</w:t>
              </w:r>
            </w:hyperlink>
            <w:r w:rsidR="006053CC" w:rsidRPr="00B83E1A">
              <w:rPr>
                <w:lang w:val="es-ES"/>
              </w:rPr>
              <w:t> (OACI)</w:t>
            </w:r>
          </w:p>
        </w:tc>
      </w:tr>
      <w:tr w:rsidR="006053CC" w:rsidRPr="00B83E1A" w14:paraId="559B8CA2" w14:textId="77777777" w:rsidTr="004E65E7">
        <w:tc>
          <w:tcPr>
            <w:tcW w:w="8928" w:type="dxa"/>
          </w:tcPr>
          <w:p w14:paraId="7ABA3BF8" w14:textId="77777777" w:rsidR="006053CC" w:rsidRPr="00B83E1A" w:rsidRDefault="00975673" w:rsidP="00067534">
            <w:pPr>
              <w:pStyle w:val="ListParagraph"/>
              <w:numPr>
                <w:ilvl w:val="0"/>
                <w:numId w:val="7"/>
              </w:numPr>
              <w:tabs>
                <w:tab w:val="clear" w:pos="1560"/>
                <w:tab w:val="left" w:pos="555"/>
              </w:tabs>
              <w:spacing w:after="120" w:line="240" w:lineRule="auto"/>
              <w:ind w:left="924" w:hanging="357"/>
              <w:rPr>
                <w:lang w:val="es-ES"/>
              </w:rPr>
            </w:pPr>
            <w:hyperlink r:id="rId15" w:history="1">
              <w:r w:rsidR="006053CC" w:rsidRPr="00B83E1A">
                <w:rPr>
                  <w:rStyle w:val="Hyperlink"/>
                  <w:lang w:val="es-ES"/>
                </w:rPr>
                <w:t>Fondo Internacional para el Desarrollo Agrícola</w:t>
              </w:r>
            </w:hyperlink>
            <w:r w:rsidR="006053CC" w:rsidRPr="00B83E1A">
              <w:rPr>
                <w:lang w:val="es-ES"/>
              </w:rPr>
              <w:t> (FIDA)</w:t>
            </w:r>
          </w:p>
        </w:tc>
      </w:tr>
      <w:tr w:rsidR="006053CC" w:rsidRPr="00B83E1A" w14:paraId="7C6ADDC3" w14:textId="77777777" w:rsidTr="004E65E7">
        <w:tc>
          <w:tcPr>
            <w:tcW w:w="8928" w:type="dxa"/>
          </w:tcPr>
          <w:p w14:paraId="4B6F0049"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16" w:history="1">
              <w:r w:rsidR="006053CC" w:rsidRPr="00B83E1A">
                <w:rPr>
                  <w:rStyle w:val="Hyperlink"/>
                  <w:lang w:val="es-ES"/>
                </w:rPr>
                <w:t>Organización Internacional del Trabajo</w:t>
              </w:r>
            </w:hyperlink>
            <w:r w:rsidR="006053CC" w:rsidRPr="00B83E1A">
              <w:rPr>
                <w:lang w:val="es-ES"/>
              </w:rPr>
              <w:t> (OIT)</w:t>
            </w:r>
          </w:p>
        </w:tc>
      </w:tr>
      <w:tr w:rsidR="006053CC" w:rsidRPr="00B83E1A" w14:paraId="34F47CDE" w14:textId="77777777" w:rsidTr="004E65E7">
        <w:tc>
          <w:tcPr>
            <w:tcW w:w="8928" w:type="dxa"/>
          </w:tcPr>
          <w:p w14:paraId="2ACA7B9A"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17" w:history="1">
              <w:r w:rsidR="006053CC" w:rsidRPr="00B83E1A">
                <w:rPr>
                  <w:rStyle w:val="Hyperlink"/>
                  <w:lang w:val="es-ES"/>
                </w:rPr>
                <w:t>Organización Marítima Internacional</w:t>
              </w:r>
            </w:hyperlink>
            <w:r w:rsidR="006053CC" w:rsidRPr="00B83E1A">
              <w:rPr>
                <w:lang w:val="es-ES"/>
              </w:rPr>
              <w:t> (IMO)</w:t>
            </w:r>
          </w:p>
        </w:tc>
      </w:tr>
      <w:tr w:rsidR="006053CC" w:rsidRPr="00B83E1A" w14:paraId="676ED644" w14:textId="77777777" w:rsidTr="004E65E7">
        <w:tc>
          <w:tcPr>
            <w:tcW w:w="8928" w:type="dxa"/>
          </w:tcPr>
          <w:p w14:paraId="226713C9"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18" w:history="1">
              <w:r w:rsidR="006053CC" w:rsidRPr="00B83E1A">
                <w:rPr>
                  <w:rStyle w:val="Hyperlink"/>
                  <w:lang w:val="es-ES"/>
                </w:rPr>
                <w:t xml:space="preserve">International </w:t>
              </w:r>
              <w:proofErr w:type="spellStart"/>
              <w:r w:rsidR="006053CC" w:rsidRPr="00B83E1A">
                <w:rPr>
                  <w:rStyle w:val="Hyperlink"/>
                  <w:lang w:val="es-ES"/>
                </w:rPr>
                <w:t>Telecommunication</w:t>
              </w:r>
              <w:proofErr w:type="spellEnd"/>
              <w:r w:rsidR="006053CC" w:rsidRPr="00B83E1A">
                <w:rPr>
                  <w:rStyle w:val="Hyperlink"/>
                  <w:lang w:val="es-ES"/>
                </w:rPr>
                <w:t xml:space="preserve"> </w:t>
              </w:r>
              <w:proofErr w:type="spellStart"/>
              <w:r w:rsidR="006053CC" w:rsidRPr="00B83E1A">
                <w:rPr>
                  <w:rStyle w:val="Hyperlink"/>
                  <w:lang w:val="es-ES"/>
                </w:rPr>
                <w:t>Union</w:t>
              </w:r>
              <w:proofErr w:type="spellEnd"/>
            </w:hyperlink>
            <w:r w:rsidR="006053CC" w:rsidRPr="00B83E1A">
              <w:rPr>
                <w:lang w:val="es-ES"/>
              </w:rPr>
              <w:t> (ITU)</w:t>
            </w:r>
          </w:p>
        </w:tc>
      </w:tr>
      <w:tr w:rsidR="006053CC" w:rsidRPr="00B83E1A" w14:paraId="1516CA9B" w14:textId="77777777" w:rsidTr="004E65E7">
        <w:tc>
          <w:tcPr>
            <w:tcW w:w="8928" w:type="dxa"/>
          </w:tcPr>
          <w:p w14:paraId="221EDD26"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19" w:history="1">
              <w:r w:rsidR="006053CC" w:rsidRPr="00B83E1A">
                <w:rPr>
                  <w:rStyle w:val="Hyperlink"/>
                  <w:lang w:val="es-ES"/>
                </w:rPr>
                <w:t>Centro de Comercio Internacional</w:t>
              </w:r>
            </w:hyperlink>
            <w:r w:rsidR="006053CC" w:rsidRPr="00B83E1A">
              <w:rPr>
                <w:lang w:val="es-ES"/>
              </w:rPr>
              <w:t> (CCI)</w:t>
            </w:r>
            <w:r w:rsidR="006053CC" w:rsidRPr="00B83E1A">
              <w:rPr>
                <w:rStyle w:val="FootnoteReference"/>
                <w:lang w:val="es-ES"/>
              </w:rPr>
              <w:footnoteReference w:id="9"/>
            </w:r>
          </w:p>
        </w:tc>
      </w:tr>
      <w:tr w:rsidR="006053CC" w:rsidRPr="00B83E1A" w14:paraId="66FEE613" w14:textId="77777777" w:rsidTr="004E65E7">
        <w:tc>
          <w:tcPr>
            <w:tcW w:w="8928" w:type="dxa"/>
          </w:tcPr>
          <w:p w14:paraId="266760F2"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20" w:history="1">
              <w:r w:rsidR="006053CC" w:rsidRPr="00B83E1A">
                <w:rPr>
                  <w:rStyle w:val="Hyperlink"/>
                  <w:lang w:val="es-ES"/>
                </w:rPr>
                <w:t>Organización para la Prohibición de las Armas Químicas</w:t>
              </w:r>
            </w:hyperlink>
            <w:r w:rsidR="006053CC" w:rsidRPr="00B83E1A">
              <w:rPr>
                <w:lang w:val="es-ES"/>
              </w:rPr>
              <w:t> (OPAQ) </w:t>
            </w:r>
            <w:r w:rsidR="006053CC" w:rsidRPr="00B83E1A">
              <w:rPr>
                <w:rStyle w:val="FootnoteReference"/>
                <w:lang w:val="es-ES"/>
              </w:rPr>
              <w:footnoteReference w:id="10"/>
            </w:r>
          </w:p>
        </w:tc>
      </w:tr>
      <w:tr w:rsidR="006053CC" w:rsidRPr="00B83E1A" w14:paraId="6E7590F5" w14:textId="77777777" w:rsidTr="004E65E7">
        <w:tc>
          <w:tcPr>
            <w:tcW w:w="8928" w:type="dxa"/>
          </w:tcPr>
          <w:p w14:paraId="5BCD4FA7"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21" w:history="1">
              <w:r w:rsidR="006053CC" w:rsidRPr="00B83E1A">
                <w:rPr>
                  <w:rStyle w:val="Hyperlink"/>
                  <w:lang w:val="es-ES"/>
                </w:rPr>
                <w:t>Organización de las Naciones Unidas para la Educación, la Ciencia y la Cultura</w:t>
              </w:r>
            </w:hyperlink>
            <w:r w:rsidR="006053CC" w:rsidRPr="00B83E1A">
              <w:rPr>
                <w:lang w:val="es-ES"/>
              </w:rPr>
              <w:t> (UNESCO)</w:t>
            </w:r>
          </w:p>
        </w:tc>
      </w:tr>
      <w:tr w:rsidR="006053CC" w:rsidRPr="00B83E1A" w14:paraId="50B047A9" w14:textId="77777777" w:rsidTr="004E65E7">
        <w:tc>
          <w:tcPr>
            <w:tcW w:w="8928" w:type="dxa"/>
          </w:tcPr>
          <w:p w14:paraId="2F46F84C"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22" w:history="1">
              <w:r w:rsidR="006053CC" w:rsidRPr="00B83E1A">
                <w:rPr>
                  <w:rStyle w:val="Hyperlink"/>
                  <w:lang w:val="es-ES"/>
                </w:rPr>
                <w:t>Organización de las Naciones Unidas para el Desarrollo Industrial</w:t>
              </w:r>
            </w:hyperlink>
            <w:r w:rsidR="006053CC" w:rsidRPr="00B83E1A">
              <w:rPr>
                <w:lang w:val="es-ES"/>
              </w:rPr>
              <w:t> (ONUDI)</w:t>
            </w:r>
          </w:p>
        </w:tc>
      </w:tr>
      <w:tr w:rsidR="006053CC" w:rsidRPr="00B83E1A" w14:paraId="1C8E6F4A" w14:textId="77777777" w:rsidTr="004E65E7">
        <w:tc>
          <w:tcPr>
            <w:tcW w:w="8928" w:type="dxa"/>
          </w:tcPr>
          <w:p w14:paraId="15BA0640"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23" w:history="1">
              <w:r w:rsidR="006053CC" w:rsidRPr="00B83E1A">
                <w:rPr>
                  <w:rStyle w:val="Hyperlink"/>
                  <w:lang w:val="es-ES"/>
                </w:rPr>
                <w:t>Unión Postal Universal</w:t>
              </w:r>
            </w:hyperlink>
            <w:r w:rsidR="006053CC" w:rsidRPr="00B83E1A">
              <w:rPr>
                <w:lang w:val="es-ES"/>
              </w:rPr>
              <w:t> (UPU)</w:t>
            </w:r>
          </w:p>
        </w:tc>
      </w:tr>
      <w:tr w:rsidR="006053CC" w:rsidRPr="00B83E1A" w14:paraId="5EF08AB0" w14:textId="77777777" w:rsidTr="004E65E7">
        <w:tc>
          <w:tcPr>
            <w:tcW w:w="8928" w:type="dxa"/>
          </w:tcPr>
          <w:p w14:paraId="1F50198A"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24" w:history="1">
              <w:r w:rsidR="006053CC" w:rsidRPr="00B83E1A">
                <w:rPr>
                  <w:rStyle w:val="Hyperlink"/>
                  <w:lang w:val="es-ES"/>
                </w:rPr>
                <w:t>Organización Mundial de la Salud</w:t>
              </w:r>
            </w:hyperlink>
            <w:r w:rsidR="006053CC" w:rsidRPr="00B83E1A">
              <w:rPr>
                <w:lang w:val="es-ES"/>
              </w:rPr>
              <w:t> (OMS)</w:t>
            </w:r>
          </w:p>
        </w:tc>
      </w:tr>
      <w:tr w:rsidR="006053CC" w:rsidRPr="00B83E1A" w14:paraId="644DB40E" w14:textId="77777777" w:rsidTr="004E65E7">
        <w:tc>
          <w:tcPr>
            <w:tcW w:w="8928" w:type="dxa"/>
          </w:tcPr>
          <w:p w14:paraId="4D056DAF"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25" w:tgtFrame="_blank" w:history="1">
              <w:r w:rsidR="006053CC" w:rsidRPr="00B83E1A">
                <w:rPr>
                  <w:rStyle w:val="Hyperlink"/>
                  <w:lang w:val="es-ES"/>
                </w:rPr>
                <w:t>Organización Meteorológica Mundial</w:t>
              </w:r>
            </w:hyperlink>
            <w:r w:rsidR="006053CC" w:rsidRPr="00B83E1A">
              <w:rPr>
                <w:lang w:val="es-ES"/>
              </w:rPr>
              <w:t> (OMM)</w:t>
            </w:r>
          </w:p>
        </w:tc>
      </w:tr>
      <w:tr w:rsidR="006053CC" w:rsidRPr="00B83E1A" w14:paraId="143F5EF3" w14:textId="77777777" w:rsidTr="004E65E7">
        <w:tc>
          <w:tcPr>
            <w:tcW w:w="8928" w:type="dxa"/>
          </w:tcPr>
          <w:p w14:paraId="140162FE"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26" w:history="1">
              <w:r w:rsidR="006053CC" w:rsidRPr="00B83E1A">
                <w:rPr>
                  <w:rStyle w:val="Hyperlink"/>
                  <w:lang w:val="es-ES"/>
                </w:rPr>
                <w:t>Organización Mundial del Turismo</w:t>
              </w:r>
            </w:hyperlink>
            <w:r w:rsidR="006053CC" w:rsidRPr="00B83E1A">
              <w:rPr>
                <w:lang w:val="es-ES"/>
              </w:rPr>
              <w:t> (OMT)</w:t>
            </w:r>
          </w:p>
        </w:tc>
      </w:tr>
      <w:tr w:rsidR="006053CC" w:rsidRPr="00B83E1A" w14:paraId="1A7286E1" w14:textId="77777777" w:rsidTr="004E65E7">
        <w:tc>
          <w:tcPr>
            <w:tcW w:w="8928" w:type="dxa"/>
          </w:tcPr>
          <w:p w14:paraId="5E2A5E5A" w14:textId="77777777" w:rsidR="006053CC" w:rsidRPr="00B83E1A" w:rsidRDefault="00975673" w:rsidP="00067534">
            <w:pPr>
              <w:pStyle w:val="ListParagraph"/>
              <w:numPr>
                <w:ilvl w:val="0"/>
                <w:numId w:val="7"/>
              </w:numPr>
              <w:tabs>
                <w:tab w:val="clear" w:pos="1560"/>
              </w:tabs>
              <w:spacing w:after="120" w:line="240" w:lineRule="auto"/>
              <w:ind w:left="924" w:hanging="357"/>
              <w:rPr>
                <w:lang w:val="es-ES"/>
              </w:rPr>
            </w:pPr>
            <w:hyperlink r:id="rId27" w:history="1">
              <w:r w:rsidR="006053CC" w:rsidRPr="00B83E1A">
                <w:rPr>
                  <w:rStyle w:val="Hyperlink"/>
                  <w:lang w:val="es-ES"/>
                </w:rPr>
                <w:t>Organización Mundial del Comercio</w:t>
              </w:r>
            </w:hyperlink>
            <w:r w:rsidR="006053CC" w:rsidRPr="00B83E1A">
              <w:rPr>
                <w:lang w:val="es-ES"/>
              </w:rPr>
              <w:t> (OMC)</w:t>
            </w:r>
            <w:r w:rsidR="006053CC" w:rsidRPr="00B83E1A">
              <w:rPr>
                <w:rStyle w:val="FootnoteReference"/>
                <w:lang w:val="es-ES"/>
              </w:rPr>
              <w:footnoteReference w:id="11"/>
            </w:r>
          </w:p>
        </w:tc>
      </w:tr>
    </w:tbl>
    <w:p w14:paraId="36AD1398" w14:textId="77777777" w:rsidR="006053CC" w:rsidRPr="00B83E1A" w:rsidRDefault="006053CC" w:rsidP="006053CC">
      <w:pPr>
        <w:jc w:val="center"/>
        <w:rPr>
          <w:b/>
        </w:rPr>
      </w:pPr>
    </w:p>
    <w:p w14:paraId="281B74EC" w14:textId="77777777" w:rsidR="006053CC" w:rsidRPr="00B83E1A" w:rsidRDefault="006053CC" w:rsidP="000275B2">
      <w:pPr>
        <w:sectPr w:rsidR="006053CC" w:rsidRPr="00B83E1A" w:rsidSect="004F460B">
          <w:headerReference w:type="default" r:id="rId28"/>
          <w:headerReference w:type="first" r:id="rId29"/>
          <w:pgSz w:w="11906" w:h="16838" w:code="9"/>
          <w:pgMar w:top="567" w:right="1418" w:bottom="1418" w:left="1418" w:header="709" w:footer="709" w:gutter="0"/>
          <w:pgNumType w:start="1"/>
          <w:cols w:space="708"/>
          <w:titlePg/>
          <w:docGrid w:linePitch="360"/>
        </w:sectPr>
      </w:pPr>
    </w:p>
    <w:p w14:paraId="406BE9ED" w14:textId="77777777" w:rsidR="006D1EBB" w:rsidRPr="00B83E1A" w:rsidRDefault="006D1EBB" w:rsidP="006D1EBB">
      <w:pPr>
        <w:jc w:val="center"/>
        <w:rPr>
          <w:b/>
        </w:rPr>
      </w:pPr>
      <w:r w:rsidRPr="00B83E1A">
        <w:rPr>
          <w:b/>
        </w:rPr>
        <w:lastRenderedPageBreak/>
        <w:t>APÉNDICE II</w:t>
      </w:r>
    </w:p>
    <w:p w14:paraId="5B02D058" w14:textId="77777777" w:rsidR="002044FD" w:rsidRPr="00B83E1A" w:rsidRDefault="002044FD" w:rsidP="006D1EBB">
      <w:pPr>
        <w:jc w:val="center"/>
        <w:rPr>
          <w:b/>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5"/>
        <w:gridCol w:w="7185"/>
      </w:tblGrid>
      <w:tr w:rsidR="006D1EBB" w:rsidRPr="00B83E1A" w14:paraId="2A3F1DFE" w14:textId="77777777" w:rsidTr="004E65E7">
        <w:trPr>
          <w:trHeight w:val="255"/>
        </w:trPr>
        <w:tc>
          <w:tcPr>
            <w:tcW w:w="2895" w:type="dxa"/>
            <w:shd w:val="clear" w:color="auto" w:fill="auto"/>
            <w:noWrap/>
            <w:hideMark/>
          </w:tcPr>
          <w:p w14:paraId="06F9F0A8" w14:textId="77777777" w:rsidR="006D1EBB" w:rsidRPr="00B83E1A" w:rsidRDefault="006D1EBB" w:rsidP="004E65E7">
            <w:pPr>
              <w:spacing w:before="120" w:after="120"/>
              <w:rPr>
                <w:rFonts w:eastAsia="Times New Roman"/>
                <w:b/>
                <w:bCs/>
              </w:rPr>
            </w:pPr>
            <w:r w:rsidRPr="00B83E1A">
              <w:rPr>
                <w:rFonts w:eastAsia="Times New Roman"/>
                <w:b/>
                <w:bCs/>
              </w:rPr>
              <w:t>Organismos</w:t>
            </w:r>
          </w:p>
        </w:tc>
        <w:tc>
          <w:tcPr>
            <w:tcW w:w="7185" w:type="dxa"/>
            <w:shd w:val="clear" w:color="auto" w:fill="auto"/>
            <w:hideMark/>
          </w:tcPr>
          <w:p w14:paraId="3D92226A" w14:textId="77777777" w:rsidR="006D1EBB" w:rsidRPr="00B83E1A" w:rsidRDefault="006D1EBB" w:rsidP="004E65E7">
            <w:pPr>
              <w:spacing w:before="120" w:after="120"/>
              <w:rPr>
                <w:rFonts w:eastAsia="Times New Roman"/>
                <w:b/>
                <w:bCs/>
              </w:rPr>
            </w:pPr>
            <w:r w:rsidRPr="00B83E1A">
              <w:rPr>
                <w:rFonts w:eastAsia="Times New Roman"/>
                <w:b/>
                <w:bCs/>
              </w:rPr>
              <w:t>Enlaces pertinentes</w:t>
            </w:r>
          </w:p>
        </w:tc>
      </w:tr>
      <w:tr w:rsidR="006D1EBB" w:rsidRPr="00B83E1A" w14:paraId="73892C24" w14:textId="77777777" w:rsidTr="004E65E7">
        <w:trPr>
          <w:trHeight w:val="917"/>
        </w:trPr>
        <w:tc>
          <w:tcPr>
            <w:tcW w:w="2895" w:type="dxa"/>
            <w:shd w:val="clear" w:color="auto" w:fill="auto"/>
          </w:tcPr>
          <w:p w14:paraId="526E58D0" w14:textId="77777777" w:rsidR="006D1EBB" w:rsidRPr="00B83E1A" w:rsidRDefault="006D1EBB" w:rsidP="004E65E7">
            <w:pPr>
              <w:spacing w:before="120" w:after="120"/>
              <w:rPr>
                <w:rFonts w:eastAsia="Times New Roman"/>
                <w:b/>
              </w:rPr>
            </w:pPr>
            <w:r w:rsidRPr="00B83E1A">
              <w:rPr>
                <w:rFonts w:eastAsia="Times New Roman"/>
                <w:b/>
              </w:rPr>
              <w:t>Comisión Preparatoria de la Organización del Tratado de Prohibición Completa de los Ensayos Nucleares (CTBTO)</w:t>
            </w:r>
            <w:r w:rsidRPr="00B83E1A">
              <w:rPr>
                <w:rFonts w:eastAsia="Times New Roman"/>
              </w:rPr>
              <w:t xml:space="preserve"> </w:t>
            </w:r>
          </w:p>
        </w:tc>
        <w:tc>
          <w:tcPr>
            <w:tcW w:w="7185" w:type="dxa"/>
            <w:shd w:val="clear" w:color="auto" w:fill="auto"/>
            <w:vAlign w:val="bottom"/>
          </w:tcPr>
          <w:p w14:paraId="6E51FE99" w14:textId="7A7123B2" w:rsidR="006D1EBB" w:rsidRPr="00B83E1A" w:rsidRDefault="006D1EBB" w:rsidP="004E65E7">
            <w:pPr>
              <w:spacing w:before="120" w:after="120"/>
              <w:rPr>
                <w:rFonts w:eastAsia="Times New Roman"/>
              </w:rPr>
            </w:pPr>
            <w:r w:rsidRPr="00B83E1A">
              <w:rPr>
                <w:rFonts w:eastAsia="Times New Roman"/>
              </w:rPr>
              <w:t>1</w:t>
            </w:r>
            <w:r w:rsidR="00EF4AEA" w:rsidRPr="00B83E1A">
              <w:rPr>
                <w:rFonts w:eastAsia="Times New Roman"/>
              </w:rPr>
              <w:t xml:space="preserve">. </w:t>
            </w:r>
            <w:r w:rsidRPr="00B83E1A">
              <w:rPr>
                <w:rFonts w:eastAsia="Times New Roman"/>
              </w:rPr>
              <w:t xml:space="preserve"> </w:t>
            </w:r>
            <w:r w:rsidRPr="00B83E1A">
              <w:rPr>
                <w:rFonts w:eastAsia="Times New Roman"/>
                <w:i/>
              </w:rPr>
              <w:t>Annual Report 2012</w:t>
            </w:r>
            <w:r w:rsidRPr="00B83E1A">
              <w:rPr>
                <w:rFonts w:eastAsia="Times New Roman"/>
              </w:rPr>
              <w:t xml:space="preserve"> (Informe Anual 2012), </w:t>
            </w:r>
            <w:hyperlink r:id="rId30" w:history="1">
              <w:r w:rsidRPr="00B83E1A">
                <w:rPr>
                  <w:rStyle w:val="Hyperlink"/>
                  <w:rFonts w:eastAsia="Times New Roman"/>
                </w:rPr>
                <w:t>http://www.ctbto.org/fileadmin/user_upload/pdf/Annual_Report_2012/English/AR2012-English-CompleteReport.pdf</w:t>
              </w:r>
            </w:hyperlink>
            <w:r w:rsidRPr="00B83E1A">
              <w:rPr>
                <w:rFonts w:eastAsia="Times New Roman"/>
              </w:rPr>
              <w:t xml:space="preserve"> (sólo en inglés)</w:t>
            </w:r>
          </w:p>
          <w:p w14:paraId="5AA12805" w14:textId="77777777" w:rsidR="006D1EBB" w:rsidRPr="00B83E1A" w:rsidRDefault="006D1EBB" w:rsidP="004E65E7">
            <w:pPr>
              <w:spacing w:before="120" w:after="120"/>
              <w:rPr>
                <w:rFonts w:eastAsia="Times New Roman"/>
              </w:rPr>
            </w:pPr>
          </w:p>
        </w:tc>
      </w:tr>
      <w:tr w:rsidR="006D1EBB" w:rsidRPr="00B83E1A" w14:paraId="255FC016" w14:textId="77777777" w:rsidTr="004E65E7">
        <w:trPr>
          <w:trHeight w:val="917"/>
        </w:trPr>
        <w:tc>
          <w:tcPr>
            <w:tcW w:w="2895" w:type="dxa"/>
            <w:shd w:val="clear" w:color="auto" w:fill="auto"/>
            <w:hideMark/>
          </w:tcPr>
          <w:p w14:paraId="706F6998" w14:textId="77777777" w:rsidR="006D1EBB" w:rsidRPr="00B83E1A" w:rsidRDefault="006D1EBB" w:rsidP="004E65E7">
            <w:pPr>
              <w:spacing w:before="120" w:after="120"/>
              <w:rPr>
                <w:rFonts w:eastAsia="Times New Roman"/>
                <w:b/>
              </w:rPr>
            </w:pPr>
            <w:r w:rsidRPr="00B83E1A">
              <w:rPr>
                <w:rFonts w:eastAsia="Times New Roman"/>
                <w:b/>
              </w:rPr>
              <w:t>Organización de las Naciones Unidas para la Alimentación y la Agricultura (FAO)</w:t>
            </w:r>
          </w:p>
        </w:tc>
        <w:tc>
          <w:tcPr>
            <w:tcW w:w="7185" w:type="dxa"/>
            <w:shd w:val="clear" w:color="auto" w:fill="auto"/>
            <w:hideMark/>
          </w:tcPr>
          <w:p w14:paraId="7D32EA9F" w14:textId="77777777" w:rsidR="006D1EBB" w:rsidRPr="00B83E1A" w:rsidRDefault="006D1EBB" w:rsidP="004E65E7">
            <w:pPr>
              <w:spacing w:before="120" w:after="120"/>
              <w:rPr>
                <w:rFonts w:eastAsia="Times New Roman"/>
              </w:rPr>
            </w:pPr>
            <w:r w:rsidRPr="00B83E1A">
              <w:rPr>
                <w:rFonts w:eastAsia="Times New Roman"/>
              </w:rPr>
              <w:t xml:space="preserve">1.  Marco estratégico 2010-2019, </w:t>
            </w:r>
            <w:hyperlink r:id="rId31" w:history="1">
              <w:r w:rsidRPr="00B83E1A">
                <w:rPr>
                  <w:rStyle w:val="Hyperlink"/>
                </w:rPr>
                <w:t>ftp://ftp.fao.org/docrep/fao/meeting/017/k5864s.pdf</w:t>
              </w:r>
            </w:hyperlink>
            <w:r w:rsidRPr="00B83E1A">
              <w:rPr>
                <w:rStyle w:val="Hyperlink"/>
              </w:rPr>
              <w:t xml:space="preserve"> </w:t>
            </w:r>
          </w:p>
        </w:tc>
      </w:tr>
      <w:tr w:rsidR="006D1EBB" w:rsidRPr="00B83E1A" w14:paraId="0A05501C" w14:textId="77777777" w:rsidTr="004E65E7">
        <w:trPr>
          <w:trHeight w:val="510"/>
        </w:trPr>
        <w:tc>
          <w:tcPr>
            <w:tcW w:w="2895" w:type="dxa"/>
            <w:shd w:val="clear" w:color="auto" w:fill="auto"/>
            <w:noWrap/>
            <w:hideMark/>
          </w:tcPr>
          <w:p w14:paraId="6558DC3D" w14:textId="77777777" w:rsidR="006D1EBB" w:rsidRPr="00B83E1A" w:rsidRDefault="006D1EBB" w:rsidP="004E65E7">
            <w:pPr>
              <w:spacing w:before="120" w:after="120"/>
              <w:rPr>
                <w:rFonts w:eastAsia="Times New Roman"/>
                <w:b/>
              </w:rPr>
            </w:pPr>
          </w:p>
        </w:tc>
        <w:tc>
          <w:tcPr>
            <w:tcW w:w="7185" w:type="dxa"/>
            <w:shd w:val="clear" w:color="auto" w:fill="auto"/>
            <w:hideMark/>
          </w:tcPr>
          <w:p w14:paraId="1D05FE9B" w14:textId="77777777" w:rsidR="006D1EBB" w:rsidRPr="00B83E1A" w:rsidRDefault="006D1EBB" w:rsidP="004E65E7">
            <w:pPr>
              <w:spacing w:before="120" w:after="120"/>
              <w:rPr>
                <w:rFonts w:eastAsia="Times New Roman"/>
              </w:rPr>
            </w:pPr>
            <w:r w:rsidRPr="00B83E1A">
              <w:rPr>
                <w:rFonts w:eastAsia="Times New Roman"/>
              </w:rPr>
              <w:t xml:space="preserve">2.  Plan a plazo medio para 2014-17 que presenta el Director General, </w:t>
            </w:r>
            <w:hyperlink r:id="rId32" w:history="1">
              <w:r w:rsidRPr="00B83E1A">
                <w:rPr>
                  <w:rStyle w:val="Hyperlink"/>
                  <w:rFonts w:eastAsia="Times New Roman"/>
                </w:rPr>
                <w:t>http://www.fao.org/docrep/meeting/027/mf490s.pdf</w:t>
              </w:r>
            </w:hyperlink>
          </w:p>
        </w:tc>
      </w:tr>
      <w:tr w:rsidR="006D1EBB" w:rsidRPr="00B83E1A" w14:paraId="1215B32D" w14:textId="77777777" w:rsidTr="004E65E7">
        <w:trPr>
          <w:trHeight w:val="255"/>
        </w:trPr>
        <w:tc>
          <w:tcPr>
            <w:tcW w:w="2895" w:type="dxa"/>
            <w:shd w:val="clear" w:color="auto" w:fill="auto"/>
            <w:noWrap/>
            <w:hideMark/>
          </w:tcPr>
          <w:p w14:paraId="08DF06CF" w14:textId="77777777" w:rsidR="006D1EBB" w:rsidRPr="00B83E1A" w:rsidRDefault="006D1EBB" w:rsidP="004E65E7">
            <w:pPr>
              <w:spacing w:before="120" w:after="120"/>
              <w:rPr>
                <w:rFonts w:eastAsia="Times New Roman"/>
                <w:b/>
              </w:rPr>
            </w:pPr>
          </w:p>
        </w:tc>
        <w:tc>
          <w:tcPr>
            <w:tcW w:w="7185" w:type="dxa"/>
            <w:shd w:val="clear" w:color="auto" w:fill="auto"/>
            <w:hideMark/>
          </w:tcPr>
          <w:p w14:paraId="6F14F55C" w14:textId="77777777" w:rsidR="006D1EBB" w:rsidRPr="00B83E1A" w:rsidRDefault="006D1EBB" w:rsidP="004E65E7">
            <w:pPr>
              <w:spacing w:before="120" w:after="120"/>
              <w:rPr>
                <w:rFonts w:eastAsia="Times New Roman"/>
              </w:rPr>
            </w:pPr>
            <w:r w:rsidRPr="00B83E1A">
              <w:rPr>
                <w:rFonts w:eastAsia="Times New Roman"/>
              </w:rPr>
              <w:t xml:space="preserve">3.  Programa de trabajo y presupuesto para 2014-15, </w:t>
            </w:r>
            <w:hyperlink r:id="rId33" w:history="1">
              <w:r w:rsidRPr="00B83E1A">
                <w:rPr>
                  <w:rStyle w:val="Hyperlink"/>
                </w:rPr>
                <w:t>http://www.fao.org/docrep/meeting/027/mf490s.pdf</w:t>
              </w:r>
            </w:hyperlink>
            <w:r w:rsidRPr="00B83E1A">
              <w:rPr>
                <w:rStyle w:val="Hyperlink"/>
              </w:rPr>
              <w:t xml:space="preserve"> </w:t>
            </w:r>
          </w:p>
        </w:tc>
      </w:tr>
      <w:tr w:rsidR="006D1EBB" w:rsidRPr="00B83E1A" w14:paraId="0D05F50B" w14:textId="77777777" w:rsidTr="004E65E7">
        <w:trPr>
          <w:trHeight w:val="555"/>
        </w:trPr>
        <w:tc>
          <w:tcPr>
            <w:tcW w:w="2895" w:type="dxa"/>
            <w:shd w:val="clear" w:color="auto" w:fill="auto"/>
            <w:noWrap/>
            <w:hideMark/>
          </w:tcPr>
          <w:p w14:paraId="6587766C" w14:textId="77777777" w:rsidR="006D1EBB" w:rsidRPr="00B83E1A" w:rsidRDefault="006D1EBB" w:rsidP="004E65E7">
            <w:pPr>
              <w:spacing w:before="120" w:after="120"/>
              <w:rPr>
                <w:rFonts w:eastAsia="Times New Roman"/>
                <w:b/>
              </w:rPr>
            </w:pPr>
          </w:p>
        </w:tc>
        <w:tc>
          <w:tcPr>
            <w:tcW w:w="7185" w:type="dxa"/>
            <w:shd w:val="clear" w:color="auto" w:fill="auto"/>
            <w:hideMark/>
          </w:tcPr>
          <w:p w14:paraId="18D70C77" w14:textId="77777777" w:rsidR="006D1EBB" w:rsidRPr="00B83E1A" w:rsidRDefault="006D1EBB" w:rsidP="004E65E7">
            <w:pPr>
              <w:spacing w:before="120" w:after="120"/>
              <w:rPr>
                <w:rFonts w:eastAsia="Times New Roman"/>
              </w:rPr>
            </w:pPr>
            <w:r w:rsidRPr="00B83E1A">
              <w:rPr>
                <w:rFonts w:eastAsia="Times New Roman"/>
              </w:rPr>
              <w:t xml:space="preserve">4.  Página web: </w:t>
            </w:r>
            <w:hyperlink r:id="rId34" w:history="1">
              <w:r w:rsidRPr="00B83E1A">
                <w:rPr>
                  <w:rStyle w:val="Hyperlink"/>
                  <w:rFonts w:eastAsia="Times New Roman"/>
                </w:rPr>
                <w:t>http://www.fao.org/mdg/es/</w:t>
              </w:r>
            </w:hyperlink>
            <w:r w:rsidRPr="00B83E1A">
              <w:rPr>
                <w:rFonts w:eastAsia="Times New Roman"/>
              </w:rPr>
              <w:t xml:space="preserve"> </w:t>
            </w:r>
          </w:p>
        </w:tc>
      </w:tr>
      <w:tr w:rsidR="006D1EBB" w:rsidRPr="00B83E1A" w14:paraId="7E236756" w14:textId="77777777" w:rsidTr="004E65E7">
        <w:trPr>
          <w:trHeight w:val="510"/>
        </w:trPr>
        <w:tc>
          <w:tcPr>
            <w:tcW w:w="2895" w:type="dxa"/>
            <w:shd w:val="clear" w:color="auto" w:fill="auto"/>
            <w:noWrap/>
            <w:hideMark/>
          </w:tcPr>
          <w:p w14:paraId="3896693C" w14:textId="77777777" w:rsidR="006D1EBB" w:rsidRPr="00B83E1A" w:rsidRDefault="006D1EBB" w:rsidP="004E65E7">
            <w:pPr>
              <w:spacing w:before="120" w:after="120"/>
              <w:rPr>
                <w:rFonts w:eastAsia="Times New Roman"/>
                <w:b/>
              </w:rPr>
            </w:pPr>
            <w:r w:rsidRPr="00B83E1A">
              <w:rPr>
                <w:rFonts w:eastAsia="Times New Roman"/>
                <w:b/>
              </w:rPr>
              <w:t>Organismo Internacional de Energía Atómica (OIEA)</w:t>
            </w:r>
          </w:p>
        </w:tc>
        <w:tc>
          <w:tcPr>
            <w:tcW w:w="7185" w:type="dxa"/>
            <w:shd w:val="clear" w:color="auto" w:fill="auto"/>
            <w:hideMark/>
          </w:tcPr>
          <w:p w14:paraId="7D4FEC26" w14:textId="77777777" w:rsidR="006D1EBB" w:rsidRPr="00B83E1A" w:rsidRDefault="006D1EBB" w:rsidP="004E65E7">
            <w:pPr>
              <w:spacing w:before="120" w:after="120"/>
              <w:rPr>
                <w:rFonts w:eastAsia="Times New Roman"/>
              </w:rPr>
            </w:pPr>
            <w:r w:rsidRPr="00B83E1A">
              <w:rPr>
                <w:rFonts w:eastAsia="Times New Roman"/>
              </w:rPr>
              <w:t xml:space="preserve">1.  </w:t>
            </w:r>
            <w:r w:rsidRPr="00B83E1A">
              <w:rPr>
                <w:rFonts w:eastAsia="Times New Roman"/>
                <w:i/>
              </w:rPr>
              <w:t>The IAEA Medium Term Strategy (2012-2017</w:t>
            </w:r>
            <w:r w:rsidRPr="00B83E1A">
              <w:rPr>
                <w:rFonts w:eastAsia="Times New Roman"/>
              </w:rPr>
              <w:t xml:space="preserve">) (Estrategia a mediano plazo de la OIEA para 2012-2017), </w:t>
            </w:r>
            <w:hyperlink r:id="rId35" w:history="1">
              <w:r w:rsidRPr="00B83E1A">
                <w:rPr>
                  <w:rStyle w:val="Hyperlink"/>
                  <w:rFonts w:eastAsia="Times New Roman"/>
                </w:rPr>
                <w:t>http://www.iaea.org/About/mts2012_2017.pdf</w:t>
              </w:r>
            </w:hyperlink>
            <w:r w:rsidRPr="00B83E1A">
              <w:rPr>
                <w:rStyle w:val="Hyperlink"/>
                <w:rFonts w:eastAsia="Times New Roman"/>
              </w:rPr>
              <w:t xml:space="preserve"> </w:t>
            </w:r>
            <w:r w:rsidRPr="00B83E1A">
              <w:rPr>
                <w:rFonts w:eastAsia="Times New Roman"/>
              </w:rPr>
              <w:t xml:space="preserve"> (sólo en inglés)</w:t>
            </w:r>
          </w:p>
        </w:tc>
      </w:tr>
      <w:tr w:rsidR="006D1EBB" w:rsidRPr="00B83E1A" w14:paraId="757DC33E" w14:textId="77777777" w:rsidTr="004E65E7">
        <w:trPr>
          <w:trHeight w:val="510"/>
        </w:trPr>
        <w:tc>
          <w:tcPr>
            <w:tcW w:w="2895" w:type="dxa"/>
            <w:shd w:val="clear" w:color="auto" w:fill="auto"/>
            <w:noWrap/>
            <w:hideMark/>
          </w:tcPr>
          <w:p w14:paraId="2F40400F" w14:textId="77777777" w:rsidR="006D1EBB" w:rsidRPr="00B83E1A" w:rsidRDefault="006D1EBB" w:rsidP="004E65E7">
            <w:pPr>
              <w:spacing w:before="120" w:after="120"/>
              <w:rPr>
                <w:rFonts w:eastAsia="Times New Roman"/>
                <w:b/>
              </w:rPr>
            </w:pPr>
          </w:p>
        </w:tc>
        <w:tc>
          <w:tcPr>
            <w:tcW w:w="7185" w:type="dxa"/>
            <w:shd w:val="clear" w:color="auto" w:fill="auto"/>
            <w:hideMark/>
          </w:tcPr>
          <w:p w14:paraId="4EE655FE" w14:textId="77777777" w:rsidR="006D1EBB" w:rsidRPr="00B83E1A" w:rsidRDefault="006D1EBB" w:rsidP="004E65E7">
            <w:pPr>
              <w:spacing w:before="120" w:after="120"/>
              <w:rPr>
                <w:rFonts w:eastAsia="Times New Roman"/>
              </w:rPr>
            </w:pPr>
            <w:r w:rsidRPr="00B83E1A">
              <w:rPr>
                <w:rFonts w:eastAsia="Times New Roman"/>
              </w:rPr>
              <w:t>2.  Programa y Presupuesto del Organismo para 2012-2013</w:t>
            </w:r>
            <w:r w:rsidRPr="00B83E1A">
              <w:rPr>
                <w:rFonts w:eastAsia="Times New Roman"/>
                <w:iCs/>
              </w:rPr>
              <w:t>,</w:t>
            </w:r>
            <w:r w:rsidRPr="00B83E1A">
              <w:rPr>
                <w:rFonts w:eastAsia="Times New Roman"/>
                <w:i/>
                <w:iCs/>
              </w:rPr>
              <w:t xml:space="preserve"> </w:t>
            </w:r>
            <w:hyperlink r:id="rId36" w:history="1">
              <w:r w:rsidRPr="00B83E1A">
                <w:rPr>
                  <w:rStyle w:val="Hyperlink"/>
                </w:rPr>
                <w:t>http://www.iaea.org/About/Policy/GC/GC55/GC55Documents/Spanish/gc55-5_sp.pdf</w:t>
              </w:r>
            </w:hyperlink>
          </w:p>
        </w:tc>
      </w:tr>
      <w:tr w:rsidR="006D1EBB" w:rsidRPr="00B83E1A" w14:paraId="52EDD5D2" w14:textId="77777777" w:rsidTr="004E65E7">
        <w:trPr>
          <w:trHeight w:val="510"/>
        </w:trPr>
        <w:tc>
          <w:tcPr>
            <w:tcW w:w="2895" w:type="dxa"/>
            <w:shd w:val="clear" w:color="auto" w:fill="auto"/>
            <w:noWrap/>
            <w:hideMark/>
          </w:tcPr>
          <w:p w14:paraId="74B816C9" w14:textId="77777777" w:rsidR="006D1EBB" w:rsidRPr="00B83E1A" w:rsidRDefault="006D1EBB" w:rsidP="004E65E7">
            <w:pPr>
              <w:spacing w:before="120" w:after="120"/>
              <w:rPr>
                <w:rFonts w:eastAsia="Times New Roman"/>
                <w:b/>
              </w:rPr>
            </w:pPr>
          </w:p>
        </w:tc>
        <w:tc>
          <w:tcPr>
            <w:tcW w:w="7185" w:type="dxa"/>
            <w:shd w:val="clear" w:color="auto" w:fill="auto"/>
            <w:hideMark/>
          </w:tcPr>
          <w:p w14:paraId="554F0133" w14:textId="77777777" w:rsidR="006D1EBB" w:rsidRPr="00B83E1A" w:rsidRDefault="006D1EBB" w:rsidP="004E65E7">
            <w:pPr>
              <w:pStyle w:val="FootnoteText"/>
              <w:spacing w:before="120" w:after="120"/>
              <w:rPr>
                <w:sz w:val="22"/>
                <w:szCs w:val="22"/>
              </w:rPr>
            </w:pPr>
            <w:r w:rsidRPr="00B83E1A">
              <w:rPr>
                <w:rFonts w:eastAsia="Times New Roman"/>
                <w:sz w:val="22"/>
                <w:szCs w:val="22"/>
              </w:rPr>
              <w:t>3.  Programa y Presupuesto del Organismo para 2</w:t>
            </w:r>
            <w:r w:rsidRPr="00B83E1A">
              <w:rPr>
                <w:rFonts w:eastAsia="Times New Roman"/>
                <w:iCs/>
                <w:sz w:val="22"/>
                <w:szCs w:val="22"/>
              </w:rPr>
              <w:t>014-2015,</w:t>
            </w:r>
            <w:r w:rsidRPr="00B83E1A">
              <w:rPr>
                <w:rFonts w:eastAsia="Times New Roman"/>
                <w:i/>
                <w:iCs/>
                <w:sz w:val="22"/>
                <w:szCs w:val="22"/>
              </w:rPr>
              <w:t xml:space="preserve"> </w:t>
            </w:r>
            <w:hyperlink r:id="rId37" w:history="1">
              <w:r w:rsidRPr="00B83E1A">
                <w:rPr>
                  <w:rStyle w:val="Hyperlink"/>
                  <w:sz w:val="22"/>
                  <w:szCs w:val="22"/>
                </w:rPr>
                <w:t>http://www.iaea.org/About/Policy/GC/GC57/GC57Documents/Spanish/gc57-2_sp.pdf</w:t>
              </w:r>
            </w:hyperlink>
            <w:r w:rsidRPr="00B83E1A">
              <w:rPr>
                <w:sz w:val="22"/>
                <w:szCs w:val="22"/>
              </w:rPr>
              <w:t xml:space="preserve"> </w:t>
            </w:r>
          </w:p>
        </w:tc>
      </w:tr>
      <w:tr w:rsidR="006D1EBB" w:rsidRPr="00B83E1A" w14:paraId="0A9EC56F" w14:textId="77777777" w:rsidTr="004E65E7">
        <w:trPr>
          <w:trHeight w:val="255"/>
        </w:trPr>
        <w:tc>
          <w:tcPr>
            <w:tcW w:w="2895" w:type="dxa"/>
            <w:shd w:val="clear" w:color="auto" w:fill="auto"/>
            <w:noWrap/>
            <w:hideMark/>
          </w:tcPr>
          <w:p w14:paraId="0930C065" w14:textId="77777777" w:rsidR="006D1EBB" w:rsidRPr="00B83E1A" w:rsidRDefault="006D1EBB" w:rsidP="004E65E7">
            <w:pPr>
              <w:spacing w:before="120" w:after="120"/>
              <w:rPr>
                <w:rFonts w:eastAsia="Times New Roman"/>
                <w:b/>
              </w:rPr>
            </w:pPr>
          </w:p>
        </w:tc>
        <w:tc>
          <w:tcPr>
            <w:tcW w:w="7185" w:type="dxa"/>
            <w:shd w:val="clear" w:color="auto" w:fill="auto"/>
            <w:hideMark/>
          </w:tcPr>
          <w:p w14:paraId="2E5193C5" w14:textId="77777777" w:rsidR="006D1EBB" w:rsidRPr="00B83E1A" w:rsidRDefault="006D1EBB" w:rsidP="004E65E7">
            <w:pPr>
              <w:spacing w:before="120" w:after="120"/>
              <w:rPr>
                <w:rFonts w:eastAsia="Times New Roman"/>
              </w:rPr>
            </w:pPr>
            <w:r w:rsidRPr="00B83E1A">
              <w:rPr>
                <w:rFonts w:eastAsia="Times New Roman"/>
              </w:rPr>
              <w:t xml:space="preserve">4.  </w:t>
            </w:r>
            <w:r w:rsidRPr="00B83E1A">
              <w:rPr>
                <w:rFonts w:eastAsia="Times New Roman"/>
                <w:i/>
                <w:iCs/>
              </w:rPr>
              <w:t>Annual Report 2012</w:t>
            </w:r>
            <w:r w:rsidRPr="00B83E1A">
              <w:rPr>
                <w:rFonts w:eastAsia="Times New Roman"/>
                <w:iCs/>
              </w:rPr>
              <w:t xml:space="preserve"> (Informe Anual 2012),</w:t>
            </w:r>
            <w:r w:rsidRPr="00B83E1A">
              <w:rPr>
                <w:rFonts w:eastAsia="Times New Roman"/>
                <w:i/>
                <w:iCs/>
              </w:rPr>
              <w:t xml:space="preserve"> </w:t>
            </w:r>
            <w:hyperlink r:id="rId38" w:history="1">
              <w:r w:rsidRPr="00B83E1A">
                <w:rPr>
                  <w:rStyle w:val="Hyperlink"/>
                </w:rPr>
                <w:t>http://www.iaea.org/Publications/Reports/Anrep2012/anrep2012_full.pdf</w:t>
              </w:r>
            </w:hyperlink>
            <w:r w:rsidRPr="00B83E1A">
              <w:rPr>
                <w:rStyle w:val="Hyperlink"/>
              </w:rPr>
              <w:t xml:space="preserve"> </w:t>
            </w:r>
            <w:r w:rsidRPr="00B83E1A">
              <w:rPr>
                <w:rFonts w:eastAsia="Times New Roman"/>
              </w:rPr>
              <w:t xml:space="preserve"> (sólo en inglés)</w:t>
            </w:r>
          </w:p>
        </w:tc>
      </w:tr>
      <w:tr w:rsidR="006D1EBB" w:rsidRPr="00B83E1A" w14:paraId="532048FF" w14:textId="77777777" w:rsidTr="004E65E7">
        <w:trPr>
          <w:trHeight w:val="990"/>
        </w:trPr>
        <w:tc>
          <w:tcPr>
            <w:tcW w:w="2895" w:type="dxa"/>
            <w:shd w:val="clear" w:color="auto" w:fill="auto"/>
            <w:hideMark/>
          </w:tcPr>
          <w:p w14:paraId="0808F723" w14:textId="77777777" w:rsidR="006D1EBB" w:rsidRPr="00B83E1A" w:rsidRDefault="006D1EBB" w:rsidP="004E65E7">
            <w:pPr>
              <w:spacing w:before="120" w:after="120"/>
              <w:rPr>
                <w:rFonts w:eastAsia="Times New Roman"/>
                <w:b/>
              </w:rPr>
            </w:pPr>
          </w:p>
        </w:tc>
        <w:tc>
          <w:tcPr>
            <w:tcW w:w="7185" w:type="dxa"/>
            <w:shd w:val="clear" w:color="auto" w:fill="auto"/>
            <w:hideMark/>
          </w:tcPr>
          <w:p w14:paraId="5AFDBBF3" w14:textId="0571600E" w:rsidR="006D1EBB" w:rsidRPr="00B83E1A" w:rsidRDefault="006D1EBB" w:rsidP="004E65E7">
            <w:pPr>
              <w:spacing w:before="120" w:after="120"/>
              <w:rPr>
                <w:rFonts w:eastAsia="Times New Roman"/>
              </w:rPr>
            </w:pPr>
            <w:r w:rsidRPr="00B83E1A">
              <w:rPr>
                <w:rFonts w:eastAsia="Times New Roman"/>
              </w:rPr>
              <w:t xml:space="preserve">5.  Página web: </w:t>
            </w:r>
            <w:r w:rsidR="00C57EFE" w:rsidRPr="00B83E1A">
              <w:rPr>
                <w:rFonts w:eastAsia="Times New Roman"/>
              </w:rPr>
              <w:t xml:space="preserve"> </w:t>
            </w:r>
            <w:hyperlink r:id="rId39" w:history="1">
              <w:r w:rsidRPr="00B83E1A">
                <w:rPr>
                  <w:rStyle w:val="Hyperlink"/>
                  <w:rFonts w:eastAsia="Times New Roman"/>
                </w:rPr>
                <w:t>http://www.iaea.org/technicalcooperation/Partnerships/Relation-UN/MDGs/</w:t>
              </w:r>
            </w:hyperlink>
            <w:r w:rsidR="00320EE4" w:rsidRPr="00B83E1A">
              <w:rPr>
                <w:rFonts w:eastAsia="Times New Roman"/>
              </w:rPr>
              <w:t xml:space="preserve"> </w:t>
            </w:r>
            <w:r w:rsidRPr="00B83E1A">
              <w:rPr>
                <w:rFonts w:eastAsia="Times New Roman"/>
              </w:rPr>
              <w:t>(sólo en inglés)</w:t>
            </w:r>
          </w:p>
        </w:tc>
      </w:tr>
      <w:tr w:rsidR="006D1EBB" w:rsidRPr="00B83E1A" w14:paraId="6A832664" w14:textId="77777777" w:rsidTr="00C57EFE">
        <w:trPr>
          <w:trHeight w:val="802"/>
        </w:trPr>
        <w:tc>
          <w:tcPr>
            <w:tcW w:w="2895" w:type="dxa"/>
            <w:shd w:val="clear" w:color="auto" w:fill="auto"/>
            <w:hideMark/>
          </w:tcPr>
          <w:p w14:paraId="189D31CF" w14:textId="77777777" w:rsidR="006D1EBB" w:rsidRPr="00B83E1A" w:rsidRDefault="006D1EBB" w:rsidP="004E65E7">
            <w:pPr>
              <w:spacing w:before="120" w:after="120"/>
              <w:rPr>
                <w:rFonts w:eastAsia="Times New Roman"/>
                <w:b/>
              </w:rPr>
            </w:pPr>
          </w:p>
        </w:tc>
        <w:tc>
          <w:tcPr>
            <w:tcW w:w="7185" w:type="dxa"/>
            <w:shd w:val="clear" w:color="auto" w:fill="auto"/>
            <w:hideMark/>
          </w:tcPr>
          <w:p w14:paraId="618C9D80" w14:textId="63659ECF" w:rsidR="006D1EBB" w:rsidRPr="00B83E1A" w:rsidRDefault="006D1EBB" w:rsidP="004E65E7">
            <w:pPr>
              <w:spacing w:before="120" w:after="120"/>
              <w:rPr>
                <w:rFonts w:eastAsia="Times New Roman"/>
              </w:rPr>
            </w:pPr>
            <w:r w:rsidRPr="00B83E1A">
              <w:rPr>
                <w:rFonts w:eastAsia="Times New Roman"/>
              </w:rPr>
              <w:t xml:space="preserve">6.  Página web: </w:t>
            </w:r>
            <w:r w:rsidR="00C57EFE" w:rsidRPr="00B83E1A">
              <w:rPr>
                <w:rFonts w:eastAsia="Times New Roman"/>
              </w:rPr>
              <w:t xml:space="preserve"> </w:t>
            </w:r>
            <w:hyperlink r:id="rId40" w:history="1">
              <w:r w:rsidRPr="00B83E1A">
                <w:rPr>
                  <w:rStyle w:val="Hyperlink"/>
                  <w:rFonts w:eastAsia="Times New Roman"/>
                </w:rPr>
                <w:t>http://www.iaea.org/technicalcooperation/Pub/Suc-stories/index.html</w:t>
              </w:r>
            </w:hyperlink>
            <w:r w:rsidRPr="00B83E1A">
              <w:rPr>
                <w:rFonts w:eastAsia="Times New Roman"/>
              </w:rPr>
              <w:t xml:space="preserve">  (sólo en inglés)</w:t>
            </w:r>
          </w:p>
        </w:tc>
      </w:tr>
      <w:tr w:rsidR="006D1EBB" w:rsidRPr="00B83E1A" w14:paraId="163BDE6A" w14:textId="77777777" w:rsidTr="004E65E7">
        <w:trPr>
          <w:trHeight w:val="510"/>
        </w:trPr>
        <w:tc>
          <w:tcPr>
            <w:tcW w:w="2895" w:type="dxa"/>
            <w:shd w:val="clear" w:color="auto" w:fill="auto"/>
            <w:vAlign w:val="bottom"/>
          </w:tcPr>
          <w:p w14:paraId="4464C3F0" w14:textId="77777777" w:rsidR="006D1EBB" w:rsidRPr="00B83E1A" w:rsidRDefault="006D1EBB" w:rsidP="004E65E7">
            <w:pPr>
              <w:spacing w:before="120" w:after="120"/>
              <w:rPr>
                <w:rFonts w:eastAsia="Times New Roman"/>
                <w:b/>
              </w:rPr>
            </w:pPr>
            <w:r w:rsidRPr="00B83E1A">
              <w:rPr>
                <w:rFonts w:eastAsia="Times New Roman"/>
                <w:b/>
              </w:rPr>
              <w:t>Organización de Aviación Civil Internacional (OACI)</w:t>
            </w:r>
          </w:p>
        </w:tc>
        <w:tc>
          <w:tcPr>
            <w:tcW w:w="7185" w:type="dxa"/>
            <w:shd w:val="clear" w:color="auto" w:fill="auto"/>
            <w:vAlign w:val="bottom"/>
          </w:tcPr>
          <w:p w14:paraId="68BDA075" w14:textId="673428FF" w:rsidR="006D1EBB" w:rsidRPr="00B83E1A" w:rsidRDefault="006D1EBB" w:rsidP="004E65E7">
            <w:pPr>
              <w:spacing w:before="120" w:after="120"/>
              <w:rPr>
                <w:rFonts w:eastAsia="Times New Roman"/>
              </w:rPr>
            </w:pPr>
            <w:r w:rsidRPr="00B83E1A">
              <w:rPr>
                <w:rFonts w:eastAsia="Times New Roman"/>
              </w:rPr>
              <w:t>1.</w:t>
            </w:r>
            <w:r w:rsidR="00C57EFE" w:rsidRPr="00B83E1A">
              <w:rPr>
                <w:rFonts w:eastAsia="Times New Roman"/>
              </w:rPr>
              <w:t xml:space="preserve">  </w:t>
            </w:r>
            <w:r w:rsidRPr="00B83E1A">
              <w:rPr>
                <w:rFonts w:eastAsia="Times New Roman"/>
              </w:rPr>
              <w:t>Informe anual del Consejo</w:t>
            </w:r>
            <w:r w:rsidR="00C57EFE" w:rsidRPr="00B83E1A">
              <w:rPr>
                <w:rFonts w:eastAsia="Times New Roman"/>
              </w:rPr>
              <w:t xml:space="preserve"> 2011, </w:t>
            </w:r>
            <w:hyperlink r:id="rId41" w:history="1">
              <w:r w:rsidRPr="00B83E1A">
                <w:rPr>
                  <w:rStyle w:val="Hyperlink"/>
                  <w:rFonts w:eastAsia="Times New Roman"/>
                </w:rPr>
                <w:t>http://www.icao.int/publications/Documents/9975_es.pdf</w:t>
              </w:r>
            </w:hyperlink>
          </w:p>
          <w:p w14:paraId="4DC19347" w14:textId="77777777" w:rsidR="006D1EBB" w:rsidRPr="00B83E1A" w:rsidRDefault="006D1EBB" w:rsidP="004E65E7">
            <w:pPr>
              <w:spacing w:before="120" w:after="120"/>
              <w:rPr>
                <w:rFonts w:eastAsia="Times New Roman"/>
                <w:i/>
                <w:iCs/>
              </w:rPr>
            </w:pPr>
          </w:p>
        </w:tc>
      </w:tr>
      <w:tr w:rsidR="006D1EBB" w:rsidRPr="00B83E1A" w14:paraId="07BF41F0" w14:textId="77777777" w:rsidTr="004E65E7">
        <w:trPr>
          <w:trHeight w:val="510"/>
        </w:trPr>
        <w:tc>
          <w:tcPr>
            <w:tcW w:w="2895" w:type="dxa"/>
            <w:shd w:val="clear" w:color="auto" w:fill="auto"/>
            <w:hideMark/>
          </w:tcPr>
          <w:p w14:paraId="11D05743" w14:textId="77777777" w:rsidR="006D1EBB" w:rsidRPr="00B83E1A" w:rsidRDefault="006D1EBB" w:rsidP="004E65E7">
            <w:pPr>
              <w:spacing w:before="120" w:after="120"/>
              <w:rPr>
                <w:rFonts w:eastAsia="Times New Roman"/>
                <w:b/>
              </w:rPr>
            </w:pPr>
            <w:r w:rsidRPr="00B83E1A">
              <w:rPr>
                <w:rFonts w:eastAsia="Times New Roman"/>
                <w:b/>
              </w:rPr>
              <w:t>Fondo Internacional para el Desarrollo Agrícola (FIDA)</w:t>
            </w:r>
          </w:p>
        </w:tc>
        <w:tc>
          <w:tcPr>
            <w:tcW w:w="7185" w:type="dxa"/>
            <w:shd w:val="clear" w:color="auto" w:fill="auto"/>
            <w:hideMark/>
          </w:tcPr>
          <w:p w14:paraId="00B05526" w14:textId="77777777" w:rsidR="006D1EBB" w:rsidRPr="00B83E1A" w:rsidRDefault="006D1EBB" w:rsidP="004E65E7">
            <w:pPr>
              <w:spacing w:before="120" w:after="120"/>
              <w:rPr>
                <w:rFonts w:eastAsia="Times New Roman"/>
                <w:i/>
                <w:iCs/>
              </w:rPr>
            </w:pPr>
            <w:r w:rsidRPr="00B83E1A">
              <w:rPr>
                <w:rFonts w:eastAsia="Times New Roman"/>
                <w:iCs/>
              </w:rPr>
              <w:t xml:space="preserve">1.  Marco Estratégico del FIDA 2011-2015, </w:t>
            </w:r>
            <w:hyperlink r:id="rId42" w:history="1">
              <w:r w:rsidRPr="00B83E1A">
                <w:rPr>
                  <w:rStyle w:val="Hyperlink"/>
                </w:rPr>
                <w:t>http://www.ifad.org/sf/strategic_s.pdf</w:t>
              </w:r>
            </w:hyperlink>
            <w:r w:rsidRPr="00B83E1A">
              <w:rPr>
                <w:rStyle w:val="Hyperlink"/>
              </w:rPr>
              <w:t xml:space="preserve"> </w:t>
            </w:r>
            <w:r w:rsidRPr="00B83E1A">
              <w:rPr>
                <w:rFonts w:eastAsia="Times New Roman"/>
              </w:rPr>
              <w:t xml:space="preserve"> </w:t>
            </w:r>
          </w:p>
        </w:tc>
      </w:tr>
      <w:tr w:rsidR="006D1EBB" w:rsidRPr="00B83E1A" w14:paraId="7B98EB6E" w14:textId="77777777" w:rsidTr="004E65E7">
        <w:trPr>
          <w:trHeight w:val="255"/>
        </w:trPr>
        <w:tc>
          <w:tcPr>
            <w:tcW w:w="2895" w:type="dxa"/>
            <w:shd w:val="clear" w:color="auto" w:fill="auto"/>
            <w:noWrap/>
            <w:hideMark/>
          </w:tcPr>
          <w:p w14:paraId="4F515154" w14:textId="77777777" w:rsidR="006D1EBB" w:rsidRPr="00B83E1A" w:rsidRDefault="006D1EBB" w:rsidP="004E65E7">
            <w:pPr>
              <w:spacing w:before="120" w:after="120"/>
              <w:rPr>
                <w:rFonts w:eastAsia="Times New Roman"/>
                <w:b/>
              </w:rPr>
            </w:pPr>
          </w:p>
        </w:tc>
        <w:tc>
          <w:tcPr>
            <w:tcW w:w="7185" w:type="dxa"/>
            <w:shd w:val="clear" w:color="auto" w:fill="auto"/>
            <w:hideMark/>
          </w:tcPr>
          <w:p w14:paraId="7DA9F13F" w14:textId="77777777" w:rsidR="006D1EBB" w:rsidRPr="00B83E1A" w:rsidRDefault="006D1EBB" w:rsidP="004E65E7">
            <w:pPr>
              <w:spacing w:before="120" w:after="120"/>
              <w:rPr>
                <w:rFonts w:eastAsia="Times New Roman"/>
                <w:i/>
                <w:iCs/>
              </w:rPr>
            </w:pPr>
            <w:r w:rsidRPr="00B83E1A">
              <w:rPr>
                <w:rFonts w:eastAsia="Times New Roman"/>
                <w:iCs/>
              </w:rPr>
              <w:t xml:space="preserve">2.  Informe Anual 2012, </w:t>
            </w:r>
            <w:hyperlink r:id="rId43" w:history="1">
              <w:r w:rsidRPr="00B83E1A">
                <w:rPr>
                  <w:rStyle w:val="Hyperlink"/>
                </w:rPr>
                <w:t>http://www.ifad.org/pub/ar/2012/s/full_report.pdf</w:t>
              </w:r>
            </w:hyperlink>
            <w:r w:rsidRPr="00B83E1A">
              <w:t xml:space="preserve"> </w:t>
            </w:r>
          </w:p>
        </w:tc>
      </w:tr>
      <w:tr w:rsidR="006D1EBB" w:rsidRPr="00B83E1A" w14:paraId="0F448FE5" w14:textId="77777777" w:rsidTr="00C57EFE">
        <w:trPr>
          <w:trHeight w:val="1168"/>
        </w:trPr>
        <w:tc>
          <w:tcPr>
            <w:tcW w:w="2895" w:type="dxa"/>
            <w:shd w:val="clear" w:color="auto" w:fill="auto"/>
            <w:noWrap/>
            <w:hideMark/>
          </w:tcPr>
          <w:p w14:paraId="348CCA61" w14:textId="77777777" w:rsidR="006D1EBB" w:rsidRPr="00B83E1A" w:rsidRDefault="006D1EBB" w:rsidP="004E65E7">
            <w:pPr>
              <w:spacing w:before="120" w:after="120"/>
              <w:rPr>
                <w:rFonts w:eastAsia="Times New Roman"/>
                <w:b/>
              </w:rPr>
            </w:pPr>
          </w:p>
        </w:tc>
        <w:tc>
          <w:tcPr>
            <w:tcW w:w="7185" w:type="dxa"/>
            <w:shd w:val="clear" w:color="auto" w:fill="auto"/>
            <w:hideMark/>
          </w:tcPr>
          <w:p w14:paraId="6EF6DB36" w14:textId="5715B971" w:rsidR="006D1EBB" w:rsidRPr="00B83E1A" w:rsidRDefault="006D1EBB" w:rsidP="00C57EFE">
            <w:pPr>
              <w:autoSpaceDE w:val="0"/>
              <w:autoSpaceDN w:val="0"/>
              <w:adjustRightInd w:val="0"/>
              <w:rPr>
                <w:rFonts w:eastAsia="Times New Roman"/>
                <w:i/>
                <w:iCs/>
              </w:rPr>
            </w:pPr>
            <w:r w:rsidRPr="00B83E1A">
              <w:rPr>
                <w:rFonts w:eastAsia="Times New Roman"/>
                <w:iCs/>
              </w:rPr>
              <w:t xml:space="preserve">3.  </w:t>
            </w:r>
            <w:r w:rsidRPr="00B83E1A">
              <w:rPr>
                <w:rFonts w:eastAsia="Times New Roman"/>
                <w:i/>
                <w:iCs/>
              </w:rPr>
              <w:t>Annual Report on Results and Impact of IFAD Operations (ARRI) 2012 (</w:t>
            </w:r>
            <w:r w:rsidRPr="00B83E1A">
              <w:rPr>
                <w:rFonts w:eastAsia="Times New Roman"/>
                <w:iCs/>
              </w:rPr>
              <w:t>Informe anual sobre los resultados y el impacto de las actividades del FIDA evaluadas en 2012),</w:t>
            </w:r>
            <w:r w:rsidRPr="00B83E1A">
              <w:rPr>
                <w:rFonts w:eastAsia="Times New Roman"/>
                <w:i/>
                <w:iCs/>
              </w:rPr>
              <w:t xml:space="preserve"> </w:t>
            </w:r>
            <w:hyperlink r:id="rId44" w:history="1">
              <w:r w:rsidRPr="00B83E1A">
                <w:rPr>
                  <w:rStyle w:val="Hyperlink"/>
                </w:rPr>
                <w:t>http://www.ifad.org/evaluation/arri/2012/arri.pdf</w:t>
              </w:r>
            </w:hyperlink>
            <w:r w:rsidRPr="00B83E1A">
              <w:rPr>
                <w:rFonts w:eastAsia="Times New Roman"/>
              </w:rPr>
              <w:t xml:space="preserve"> (sólo en inglés)</w:t>
            </w:r>
          </w:p>
        </w:tc>
      </w:tr>
      <w:tr w:rsidR="006D1EBB" w:rsidRPr="00B83E1A" w14:paraId="18FD198C" w14:textId="77777777" w:rsidTr="004E65E7">
        <w:trPr>
          <w:trHeight w:val="510"/>
        </w:trPr>
        <w:tc>
          <w:tcPr>
            <w:tcW w:w="2895" w:type="dxa"/>
            <w:shd w:val="clear" w:color="auto" w:fill="auto"/>
            <w:noWrap/>
            <w:hideMark/>
          </w:tcPr>
          <w:p w14:paraId="5450FF9C" w14:textId="77777777" w:rsidR="006D1EBB" w:rsidRPr="00B83E1A" w:rsidRDefault="006D1EBB" w:rsidP="004E65E7">
            <w:pPr>
              <w:spacing w:before="120" w:after="120"/>
              <w:rPr>
                <w:rFonts w:eastAsia="Times New Roman"/>
                <w:b/>
              </w:rPr>
            </w:pPr>
          </w:p>
        </w:tc>
        <w:tc>
          <w:tcPr>
            <w:tcW w:w="7185" w:type="dxa"/>
            <w:shd w:val="clear" w:color="auto" w:fill="auto"/>
            <w:hideMark/>
          </w:tcPr>
          <w:p w14:paraId="426ADF16" w14:textId="77777777" w:rsidR="006D1EBB" w:rsidRPr="00B83E1A" w:rsidRDefault="006D1EBB" w:rsidP="004E65E7">
            <w:pPr>
              <w:spacing w:before="120" w:after="120"/>
              <w:rPr>
                <w:rFonts w:eastAsia="Times New Roman"/>
                <w:i/>
                <w:iCs/>
              </w:rPr>
            </w:pPr>
            <w:r w:rsidRPr="00B83E1A">
              <w:rPr>
                <w:rFonts w:eastAsia="Times New Roman"/>
                <w:iCs/>
              </w:rPr>
              <w:t xml:space="preserve">4.  La igualdad de género y el empoderamiento de la mujer - Política, </w:t>
            </w:r>
            <w:hyperlink r:id="rId45" w:history="1">
              <w:r w:rsidRPr="00B83E1A">
                <w:rPr>
                  <w:rStyle w:val="Hyperlink"/>
                </w:rPr>
                <w:t>http://www.ifad.org/gender/policy/gender_s.pdf</w:t>
              </w:r>
            </w:hyperlink>
            <w:r w:rsidRPr="00B83E1A">
              <w:rPr>
                <w:rStyle w:val="Hyperlink"/>
              </w:rPr>
              <w:t xml:space="preserve"> </w:t>
            </w:r>
            <w:r w:rsidRPr="00B83E1A">
              <w:rPr>
                <w:rFonts w:eastAsia="Times New Roman"/>
              </w:rPr>
              <w:t xml:space="preserve"> </w:t>
            </w:r>
          </w:p>
        </w:tc>
      </w:tr>
      <w:tr w:rsidR="006D1EBB" w:rsidRPr="00B83E1A" w14:paraId="1DC48666" w14:textId="77777777" w:rsidTr="004E65E7">
        <w:trPr>
          <w:trHeight w:val="750"/>
        </w:trPr>
        <w:tc>
          <w:tcPr>
            <w:tcW w:w="2895" w:type="dxa"/>
            <w:shd w:val="clear" w:color="auto" w:fill="auto"/>
            <w:noWrap/>
            <w:hideMark/>
          </w:tcPr>
          <w:p w14:paraId="40C9DF6F" w14:textId="77777777" w:rsidR="006D1EBB" w:rsidRPr="00B83E1A" w:rsidRDefault="006D1EBB" w:rsidP="004E65E7">
            <w:pPr>
              <w:spacing w:before="120" w:after="120"/>
              <w:rPr>
                <w:rFonts w:eastAsia="Times New Roman"/>
                <w:b/>
              </w:rPr>
            </w:pPr>
          </w:p>
        </w:tc>
        <w:tc>
          <w:tcPr>
            <w:tcW w:w="7185" w:type="dxa"/>
            <w:shd w:val="clear" w:color="auto" w:fill="auto"/>
            <w:hideMark/>
          </w:tcPr>
          <w:p w14:paraId="1B8D7B6B" w14:textId="20D13567" w:rsidR="006D1EBB" w:rsidRPr="00B83E1A" w:rsidRDefault="006D1EBB" w:rsidP="00C57EFE">
            <w:pPr>
              <w:spacing w:before="120" w:after="120"/>
              <w:rPr>
                <w:rFonts w:eastAsia="Times New Roman"/>
              </w:rPr>
            </w:pPr>
            <w:r w:rsidRPr="00B83E1A">
              <w:rPr>
                <w:rFonts w:eastAsia="Times New Roman"/>
              </w:rPr>
              <w:t xml:space="preserve">5.  Página web: </w:t>
            </w:r>
            <w:hyperlink r:id="rId46" w:history="1">
              <w:r w:rsidRPr="00B83E1A">
                <w:rPr>
                  <w:rStyle w:val="Hyperlink"/>
                  <w:rFonts w:eastAsia="Times New Roman"/>
                </w:rPr>
                <w:t>http://www.ifad.org/governance/mdgs/index.htm</w:t>
              </w:r>
            </w:hyperlink>
            <w:r w:rsidRPr="00B83E1A">
              <w:rPr>
                <w:rFonts w:eastAsia="Times New Roman"/>
              </w:rPr>
              <w:t xml:space="preserve"> </w:t>
            </w:r>
            <w:r w:rsidRPr="00B83E1A">
              <w:rPr>
                <w:rFonts w:eastAsia="Times New Roman"/>
                <w:i/>
              </w:rPr>
              <w:t xml:space="preserve">IFAD and </w:t>
            </w:r>
            <w:proofErr w:type="spellStart"/>
            <w:r w:rsidRPr="00B83E1A">
              <w:rPr>
                <w:rFonts w:eastAsia="Times New Roman"/>
                <w:i/>
              </w:rPr>
              <w:t>the</w:t>
            </w:r>
            <w:proofErr w:type="spellEnd"/>
            <w:r w:rsidRPr="00B83E1A">
              <w:rPr>
                <w:rFonts w:eastAsia="Times New Roman"/>
                <w:i/>
              </w:rPr>
              <w:t xml:space="preserve"> Millennium Development Goals (MDGs)</w:t>
            </w:r>
            <w:r w:rsidRPr="00B83E1A">
              <w:rPr>
                <w:rFonts w:eastAsia="Times New Roman"/>
              </w:rPr>
              <w:t xml:space="preserve"> (El FIDA y los Objetivos de Desarrollo del Milenio) (sólo en inglés)</w:t>
            </w:r>
          </w:p>
        </w:tc>
      </w:tr>
      <w:tr w:rsidR="006D1EBB" w:rsidRPr="00B83E1A" w14:paraId="2BD8F58A" w14:textId="77777777" w:rsidTr="004E65E7">
        <w:trPr>
          <w:trHeight w:val="510"/>
        </w:trPr>
        <w:tc>
          <w:tcPr>
            <w:tcW w:w="2895" w:type="dxa"/>
            <w:shd w:val="clear" w:color="auto" w:fill="auto"/>
            <w:noWrap/>
            <w:hideMark/>
          </w:tcPr>
          <w:p w14:paraId="1764B852" w14:textId="77777777" w:rsidR="006D1EBB" w:rsidRPr="00B83E1A" w:rsidRDefault="006D1EBB" w:rsidP="004E65E7">
            <w:pPr>
              <w:spacing w:before="120" w:after="120"/>
              <w:rPr>
                <w:rFonts w:eastAsia="Times New Roman"/>
                <w:b/>
              </w:rPr>
            </w:pPr>
          </w:p>
        </w:tc>
        <w:tc>
          <w:tcPr>
            <w:tcW w:w="7185" w:type="dxa"/>
            <w:shd w:val="clear" w:color="auto" w:fill="auto"/>
            <w:hideMark/>
          </w:tcPr>
          <w:p w14:paraId="0DFFDD49" w14:textId="77777777" w:rsidR="006D1EBB" w:rsidRPr="00B83E1A" w:rsidRDefault="006D1EBB" w:rsidP="004E65E7">
            <w:pPr>
              <w:spacing w:before="120" w:after="120"/>
              <w:rPr>
                <w:rFonts w:eastAsia="Times New Roman"/>
              </w:rPr>
            </w:pPr>
            <w:r w:rsidRPr="00B83E1A">
              <w:rPr>
                <w:rFonts w:eastAsia="Times New Roman"/>
              </w:rPr>
              <w:t xml:space="preserve">6.  Página web: </w:t>
            </w:r>
            <w:hyperlink r:id="rId47" w:history="1">
              <w:r w:rsidRPr="00B83E1A">
                <w:rPr>
                  <w:rStyle w:val="Hyperlink"/>
                  <w:rFonts w:eastAsia="Times New Roman"/>
                </w:rPr>
                <w:t>http://www.ifad.org/gender/Gender</w:t>
              </w:r>
            </w:hyperlink>
            <w:r w:rsidRPr="00B83E1A">
              <w:rPr>
                <w:rFonts w:eastAsia="Times New Roman"/>
              </w:rPr>
              <w:t xml:space="preserve">  (sólo en inglés)</w:t>
            </w:r>
          </w:p>
        </w:tc>
      </w:tr>
      <w:tr w:rsidR="006D1EBB" w:rsidRPr="00B83E1A" w14:paraId="17785AC2" w14:textId="77777777" w:rsidTr="004E65E7">
        <w:trPr>
          <w:trHeight w:val="1020"/>
        </w:trPr>
        <w:tc>
          <w:tcPr>
            <w:tcW w:w="2895" w:type="dxa"/>
            <w:shd w:val="clear" w:color="auto" w:fill="auto"/>
            <w:noWrap/>
            <w:hideMark/>
          </w:tcPr>
          <w:p w14:paraId="3D507591" w14:textId="77777777" w:rsidR="006D1EBB" w:rsidRPr="00B83E1A" w:rsidRDefault="006D1EBB" w:rsidP="004E65E7">
            <w:pPr>
              <w:spacing w:after="120"/>
              <w:rPr>
                <w:rFonts w:eastAsia="Times New Roman"/>
                <w:b/>
              </w:rPr>
            </w:pPr>
            <w:r w:rsidRPr="00B83E1A">
              <w:rPr>
                <w:rFonts w:eastAsia="Times New Roman"/>
                <w:b/>
              </w:rPr>
              <w:t>Organización Internacional del Trabajo (OIT)</w:t>
            </w:r>
          </w:p>
        </w:tc>
        <w:tc>
          <w:tcPr>
            <w:tcW w:w="7185" w:type="dxa"/>
            <w:shd w:val="clear" w:color="auto" w:fill="auto"/>
            <w:hideMark/>
          </w:tcPr>
          <w:p w14:paraId="52BB0BA0" w14:textId="77777777" w:rsidR="006D1EBB" w:rsidRPr="00B83E1A" w:rsidRDefault="006D1EBB" w:rsidP="00067534">
            <w:pPr>
              <w:pStyle w:val="ListParagraph"/>
              <w:numPr>
                <w:ilvl w:val="0"/>
                <w:numId w:val="8"/>
              </w:numPr>
              <w:tabs>
                <w:tab w:val="clear" w:pos="1560"/>
              </w:tabs>
              <w:spacing w:before="0" w:after="120" w:line="240" w:lineRule="auto"/>
              <w:rPr>
                <w:rFonts w:eastAsia="Times New Roman"/>
                <w:lang w:val="es-ES"/>
              </w:rPr>
            </w:pPr>
            <w:r w:rsidRPr="00B83E1A">
              <w:rPr>
                <w:rFonts w:eastAsia="Times New Roman"/>
                <w:lang w:val="es-ES"/>
              </w:rPr>
              <w:t xml:space="preserve">Página web: </w:t>
            </w:r>
            <w:hyperlink r:id="rId48" w:history="1">
              <w:r w:rsidRPr="00B83E1A">
                <w:rPr>
                  <w:rStyle w:val="Hyperlink"/>
                  <w:rFonts w:eastAsia="Times New Roman"/>
                  <w:lang w:val="es-ES"/>
                </w:rPr>
                <w:t>http://www.ilo.org/global/topics/millennium-development-goals/lang--es/index.htm</w:t>
              </w:r>
            </w:hyperlink>
            <w:r w:rsidRPr="00B83E1A">
              <w:rPr>
                <w:rFonts w:eastAsia="Times New Roman"/>
                <w:lang w:val="es-ES"/>
              </w:rPr>
              <w:t xml:space="preserve">  </w:t>
            </w:r>
          </w:p>
          <w:p w14:paraId="6CB9CBB2" w14:textId="77777777" w:rsidR="006D1EBB" w:rsidRPr="00B83E1A" w:rsidRDefault="006D1EBB" w:rsidP="004E65E7">
            <w:pPr>
              <w:pStyle w:val="ListParagraph"/>
              <w:spacing w:after="120" w:line="240" w:lineRule="auto"/>
              <w:ind w:left="360"/>
              <w:rPr>
                <w:rFonts w:eastAsia="Times New Roman"/>
                <w:lang w:val="es-ES"/>
              </w:rPr>
            </w:pPr>
          </w:p>
          <w:p w14:paraId="2EC84BF3" w14:textId="77777777" w:rsidR="006D1EBB" w:rsidRPr="00B83E1A" w:rsidRDefault="006D1EBB" w:rsidP="00067534">
            <w:pPr>
              <w:pStyle w:val="ListParagraph"/>
              <w:numPr>
                <w:ilvl w:val="0"/>
                <w:numId w:val="8"/>
              </w:numPr>
              <w:tabs>
                <w:tab w:val="clear" w:pos="1560"/>
              </w:tabs>
              <w:spacing w:before="240" w:after="0"/>
              <w:rPr>
                <w:lang w:val="es-ES"/>
              </w:rPr>
            </w:pPr>
            <w:r w:rsidRPr="00B83E1A">
              <w:rPr>
                <w:iCs/>
                <w:lang w:val="es-ES"/>
              </w:rPr>
              <w:t>Marco de Políticas y Estrategias para 2010-15. Haciendo realidad el trabajo decente,</w:t>
            </w:r>
            <w:r w:rsidRPr="00B83E1A">
              <w:rPr>
                <w:i/>
                <w:iCs/>
                <w:lang w:val="es-ES"/>
              </w:rPr>
              <w:t xml:space="preserve"> </w:t>
            </w:r>
            <w:hyperlink r:id="rId49" w:history="1">
              <w:r w:rsidRPr="00B83E1A">
                <w:rPr>
                  <w:rStyle w:val="Hyperlink"/>
                  <w:iCs/>
                  <w:lang w:val="es-ES"/>
                </w:rPr>
                <w:t>http://www.ilo.org/wcmsp5/groups/public/---</w:t>
              </w:r>
              <w:proofErr w:type="spellStart"/>
              <w:r w:rsidRPr="00B83E1A">
                <w:rPr>
                  <w:rStyle w:val="Hyperlink"/>
                  <w:iCs/>
                  <w:lang w:val="es-ES"/>
                </w:rPr>
                <w:t>ed_norm</w:t>
              </w:r>
              <w:proofErr w:type="spellEnd"/>
              <w:r w:rsidRPr="00B83E1A">
                <w:rPr>
                  <w:rStyle w:val="Hyperlink"/>
                  <w:iCs/>
                  <w:lang w:val="es-ES"/>
                </w:rPr>
                <w:t>/---</w:t>
              </w:r>
              <w:proofErr w:type="spellStart"/>
              <w:r w:rsidRPr="00B83E1A">
                <w:rPr>
                  <w:rStyle w:val="Hyperlink"/>
                  <w:iCs/>
                  <w:lang w:val="es-ES"/>
                </w:rPr>
                <w:t>relconf</w:t>
              </w:r>
              <w:proofErr w:type="spellEnd"/>
              <w:r w:rsidRPr="00B83E1A">
                <w:rPr>
                  <w:rStyle w:val="Hyperlink"/>
                  <w:iCs/>
                  <w:lang w:val="es-ES"/>
                </w:rPr>
                <w:t>/</w:t>
              </w:r>
              <w:proofErr w:type="spellStart"/>
              <w:r w:rsidRPr="00B83E1A">
                <w:rPr>
                  <w:rStyle w:val="Hyperlink"/>
                  <w:iCs/>
                  <w:lang w:val="es-ES"/>
                </w:rPr>
                <w:t>documents</w:t>
              </w:r>
              <w:proofErr w:type="spellEnd"/>
              <w:r w:rsidRPr="00B83E1A">
                <w:rPr>
                  <w:rStyle w:val="Hyperlink"/>
                  <w:iCs/>
                  <w:lang w:val="es-ES"/>
                </w:rPr>
                <w:t>/</w:t>
              </w:r>
              <w:proofErr w:type="spellStart"/>
              <w:r w:rsidRPr="00B83E1A">
                <w:rPr>
                  <w:rStyle w:val="Hyperlink"/>
                  <w:iCs/>
                  <w:lang w:val="es-ES"/>
                </w:rPr>
                <w:t>meetingdocument</w:t>
              </w:r>
              <w:proofErr w:type="spellEnd"/>
              <w:r w:rsidRPr="00B83E1A">
                <w:rPr>
                  <w:rStyle w:val="Hyperlink"/>
                  <w:iCs/>
                  <w:lang w:val="es-ES"/>
                </w:rPr>
                <w:t>/wcms_102562.pdf</w:t>
              </w:r>
            </w:hyperlink>
          </w:p>
          <w:p w14:paraId="55166C7D" w14:textId="77777777" w:rsidR="006D1EBB" w:rsidRPr="00B83E1A" w:rsidRDefault="006D1EBB" w:rsidP="004E65E7"/>
          <w:p w14:paraId="584CCEA0" w14:textId="77777777" w:rsidR="006D1EBB" w:rsidRPr="00B83E1A" w:rsidRDefault="006D1EBB" w:rsidP="00067534">
            <w:pPr>
              <w:pStyle w:val="ListParagraph"/>
              <w:numPr>
                <w:ilvl w:val="0"/>
                <w:numId w:val="8"/>
              </w:numPr>
              <w:tabs>
                <w:tab w:val="clear" w:pos="1560"/>
              </w:tabs>
              <w:spacing w:before="0" w:after="120"/>
              <w:rPr>
                <w:lang w:val="es-ES"/>
              </w:rPr>
            </w:pPr>
            <w:r w:rsidRPr="00B83E1A">
              <w:rPr>
                <w:iCs/>
                <w:lang w:val="es-ES"/>
              </w:rPr>
              <w:t>La visión y las prioridades de la OIT para 2010-15</w:t>
            </w:r>
            <w:r w:rsidRPr="00B83E1A">
              <w:rPr>
                <w:lang w:val="es-ES"/>
              </w:rPr>
              <w:t>. Haciendo realidad el trabajo decente,  </w:t>
            </w:r>
            <w:hyperlink r:id="rId50" w:history="1">
              <w:r w:rsidRPr="00B83E1A">
                <w:rPr>
                  <w:rStyle w:val="Hyperlink"/>
                  <w:lang w:val="es-ES"/>
                </w:rPr>
                <w:t>http://www.ilo.org/public/spanish/bureau/program/download/pdf/spf1015/brochure.pdf</w:t>
              </w:r>
            </w:hyperlink>
            <w:r w:rsidRPr="00B83E1A">
              <w:rPr>
                <w:rStyle w:val="Hyperlink"/>
                <w:lang w:val="es-ES"/>
              </w:rPr>
              <w:t xml:space="preserve"> </w:t>
            </w:r>
          </w:p>
          <w:p w14:paraId="159FBA73" w14:textId="77777777" w:rsidR="006D1EBB" w:rsidRPr="00B83E1A" w:rsidRDefault="006D1EBB" w:rsidP="004E65E7">
            <w:pPr>
              <w:pStyle w:val="ListParagraph"/>
              <w:spacing w:after="120"/>
              <w:ind w:left="360"/>
              <w:rPr>
                <w:lang w:val="es-ES"/>
              </w:rPr>
            </w:pPr>
          </w:p>
          <w:p w14:paraId="2BC09DF4" w14:textId="77777777" w:rsidR="006D1EBB" w:rsidRPr="00B83E1A" w:rsidRDefault="006D1EBB" w:rsidP="00067534">
            <w:pPr>
              <w:pStyle w:val="ListParagraph"/>
              <w:numPr>
                <w:ilvl w:val="0"/>
                <w:numId w:val="8"/>
              </w:numPr>
              <w:tabs>
                <w:tab w:val="clear" w:pos="1560"/>
              </w:tabs>
              <w:spacing w:before="0" w:after="200"/>
              <w:rPr>
                <w:lang w:val="es-ES"/>
              </w:rPr>
            </w:pPr>
            <w:r w:rsidRPr="00B83E1A">
              <w:rPr>
                <w:iCs/>
                <w:lang w:val="es-ES"/>
              </w:rPr>
              <w:t>Programa y Presupuesto para el bienio 2012-13</w:t>
            </w:r>
            <w:r w:rsidRPr="00B83E1A">
              <w:rPr>
                <w:lang w:val="es-ES"/>
              </w:rPr>
              <w:t xml:space="preserve"> </w:t>
            </w:r>
            <w:hyperlink r:id="rId51" w:history="1">
              <w:r w:rsidRPr="00B83E1A">
                <w:rPr>
                  <w:rStyle w:val="Hyperlink"/>
                  <w:lang w:val="es-ES"/>
                </w:rPr>
                <w:t>http://www.ilo.org/public/spanish/bureau/program/download/pdf/12-13/pbfinalweb.pdf</w:t>
              </w:r>
            </w:hyperlink>
            <w:r w:rsidRPr="00B83E1A">
              <w:rPr>
                <w:rStyle w:val="Hyperlink"/>
                <w:lang w:val="es-ES"/>
              </w:rPr>
              <w:t xml:space="preserve"> </w:t>
            </w:r>
          </w:p>
        </w:tc>
      </w:tr>
      <w:tr w:rsidR="006D1EBB" w:rsidRPr="00B83E1A" w14:paraId="17C1322B" w14:textId="77777777" w:rsidTr="004E65E7">
        <w:trPr>
          <w:trHeight w:val="480"/>
        </w:trPr>
        <w:tc>
          <w:tcPr>
            <w:tcW w:w="2895" w:type="dxa"/>
            <w:shd w:val="clear" w:color="auto" w:fill="auto"/>
            <w:noWrap/>
            <w:hideMark/>
          </w:tcPr>
          <w:p w14:paraId="7F3E7208" w14:textId="77777777" w:rsidR="006D1EBB" w:rsidRPr="00B83E1A" w:rsidRDefault="006D1EBB" w:rsidP="004E65E7">
            <w:pPr>
              <w:spacing w:before="120" w:after="120"/>
              <w:rPr>
                <w:rFonts w:eastAsia="Times New Roman"/>
                <w:b/>
              </w:rPr>
            </w:pPr>
            <w:r w:rsidRPr="00B83E1A">
              <w:rPr>
                <w:rFonts w:eastAsia="Times New Roman"/>
                <w:b/>
              </w:rPr>
              <w:t>Organización Marítima Internacional (OMI)</w:t>
            </w:r>
          </w:p>
        </w:tc>
        <w:tc>
          <w:tcPr>
            <w:tcW w:w="7185" w:type="dxa"/>
            <w:shd w:val="clear" w:color="auto" w:fill="auto"/>
            <w:hideMark/>
          </w:tcPr>
          <w:p w14:paraId="19A98788" w14:textId="77777777" w:rsidR="006D1EBB" w:rsidRPr="00B83E1A" w:rsidRDefault="006D1EBB" w:rsidP="004E65E7">
            <w:pPr>
              <w:spacing w:before="120" w:after="120"/>
              <w:rPr>
                <w:rFonts w:eastAsia="Times New Roman"/>
              </w:rPr>
            </w:pPr>
            <w:r w:rsidRPr="00B83E1A">
              <w:rPr>
                <w:rFonts w:eastAsia="Times New Roman"/>
              </w:rPr>
              <w:t xml:space="preserve">1.  </w:t>
            </w:r>
            <w:r w:rsidRPr="00B83E1A">
              <w:rPr>
                <w:rFonts w:eastAsia="Times New Roman"/>
                <w:i/>
              </w:rPr>
              <w:t>A.1038(27) High-level action plan of the Organization and priorities for the 2012-2013 biennium</w:t>
            </w:r>
            <w:r w:rsidRPr="00B83E1A">
              <w:rPr>
                <w:rFonts w:eastAsia="Times New Roman"/>
              </w:rPr>
              <w:t xml:space="preserve"> (Plan de acción de alto nivel de la Organización y prioridades para el bienio 2012-2013, Resolución A.1038(27)), </w:t>
            </w:r>
            <w:hyperlink r:id="rId52" w:history="1">
              <w:r w:rsidRPr="00B83E1A">
                <w:rPr>
                  <w:rStyle w:val="Hyperlink"/>
                  <w:rFonts w:eastAsia="Times New Roman"/>
                </w:rPr>
                <w:t>http://www.imo.org/About/strategy/Documents/1038.pdf</w:t>
              </w:r>
            </w:hyperlink>
            <w:r w:rsidRPr="00B83E1A">
              <w:rPr>
                <w:rStyle w:val="Hyperlink"/>
                <w:rFonts w:eastAsia="Times New Roman"/>
              </w:rPr>
              <w:t xml:space="preserve"> </w:t>
            </w:r>
            <w:r w:rsidRPr="00B83E1A">
              <w:rPr>
                <w:rFonts w:eastAsia="Times New Roman"/>
              </w:rPr>
              <w:t xml:space="preserve"> (sólo en inglés)</w:t>
            </w:r>
          </w:p>
        </w:tc>
      </w:tr>
      <w:tr w:rsidR="006D1EBB" w:rsidRPr="00B83E1A" w14:paraId="31DDDC7E" w14:textId="77777777" w:rsidTr="004E65E7">
        <w:trPr>
          <w:trHeight w:val="525"/>
        </w:trPr>
        <w:tc>
          <w:tcPr>
            <w:tcW w:w="2895" w:type="dxa"/>
            <w:shd w:val="clear" w:color="auto" w:fill="auto"/>
            <w:noWrap/>
            <w:hideMark/>
          </w:tcPr>
          <w:p w14:paraId="69AE5337" w14:textId="77777777" w:rsidR="006D1EBB" w:rsidRPr="00B83E1A" w:rsidRDefault="006D1EBB" w:rsidP="004E65E7">
            <w:pPr>
              <w:spacing w:before="120" w:after="120"/>
              <w:rPr>
                <w:rFonts w:eastAsia="Times New Roman"/>
                <w:b/>
              </w:rPr>
            </w:pPr>
          </w:p>
        </w:tc>
        <w:tc>
          <w:tcPr>
            <w:tcW w:w="7185" w:type="dxa"/>
            <w:shd w:val="clear" w:color="auto" w:fill="auto"/>
            <w:hideMark/>
          </w:tcPr>
          <w:p w14:paraId="5FBB5CA4" w14:textId="77777777" w:rsidR="006D1EBB" w:rsidRPr="00B83E1A" w:rsidRDefault="006D1EBB" w:rsidP="004E65E7">
            <w:pPr>
              <w:spacing w:before="120" w:after="120"/>
              <w:rPr>
                <w:rFonts w:eastAsia="Times New Roman"/>
              </w:rPr>
            </w:pPr>
            <w:r w:rsidRPr="00B83E1A">
              <w:rPr>
                <w:rFonts w:eastAsia="Times New Roman"/>
              </w:rPr>
              <w:t xml:space="preserve">2.  </w:t>
            </w:r>
            <w:r w:rsidRPr="00B83E1A">
              <w:rPr>
                <w:rFonts w:eastAsia="Times New Roman"/>
                <w:i/>
              </w:rPr>
              <w:t>A.1037(27) Strategic plan for the organization (for the six-year period 2012 to 2017)</w:t>
            </w:r>
            <w:r w:rsidRPr="00B83E1A">
              <w:rPr>
                <w:rFonts w:eastAsia="Times New Roman"/>
              </w:rPr>
              <w:t xml:space="preserve"> (Plan estratégico de la Organización (para &lt;el período de seis años comprendido entre 2012 y 2017, Resolución A.1037(27)), </w:t>
            </w:r>
            <w:hyperlink r:id="rId53" w:history="1">
              <w:r w:rsidRPr="00B83E1A">
                <w:rPr>
                  <w:rStyle w:val="Hyperlink"/>
                </w:rPr>
                <w:t>http://www.imo.org/About/strategy/Documents/1037.pdf</w:t>
              </w:r>
            </w:hyperlink>
            <w:r w:rsidRPr="00B83E1A">
              <w:rPr>
                <w:rStyle w:val="Hyperlink"/>
              </w:rPr>
              <w:t xml:space="preserve"> </w:t>
            </w:r>
            <w:r w:rsidRPr="00B83E1A">
              <w:rPr>
                <w:rFonts w:eastAsia="Times New Roman"/>
              </w:rPr>
              <w:t xml:space="preserve"> (sólo en inglés)</w:t>
            </w:r>
          </w:p>
        </w:tc>
      </w:tr>
      <w:tr w:rsidR="006D1EBB" w:rsidRPr="00B83E1A" w14:paraId="7D838839" w14:textId="77777777" w:rsidTr="004E65E7">
        <w:trPr>
          <w:trHeight w:val="855"/>
        </w:trPr>
        <w:tc>
          <w:tcPr>
            <w:tcW w:w="2895" w:type="dxa"/>
            <w:shd w:val="clear" w:color="auto" w:fill="auto"/>
            <w:noWrap/>
            <w:hideMark/>
          </w:tcPr>
          <w:p w14:paraId="27608A3E" w14:textId="77777777" w:rsidR="006D1EBB" w:rsidRPr="00B83E1A" w:rsidRDefault="006D1EBB" w:rsidP="004E65E7">
            <w:pPr>
              <w:spacing w:before="120" w:after="120"/>
              <w:rPr>
                <w:rFonts w:eastAsia="Times New Roman"/>
                <w:b/>
              </w:rPr>
            </w:pPr>
          </w:p>
        </w:tc>
        <w:tc>
          <w:tcPr>
            <w:tcW w:w="7185" w:type="dxa"/>
            <w:shd w:val="clear" w:color="auto" w:fill="auto"/>
            <w:hideMark/>
          </w:tcPr>
          <w:p w14:paraId="3DA43667" w14:textId="77777777" w:rsidR="006D1EBB" w:rsidRPr="00B83E1A" w:rsidRDefault="006D1EBB" w:rsidP="004E65E7">
            <w:pPr>
              <w:spacing w:before="120" w:after="120"/>
              <w:rPr>
                <w:rFonts w:eastAsia="Times New Roman"/>
              </w:rPr>
            </w:pPr>
            <w:r w:rsidRPr="00B83E1A">
              <w:rPr>
                <w:rFonts w:eastAsia="Times New Roman"/>
              </w:rPr>
              <w:t xml:space="preserve">3.  Página web: </w:t>
            </w:r>
            <w:hyperlink r:id="rId54" w:history="1">
              <w:r w:rsidRPr="00B83E1A">
                <w:rPr>
                  <w:rStyle w:val="Hyperlink"/>
                  <w:rFonts w:eastAsia="Times New Roman"/>
                </w:rPr>
                <w:t>http://www.imo.org/OurWork/TechnicalCooperation/Pages/Default.aspx</w:t>
              </w:r>
            </w:hyperlink>
            <w:r w:rsidRPr="00B83E1A">
              <w:rPr>
                <w:rFonts w:eastAsia="Times New Roman"/>
              </w:rPr>
              <w:t xml:space="preserve">  (sólo en inglés)</w:t>
            </w:r>
          </w:p>
          <w:p w14:paraId="5FC7EB00" w14:textId="77777777" w:rsidR="006D1EBB" w:rsidRPr="00B83E1A" w:rsidRDefault="006D1EBB" w:rsidP="004E65E7">
            <w:pPr>
              <w:pStyle w:val="Default"/>
              <w:rPr>
                <w:rStyle w:val="Hyperlink"/>
                <w:rFonts w:eastAsia="Times New Roman"/>
                <w:sz w:val="22"/>
                <w:szCs w:val="22"/>
                <w:lang w:val="es-ES"/>
              </w:rPr>
            </w:pPr>
            <w:r w:rsidRPr="00B83E1A">
              <w:rPr>
                <w:rFonts w:eastAsia="Times New Roman"/>
                <w:color w:val="auto"/>
                <w:sz w:val="22"/>
                <w:szCs w:val="22"/>
                <w:lang w:val="es-ES"/>
              </w:rPr>
              <w:t xml:space="preserve">4.  </w:t>
            </w:r>
            <w:r w:rsidRPr="00B83E1A">
              <w:rPr>
                <w:rFonts w:eastAsia="Times New Roman"/>
                <w:i/>
                <w:color w:val="auto"/>
                <w:sz w:val="22"/>
                <w:szCs w:val="22"/>
                <w:lang w:val="es-ES"/>
              </w:rPr>
              <w:t>An introduction to the guidelines on the application of the strategic plan and the high level action plan, Resolution A.1013(26)</w:t>
            </w:r>
            <w:r w:rsidRPr="00B83E1A">
              <w:rPr>
                <w:rFonts w:eastAsia="Times New Roman"/>
                <w:color w:val="auto"/>
                <w:sz w:val="22"/>
                <w:szCs w:val="22"/>
                <w:lang w:val="es-ES"/>
              </w:rPr>
              <w:t xml:space="preserve"> (Introducción a las orientaciones sobre la aplicación del plan estratégico y el plan de acción de alto nivel, Resolución A.1013(26)), </w:t>
            </w:r>
            <w:hyperlink r:id="rId55" w:history="1">
              <w:r w:rsidRPr="00B83E1A">
                <w:rPr>
                  <w:rStyle w:val="Hyperlink"/>
                  <w:rFonts w:eastAsia="Times New Roman"/>
                  <w:sz w:val="22"/>
                  <w:szCs w:val="22"/>
                  <w:lang w:val="es-ES"/>
                </w:rPr>
                <w:t>http://www.imo.org/About/strategy/Documents/An%20Introduction%20to%20the%20GAP%20(December%202012).pdf</w:t>
              </w:r>
            </w:hyperlink>
            <w:r w:rsidRPr="00B83E1A">
              <w:rPr>
                <w:rStyle w:val="Hyperlink"/>
                <w:rFonts w:eastAsia="Times New Roman"/>
                <w:sz w:val="22"/>
                <w:szCs w:val="22"/>
                <w:lang w:val="es-ES"/>
              </w:rPr>
              <w:t xml:space="preserve"> </w:t>
            </w:r>
            <w:r w:rsidRPr="00B83E1A">
              <w:rPr>
                <w:rFonts w:eastAsia="Times New Roman"/>
                <w:lang w:val="es-ES"/>
              </w:rPr>
              <w:t xml:space="preserve"> (sólo en inglés)</w:t>
            </w:r>
          </w:p>
          <w:p w14:paraId="138F5A2F" w14:textId="77777777" w:rsidR="006D1EBB" w:rsidRPr="00B83E1A" w:rsidRDefault="006D1EBB" w:rsidP="004E65E7">
            <w:pPr>
              <w:pStyle w:val="Default"/>
              <w:rPr>
                <w:rFonts w:eastAsia="Times New Roman"/>
                <w:color w:val="auto"/>
                <w:sz w:val="22"/>
                <w:szCs w:val="22"/>
                <w:lang w:val="es-ES"/>
              </w:rPr>
            </w:pPr>
          </w:p>
        </w:tc>
      </w:tr>
      <w:tr w:rsidR="006D1EBB" w:rsidRPr="00B83E1A" w14:paraId="093E5570" w14:textId="77777777" w:rsidTr="004E65E7">
        <w:trPr>
          <w:trHeight w:val="720"/>
        </w:trPr>
        <w:tc>
          <w:tcPr>
            <w:tcW w:w="2895" w:type="dxa"/>
            <w:shd w:val="clear" w:color="auto" w:fill="auto"/>
            <w:noWrap/>
            <w:hideMark/>
          </w:tcPr>
          <w:p w14:paraId="3A0DFA07" w14:textId="77777777" w:rsidR="006D1EBB" w:rsidRPr="00B83E1A" w:rsidRDefault="006D1EBB" w:rsidP="004E65E7">
            <w:pPr>
              <w:spacing w:before="120" w:after="120"/>
              <w:rPr>
                <w:rFonts w:eastAsia="Times New Roman"/>
                <w:b/>
              </w:rPr>
            </w:pPr>
            <w:r w:rsidRPr="00B83E1A">
              <w:rPr>
                <w:rFonts w:eastAsia="Times New Roman"/>
                <w:b/>
              </w:rPr>
              <w:lastRenderedPageBreak/>
              <w:t>Unión Internacional de Telecomunicaciones (UIT)</w:t>
            </w:r>
          </w:p>
        </w:tc>
        <w:tc>
          <w:tcPr>
            <w:tcW w:w="7185" w:type="dxa"/>
            <w:shd w:val="clear" w:color="auto" w:fill="auto"/>
            <w:hideMark/>
          </w:tcPr>
          <w:p w14:paraId="453DBA2E" w14:textId="77777777" w:rsidR="006D1EBB" w:rsidRPr="00B83E1A" w:rsidRDefault="006D1EBB" w:rsidP="004E65E7">
            <w:pPr>
              <w:spacing w:before="120" w:after="120"/>
              <w:rPr>
                <w:rFonts w:eastAsia="Times New Roman"/>
              </w:rPr>
            </w:pPr>
            <w:r w:rsidRPr="00B83E1A">
              <w:rPr>
                <w:rFonts w:eastAsia="Times New Roman"/>
              </w:rPr>
              <w:t xml:space="preserve">1.  Página web: </w:t>
            </w:r>
            <w:hyperlink r:id="rId56" w:history="1">
              <w:r w:rsidRPr="00B83E1A">
                <w:rPr>
                  <w:rStyle w:val="Hyperlink"/>
                  <w:rFonts w:eastAsia="Times New Roman"/>
                </w:rPr>
                <w:t>http://www.itu.int/en/ITU-D/Statistics/Pages/intlcoop/mdg/default.aspx</w:t>
              </w:r>
            </w:hyperlink>
            <w:r w:rsidRPr="00B83E1A">
              <w:rPr>
                <w:rFonts w:eastAsia="Times New Roman"/>
              </w:rPr>
              <w:t xml:space="preserve"> (sólo en inglés)</w:t>
            </w:r>
          </w:p>
          <w:p w14:paraId="6C1C562B" w14:textId="77777777" w:rsidR="006D1EBB" w:rsidRPr="00B83E1A" w:rsidRDefault="006D1EBB" w:rsidP="004E65E7">
            <w:pPr>
              <w:rPr>
                <w:rFonts w:eastAsia="Times New Roman"/>
                <w:bCs/>
                <w:i/>
              </w:rPr>
            </w:pPr>
            <w:r w:rsidRPr="00B83E1A">
              <w:rPr>
                <w:rFonts w:eastAsia="Times New Roman"/>
              </w:rPr>
              <w:t>2.  P</w:t>
            </w:r>
            <w:r w:rsidRPr="00B83E1A">
              <w:rPr>
                <w:rFonts w:eastAsia="Times New Roman"/>
                <w:bCs/>
              </w:rPr>
              <w:t>lan Estratégico de la UIT para 2012-2015,</w:t>
            </w:r>
            <w:r w:rsidRPr="00B83E1A">
              <w:rPr>
                <w:rFonts w:eastAsia="Times New Roman"/>
                <w:bCs/>
                <w:i/>
              </w:rPr>
              <w:t xml:space="preserve"> </w:t>
            </w:r>
          </w:p>
          <w:p w14:paraId="16229933" w14:textId="77777777" w:rsidR="006D1EBB" w:rsidRPr="00B83E1A" w:rsidRDefault="00975673" w:rsidP="004E65E7">
            <w:pPr>
              <w:rPr>
                <w:rFonts w:eastAsia="Times New Roman"/>
                <w:bCs/>
                <w:i/>
              </w:rPr>
            </w:pPr>
            <w:hyperlink r:id="rId57" w:history="1">
              <w:r w:rsidR="006D1EBB" w:rsidRPr="00B83E1A">
                <w:rPr>
                  <w:rStyle w:val="Hyperlink"/>
                </w:rPr>
                <w:t>http://www.itu.int/pub/S-CONF-ACTF-2010/en</w:t>
              </w:r>
            </w:hyperlink>
          </w:p>
          <w:p w14:paraId="485BEA75" w14:textId="77777777" w:rsidR="006D1EBB" w:rsidRPr="00B83E1A" w:rsidRDefault="006D1EBB" w:rsidP="004E65E7">
            <w:pPr>
              <w:rPr>
                <w:rFonts w:eastAsia="Times New Roman"/>
              </w:rPr>
            </w:pPr>
          </w:p>
        </w:tc>
      </w:tr>
      <w:tr w:rsidR="006D1EBB" w:rsidRPr="00B83E1A" w14:paraId="06FF98F9" w14:textId="77777777" w:rsidTr="004E65E7">
        <w:trPr>
          <w:trHeight w:val="255"/>
        </w:trPr>
        <w:tc>
          <w:tcPr>
            <w:tcW w:w="2895" w:type="dxa"/>
            <w:shd w:val="clear" w:color="auto" w:fill="auto"/>
            <w:noWrap/>
            <w:hideMark/>
          </w:tcPr>
          <w:p w14:paraId="37604F61" w14:textId="77777777" w:rsidR="006D1EBB" w:rsidRPr="00B83E1A" w:rsidRDefault="006D1EBB" w:rsidP="004E65E7">
            <w:pPr>
              <w:spacing w:before="120" w:after="120"/>
              <w:rPr>
                <w:rFonts w:eastAsia="Times New Roman"/>
                <w:b/>
              </w:rPr>
            </w:pPr>
            <w:r w:rsidRPr="00B83E1A">
              <w:rPr>
                <w:rFonts w:eastAsia="Times New Roman"/>
                <w:b/>
              </w:rPr>
              <w:t>Centro de Comercio Internacional (CCI)</w:t>
            </w:r>
          </w:p>
        </w:tc>
        <w:tc>
          <w:tcPr>
            <w:tcW w:w="7185" w:type="dxa"/>
            <w:shd w:val="clear" w:color="auto" w:fill="auto"/>
            <w:hideMark/>
          </w:tcPr>
          <w:p w14:paraId="04D1FDBB" w14:textId="77777777" w:rsidR="006D1EBB" w:rsidRPr="00B83E1A" w:rsidRDefault="006D1EBB" w:rsidP="004E65E7">
            <w:pPr>
              <w:spacing w:before="120" w:after="120"/>
              <w:rPr>
                <w:rFonts w:eastAsia="Times New Roman"/>
              </w:rPr>
            </w:pPr>
            <w:r w:rsidRPr="00B83E1A">
              <w:rPr>
                <w:rFonts w:eastAsia="Times New Roman"/>
              </w:rPr>
              <w:t>1</w:t>
            </w:r>
            <w:r w:rsidRPr="00B83E1A">
              <w:rPr>
                <w:rFonts w:eastAsia="Times New Roman"/>
                <w:i/>
              </w:rPr>
              <w:t>.</w:t>
            </w:r>
            <w:r w:rsidRPr="00B83E1A">
              <w:rPr>
                <w:rFonts w:eastAsia="Times New Roman"/>
              </w:rPr>
              <w:t xml:space="preserve">  </w:t>
            </w:r>
            <w:r w:rsidRPr="00B83E1A">
              <w:rPr>
                <w:rFonts w:eastAsia="Times New Roman"/>
                <w:i/>
              </w:rPr>
              <w:t xml:space="preserve">The Strategic Plan 2010-2013 </w:t>
            </w:r>
            <w:r w:rsidRPr="00B83E1A">
              <w:rPr>
                <w:rFonts w:eastAsia="Times New Roman"/>
              </w:rPr>
              <w:t xml:space="preserve">(Plan Estratégico para 2010-2013), </w:t>
            </w:r>
            <w:hyperlink r:id="rId58" w:history="1">
              <w:r w:rsidRPr="00B83E1A">
                <w:rPr>
                  <w:rStyle w:val="Hyperlink"/>
                </w:rPr>
                <w:t>http://legacy.intracen.org/docman/JAG_14443.pdf</w:t>
              </w:r>
            </w:hyperlink>
            <w:r w:rsidRPr="00B83E1A">
              <w:rPr>
                <w:rStyle w:val="Hyperlink"/>
              </w:rPr>
              <w:t xml:space="preserve"> </w:t>
            </w:r>
            <w:r w:rsidRPr="00B83E1A">
              <w:rPr>
                <w:rFonts w:eastAsia="Times New Roman"/>
              </w:rPr>
              <w:t xml:space="preserve"> (sólo en inglés)</w:t>
            </w:r>
          </w:p>
        </w:tc>
      </w:tr>
      <w:tr w:rsidR="006D1EBB" w:rsidRPr="00B83E1A" w14:paraId="5908F61A" w14:textId="77777777" w:rsidTr="004E65E7">
        <w:trPr>
          <w:trHeight w:val="255"/>
        </w:trPr>
        <w:tc>
          <w:tcPr>
            <w:tcW w:w="2895" w:type="dxa"/>
            <w:shd w:val="clear" w:color="auto" w:fill="auto"/>
            <w:noWrap/>
            <w:hideMark/>
          </w:tcPr>
          <w:p w14:paraId="169C381D" w14:textId="77777777" w:rsidR="006D1EBB" w:rsidRPr="00B83E1A" w:rsidRDefault="006D1EBB" w:rsidP="004E65E7">
            <w:pPr>
              <w:spacing w:before="120" w:after="120"/>
              <w:rPr>
                <w:rFonts w:eastAsia="Times New Roman"/>
                <w:b/>
              </w:rPr>
            </w:pPr>
          </w:p>
        </w:tc>
        <w:tc>
          <w:tcPr>
            <w:tcW w:w="7185" w:type="dxa"/>
            <w:shd w:val="clear" w:color="auto" w:fill="auto"/>
            <w:hideMark/>
          </w:tcPr>
          <w:p w14:paraId="02217819" w14:textId="77777777" w:rsidR="006D1EBB" w:rsidRPr="00B83E1A" w:rsidRDefault="006D1EBB" w:rsidP="004E65E7">
            <w:pPr>
              <w:spacing w:before="120" w:after="120"/>
              <w:rPr>
                <w:rFonts w:eastAsia="Times New Roman"/>
              </w:rPr>
            </w:pPr>
            <w:r w:rsidRPr="00B83E1A">
              <w:rPr>
                <w:rFonts w:eastAsia="Times New Roman"/>
              </w:rPr>
              <w:t xml:space="preserve">2.  Plan Estratégico para 2012-2015,  </w:t>
            </w:r>
            <w:hyperlink r:id="rId59" w:history="1">
              <w:r w:rsidRPr="00B83E1A">
                <w:rPr>
                  <w:rStyle w:val="Hyperlink"/>
                  <w:rFonts w:eastAsia="Times New Roman"/>
                </w:rPr>
                <w:t>http://www.intracen.org/uploadedFiles/Strategic%20Plan%202012%20for%20web.pdf</w:t>
              </w:r>
            </w:hyperlink>
          </w:p>
        </w:tc>
      </w:tr>
      <w:tr w:rsidR="006D1EBB" w:rsidRPr="00B83E1A" w14:paraId="0A881957" w14:textId="77777777" w:rsidTr="004E65E7">
        <w:trPr>
          <w:trHeight w:val="510"/>
        </w:trPr>
        <w:tc>
          <w:tcPr>
            <w:tcW w:w="2895" w:type="dxa"/>
            <w:shd w:val="clear" w:color="auto" w:fill="auto"/>
            <w:noWrap/>
            <w:hideMark/>
          </w:tcPr>
          <w:p w14:paraId="47D624EE" w14:textId="77777777" w:rsidR="006D1EBB" w:rsidRPr="00B83E1A" w:rsidRDefault="006D1EBB" w:rsidP="004E65E7">
            <w:pPr>
              <w:spacing w:before="120" w:after="120"/>
              <w:rPr>
                <w:rFonts w:eastAsia="Times New Roman"/>
                <w:b/>
              </w:rPr>
            </w:pPr>
          </w:p>
        </w:tc>
        <w:tc>
          <w:tcPr>
            <w:tcW w:w="7185" w:type="dxa"/>
            <w:shd w:val="clear" w:color="auto" w:fill="auto"/>
            <w:hideMark/>
          </w:tcPr>
          <w:p w14:paraId="7D539500" w14:textId="77777777" w:rsidR="006D1EBB" w:rsidRPr="00B83E1A" w:rsidRDefault="006D1EBB" w:rsidP="004E65E7">
            <w:pPr>
              <w:spacing w:before="120" w:after="120"/>
              <w:rPr>
                <w:rFonts w:eastAsia="Times New Roman"/>
              </w:rPr>
            </w:pPr>
            <w:r w:rsidRPr="00B83E1A">
              <w:rPr>
                <w:rFonts w:eastAsia="Times New Roman"/>
              </w:rPr>
              <w:t xml:space="preserve">3.  Documento de programa consolidado para 2012-2013), </w:t>
            </w:r>
            <w:hyperlink r:id="rId60" w:history="1">
              <w:r w:rsidRPr="00B83E1A">
                <w:rPr>
                  <w:rStyle w:val="Hyperlink"/>
                </w:rPr>
                <w:t>http://www.intracen.org/uploadedFiles/CPD%202012%20Spanish%20for%20web.pdf</w:t>
              </w:r>
            </w:hyperlink>
            <w:r w:rsidRPr="00B83E1A">
              <w:rPr>
                <w:rFonts w:eastAsia="Times New Roman"/>
              </w:rPr>
              <w:t xml:space="preserve">  </w:t>
            </w:r>
          </w:p>
        </w:tc>
      </w:tr>
      <w:tr w:rsidR="006D1EBB" w:rsidRPr="00B83E1A" w14:paraId="34E2701C" w14:textId="77777777" w:rsidTr="004E65E7">
        <w:trPr>
          <w:trHeight w:val="255"/>
        </w:trPr>
        <w:tc>
          <w:tcPr>
            <w:tcW w:w="2895" w:type="dxa"/>
            <w:shd w:val="clear" w:color="auto" w:fill="auto"/>
            <w:noWrap/>
            <w:hideMark/>
          </w:tcPr>
          <w:p w14:paraId="2240C74B" w14:textId="77777777" w:rsidR="006D1EBB" w:rsidRPr="00B83E1A" w:rsidRDefault="006D1EBB" w:rsidP="004E65E7">
            <w:pPr>
              <w:spacing w:before="120" w:after="120"/>
              <w:rPr>
                <w:rFonts w:eastAsia="Times New Roman"/>
                <w:b/>
              </w:rPr>
            </w:pPr>
          </w:p>
        </w:tc>
        <w:tc>
          <w:tcPr>
            <w:tcW w:w="7185" w:type="dxa"/>
            <w:shd w:val="clear" w:color="auto" w:fill="auto"/>
            <w:hideMark/>
          </w:tcPr>
          <w:p w14:paraId="2A2A53ED" w14:textId="77777777" w:rsidR="006D1EBB" w:rsidRPr="00B83E1A" w:rsidRDefault="006D1EBB" w:rsidP="004E65E7">
            <w:pPr>
              <w:spacing w:before="120" w:after="120"/>
              <w:rPr>
                <w:rFonts w:eastAsia="Times New Roman"/>
              </w:rPr>
            </w:pPr>
            <w:r w:rsidRPr="00B83E1A">
              <w:rPr>
                <w:rFonts w:eastAsia="Times New Roman"/>
              </w:rPr>
              <w:t xml:space="preserve">4.  Informe Anual, </w:t>
            </w:r>
            <w:hyperlink r:id="rId61" w:history="1">
              <w:r w:rsidRPr="00B83E1A">
                <w:rPr>
                  <w:rStyle w:val="Hyperlink"/>
                  <w:rFonts w:eastAsia="Times New Roman"/>
                </w:rPr>
                <w:t>http://www.intracen.org/uploadedFiles/intracen.org/Content/About_ITC/Working_with_ITC/JAG/JAG_46th_Meeting/Annual%20Report%20Spanish%202012.pdf</w:t>
              </w:r>
            </w:hyperlink>
            <w:r w:rsidRPr="00B83E1A">
              <w:rPr>
                <w:rStyle w:val="Hyperlink"/>
                <w:rFonts w:eastAsia="Times New Roman"/>
              </w:rPr>
              <w:t xml:space="preserve"> </w:t>
            </w:r>
          </w:p>
        </w:tc>
      </w:tr>
      <w:tr w:rsidR="006D1EBB" w:rsidRPr="00B83E1A" w14:paraId="13663BFF" w14:textId="77777777" w:rsidTr="004E65E7">
        <w:trPr>
          <w:trHeight w:val="510"/>
        </w:trPr>
        <w:tc>
          <w:tcPr>
            <w:tcW w:w="2895" w:type="dxa"/>
            <w:shd w:val="clear" w:color="auto" w:fill="auto"/>
            <w:noWrap/>
            <w:hideMark/>
          </w:tcPr>
          <w:p w14:paraId="6DF3A0CF" w14:textId="77777777" w:rsidR="006D1EBB" w:rsidRPr="00B83E1A" w:rsidRDefault="006D1EBB" w:rsidP="004E65E7">
            <w:pPr>
              <w:spacing w:before="120" w:after="120"/>
              <w:rPr>
                <w:rFonts w:eastAsia="Times New Roman"/>
                <w:b/>
              </w:rPr>
            </w:pPr>
          </w:p>
        </w:tc>
        <w:tc>
          <w:tcPr>
            <w:tcW w:w="7185" w:type="dxa"/>
            <w:shd w:val="clear" w:color="auto" w:fill="auto"/>
            <w:hideMark/>
          </w:tcPr>
          <w:p w14:paraId="366D1FB5" w14:textId="77777777" w:rsidR="006D1EBB" w:rsidRPr="00B83E1A" w:rsidRDefault="006D1EBB" w:rsidP="004E65E7">
            <w:pPr>
              <w:spacing w:before="120" w:after="120"/>
              <w:rPr>
                <w:rFonts w:eastAsia="Times New Roman"/>
              </w:rPr>
            </w:pPr>
            <w:r w:rsidRPr="00B83E1A">
              <w:rPr>
                <w:rFonts w:eastAsia="Times New Roman"/>
              </w:rPr>
              <w:t xml:space="preserve">5.  Página web: </w:t>
            </w:r>
            <w:hyperlink r:id="rId62" w:history="1">
              <w:r w:rsidRPr="00B83E1A">
                <w:rPr>
                  <w:rStyle w:val="Hyperlink"/>
                  <w:rFonts w:eastAsia="Times New Roman"/>
                </w:rPr>
                <w:t>http://www.mdg-trade.org/</w:t>
              </w:r>
            </w:hyperlink>
            <w:r w:rsidRPr="00B83E1A">
              <w:rPr>
                <w:rFonts w:eastAsia="Times New Roman"/>
              </w:rPr>
              <w:t xml:space="preserve">  (sólo en inglés)</w:t>
            </w:r>
          </w:p>
        </w:tc>
      </w:tr>
      <w:tr w:rsidR="006D1EBB" w:rsidRPr="00B83E1A" w14:paraId="0D68A8F3" w14:textId="77777777" w:rsidTr="004E65E7">
        <w:trPr>
          <w:trHeight w:val="1020"/>
        </w:trPr>
        <w:tc>
          <w:tcPr>
            <w:tcW w:w="2895" w:type="dxa"/>
            <w:shd w:val="clear" w:color="auto" w:fill="auto"/>
            <w:noWrap/>
            <w:hideMark/>
          </w:tcPr>
          <w:p w14:paraId="541865ED" w14:textId="77777777" w:rsidR="006D1EBB" w:rsidRPr="00B83E1A" w:rsidRDefault="006D1EBB" w:rsidP="004E65E7">
            <w:pPr>
              <w:spacing w:before="120" w:after="120"/>
              <w:rPr>
                <w:rFonts w:eastAsia="Times New Roman"/>
                <w:b/>
              </w:rPr>
            </w:pPr>
          </w:p>
        </w:tc>
        <w:tc>
          <w:tcPr>
            <w:tcW w:w="7185" w:type="dxa"/>
            <w:shd w:val="clear" w:color="auto" w:fill="auto"/>
            <w:hideMark/>
          </w:tcPr>
          <w:p w14:paraId="470B0918" w14:textId="77777777" w:rsidR="006D1EBB" w:rsidRPr="00B83E1A" w:rsidRDefault="006D1EBB" w:rsidP="004E65E7">
            <w:pPr>
              <w:spacing w:before="120" w:after="120"/>
              <w:rPr>
                <w:rFonts w:eastAsia="Times New Roman"/>
              </w:rPr>
            </w:pPr>
            <w:r w:rsidRPr="00B83E1A">
              <w:rPr>
                <w:rFonts w:eastAsia="Times New Roman"/>
              </w:rPr>
              <w:t xml:space="preserve">6.  Página web: </w:t>
            </w:r>
            <w:hyperlink r:id="rId63" w:history="1">
              <w:r w:rsidRPr="00B83E1A">
                <w:rPr>
                  <w:rStyle w:val="Hyperlink"/>
                  <w:rFonts w:eastAsia="Times New Roman"/>
                </w:rPr>
                <w:t>http://www.intracen.org/about/millennium-development-goals/</w:t>
              </w:r>
            </w:hyperlink>
            <w:r w:rsidRPr="00B83E1A">
              <w:rPr>
                <w:rFonts w:eastAsia="Times New Roman"/>
              </w:rPr>
              <w:t xml:space="preserve"> (sólo en inglés)</w:t>
            </w:r>
          </w:p>
        </w:tc>
      </w:tr>
      <w:tr w:rsidR="006D1EBB" w:rsidRPr="00B83E1A" w14:paraId="4988BD7E" w14:textId="77777777" w:rsidTr="004E65E7">
        <w:trPr>
          <w:trHeight w:val="510"/>
        </w:trPr>
        <w:tc>
          <w:tcPr>
            <w:tcW w:w="2895" w:type="dxa"/>
            <w:shd w:val="clear" w:color="auto" w:fill="auto"/>
          </w:tcPr>
          <w:p w14:paraId="032633D8" w14:textId="77777777" w:rsidR="006D1EBB" w:rsidRPr="00B83E1A" w:rsidRDefault="006D1EBB" w:rsidP="004E65E7">
            <w:pPr>
              <w:spacing w:before="120" w:after="120"/>
              <w:rPr>
                <w:rFonts w:eastAsia="Times New Roman"/>
                <w:b/>
              </w:rPr>
            </w:pPr>
            <w:r w:rsidRPr="00B83E1A">
              <w:rPr>
                <w:rFonts w:eastAsia="Times New Roman"/>
                <w:b/>
              </w:rPr>
              <w:t>Organización para la Prohibición de las Armas Químicas (OPAQ)</w:t>
            </w:r>
            <w:r w:rsidRPr="00B83E1A">
              <w:rPr>
                <w:rFonts w:eastAsia="Times New Roman"/>
              </w:rPr>
              <w:t> </w:t>
            </w:r>
          </w:p>
        </w:tc>
        <w:tc>
          <w:tcPr>
            <w:tcW w:w="7185" w:type="dxa"/>
            <w:shd w:val="clear" w:color="auto" w:fill="auto"/>
            <w:vAlign w:val="bottom"/>
          </w:tcPr>
          <w:p w14:paraId="6B9F9678" w14:textId="77777777" w:rsidR="006D1EBB" w:rsidRPr="00B83E1A" w:rsidRDefault="006D1EBB" w:rsidP="004E65E7">
            <w:pPr>
              <w:spacing w:before="120" w:after="120"/>
              <w:rPr>
                <w:rFonts w:eastAsia="Times New Roman"/>
              </w:rPr>
            </w:pPr>
            <w:r w:rsidRPr="00B83E1A">
              <w:rPr>
                <w:rFonts w:eastAsia="Times New Roman"/>
              </w:rPr>
              <w:t xml:space="preserve">1.  </w:t>
            </w:r>
            <w:r w:rsidRPr="00B83E1A">
              <w:rPr>
                <w:rFonts w:eastAsia="Times New Roman"/>
                <w:i/>
              </w:rPr>
              <w:t>Report by the Director-General, Annual Report on the Composition of the Technical Secretariat</w:t>
            </w:r>
            <w:r w:rsidRPr="00B83E1A">
              <w:rPr>
                <w:rFonts w:eastAsia="Times New Roman"/>
              </w:rPr>
              <w:t xml:space="preserve"> (Informe del Director General, Informe Annual sobre la Composición de la Secretaría Técnica) </w:t>
            </w:r>
            <w:hyperlink r:id="rId64" w:history="1">
              <w:r w:rsidRPr="00B83E1A">
                <w:rPr>
                  <w:rStyle w:val="Hyperlink"/>
                  <w:rFonts w:eastAsia="Times New Roman"/>
                </w:rPr>
                <w:t>http://www.opcw.org/fileadmin/OPCW/EC/69/en/reports/ec69dg03_e_.pdf</w:t>
              </w:r>
            </w:hyperlink>
            <w:r w:rsidRPr="00B83E1A">
              <w:rPr>
                <w:rStyle w:val="Hyperlink"/>
                <w:rFonts w:eastAsia="Times New Roman"/>
              </w:rPr>
              <w:t xml:space="preserve"> </w:t>
            </w:r>
            <w:r w:rsidRPr="00B83E1A">
              <w:rPr>
                <w:rFonts w:eastAsia="Times New Roman"/>
              </w:rPr>
              <w:t xml:space="preserve"> (sólo en inglés)</w:t>
            </w:r>
          </w:p>
          <w:p w14:paraId="645C71DB" w14:textId="77777777" w:rsidR="006D1EBB" w:rsidRPr="00B83E1A" w:rsidRDefault="006D1EBB" w:rsidP="004E65E7">
            <w:pPr>
              <w:spacing w:before="120" w:after="120"/>
              <w:rPr>
                <w:rFonts w:eastAsia="Times New Roman"/>
                <w:i/>
                <w:iCs/>
              </w:rPr>
            </w:pPr>
          </w:p>
        </w:tc>
      </w:tr>
      <w:tr w:rsidR="006D1EBB" w:rsidRPr="00B83E1A" w14:paraId="3A3FD362" w14:textId="77777777" w:rsidTr="004E65E7">
        <w:trPr>
          <w:trHeight w:val="510"/>
        </w:trPr>
        <w:tc>
          <w:tcPr>
            <w:tcW w:w="2895" w:type="dxa"/>
            <w:shd w:val="clear" w:color="auto" w:fill="auto"/>
            <w:hideMark/>
          </w:tcPr>
          <w:p w14:paraId="1DDA69EF" w14:textId="77777777" w:rsidR="006D1EBB" w:rsidRPr="00B83E1A" w:rsidRDefault="006D1EBB" w:rsidP="004E65E7">
            <w:pPr>
              <w:spacing w:before="120" w:after="120"/>
              <w:rPr>
                <w:rFonts w:eastAsia="Times New Roman"/>
                <w:b/>
              </w:rPr>
            </w:pPr>
            <w:r w:rsidRPr="00B83E1A">
              <w:rPr>
                <w:rFonts w:eastAsia="Times New Roman"/>
                <w:b/>
              </w:rPr>
              <w:t>Organización de las Naciones Unidas para la Educación, la Ciencia y la Cultura (UNESCO)</w:t>
            </w:r>
          </w:p>
        </w:tc>
        <w:tc>
          <w:tcPr>
            <w:tcW w:w="7185" w:type="dxa"/>
            <w:shd w:val="clear" w:color="auto" w:fill="auto"/>
            <w:hideMark/>
          </w:tcPr>
          <w:p w14:paraId="5F1EC386" w14:textId="77777777" w:rsidR="006D1EBB" w:rsidRPr="00B83E1A" w:rsidRDefault="006D1EBB" w:rsidP="004E65E7">
            <w:pPr>
              <w:spacing w:before="120" w:after="120"/>
              <w:rPr>
                <w:rFonts w:eastAsia="Times New Roman"/>
                <w:i/>
                <w:iCs/>
              </w:rPr>
            </w:pPr>
            <w:r w:rsidRPr="00B83E1A">
              <w:rPr>
                <w:rFonts w:eastAsia="Times New Roman"/>
                <w:iCs/>
              </w:rPr>
              <w:t xml:space="preserve">1.  Estrategia a Plazo Medio 2008-2013, </w:t>
            </w:r>
            <w:hyperlink r:id="rId65" w:history="1">
              <w:r w:rsidRPr="00B83E1A">
                <w:rPr>
                  <w:rStyle w:val="Hyperlink"/>
                </w:rPr>
                <w:t>http://unesdoc.unesco.org/images/0014/001499/149999s.pdf</w:t>
              </w:r>
            </w:hyperlink>
          </w:p>
        </w:tc>
      </w:tr>
      <w:tr w:rsidR="006D1EBB" w:rsidRPr="00B83E1A" w14:paraId="3680F4B6" w14:textId="77777777" w:rsidTr="004E65E7">
        <w:trPr>
          <w:trHeight w:val="510"/>
        </w:trPr>
        <w:tc>
          <w:tcPr>
            <w:tcW w:w="2895" w:type="dxa"/>
            <w:shd w:val="clear" w:color="auto" w:fill="auto"/>
            <w:noWrap/>
            <w:hideMark/>
          </w:tcPr>
          <w:p w14:paraId="3D9D1910" w14:textId="77777777" w:rsidR="006D1EBB" w:rsidRPr="00B83E1A" w:rsidRDefault="006D1EBB" w:rsidP="004E65E7">
            <w:pPr>
              <w:spacing w:before="120" w:after="120"/>
              <w:rPr>
                <w:rFonts w:eastAsia="Times New Roman"/>
                <w:b/>
              </w:rPr>
            </w:pPr>
          </w:p>
        </w:tc>
        <w:tc>
          <w:tcPr>
            <w:tcW w:w="7185" w:type="dxa"/>
            <w:shd w:val="clear" w:color="auto" w:fill="auto"/>
            <w:hideMark/>
          </w:tcPr>
          <w:p w14:paraId="4ED75912" w14:textId="77777777" w:rsidR="006D1EBB" w:rsidRPr="00B83E1A" w:rsidRDefault="006D1EBB" w:rsidP="004E65E7">
            <w:pPr>
              <w:spacing w:before="120" w:after="120"/>
              <w:rPr>
                <w:rFonts w:eastAsia="Times New Roman"/>
                <w:i/>
                <w:iCs/>
              </w:rPr>
            </w:pPr>
            <w:r w:rsidRPr="00B83E1A">
              <w:rPr>
                <w:rFonts w:eastAsia="Times New Roman"/>
                <w:iCs/>
              </w:rPr>
              <w:t xml:space="preserve">2.  C/5 Programa y Presupuesto aprobados 2013-2013, </w:t>
            </w:r>
            <w:r w:rsidRPr="00B83E1A">
              <w:t xml:space="preserve">http://unesdoc.unesco.org/images/0021/002152/215286e.pdf </w:t>
            </w:r>
          </w:p>
        </w:tc>
      </w:tr>
      <w:tr w:rsidR="006D1EBB" w:rsidRPr="00B83E1A" w14:paraId="38A13ECF" w14:textId="77777777" w:rsidTr="004E65E7">
        <w:trPr>
          <w:trHeight w:val="1425"/>
        </w:trPr>
        <w:tc>
          <w:tcPr>
            <w:tcW w:w="2895" w:type="dxa"/>
            <w:shd w:val="clear" w:color="auto" w:fill="auto"/>
            <w:noWrap/>
            <w:hideMark/>
          </w:tcPr>
          <w:p w14:paraId="0C38B68C" w14:textId="77777777" w:rsidR="006D1EBB" w:rsidRPr="00B83E1A" w:rsidRDefault="006D1EBB" w:rsidP="004E65E7">
            <w:pPr>
              <w:spacing w:before="120" w:after="120"/>
              <w:rPr>
                <w:rFonts w:eastAsia="Times New Roman"/>
                <w:b/>
              </w:rPr>
            </w:pPr>
          </w:p>
        </w:tc>
        <w:tc>
          <w:tcPr>
            <w:tcW w:w="7185" w:type="dxa"/>
            <w:shd w:val="clear" w:color="auto" w:fill="auto"/>
            <w:hideMark/>
          </w:tcPr>
          <w:p w14:paraId="76BFD6D2" w14:textId="77777777" w:rsidR="006D1EBB" w:rsidRPr="00B83E1A" w:rsidRDefault="006D1EBB" w:rsidP="004E65E7">
            <w:pPr>
              <w:spacing w:before="120" w:after="120"/>
              <w:rPr>
                <w:rFonts w:eastAsia="Times New Roman"/>
              </w:rPr>
            </w:pPr>
            <w:r w:rsidRPr="00B83E1A">
              <w:rPr>
                <w:rFonts w:eastAsia="Times New Roman"/>
              </w:rPr>
              <w:t xml:space="preserve">3.  Página web: </w:t>
            </w:r>
            <w:hyperlink r:id="rId66" w:history="1">
              <w:r w:rsidRPr="00B83E1A">
                <w:rPr>
                  <w:rStyle w:val="Hyperlink"/>
                  <w:rFonts w:eastAsia="Times New Roman"/>
                </w:rPr>
                <w:t>http://www.unesco.org/es/education-for-all-international-coordination/themes/education-and-the-mdgs/</w:t>
              </w:r>
            </w:hyperlink>
            <w:r w:rsidRPr="00B83E1A">
              <w:rPr>
                <w:rFonts w:eastAsia="Times New Roman"/>
              </w:rPr>
              <w:t xml:space="preserve"> Educación y los Objetivos de Desarrollo del Milenio</w:t>
            </w:r>
          </w:p>
        </w:tc>
      </w:tr>
      <w:tr w:rsidR="006D1EBB" w:rsidRPr="00B83E1A" w14:paraId="0063565B" w14:textId="77777777" w:rsidTr="004E65E7">
        <w:trPr>
          <w:trHeight w:val="855"/>
        </w:trPr>
        <w:tc>
          <w:tcPr>
            <w:tcW w:w="2895" w:type="dxa"/>
            <w:shd w:val="clear" w:color="auto" w:fill="auto"/>
            <w:noWrap/>
            <w:hideMark/>
          </w:tcPr>
          <w:p w14:paraId="1CF3633E" w14:textId="77777777" w:rsidR="006D1EBB" w:rsidRPr="00B83E1A" w:rsidRDefault="006D1EBB" w:rsidP="004E65E7">
            <w:pPr>
              <w:spacing w:before="120" w:after="120"/>
              <w:rPr>
                <w:rFonts w:eastAsia="Times New Roman"/>
                <w:b/>
              </w:rPr>
            </w:pPr>
          </w:p>
        </w:tc>
        <w:tc>
          <w:tcPr>
            <w:tcW w:w="7185" w:type="dxa"/>
            <w:shd w:val="clear" w:color="auto" w:fill="auto"/>
            <w:hideMark/>
          </w:tcPr>
          <w:p w14:paraId="40330569" w14:textId="77777777" w:rsidR="006D1EBB" w:rsidRPr="00B83E1A" w:rsidRDefault="006D1EBB" w:rsidP="004E65E7">
            <w:pPr>
              <w:spacing w:before="120" w:after="120"/>
              <w:rPr>
                <w:rFonts w:eastAsia="Times New Roman"/>
              </w:rPr>
            </w:pPr>
            <w:r w:rsidRPr="00B83E1A">
              <w:rPr>
                <w:rFonts w:eastAsia="Times New Roman"/>
              </w:rPr>
              <w:t xml:space="preserve">4.  Página web: </w:t>
            </w:r>
            <w:hyperlink r:id="rId67" w:history="1">
              <w:r w:rsidRPr="00B83E1A">
                <w:rPr>
                  <w:rStyle w:val="Hyperlink"/>
                  <w:rFonts w:eastAsia="Times New Roman"/>
                </w:rPr>
                <w:t>http://www.uis.unesco.org/Education/Pages/education-statistics-mdg.aspx</w:t>
              </w:r>
            </w:hyperlink>
            <w:r w:rsidRPr="00B83E1A">
              <w:rPr>
                <w:rFonts w:eastAsia="Times New Roman"/>
              </w:rPr>
              <w:t xml:space="preserve"> </w:t>
            </w:r>
            <w:r w:rsidRPr="00B83E1A">
              <w:rPr>
                <w:rFonts w:eastAsia="Times New Roman"/>
                <w:i/>
              </w:rPr>
              <w:t xml:space="preserve">International </w:t>
            </w:r>
            <w:proofErr w:type="spellStart"/>
            <w:r w:rsidRPr="00B83E1A">
              <w:rPr>
                <w:rFonts w:eastAsia="Times New Roman"/>
                <w:i/>
              </w:rPr>
              <w:t>Goals</w:t>
            </w:r>
            <w:proofErr w:type="spellEnd"/>
            <w:r w:rsidRPr="00B83E1A">
              <w:rPr>
                <w:rFonts w:eastAsia="Times New Roman"/>
              </w:rPr>
              <w:t xml:space="preserve"> (Objetivos Internacionales) (sólo en inglés)</w:t>
            </w:r>
          </w:p>
        </w:tc>
      </w:tr>
      <w:tr w:rsidR="006D1EBB" w:rsidRPr="00B83E1A" w14:paraId="56199FF8" w14:textId="77777777" w:rsidTr="00C57EFE">
        <w:trPr>
          <w:trHeight w:val="633"/>
        </w:trPr>
        <w:tc>
          <w:tcPr>
            <w:tcW w:w="2895" w:type="dxa"/>
            <w:shd w:val="clear" w:color="auto" w:fill="auto"/>
            <w:noWrap/>
            <w:hideMark/>
          </w:tcPr>
          <w:p w14:paraId="7DF47FED" w14:textId="77777777" w:rsidR="006D1EBB" w:rsidRPr="00B83E1A" w:rsidRDefault="006D1EBB" w:rsidP="004E65E7">
            <w:pPr>
              <w:spacing w:before="120" w:after="120"/>
              <w:rPr>
                <w:rFonts w:eastAsia="Times New Roman"/>
                <w:b/>
              </w:rPr>
            </w:pPr>
          </w:p>
        </w:tc>
        <w:tc>
          <w:tcPr>
            <w:tcW w:w="7185" w:type="dxa"/>
            <w:shd w:val="clear" w:color="auto" w:fill="auto"/>
            <w:hideMark/>
          </w:tcPr>
          <w:p w14:paraId="27DCA102" w14:textId="77777777" w:rsidR="006D1EBB" w:rsidRPr="00B83E1A" w:rsidRDefault="006D1EBB" w:rsidP="004E65E7">
            <w:pPr>
              <w:spacing w:before="120" w:after="120"/>
              <w:rPr>
                <w:rFonts w:eastAsia="Times New Roman"/>
              </w:rPr>
            </w:pPr>
            <w:r w:rsidRPr="00B83E1A">
              <w:rPr>
                <w:rFonts w:eastAsia="Times New Roman"/>
              </w:rPr>
              <w:t xml:space="preserve">5.  Página web: </w:t>
            </w:r>
            <w:hyperlink r:id="rId68" w:history="1">
              <w:r w:rsidRPr="00B83E1A">
                <w:rPr>
                  <w:rStyle w:val="Hyperlink"/>
                  <w:rFonts w:eastAsia="Times New Roman"/>
                </w:rPr>
                <w:t>http://en.unesco.org/post2015/</w:t>
              </w:r>
            </w:hyperlink>
            <w:r w:rsidRPr="00B83E1A">
              <w:rPr>
                <w:rFonts w:eastAsia="Times New Roman"/>
              </w:rPr>
              <w:t xml:space="preserve"> (sólo en inglés)</w:t>
            </w:r>
          </w:p>
        </w:tc>
      </w:tr>
      <w:tr w:rsidR="006D1EBB" w:rsidRPr="00B83E1A" w14:paraId="0AAAABB4" w14:textId="77777777" w:rsidTr="00C57EFE">
        <w:trPr>
          <w:trHeight w:val="1549"/>
        </w:trPr>
        <w:tc>
          <w:tcPr>
            <w:tcW w:w="2895" w:type="dxa"/>
            <w:shd w:val="clear" w:color="auto" w:fill="auto"/>
            <w:hideMark/>
          </w:tcPr>
          <w:p w14:paraId="301AC98E" w14:textId="77777777" w:rsidR="006D1EBB" w:rsidRPr="00B83E1A" w:rsidRDefault="006D1EBB" w:rsidP="004E65E7">
            <w:pPr>
              <w:spacing w:before="120" w:after="120"/>
              <w:rPr>
                <w:rFonts w:eastAsia="Times New Roman"/>
                <w:b/>
              </w:rPr>
            </w:pPr>
            <w:r w:rsidRPr="00B83E1A">
              <w:rPr>
                <w:rFonts w:eastAsia="Times New Roman"/>
                <w:b/>
              </w:rPr>
              <w:t>Organización de las Naciones Unidas para el Desarrollo Industrial (ONUDI)</w:t>
            </w:r>
          </w:p>
        </w:tc>
        <w:tc>
          <w:tcPr>
            <w:tcW w:w="7185" w:type="dxa"/>
            <w:shd w:val="clear" w:color="auto" w:fill="auto"/>
            <w:hideMark/>
          </w:tcPr>
          <w:p w14:paraId="0EB32BF9" w14:textId="77777777" w:rsidR="006D1EBB" w:rsidRPr="00B83E1A" w:rsidRDefault="006D1EBB" w:rsidP="004E65E7">
            <w:pPr>
              <w:spacing w:before="120" w:after="120"/>
              <w:rPr>
                <w:rFonts w:eastAsia="Times New Roman"/>
                <w:i/>
                <w:iCs/>
              </w:rPr>
            </w:pPr>
            <w:r w:rsidRPr="00B83E1A">
              <w:rPr>
                <w:rFonts w:eastAsia="Times New Roman"/>
                <w:iCs/>
              </w:rPr>
              <w:t xml:space="preserve">1.  </w:t>
            </w:r>
            <w:r w:rsidRPr="00B83E1A">
              <w:rPr>
                <w:rFonts w:eastAsia="Times New Roman"/>
                <w:i/>
                <w:iCs/>
              </w:rPr>
              <w:t>Independent Thematic Evaluation: UNIDO’s contribution to the Millennium Development Goals</w:t>
            </w:r>
            <w:r w:rsidRPr="00B83E1A">
              <w:rPr>
                <w:rFonts w:eastAsia="Times New Roman"/>
                <w:iCs/>
              </w:rPr>
              <w:t xml:space="preserve"> (Evaluación temática independiente de la Contribución de la ONUDI a los Objetivos de Desarrollo del Milenio)</w:t>
            </w:r>
            <w:r w:rsidRPr="00B83E1A">
              <w:rPr>
                <w:rFonts w:eastAsia="Times New Roman"/>
                <w:i/>
                <w:iCs/>
              </w:rPr>
              <w:t xml:space="preserve">, </w:t>
            </w:r>
            <w:hyperlink r:id="rId69" w:history="1">
              <w:r w:rsidRPr="00B83E1A">
                <w:rPr>
                  <w:rStyle w:val="Hyperlink"/>
                </w:rPr>
                <w:t>http://www.unido.org/fileadmin/user_media_upgrade/Resources/Evaluation/THEM_UNIDO_MDGs-2012_EBook.pdf</w:t>
              </w:r>
            </w:hyperlink>
            <w:r w:rsidRPr="00B83E1A">
              <w:rPr>
                <w:rStyle w:val="Hyperlink"/>
              </w:rPr>
              <w:t xml:space="preserve"> </w:t>
            </w:r>
            <w:r w:rsidRPr="00B83E1A">
              <w:rPr>
                <w:rFonts w:eastAsia="Times New Roman"/>
              </w:rPr>
              <w:t>(sólo en inglés)</w:t>
            </w:r>
          </w:p>
        </w:tc>
      </w:tr>
      <w:tr w:rsidR="006D1EBB" w:rsidRPr="00B83E1A" w14:paraId="5BAAC9FE" w14:textId="77777777" w:rsidTr="00C57EFE">
        <w:trPr>
          <w:trHeight w:val="1118"/>
        </w:trPr>
        <w:tc>
          <w:tcPr>
            <w:tcW w:w="2895" w:type="dxa"/>
            <w:shd w:val="clear" w:color="auto" w:fill="auto"/>
            <w:noWrap/>
            <w:hideMark/>
          </w:tcPr>
          <w:p w14:paraId="5089CD5D" w14:textId="77777777" w:rsidR="006D1EBB" w:rsidRPr="00B83E1A" w:rsidRDefault="006D1EBB" w:rsidP="004E65E7">
            <w:pPr>
              <w:spacing w:before="120" w:after="120"/>
              <w:rPr>
                <w:rFonts w:eastAsia="Times New Roman"/>
                <w:b/>
              </w:rPr>
            </w:pPr>
          </w:p>
        </w:tc>
        <w:tc>
          <w:tcPr>
            <w:tcW w:w="7185" w:type="dxa"/>
            <w:shd w:val="clear" w:color="auto" w:fill="auto"/>
            <w:hideMark/>
          </w:tcPr>
          <w:p w14:paraId="519852BC" w14:textId="77777777" w:rsidR="006D1EBB" w:rsidRPr="00B83E1A" w:rsidRDefault="006D1EBB" w:rsidP="004E65E7">
            <w:pPr>
              <w:spacing w:before="120" w:after="120"/>
              <w:rPr>
                <w:rFonts w:eastAsia="Times New Roman"/>
              </w:rPr>
            </w:pPr>
            <w:r w:rsidRPr="00B83E1A">
              <w:rPr>
                <w:rFonts w:eastAsia="Times New Roman"/>
              </w:rPr>
              <w:t xml:space="preserve">2.  </w:t>
            </w:r>
            <w:r w:rsidRPr="00B83E1A">
              <w:rPr>
                <w:rFonts w:eastAsia="Times New Roman"/>
                <w:i/>
              </w:rPr>
              <w:t>Annual Report 2012</w:t>
            </w:r>
            <w:r w:rsidRPr="00B83E1A">
              <w:rPr>
                <w:rFonts w:eastAsia="Times New Roman"/>
              </w:rPr>
              <w:t xml:space="preserve"> (Informe Anual 2012), </w:t>
            </w:r>
            <w:hyperlink r:id="rId70" w:history="1">
              <w:r w:rsidRPr="00B83E1A">
                <w:rPr>
                  <w:rStyle w:val="Hyperlink"/>
                  <w:rFonts w:eastAsia="Times New Roman"/>
                </w:rPr>
                <w:t>http://www.unido.org/fileadmin/user_media/PMO/PBC/PBC29/13-80554_AR2012_Ebook.pdf</w:t>
              </w:r>
            </w:hyperlink>
            <w:r w:rsidRPr="00B83E1A">
              <w:rPr>
                <w:rStyle w:val="Hyperlink"/>
                <w:rFonts w:eastAsia="Times New Roman"/>
              </w:rPr>
              <w:t xml:space="preserve"> </w:t>
            </w:r>
            <w:r w:rsidRPr="00B83E1A">
              <w:rPr>
                <w:rFonts w:eastAsia="Times New Roman"/>
              </w:rPr>
              <w:t>(sólo en inglés)</w:t>
            </w:r>
          </w:p>
        </w:tc>
      </w:tr>
      <w:tr w:rsidR="006D1EBB" w:rsidRPr="00B83E1A" w14:paraId="3585F3A8" w14:textId="77777777" w:rsidTr="004E65E7">
        <w:trPr>
          <w:trHeight w:val="510"/>
        </w:trPr>
        <w:tc>
          <w:tcPr>
            <w:tcW w:w="2895" w:type="dxa"/>
            <w:shd w:val="clear" w:color="auto" w:fill="auto"/>
            <w:noWrap/>
            <w:hideMark/>
          </w:tcPr>
          <w:p w14:paraId="4213EAFE" w14:textId="77777777" w:rsidR="006D1EBB" w:rsidRPr="00B83E1A" w:rsidRDefault="006D1EBB" w:rsidP="004E65E7">
            <w:pPr>
              <w:spacing w:before="120" w:after="120"/>
              <w:rPr>
                <w:rFonts w:eastAsia="Times New Roman"/>
                <w:b/>
              </w:rPr>
            </w:pPr>
          </w:p>
        </w:tc>
        <w:tc>
          <w:tcPr>
            <w:tcW w:w="7185" w:type="dxa"/>
            <w:shd w:val="clear" w:color="auto" w:fill="auto"/>
            <w:hideMark/>
          </w:tcPr>
          <w:p w14:paraId="112AE453" w14:textId="77777777" w:rsidR="006D1EBB" w:rsidRPr="00B83E1A" w:rsidRDefault="006D1EBB" w:rsidP="004E65E7">
            <w:pPr>
              <w:spacing w:before="120" w:after="120"/>
              <w:rPr>
                <w:rFonts w:eastAsia="Times New Roman"/>
              </w:rPr>
            </w:pPr>
            <w:r w:rsidRPr="00B83E1A">
              <w:rPr>
                <w:rFonts w:eastAsia="Times New Roman"/>
              </w:rPr>
              <w:t xml:space="preserve">3.  Página web: </w:t>
            </w:r>
            <w:hyperlink r:id="rId71" w:history="1">
              <w:r w:rsidRPr="00B83E1A">
                <w:rPr>
                  <w:rStyle w:val="Hyperlink"/>
                  <w:rFonts w:eastAsia="Times New Roman"/>
                </w:rPr>
                <w:t>http://www.unido.org/es/spanish.html</w:t>
              </w:r>
            </w:hyperlink>
          </w:p>
        </w:tc>
      </w:tr>
      <w:tr w:rsidR="006D1EBB" w:rsidRPr="00B83E1A" w14:paraId="02273F01" w14:textId="77777777" w:rsidTr="004E65E7">
        <w:trPr>
          <w:trHeight w:val="360"/>
        </w:trPr>
        <w:tc>
          <w:tcPr>
            <w:tcW w:w="2895" w:type="dxa"/>
            <w:shd w:val="clear" w:color="auto" w:fill="auto"/>
            <w:noWrap/>
            <w:hideMark/>
          </w:tcPr>
          <w:p w14:paraId="6EE15403" w14:textId="77777777" w:rsidR="006D1EBB" w:rsidRPr="00B83E1A" w:rsidRDefault="006D1EBB" w:rsidP="004E65E7">
            <w:pPr>
              <w:spacing w:before="120" w:after="120"/>
              <w:rPr>
                <w:rFonts w:eastAsia="Times New Roman"/>
                <w:b/>
              </w:rPr>
            </w:pPr>
            <w:r w:rsidRPr="00B83E1A">
              <w:rPr>
                <w:rFonts w:eastAsia="Times New Roman"/>
                <w:b/>
              </w:rPr>
              <w:t>Unión Postal Universal (UPU)</w:t>
            </w:r>
          </w:p>
        </w:tc>
        <w:tc>
          <w:tcPr>
            <w:tcW w:w="7185" w:type="dxa"/>
            <w:shd w:val="clear" w:color="auto" w:fill="auto"/>
            <w:hideMark/>
          </w:tcPr>
          <w:p w14:paraId="5560EB14" w14:textId="77777777" w:rsidR="006D1EBB" w:rsidRPr="00B83E1A" w:rsidRDefault="006D1EBB" w:rsidP="004E65E7">
            <w:pPr>
              <w:spacing w:before="120" w:after="120"/>
              <w:rPr>
                <w:rFonts w:eastAsia="Times New Roman"/>
              </w:rPr>
            </w:pPr>
            <w:r w:rsidRPr="00B83E1A">
              <w:rPr>
                <w:rFonts w:eastAsia="Times New Roman"/>
              </w:rPr>
              <w:t xml:space="preserve">1.  </w:t>
            </w:r>
            <w:r w:rsidRPr="00B83E1A">
              <w:rPr>
                <w:rFonts w:eastAsia="Times New Roman"/>
                <w:i/>
              </w:rPr>
              <w:t>Annual Report 2011</w:t>
            </w:r>
            <w:r w:rsidRPr="00B83E1A">
              <w:rPr>
                <w:rFonts w:eastAsia="Times New Roman"/>
              </w:rPr>
              <w:t xml:space="preserve"> (Informe anual 2011), </w:t>
            </w:r>
            <w:hyperlink r:id="rId72" w:history="1">
              <w:r w:rsidRPr="00B83E1A">
                <w:rPr>
                  <w:rStyle w:val="Hyperlink"/>
                </w:rPr>
                <w:t>http://www.upu.int/fileadmin/documentsFiles/resources/publications/2011AnnualReportEn.pdf</w:t>
              </w:r>
            </w:hyperlink>
            <w:r w:rsidRPr="00B83E1A">
              <w:rPr>
                <w:rStyle w:val="Hyperlink"/>
              </w:rPr>
              <w:t xml:space="preserve"> </w:t>
            </w:r>
            <w:r w:rsidRPr="00B83E1A">
              <w:rPr>
                <w:rFonts w:eastAsia="Times New Roman"/>
              </w:rPr>
              <w:t>(sólo en inglés)</w:t>
            </w:r>
          </w:p>
        </w:tc>
      </w:tr>
      <w:tr w:rsidR="006D1EBB" w:rsidRPr="00B83E1A" w14:paraId="367455C9" w14:textId="77777777" w:rsidTr="004E65E7">
        <w:trPr>
          <w:trHeight w:val="1080"/>
        </w:trPr>
        <w:tc>
          <w:tcPr>
            <w:tcW w:w="2895" w:type="dxa"/>
            <w:shd w:val="clear" w:color="auto" w:fill="auto"/>
            <w:noWrap/>
            <w:hideMark/>
          </w:tcPr>
          <w:p w14:paraId="36A8A995" w14:textId="77777777" w:rsidR="006D1EBB" w:rsidRPr="00B83E1A" w:rsidRDefault="006D1EBB" w:rsidP="004E65E7">
            <w:pPr>
              <w:spacing w:before="120" w:after="120"/>
              <w:rPr>
                <w:rFonts w:eastAsia="Times New Roman"/>
                <w:b/>
              </w:rPr>
            </w:pPr>
          </w:p>
        </w:tc>
        <w:tc>
          <w:tcPr>
            <w:tcW w:w="7185" w:type="dxa"/>
            <w:shd w:val="clear" w:color="auto" w:fill="auto"/>
            <w:hideMark/>
          </w:tcPr>
          <w:p w14:paraId="7F7E9703" w14:textId="77777777" w:rsidR="006D1EBB" w:rsidRPr="00B83E1A" w:rsidRDefault="006D1EBB" w:rsidP="004E65E7">
            <w:pPr>
              <w:spacing w:before="120" w:after="120"/>
              <w:rPr>
                <w:rFonts w:eastAsia="Times New Roman"/>
              </w:rPr>
            </w:pPr>
            <w:r w:rsidRPr="00B83E1A">
              <w:rPr>
                <w:rFonts w:eastAsia="Times New Roman"/>
              </w:rPr>
              <w:t xml:space="preserve">2.  Página web: </w:t>
            </w:r>
            <w:hyperlink r:id="rId73" w:history="1">
              <w:r w:rsidRPr="00B83E1A">
                <w:rPr>
                  <w:rStyle w:val="Hyperlink"/>
                  <w:rFonts w:eastAsia="Times New Roman"/>
                </w:rPr>
                <w:t>http://www.upu.int/nc/en/the-upu/un-specialized-agency/millennium-development-goals/about-mdg.html?sword_list[0]=mdgs</w:t>
              </w:r>
            </w:hyperlink>
            <w:r w:rsidRPr="00B83E1A">
              <w:rPr>
                <w:rFonts w:eastAsia="Times New Roman"/>
              </w:rPr>
              <w:t xml:space="preserve"> (sólo en inglés)</w:t>
            </w:r>
          </w:p>
        </w:tc>
      </w:tr>
      <w:tr w:rsidR="006D1EBB" w:rsidRPr="00B83E1A" w14:paraId="0784193C" w14:textId="77777777" w:rsidTr="004E65E7">
        <w:trPr>
          <w:trHeight w:val="1043"/>
        </w:trPr>
        <w:tc>
          <w:tcPr>
            <w:tcW w:w="2895" w:type="dxa"/>
            <w:shd w:val="clear" w:color="auto" w:fill="auto"/>
            <w:noWrap/>
            <w:hideMark/>
          </w:tcPr>
          <w:p w14:paraId="280BD810" w14:textId="77777777" w:rsidR="006D1EBB" w:rsidRPr="00B83E1A" w:rsidRDefault="006D1EBB" w:rsidP="004E65E7">
            <w:pPr>
              <w:spacing w:before="120" w:after="120"/>
              <w:rPr>
                <w:rFonts w:eastAsia="Times New Roman"/>
                <w:b/>
              </w:rPr>
            </w:pPr>
            <w:r w:rsidRPr="00B83E1A">
              <w:rPr>
                <w:rFonts w:eastAsia="Times New Roman"/>
                <w:b/>
              </w:rPr>
              <w:t>Organización Mundial de la Salud (OMS)</w:t>
            </w:r>
          </w:p>
        </w:tc>
        <w:tc>
          <w:tcPr>
            <w:tcW w:w="7185" w:type="dxa"/>
            <w:shd w:val="clear" w:color="auto" w:fill="auto"/>
            <w:hideMark/>
          </w:tcPr>
          <w:p w14:paraId="696CA1B2" w14:textId="77777777" w:rsidR="006D1EBB" w:rsidRPr="00B83E1A" w:rsidRDefault="006D1EBB" w:rsidP="004E65E7">
            <w:pPr>
              <w:spacing w:before="120" w:after="120"/>
              <w:rPr>
                <w:rFonts w:eastAsia="Times New Roman"/>
                <w:i/>
                <w:iCs/>
              </w:rPr>
            </w:pPr>
            <w:r w:rsidRPr="00B83E1A">
              <w:rPr>
                <w:rFonts w:eastAsia="Times New Roman"/>
                <w:iCs/>
              </w:rPr>
              <w:t xml:space="preserve">1.  Monitoreo del logro de los Objetivos de Desarrollo del Milenio relacionados con la salud, </w:t>
            </w:r>
            <w:hyperlink r:id="rId74" w:history="1">
              <w:r w:rsidRPr="00B83E1A">
                <w:rPr>
                  <w:rStyle w:val="Hyperlink"/>
                </w:rPr>
                <w:t>http://apps.who.int/gb/ebwha/pdf_files/WHA66/A66_13-sp.pdf</w:t>
              </w:r>
            </w:hyperlink>
          </w:p>
        </w:tc>
      </w:tr>
      <w:tr w:rsidR="006D1EBB" w:rsidRPr="00B83E1A" w14:paraId="4A43EFFF" w14:textId="77777777" w:rsidTr="004E65E7">
        <w:trPr>
          <w:trHeight w:val="510"/>
        </w:trPr>
        <w:tc>
          <w:tcPr>
            <w:tcW w:w="2895" w:type="dxa"/>
            <w:shd w:val="clear" w:color="auto" w:fill="auto"/>
            <w:noWrap/>
            <w:hideMark/>
          </w:tcPr>
          <w:p w14:paraId="71C8D807" w14:textId="77777777" w:rsidR="006D1EBB" w:rsidRPr="00B83E1A" w:rsidRDefault="006D1EBB" w:rsidP="004E65E7">
            <w:pPr>
              <w:spacing w:before="120" w:after="120"/>
              <w:rPr>
                <w:rFonts w:eastAsia="Times New Roman"/>
                <w:b/>
              </w:rPr>
            </w:pPr>
          </w:p>
        </w:tc>
        <w:tc>
          <w:tcPr>
            <w:tcW w:w="7185" w:type="dxa"/>
            <w:shd w:val="clear" w:color="auto" w:fill="auto"/>
            <w:hideMark/>
          </w:tcPr>
          <w:p w14:paraId="41147E74" w14:textId="77777777" w:rsidR="006D1EBB" w:rsidRPr="00B83E1A" w:rsidRDefault="006D1EBB" w:rsidP="004E65E7">
            <w:pPr>
              <w:spacing w:before="120" w:after="120"/>
              <w:rPr>
                <w:rFonts w:eastAsia="Times New Roman"/>
                <w:i/>
                <w:iCs/>
              </w:rPr>
            </w:pPr>
            <w:r w:rsidRPr="00B83E1A">
              <w:rPr>
                <w:rFonts w:eastAsia="Times New Roman"/>
                <w:iCs/>
              </w:rPr>
              <w:t>2.  Plan estratégico a plazo medio 2008–2013 (Proyecto modificado),</w:t>
            </w:r>
            <w:r w:rsidRPr="00B83E1A">
              <w:rPr>
                <w:rFonts w:eastAsia="Times New Roman"/>
                <w:i/>
                <w:iCs/>
              </w:rPr>
              <w:t xml:space="preserve"> </w:t>
            </w:r>
            <w:hyperlink r:id="rId75" w:history="1">
              <w:r w:rsidRPr="00B83E1A">
                <w:rPr>
                  <w:rStyle w:val="Hyperlink"/>
                </w:rPr>
                <w:t>http://apps.who.int/gb/s/s_amtsp3.html</w:t>
              </w:r>
            </w:hyperlink>
          </w:p>
        </w:tc>
      </w:tr>
      <w:tr w:rsidR="006D1EBB" w:rsidRPr="00B83E1A" w14:paraId="39632CD7" w14:textId="77777777" w:rsidTr="004E65E7">
        <w:trPr>
          <w:trHeight w:val="255"/>
        </w:trPr>
        <w:tc>
          <w:tcPr>
            <w:tcW w:w="2895" w:type="dxa"/>
            <w:shd w:val="clear" w:color="auto" w:fill="auto"/>
            <w:noWrap/>
            <w:hideMark/>
          </w:tcPr>
          <w:p w14:paraId="2B5AEAE5" w14:textId="77777777" w:rsidR="006D1EBB" w:rsidRPr="00B83E1A" w:rsidRDefault="006D1EBB" w:rsidP="004E65E7">
            <w:pPr>
              <w:spacing w:before="120" w:after="120"/>
              <w:rPr>
                <w:rFonts w:eastAsia="Times New Roman"/>
                <w:b/>
              </w:rPr>
            </w:pPr>
          </w:p>
        </w:tc>
        <w:tc>
          <w:tcPr>
            <w:tcW w:w="7185" w:type="dxa"/>
            <w:shd w:val="clear" w:color="auto" w:fill="auto"/>
            <w:hideMark/>
          </w:tcPr>
          <w:p w14:paraId="59F22430" w14:textId="77777777" w:rsidR="006D1EBB" w:rsidRPr="00B83E1A" w:rsidRDefault="006D1EBB" w:rsidP="004E65E7">
            <w:pPr>
              <w:spacing w:before="120" w:after="120"/>
              <w:rPr>
                <w:rFonts w:eastAsia="Times New Roman"/>
                <w:i/>
                <w:iCs/>
              </w:rPr>
            </w:pPr>
            <w:r w:rsidRPr="00B83E1A">
              <w:rPr>
                <w:rFonts w:eastAsia="Times New Roman"/>
                <w:iCs/>
              </w:rPr>
              <w:t>3.  Proyecto del Duodécimo Programa General de Trabajo,</w:t>
            </w:r>
            <w:r w:rsidRPr="00B83E1A">
              <w:rPr>
                <w:rFonts w:eastAsia="Times New Roman"/>
                <w:i/>
                <w:iCs/>
              </w:rPr>
              <w:t xml:space="preserve"> </w:t>
            </w:r>
            <w:hyperlink r:id="rId76" w:history="1">
              <w:r w:rsidRPr="00B83E1A">
                <w:rPr>
                  <w:rStyle w:val="Hyperlink"/>
                </w:rPr>
                <w:t>http://apps.who.int/gb/ebwha/pdf_files/WHA66/A66_6-sp.pdf</w:t>
              </w:r>
            </w:hyperlink>
          </w:p>
        </w:tc>
      </w:tr>
      <w:tr w:rsidR="006D1EBB" w:rsidRPr="00B83E1A" w14:paraId="560604B0" w14:textId="77777777" w:rsidTr="004E65E7">
        <w:trPr>
          <w:trHeight w:val="255"/>
        </w:trPr>
        <w:tc>
          <w:tcPr>
            <w:tcW w:w="2895" w:type="dxa"/>
            <w:shd w:val="clear" w:color="auto" w:fill="auto"/>
            <w:noWrap/>
            <w:hideMark/>
          </w:tcPr>
          <w:p w14:paraId="2CBC010F" w14:textId="77777777" w:rsidR="006D1EBB" w:rsidRPr="00B83E1A" w:rsidRDefault="006D1EBB" w:rsidP="004E65E7">
            <w:pPr>
              <w:spacing w:before="120" w:after="120"/>
              <w:rPr>
                <w:rFonts w:eastAsia="Times New Roman"/>
                <w:b/>
              </w:rPr>
            </w:pPr>
          </w:p>
        </w:tc>
        <w:tc>
          <w:tcPr>
            <w:tcW w:w="7185" w:type="dxa"/>
            <w:shd w:val="clear" w:color="auto" w:fill="auto"/>
            <w:hideMark/>
          </w:tcPr>
          <w:p w14:paraId="438164D4" w14:textId="77777777" w:rsidR="006D1EBB" w:rsidRPr="00B83E1A" w:rsidRDefault="006D1EBB" w:rsidP="004E65E7">
            <w:pPr>
              <w:spacing w:before="120" w:after="120"/>
              <w:rPr>
                <w:rFonts w:eastAsia="Times New Roman"/>
                <w:i/>
                <w:iCs/>
              </w:rPr>
            </w:pPr>
            <w:r w:rsidRPr="00B83E1A">
              <w:rPr>
                <w:rFonts w:eastAsia="Times New Roman"/>
                <w:i/>
                <w:iCs/>
              </w:rPr>
              <w:t>4</w:t>
            </w:r>
            <w:r w:rsidRPr="00B83E1A">
              <w:rPr>
                <w:rFonts w:eastAsia="Times New Roman"/>
                <w:iCs/>
              </w:rPr>
              <w:t>.  Proyecto de Presupuesto por Programas 2014-2015,</w:t>
            </w:r>
            <w:r w:rsidRPr="00B83E1A">
              <w:rPr>
                <w:rFonts w:eastAsia="Times New Roman"/>
                <w:i/>
                <w:iCs/>
              </w:rPr>
              <w:t xml:space="preserve"> </w:t>
            </w:r>
            <w:hyperlink r:id="rId77" w:history="1">
              <w:r w:rsidRPr="00B83E1A">
                <w:rPr>
                  <w:rStyle w:val="Hyperlink"/>
                </w:rPr>
                <w:t>http://www.who.int/about/resources_planning/A66_7-sp.pdf</w:t>
              </w:r>
            </w:hyperlink>
          </w:p>
        </w:tc>
      </w:tr>
      <w:tr w:rsidR="006D1EBB" w:rsidRPr="00B83E1A" w14:paraId="2979A223" w14:textId="77777777" w:rsidTr="004E65E7">
        <w:trPr>
          <w:trHeight w:val="255"/>
        </w:trPr>
        <w:tc>
          <w:tcPr>
            <w:tcW w:w="2895" w:type="dxa"/>
            <w:shd w:val="clear" w:color="auto" w:fill="auto"/>
            <w:noWrap/>
            <w:hideMark/>
          </w:tcPr>
          <w:p w14:paraId="3FEEAE74" w14:textId="77777777" w:rsidR="006D1EBB" w:rsidRPr="00B83E1A" w:rsidRDefault="006D1EBB" w:rsidP="004E65E7">
            <w:pPr>
              <w:spacing w:before="120" w:after="120"/>
              <w:rPr>
                <w:rFonts w:eastAsia="Times New Roman"/>
                <w:b/>
              </w:rPr>
            </w:pPr>
          </w:p>
        </w:tc>
        <w:tc>
          <w:tcPr>
            <w:tcW w:w="7185" w:type="dxa"/>
            <w:shd w:val="clear" w:color="auto" w:fill="auto"/>
            <w:hideMark/>
          </w:tcPr>
          <w:p w14:paraId="42A75BCD" w14:textId="77777777" w:rsidR="006D1EBB" w:rsidRPr="00B83E1A" w:rsidRDefault="006D1EBB" w:rsidP="004E65E7">
            <w:pPr>
              <w:spacing w:before="120" w:after="120"/>
              <w:rPr>
                <w:rFonts w:eastAsia="Times New Roman"/>
              </w:rPr>
            </w:pPr>
            <w:r w:rsidRPr="00B83E1A">
              <w:rPr>
                <w:rFonts w:eastAsia="Times New Roman"/>
              </w:rPr>
              <w:t xml:space="preserve">5.  Estadísticas sanitarias mundiales 2013, </w:t>
            </w:r>
            <w:hyperlink r:id="rId78" w:history="1">
              <w:r w:rsidRPr="00B83E1A">
                <w:rPr>
                  <w:rStyle w:val="Hyperlink"/>
                  <w:rFonts w:eastAsia="Times New Roman"/>
                </w:rPr>
                <w:t>http://apps.who.int/iris/bitstream/10665/82218/1/9789243564586_spa.pdf</w:t>
              </w:r>
            </w:hyperlink>
            <w:r w:rsidRPr="00B83E1A">
              <w:rPr>
                <w:rStyle w:val="Hyperlink"/>
                <w:rFonts w:eastAsia="Times New Roman"/>
              </w:rPr>
              <w:t xml:space="preserve"> </w:t>
            </w:r>
            <w:r w:rsidRPr="00B83E1A">
              <w:rPr>
                <w:rFonts w:eastAsia="Times New Roman"/>
              </w:rPr>
              <w:t xml:space="preserve"> </w:t>
            </w:r>
          </w:p>
        </w:tc>
      </w:tr>
      <w:tr w:rsidR="006D1EBB" w:rsidRPr="00B83E1A" w14:paraId="04CB5466" w14:textId="77777777" w:rsidTr="004E65E7">
        <w:trPr>
          <w:trHeight w:val="255"/>
        </w:trPr>
        <w:tc>
          <w:tcPr>
            <w:tcW w:w="2895" w:type="dxa"/>
            <w:shd w:val="clear" w:color="auto" w:fill="auto"/>
            <w:noWrap/>
            <w:hideMark/>
          </w:tcPr>
          <w:p w14:paraId="3A4DEA50" w14:textId="77777777" w:rsidR="006D1EBB" w:rsidRPr="00B83E1A" w:rsidRDefault="006D1EBB" w:rsidP="004E65E7">
            <w:pPr>
              <w:spacing w:before="120" w:after="120"/>
              <w:rPr>
                <w:rFonts w:eastAsia="Times New Roman"/>
                <w:b/>
              </w:rPr>
            </w:pPr>
          </w:p>
        </w:tc>
        <w:tc>
          <w:tcPr>
            <w:tcW w:w="7185" w:type="dxa"/>
            <w:shd w:val="clear" w:color="auto" w:fill="auto"/>
            <w:hideMark/>
          </w:tcPr>
          <w:p w14:paraId="5A22D17B" w14:textId="77777777" w:rsidR="006D1EBB" w:rsidRPr="00B83E1A" w:rsidRDefault="006D1EBB" w:rsidP="004E65E7">
            <w:pPr>
              <w:spacing w:before="120" w:after="120"/>
              <w:rPr>
                <w:rFonts w:eastAsia="Times New Roman"/>
              </w:rPr>
            </w:pPr>
            <w:r w:rsidRPr="00B83E1A">
              <w:rPr>
                <w:rFonts w:eastAsia="Times New Roman"/>
              </w:rPr>
              <w:t xml:space="preserve">6.  </w:t>
            </w:r>
            <w:r w:rsidRPr="00B83E1A">
              <w:rPr>
                <w:rFonts w:eastAsia="Times New Roman"/>
                <w:i/>
              </w:rPr>
              <w:t>World Health Report</w:t>
            </w:r>
            <w:r w:rsidRPr="00B83E1A">
              <w:rPr>
                <w:rFonts w:eastAsia="Times New Roman"/>
              </w:rPr>
              <w:t xml:space="preserve"> (Informe sobre la salud en el mundo), </w:t>
            </w:r>
            <w:hyperlink r:id="rId79" w:history="1">
              <w:r w:rsidRPr="00B83E1A">
                <w:rPr>
                  <w:rStyle w:val="Hyperlink"/>
                </w:rPr>
                <w:t>http://apps.who.int/iris/bitstream/10665/85761/2/9789240690837_eng.pdf</w:t>
              </w:r>
            </w:hyperlink>
            <w:r w:rsidRPr="00B83E1A">
              <w:rPr>
                <w:rFonts w:eastAsia="Times New Roman"/>
              </w:rPr>
              <w:t xml:space="preserve"> (sólo en inglés)</w:t>
            </w:r>
          </w:p>
        </w:tc>
      </w:tr>
      <w:tr w:rsidR="006D1EBB" w:rsidRPr="00B83E1A" w14:paraId="64390AC1" w14:textId="77777777" w:rsidTr="004E65E7">
        <w:trPr>
          <w:trHeight w:val="420"/>
        </w:trPr>
        <w:tc>
          <w:tcPr>
            <w:tcW w:w="2895" w:type="dxa"/>
            <w:shd w:val="clear" w:color="auto" w:fill="auto"/>
            <w:noWrap/>
            <w:hideMark/>
          </w:tcPr>
          <w:p w14:paraId="07717213" w14:textId="77777777" w:rsidR="006D1EBB" w:rsidRPr="00B83E1A" w:rsidRDefault="006D1EBB" w:rsidP="004E65E7">
            <w:pPr>
              <w:spacing w:before="120" w:after="120"/>
              <w:rPr>
                <w:rFonts w:eastAsia="Times New Roman"/>
                <w:b/>
              </w:rPr>
            </w:pPr>
          </w:p>
        </w:tc>
        <w:tc>
          <w:tcPr>
            <w:tcW w:w="7185" w:type="dxa"/>
            <w:shd w:val="clear" w:color="auto" w:fill="auto"/>
            <w:hideMark/>
          </w:tcPr>
          <w:p w14:paraId="2631EC0A" w14:textId="5567568E" w:rsidR="006D1EBB" w:rsidRPr="00B83E1A" w:rsidRDefault="006D1EBB" w:rsidP="00C57EFE">
            <w:pPr>
              <w:spacing w:after="120"/>
              <w:rPr>
                <w:rFonts w:eastAsia="Times New Roman"/>
              </w:rPr>
            </w:pPr>
            <w:r w:rsidRPr="00B83E1A">
              <w:rPr>
                <w:rFonts w:eastAsia="Times New Roman"/>
              </w:rPr>
              <w:t xml:space="preserve">7.  </w:t>
            </w:r>
            <w:r w:rsidRPr="00B83E1A">
              <w:rPr>
                <w:rFonts w:eastAsia="Times New Roman"/>
                <w:iCs/>
              </w:rPr>
              <w:t>La salud en la agenda de las Naciones Unidas para el desarrollo después de 2015,</w:t>
            </w:r>
            <w:r w:rsidR="00C57EFE" w:rsidRPr="00B83E1A">
              <w:rPr>
                <w:rFonts w:eastAsia="Times New Roman"/>
                <w:iCs/>
              </w:rPr>
              <w:t xml:space="preserve"> </w:t>
            </w:r>
            <w:hyperlink r:id="rId80" w:history="1">
              <w:r w:rsidRPr="00B83E1A">
                <w:rPr>
                  <w:rStyle w:val="Hyperlink"/>
                </w:rPr>
                <w:t>http://www.who.int/topics/millennium_development_goals/post2015/es/index.html</w:t>
              </w:r>
            </w:hyperlink>
          </w:p>
        </w:tc>
      </w:tr>
      <w:tr w:rsidR="006D1EBB" w:rsidRPr="00B83E1A" w14:paraId="6B2B621E" w14:textId="77777777" w:rsidTr="004E65E7">
        <w:trPr>
          <w:trHeight w:val="750"/>
        </w:trPr>
        <w:tc>
          <w:tcPr>
            <w:tcW w:w="2895" w:type="dxa"/>
            <w:shd w:val="clear" w:color="auto" w:fill="auto"/>
          </w:tcPr>
          <w:p w14:paraId="7B5E871F" w14:textId="77777777" w:rsidR="006D1EBB" w:rsidRPr="00B83E1A" w:rsidRDefault="006D1EBB" w:rsidP="004E65E7">
            <w:pPr>
              <w:spacing w:before="120" w:after="120"/>
              <w:rPr>
                <w:rFonts w:eastAsia="Times New Roman"/>
                <w:b/>
              </w:rPr>
            </w:pPr>
          </w:p>
        </w:tc>
        <w:tc>
          <w:tcPr>
            <w:tcW w:w="7185" w:type="dxa"/>
            <w:shd w:val="clear" w:color="auto" w:fill="auto"/>
          </w:tcPr>
          <w:p w14:paraId="74729783" w14:textId="77777777" w:rsidR="006D1EBB" w:rsidRPr="00B83E1A" w:rsidRDefault="006D1EBB" w:rsidP="004E65E7">
            <w:pPr>
              <w:spacing w:before="120" w:after="120"/>
              <w:rPr>
                <w:rFonts w:eastAsia="Times New Roman"/>
              </w:rPr>
            </w:pPr>
            <w:r w:rsidRPr="00B83E1A">
              <w:rPr>
                <w:rFonts w:eastAsia="Times New Roman"/>
              </w:rPr>
              <w:t xml:space="preserve">8.  Reforma de la OMS: programas y establecimiento de prioridades (20 de febrero de 2012), </w:t>
            </w:r>
            <w:hyperlink r:id="rId81" w:history="1">
              <w:r w:rsidRPr="00B83E1A">
                <w:rPr>
                  <w:rStyle w:val="Hyperlink"/>
                  <w:rFonts w:eastAsia="Times New Roman"/>
                </w:rPr>
                <w:t>http://www.who.int/dg/reform/consultation/priorit_setting_es.pdf</w:t>
              </w:r>
            </w:hyperlink>
          </w:p>
        </w:tc>
      </w:tr>
      <w:tr w:rsidR="006D1EBB" w:rsidRPr="00B83E1A" w14:paraId="1F000538" w14:textId="77777777" w:rsidTr="004E65E7">
        <w:trPr>
          <w:trHeight w:val="750"/>
        </w:trPr>
        <w:tc>
          <w:tcPr>
            <w:tcW w:w="2895" w:type="dxa"/>
            <w:shd w:val="clear" w:color="auto" w:fill="auto"/>
            <w:hideMark/>
          </w:tcPr>
          <w:p w14:paraId="7A5FF788" w14:textId="77777777" w:rsidR="006D1EBB" w:rsidRPr="00B83E1A" w:rsidRDefault="006D1EBB" w:rsidP="004E65E7">
            <w:pPr>
              <w:spacing w:before="120" w:after="120"/>
              <w:rPr>
                <w:rFonts w:eastAsia="Times New Roman"/>
                <w:b/>
              </w:rPr>
            </w:pPr>
          </w:p>
        </w:tc>
        <w:tc>
          <w:tcPr>
            <w:tcW w:w="7185" w:type="dxa"/>
            <w:shd w:val="clear" w:color="auto" w:fill="auto"/>
            <w:hideMark/>
          </w:tcPr>
          <w:p w14:paraId="4EA80621" w14:textId="77777777" w:rsidR="006D1EBB" w:rsidRPr="00B83E1A" w:rsidRDefault="006D1EBB" w:rsidP="004E65E7">
            <w:pPr>
              <w:spacing w:before="120" w:after="120"/>
              <w:rPr>
                <w:rFonts w:eastAsia="Times New Roman"/>
              </w:rPr>
            </w:pPr>
            <w:r w:rsidRPr="00B83E1A">
              <w:rPr>
                <w:rFonts w:eastAsia="Times New Roman"/>
              </w:rPr>
              <w:t xml:space="preserve">9.  Página web: </w:t>
            </w:r>
            <w:hyperlink r:id="rId82" w:history="1">
              <w:r w:rsidRPr="00B83E1A">
                <w:rPr>
                  <w:rStyle w:val="Hyperlink"/>
                  <w:rFonts w:eastAsia="Times New Roman"/>
                </w:rPr>
                <w:t>http://www.who.int/topics/millennium_development_goals/es/index.html</w:t>
              </w:r>
            </w:hyperlink>
            <w:r w:rsidRPr="00B83E1A">
              <w:rPr>
                <w:rFonts w:eastAsia="Times New Roman"/>
              </w:rPr>
              <w:t xml:space="preserve"> </w:t>
            </w:r>
          </w:p>
        </w:tc>
      </w:tr>
      <w:tr w:rsidR="006D1EBB" w:rsidRPr="00B83E1A" w14:paraId="60D370DD" w14:textId="77777777" w:rsidTr="004E65E7">
        <w:trPr>
          <w:trHeight w:val="1155"/>
        </w:trPr>
        <w:tc>
          <w:tcPr>
            <w:tcW w:w="2895" w:type="dxa"/>
            <w:shd w:val="clear" w:color="auto" w:fill="auto"/>
            <w:noWrap/>
            <w:hideMark/>
          </w:tcPr>
          <w:p w14:paraId="5ED4F807" w14:textId="77777777" w:rsidR="006D1EBB" w:rsidRPr="00B83E1A" w:rsidRDefault="006D1EBB" w:rsidP="004E65E7">
            <w:pPr>
              <w:spacing w:before="120" w:after="120"/>
              <w:rPr>
                <w:rFonts w:eastAsia="Times New Roman"/>
                <w:b/>
              </w:rPr>
            </w:pPr>
          </w:p>
        </w:tc>
        <w:tc>
          <w:tcPr>
            <w:tcW w:w="7185" w:type="dxa"/>
            <w:shd w:val="clear" w:color="auto" w:fill="auto"/>
            <w:hideMark/>
          </w:tcPr>
          <w:p w14:paraId="2B3C17B6" w14:textId="77777777" w:rsidR="006D1EBB" w:rsidRPr="00B83E1A" w:rsidRDefault="006D1EBB" w:rsidP="004E65E7">
            <w:pPr>
              <w:spacing w:before="120" w:after="120"/>
              <w:rPr>
                <w:rFonts w:eastAsia="Times New Roman"/>
              </w:rPr>
            </w:pPr>
            <w:r w:rsidRPr="00B83E1A">
              <w:rPr>
                <w:rFonts w:eastAsia="Times New Roman"/>
              </w:rPr>
              <w:t xml:space="preserve">10.  Página web: </w:t>
            </w:r>
            <w:hyperlink r:id="rId83" w:history="1">
              <w:r w:rsidRPr="00B83E1A">
                <w:rPr>
                  <w:rStyle w:val="Hyperlink"/>
                  <w:rFonts w:eastAsia="Times New Roman"/>
                </w:rPr>
                <w:t>http://www.who.int/topics/millennium_development_goals/post2015/es/index.html</w:t>
              </w:r>
            </w:hyperlink>
            <w:r w:rsidRPr="00B83E1A">
              <w:rPr>
                <w:rFonts w:eastAsia="Times New Roman"/>
              </w:rPr>
              <w:t xml:space="preserve"> </w:t>
            </w:r>
          </w:p>
          <w:p w14:paraId="3B665B90" w14:textId="77777777" w:rsidR="006D1EBB" w:rsidRPr="00B83E1A" w:rsidRDefault="006D1EBB" w:rsidP="004E65E7">
            <w:pPr>
              <w:spacing w:before="120" w:after="120"/>
              <w:rPr>
                <w:rFonts w:eastAsia="Times New Roman"/>
              </w:rPr>
            </w:pPr>
            <w:r w:rsidRPr="00B83E1A">
              <w:rPr>
                <w:rFonts w:eastAsia="Times New Roman"/>
              </w:rPr>
              <w:t xml:space="preserve">11.  Annual Report 2012 (Informe Anual 2012), </w:t>
            </w:r>
            <w:hyperlink r:id="rId84" w:history="1">
              <w:r w:rsidRPr="00B83E1A">
                <w:rPr>
                  <w:rStyle w:val="Hyperlink"/>
                  <w:rFonts w:eastAsia="Times New Roman"/>
                </w:rPr>
                <w:t>http://www.who.int/kobe_centre/publications/annual_report2012_en.pdf</w:t>
              </w:r>
            </w:hyperlink>
          </w:p>
        </w:tc>
      </w:tr>
      <w:tr w:rsidR="006D1EBB" w:rsidRPr="00B83E1A" w14:paraId="5256C41B" w14:textId="77777777" w:rsidTr="004E65E7">
        <w:trPr>
          <w:trHeight w:val="255"/>
        </w:trPr>
        <w:tc>
          <w:tcPr>
            <w:tcW w:w="2895" w:type="dxa"/>
            <w:shd w:val="clear" w:color="auto" w:fill="auto"/>
            <w:noWrap/>
            <w:hideMark/>
          </w:tcPr>
          <w:p w14:paraId="2A9DA80D" w14:textId="77777777" w:rsidR="006D1EBB" w:rsidRPr="00B83E1A" w:rsidRDefault="006D1EBB" w:rsidP="004E65E7">
            <w:pPr>
              <w:spacing w:before="120" w:after="120"/>
              <w:rPr>
                <w:rFonts w:eastAsia="Times New Roman"/>
                <w:b/>
              </w:rPr>
            </w:pPr>
            <w:r w:rsidRPr="00B83E1A">
              <w:rPr>
                <w:rFonts w:eastAsia="Times New Roman"/>
                <w:b/>
              </w:rPr>
              <w:t>Organización Meteorológica Mundial (OMM)</w:t>
            </w:r>
          </w:p>
        </w:tc>
        <w:tc>
          <w:tcPr>
            <w:tcW w:w="7185" w:type="dxa"/>
            <w:shd w:val="clear" w:color="auto" w:fill="auto"/>
            <w:hideMark/>
          </w:tcPr>
          <w:p w14:paraId="7D44C56C" w14:textId="77777777" w:rsidR="006D1EBB" w:rsidRPr="00B83E1A" w:rsidRDefault="006D1EBB" w:rsidP="004E65E7">
            <w:pPr>
              <w:spacing w:before="120" w:after="120"/>
              <w:rPr>
                <w:rFonts w:eastAsia="Times New Roman"/>
              </w:rPr>
            </w:pPr>
            <w:r w:rsidRPr="00B83E1A">
              <w:rPr>
                <w:rFonts w:eastAsia="Times New Roman"/>
              </w:rPr>
              <w:t xml:space="preserve">1.  Plan Estratégico de la OMM para 2012-2015, </w:t>
            </w:r>
            <w:hyperlink r:id="rId85" w:history="1">
              <w:r w:rsidRPr="00B83E1A">
                <w:rPr>
                  <w:rStyle w:val="Hyperlink"/>
                  <w:rFonts w:eastAsia="Times New Roman"/>
                </w:rPr>
                <w:t>http://www.wmo.int/pages/about/documents/WMO-1069_Strategic_Plan_ES_.pdf</w:t>
              </w:r>
            </w:hyperlink>
          </w:p>
        </w:tc>
      </w:tr>
      <w:tr w:rsidR="006D1EBB" w:rsidRPr="00B83E1A" w14:paraId="3621D7B9" w14:textId="77777777" w:rsidTr="004E65E7">
        <w:trPr>
          <w:trHeight w:val="255"/>
        </w:trPr>
        <w:tc>
          <w:tcPr>
            <w:tcW w:w="2895" w:type="dxa"/>
            <w:shd w:val="clear" w:color="auto" w:fill="auto"/>
            <w:noWrap/>
            <w:hideMark/>
          </w:tcPr>
          <w:p w14:paraId="65AE3405" w14:textId="77777777" w:rsidR="006D1EBB" w:rsidRPr="00B83E1A" w:rsidRDefault="006D1EBB" w:rsidP="004E65E7">
            <w:pPr>
              <w:spacing w:before="120" w:after="120"/>
              <w:rPr>
                <w:rFonts w:eastAsia="Times New Roman"/>
                <w:b/>
              </w:rPr>
            </w:pPr>
          </w:p>
        </w:tc>
        <w:tc>
          <w:tcPr>
            <w:tcW w:w="7185" w:type="dxa"/>
            <w:shd w:val="clear" w:color="auto" w:fill="auto"/>
            <w:hideMark/>
          </w:tcPr>
          <w:p w14:paraId="670E9974" w14:textId="77777777" w:rsidR="006D1EBB" w:rsidRPr="00B83E1A" w:rsidRDefault="006D1EBB" w:rsidP="004E65E7">
            <w:pPr>
              <w:spacing w:before="120" w:after="120"/>
              <w:rPr>
                <w:rFonts w:eastAsia="Times New Roman"/>
              </w:rPr>
            </w:pPr>
            <w:r w:rsidRPr="00B83E1A">
              <w:rPr>
                <w:rFonts w:eastAsia="Times New Roman"/>
              </w:rPr>
              <w:t xml:space="preserve">2.  Plan de funcionamiento de la OMM para 2012-2015, </w:t>
            </w:r>
            <w:hyperlink r:id="rId86" w:history="1">
              <w:r w:rsidRPr="00B83E1A">
                <w:rPr>
                  <w:rStyle w:val="Hyperlink"/>
                  <w:rFonts w:eastAsia="Times New Roman"/>
                </w:rPr>
                <w:t>http://www.wmo.int/pages/about/documents/WMO_OP_2011_es.pdf</w:t>
              </w:r>
            </w:hyperlink>
          </w:p>
        </w:tc>
      </w:tr>
      <w:tr w:rsidR="006D1EBB" w:rsidRPr="00B83E1A" w14:paraId="7BCF9AC0" w14:textId="77777777" w:rsidTr="004E65E7">
        <w:trPr>
          <w:trHeight w:val="255"/>
        </w:trPr>
        <w:tc>
          <w:tcPr>
            <w:tcW w:w="2895" w:type="dxa"/>
            <w:shd w:val="clear" w:color="auto" w:fill="auto"/>
            <w:noWrap/>
            <w:hideMark/>
          </w:tcPr>
          <w:p w14:paraId="4B5DB337" w14:textId="77777777" w:rsidR="006D1EBB" w:rsidRPr="00B83E1A" w:rsidRDefault="006D1EBB" w:rsidP="004E65E7">
            <w:pPr>
              <w:spacing w:before="120" w:after="120"/>
              <w:rPr>
                <w:rFonts w:eastAsia="Times New Roman"/>
                <w:b/>
              </w:rPr>
            </w:pPr>
          </w:p>
        </w:tc>
        <w:tc>
          <w:tcPr>
            <w:tcW w:w="7185" w:type="dxa"/>
            <w:shd w:val="clear" w:color="auto" w:fill="auto"/>
            <w:hideMark/>
          </w:tcPr>
          <w:p w14:paraId="64B12B1B" w14:textId="77777777" w:rsidR="006D1EBB" w:rsidRPr="00B83E1A" w:rsidRDefault="006D1EBB" w:rsidP="004E65E7">
            <w:pPr>
              <w:spacing w:before="120" w:after="120"/>
              <w:rPr>
                <w:rFonts w:eastAsia="Times New Roman"/>
              </w:rPr>
            </w:pPr>
            <w:r w:rsidRPr="00B83E1A">
              <w:rPr>
                <w:rFonts w:eastAsia="Times New Roman"/>
              </w:rPr>
              <w:t xml:space="preserve">3.  Seguimiento y evaluación, </w:t>
            </w:r>
            <w:hyperlink r:id="rId87" w:history="1">
              <w:r w:rsidRPr="00B83E1A">
                <w:rPr>
                  <w:rStyle w:val="Hyperlink"/>
                  <w:rFonts w:eastAsia="Times New Roman"/>
                </w:rPr>
                <w:t>http://www.wmo.int/pages/about/monitoring_evaluation_es.html</w:t>
              </w:r>
            </w:hyperlink>
            <w:r w:rsidRPr="00B83E1A">
              <w:rPr>
                <w:rStyle w:val="Hyperlink"/>
                <w:rFonts w:eastAsia="Times New Roman"/>
              </w:rPr>
              <w:t xml:space="preserve"> </w:t>
            </w:r>
          </w:p>
        </w:tc>
      </w:tr>
      <w:tr w:rsidR="006D1EBB" w:rsidRPr="00B83E1A" w14:paraId="4AA1CE87" w14:textId="77777777" w:rsidTr="004E65E7">
        <w:trPr>
          <w:trHeight w:val="765"/>
        </w:trPr>
        <w:tc>
          <w:tcPr>
            <w:tcW w:w="2895" w:type="dxa"/>
            <w:shd w:val="clear" w:color="auto" w:fill="auto"/>
            <w:noWrap/>
            <w:hideMark/>
          </w:tcPr>
          <w:p w14:paraId="66709FD3" w14:textId="77777777" w:rsidR="006D1EBB" w:rsidRPr="00B83E1A" w:rsidRDefault="006D1EBB" w:rsidP="004E65E7">
            <w:pPr>
              <w:spacing w:before="120" w:after="120"/>
              <w:rPr>
                <w:rFonts w:eastAsia="Times New Roman"/>
                <w:b/>
              </w:rPr>
            </w:pPr>
          </w:p>
        </w:tc>
        <w:tc>
          <w:tcPr>
            <w:tcW w:w="7185" w:type="dxa"/>
            <w:shd w:val="clear" w:color="auto" w:fill="auto"/>
            <w:hideMark/>
          </w:tcPr>
          <w:p w14:paraId="09B04709" w14:textId="77777777" w:rsidR="006D1EBB" w:rsidRPr="00B83E1A" w:rsidRDefault="006D1EBB" w:rsidP="004E65E7">
            <w:pPr>
              <w:spacing w:before="120" w:after="120"/>
              <w:rPr>
                <w:rFonts w:eastAsia="Times New Roman"/>
              </w:rPr>
            </w:pPr>
            <w:r w:rsidRPr="00B83E1A">
              <w:rPr>
                <w:rFonts w:eastAsia="Times New Roman"/>
              </w:rPr>
              <w:t xml:space="preserve">4.  Página web: </w:t>
            </w:r>
            <w:hyperlink r:id="rId88" w:history="1">
              <w:r w:rsidRPr="00B83E1A">
                <w:rPr>
                  <w:rStyle w:val="Hyperlink"/>
                  <w:rFonts w:eastAsia="Times New Roman"/>
                </w:rPr>
                <w:t>http://www.wmo.int/pages/themes/weather/developmentgoals_es.html</w:t>
              </w:r>
            </w:hyperlink>
            <w:r w:rsidRPr="00B83E1A">
              <w:rPr>
                <w:rFonts w:eastAsia="Times New Roman"/>
              </w:rPr>
              <w:t xml:space="preserve"> </w:t>
            </w:r>
          </w:p>
        </w:tc>
      </w:tr>
      <w:tr w:rsidR="006D1EBB" w:rsidRPr="00B83E1A" w14:paraId="6CA62163" w14:textId="77777777" w:rsidTr="004E65E7">
        <w:trPr>
          <w:trHeight w:val="255"/>
        </w:trPr>
        <w:tc>
          <w:tcPr>
            <w:tcW w:w="2895" w:type="dxa"/>
            <w:shd w:val="clear" w:color="auto" w:fill="auto"/>
            <w:noWrap/>
            <w:hideMark/>
          </w:tcPr>
          <w:p w14:paraId="3C7CFBF7" w14:textId="77777777" w:rsidR="006D1EBB" w:rsidRPr="00B83E1A" w:rsidRDefault="006D1EBB" w:rsidP="004E65E7">
            <w:pPr>
              <w:spacing w:before="120" w:after="120"/>
              <w:rPr>
                <w:rFonts w:eastAsia="Times New Roman"/>
                <w:b/>
              </w:rPr>
            </w:pPr>
            <w:r w:rsidRPr="00B83E1A">
              <w:rPr>
                <w:rFonts w:eastAsia="Times New Roman"/>
                <w:b/>
              </w:rPr>
              <w:t>Organización Mundial del Turismo(OMT)</w:t>
            </w:r>
          </w:p>
        </w:tc>
        <w:tc>
          <w:tcPr>
            <w:tcW w:w="7185" w:type="dxa"/>
            <w:shd w:val="clear" w:color="auto" w:fill="auto"/>
            <w:hideMark/>
          </w:tcPr>
          <w:p w14:paraId="21DB144A" w14:textId="77777777" w:rsidR="006D1EBB" w:rsidRPr="00B83E1A" w:rsidRDefault="006D1EBB" w:rsidP="004E65E7">
            <w:pPr>
              <w:spacing w:before="120" w:after="120"/>
              <w:rPr>
                <w:rFonts w:eastAsia="Times New Roman"/>
              </w:rPr>
            </w:pPr>
            <w:r w:rsidRPr="00B83E1A">
              <w:rPr>
                <w:rFonts w:eastAsia="Times New Roman"/>
              </w:rPr>
              <w:t xml:space="preserve">1.  </w:t>
            </w:r>
            <w:r w:rsidRPr="00B83E1A">
              <w:rPr>
                <w:rFonts w:eastAsia="Times New Roman"/>
                <w:i/>
              </w:rPr>
              <w:t>Annual Report 2012</w:t>
            </w:r>
            <w:r w:rsidRPr="00B83E1A">
              <w:rPr>
                <w:rFonts w:eastAsia="Times New Roman"/>
              </w:rPr>
              <w:t xml:space="preserve"> (Informe Anual 2012), </w:t>
            </w:r>
            <w:hyperlink r:id="rId89" w:history="1">
              <w:r w:rsidRPr="00B83E1A">
                <w:rPr>
                  <w:rStyle w:val="Hyperlink"/>
                  <w:rFonts w:eastAsia="Times New Roman"/>
                </w:rPr>
                <w:t>http://dtxtq4w60xqpw.cloudfront.net/sites/all/files/pdf/annual_report_2012.pdf</w:t>
              </w:r>
            </w:hyperlink>
            <w:r w:rsidRPr="00B83E1A">
              <w:rPr>
                <w:rStyle w:val="Hyperlink"/>
                <w:rFonts w:eastAsia="Times New Roman"/>
              </w:rPr>
              <w:t xml:space="preserve"> </w:t>
            </w:r>
            <w:r w:rsidRPr="00B83E1A">
              <w:rPr>
                <w:rFonts w:eastAsia="Times New Roman"/>
              </w:rPr>
              <w:t>(sólo en inglés)</w:t>
            </w:r>
          </w:p>
        </w:tc>
      </w:tr>
      <w:tr w:rsidR="006D1EBB" w:rsidRPr="00B83E1A" w14:paraId="1C2EF6E7" w14:textId="77777777" w:rsidTr="004E65E7">
        <w:trPr>
          <w:trHeight w:val="255"/>
        </w:trPr>
        <w:tc>
          <w:tcPr>
            <w:tcW w:w="2895" w:type="dxa"/>
            <w:shd w:val="clear" w:color="auto" w:fill="auto"/>
            <w:noWrap/>
          </w:tcPr>
          <w:p w14:paraId="3C5BD03F" w14:textId="77777777" w:rsidR="006D1EBB" w:rsidRPr="00B83E1A" w:rsidRDefault="006D1EBB" w:rsidP="004E65E7">
            <w:pPr>
              <w:spacing w:before="120" w:after="120"/>
              <w:rPr>
                <w:rFonts w:eastAsia="Times New Roman"/>
                <w:b/>
              </w:rPr>
            </w:pPr>
          </w:p>
        </w:tc>
        <w:tc>
          <w:tcPr>
            <w:tcW w:w="7185" w:type="dxa"/>
            <w:shd w:val="clear" w:color="auto" w:fill="auto"/>
          </w:tcPr>
          <w:p w14:paraId="2950CF57" w14:textId="77777777" w:rsidR="006D1EBB" w:rsidRPr="00B83E1A" w:rsidRDefault="006D1EBB" w:rsidP="004E65E7">
            <w:pPr>
              <w:spacing w:before="120" w:after="120"/>
              <w:rPr>
                <w:rFonts w:eastAsia="Times New Roman"/>
              </w:rPr>
            </w:pPr>
            <w:r w:rsidRPr="00B83E1A">
              <w:rPr>
                <w:rFonts w:eastAsia="Times New Roman"/>
              </w:rPr>
              <w:t xml:space="preserve">2.  Página web: </w:t>
            </w:r>
            <w:hyperlink r:id="rId90" w:history="1">
              <w:r w:rsidRPr="00B83E1A">
                <w:rPr>
                  <w:rStyle w:val="Hyperlink"/>
                  <w:rFonts w:eastAsia="Times New Roman"/>
                </w:rPr>
                <w:t>http://icr.unwto.org/en/content/tourism-millennium-development-goals-mdgs</w:t>
              </w:r>
            </w:hyperlink>
            <w:r w:rsidRPr="00B83E1A">
              <w:rPr>
                <w:rFonts w:eastAsia="Times New Roman"/>
              </w:rPr>
              <w:t xml:space="preserve">  (sólo en inglés)</w:t>
            </w:r>
          </w:p>
        </w:tc>
      </w:tr>
      <w:tr w:rsidR="006D1EBB" w:rsidRPr="00B83E1A" w14:paraId="46C2D85A" w14:textId="77777777" w:rsidTr="004E65E7">
        <w:trPr>
          <w:trHeight w:val="510"/>
        </w:trPr>
        <w:tc>
          <w:tcPr>
            <w:tcW w:w="2895" w:type="dxa"/>
            <w:shd w:val="clear" w:color="auto" w:fill="auto"/>
            <w:noWrap/>
            <w:hideMark/>
          </w:tcPr>
          <w:p w14:paraId="50C2BB88" w14:textId="77777777" w:rsidR="006D1EBB" w:rsidRPr="00B83E1A" w:rsidRDefault="006D1EBB" w:rsidP="004E65E7">
            <w:pPr>
              <w:spacing w:before="120" w:after="120"/>
              <w:rPr>
                <w:rFonts w:eastAsia="Times New Roman"/>
                <w:b/>
              </w:rPr>
            </w:pPr>
            <w:r w:rsidRPr="00B83E1A">
              <w:rPr>
                <w:rFonts w:eastAsia="Times New Roman"/>
                <w:b/>
              </w:rPr>
              <w:t>Organización Mundial del Comercio (OMC)</w:t>
            </w:r>
          </w:p>
        </w:tc>
        <w:tc>
          <w:tcPr>
            <w:tcW w:w="7185" w:type="dxa"/>
            <w:shd w:val="clear" w:color="auto" w:fill="auto"/>
            <w:hideMark/>
          </w:tcPr>
          <w:p w14:paraId="59A13269" w14:textId="77777777" w:rsidR="006D1EBB" w:rsidRPr="00B83E1A" w:rsidRDefault="006D1EBB" w:rsidP="004E65E7">
            <w:pPr>
              <w:spacing w:before="120" w:after="120"/>
              <w:rPr>
                <w:rStyle w:val="Hyperlink"/>
              </w:rPr>
            </w:pPr>
            <w:r w:rsidRPr="00B83E1A">
              <w:rPr>
                <w:rFonts w:eastAsia="Times New Roman"/>
                <w:iCs/>
              </w:rPr>
              <w:t>1.  La OMC y los Objetivos de Desarrollo del Milenio,</w:t>
            </w:r>
            <w:r w:rsidRPr="00B83E1A">
              <w:rPr>
                <w:rFonts w:eastAsia="Times New Roman"/>
                <w:i/>
                <w:iCs/>
              </w:rPr>
              <w:t xml:space="preserve"> </w:t>
            </w:r>
            <w:hyperlink r:id="rId91" w:history="1">
              <w:r w:rsidRPr="00B83E1A">
                <w:rPr>
                  <w:rStyle w:val="Hyperlink"/>
                </w:rPr>
                <w:t>http://www.wto.org/spanish/thewto_s/coher_s/mdg_s/mdg_s.pdf</w:t>
              </w:r>
            </w:hyperlink>
            <w:r w:rsidRPr="00B83E1A">
              <w:rPr>
                <w:rStyle w:val="Hyperlink"/>
              </w:rPr>
              <w:t xml:space="preserve"> </w:t>
            </w:r>
          </w:p>
          <w:p w14:paraId="1817D677" w14:textId="77777777" w:rsidR="006D1EBB" w:rsidRPr="00B83E1A" w:rsidRDefault="006D1EBB" w:rsidP="004E65E7">
            <w:pPr>
              <w:spacing w:before="120" w:after="120"/>
              <w:rPr>
                <w:rFonts w:eastAsia="Times New Roman"/>
                <w:iCs/>
              </w:rPr>
            </w:pPr>
            <w:r w:rsidRPr="00B83E1A">
              <w:rPr>
                <w:rFonts w:eastAsia="Times New Roman"/>
                <w:iCs/>
              </w:rPr>
              <w:t xml:space="preserve">2.  Informe </w:t>
            </w:r>
            <w:proofErr w:type="spellStart"/>
            <w:r w:rsidRPr="00B83E1A">
              <w:rPr>
                <w:rFonts w:eastAsia="Times New Roman"/>
                <w:iCs/>
              </w:rPr>
              <w:t>Annual</w:t>
            </w:r>
            <w:proofErr w:type="spellEnd"/>
            <w:r w:rsidRPr="00B83E1A">
              <w:rPr>
                <w:rFonts w:eastAsia="Times New Roman"/>
                <w:iCs/>
              </w:rPr>
              <w:t xml:space="preserve"> 2012, </w:t>
            </w:r>
            <w:hyperlink r:id="rId92" w:history="1">
              <w:r w:rsidRPr="00B83E1A">
                <w:rPr>
                  <w:rStyle w:val="Hyperlink"/>
                  <w:rFonts w:eastAsia="Times New Roman"/>
                  <w:iCs/>
                </w:rPr>
                <w:t>http://www.wto.org/spanish/res_s/booksp_s/anrep_s/anrep12_s.pdf</w:t>
              </w:r>
            </w:hyperlink>
          </w:p>
          <w:p w14:paraId="658B516B" w14:textId="77777777" w:rsidR="006D1EBB" w:rsidRPr="00B83E1A" w:rsidRDefault="006D1EBB" w:rsidP="004E65E7">
            <w:pPr>
              <w:spacing w:before="120" w:after="120"/>
              <w:rPr>
                <w:rFonts w:eastAsia="Times New Roman"/>
                <w:iCs/>
              </w:rPr>
            </w:pPr>
            <w:r w:rsidRPr="00B83E1A">
              <w:rPr>
                <w:rFonts w:eastAsia="Times New Roman"/>
                <w:iCs/>
              </w:rPr>
              <w:t xml:space="preserve">3.  Informe Anual 2013, </w:t>
            </w:r>
            <w:hyperlink r:id="rId93" w:history="1">
              <w:r w:rsidRPr="00B83E1A">
                <w:rPr>
                  <w:rStyle w:val="Hyperlink"/>
                  <w:rFonts w:eastAsia="Times New Roman"/>
                  <w:iCs/>
                </w:rPr>
                <w:t>http://www.wto.org/spanish/res_s/booksp_s/anrep_s/anrep13_s.pdf</w:t>
              </w:r>
            </w:hyperlink>
          </w:p>
          <w:p w14:paraId="2CBF6CEF" w14:textId="77777777" w:rsidR="006D1EBB" w:rsidRPr="00B83E1A" w:rsidRDefault="006D1EBB" w:rsidP="004E65E7">
            <w:pPr>
              <w:rPr>
                <w:rFonts w:eastAsia="Times New Roman"/>
                <w:i/>
                <w:iCs/>
              </w:rPr>
            </w:pPr>
          </w:p>
        </w:tc>
      </w:tr>
    </w:tbl>
    <w:p w14:paraId="3BF2D222" w14:textId="77777777" w:rsidR="006D1EBB" w:rsidRPr="00B83E1A" w:rsidRDefault="006D1EBB" w:rsidP="006D1EBB"/>
    <w:p w14:paraId="6D74293B" w14:textId="77777777" w:rsidR="006D1EBB" w:rsidRPr="00B83E1A" w:rsidRDefault="006D1EBB" w:rsidP="006D1EBB"/>
    <w:p w14:paraId="1C5EB632" w14:textId="1D88ECC1" w:rsidR="006D1EBB" w:rsidRPr="00B83E1A" w:rsidRDefault="006D1EBB" w:rsidP="006D1EBB">
      <w:pPr>
        <w:pStyle w:val="Endofdocument-Annex"/>
        <w:rPr>
          <w:lang w:val="es-ES"/>
        </w:rPr>
      </w:pPr>
      <w:r w:rsidRPr="00B83E1A">
        <w:rPr>
          <w:lang w:val="es-ES"/>
        </w:rPr>
        <w:t>[Sigue el Anexo II]</w:t>
      </w:r>
    </w:p>
    <w:p w14:paraId="78805615" w14:textId="77777777" w:rsidR="006D1EBB" w:rsidRPr="00B83E1A" w:rsidRDefault="006D1EBB" w:rsidP="006D1EBB"/>
    <w:p w14:paraId="266605E8" w14:textId="77777777" w:rsidR="00760510" w:rsidRPr="00B83E1A" w:rsidRDefault="00760510" w:rsidP="000275B2">
      <w:pPr>
        <w:sectPr w:rsidR="00760510" w:rsidRPr="00B83E1A" w:rsidSect="004F460B">
          <w:headerReference w:type="default" r:id="rId94"/>
          <w:headerReference w:type="first" r:id="rId95"/>
          <w:pgSz w:w="11906" w:h="16838" w:code="9"/>
          <w:pgMar w:top="567" w:right="1418" w:bottom="1418" w:left="1418" w:header="709" w:footer="709" w:gutter="0"/>
          <w:pgNumType w:start="1"/>
          <w:cols w:space="708"/>
          <w:titlePg/>
          <w:docGrid w:linePitch="360"/>
        </w:sectPr>
      </w:pPr>
    </w:p>
    <w:p w14:paraId="2C049E9C" w14:textId="51696343" w:rsidR="00CD299F" w:rsidRPr="00B83E1A" w:rsidRDefault="00CD299F" w:rsidP="00CD299F">
      <w:pPr>
        <w:jc w:val="center"/>
        <w:rPr>
          <w:b/>
        </w:rPr>
      </w:pPr>
      <w:r w:rsidRPr="00B83E1A">
        <w:rPr>
          <w:b/>
        </w:rPr>
        <w:lastRenderedPageBreak/>
        <w:t>ANEX</w:t>
      </w:r>
      <w:r w:rsidR="002B7AAD" w:rsidRPr="00B83E1A">
        <w:rPr>
          <w:b/>
        </w:rPr>
        <w:t>O</w:t>
      </w:r>
      <w:r w:rsidRPr="00B83E1A">
        <w:rPr>
          <w:b/>
        </w:rPr>
        <w:t xml:space="preserve"> II</w:t>
      </w:r>
    </w:p>
    <w:p w14:paraId="1A17A862" w14:textId="77777777" w:rsidR="002B7AAD" w:rsidRPr="00B83E1A" w:rsidRDefault="002B7AAD" w:rsidP="00CD299F">
      <w:pPr>
        <w:jc w:val="center"/>
        <w:rPr>
          <w:b/>
        </w:rPr>
      </w:pPr>
    </w:p>
    <w:p w14:paraId="7FBB0C80" w14:textId="77777777" w:rsidR="00040FB3" w:rsidRPr="00B83E1A" w:rsidRDefault="00040FB3" w:rsidP="00040FB3">
      <w:pPr>
        <w:rPr>
          <w:rFonts w:eastAsia="Calibri"/>
          <w:b/>
        </w:rPr>
      </w:pPr>
      <w:r w:rsidRPr="00B83E1A">
        <w:rPr>
          <w:rFonts w:eastAsia="Calibri"/>
          <w:b/>
        </w:rPr>
        <w:t>INTRODUCCIÓN</w:t>
      </w:r>
    </w:p>
    <w:p w14:paraId="45DB93EB" w14:textId="77777777" w:rsidR="00040FB3" w:rsidRPr="00B83E1A" w:rsidRDefault="00040FB3" w:rsidP="00040FB3">
      <w:pPr>
        <w:rPr>
          <w:rFonts w:eastAsia="Calibri"/>
          <w:b/>
        </w:rPr>
      </w:pPr>
    </w:p>
    <w:p w14:paraId="339859BE" w14:textId="332A35B9" w:rsidR="00395053" w:rsidRPr="00B83E1A" w:rsidRDefault="00040FB3" w:rsidP="00040FB3">
      <w:pPr>
        <w:rPr>
          <w:rFonts w:eastAsia="Calibri"/>
        </w:rPr>
      </w:pPr>
      <w:r w:rsidRPr="00B83E1A">
        <w:rPr>
          <w:rFonts w:eastAsia="Calibri"/>
        </w:rPr>
        <w:t xml:space="preserve">En su undécima sesión, en el marco de los debates sobre la contribución de la Organización Mundial de la Propiedad Intelectual (OMPI) a la consecución de los Objetivos de Desarrollo del Milenio (ODM), el Comité de Desarrollo y Propiedad Intelectual (CDIP) pidió a la Secretaría que, en la próxima sesión del Comité, presente un breve informe sobre la forma en que la OMPI ha contribuido hasta el momento a los ODM, informe que se basaría en los estudios existentes encargados sobre el tema, y ello incluye, sin limitarse a él, </w:t>
      </w:r>
      <w:r w:rsidRPr="00B83E1A">
        <w:rPr>
          <w:color w:val="000000"/>
        </w:rPr>
        <w:t>el documento CDIP/11/3, y comprendería información sobre la contribución de la OMPI a las seis metas previstas en el marco de los OD</w:t>
      </w:r>
      <w:r w:rsidR="00575D31" w:rsidRPr="00B83E1A">
        <w:rPr>
          <w:color w:val="000000"/>
        </w:rPr>
        <w:t>M 1</w:t>
      </w:r>
      <w:r w:rsidRPr="00B83E1A">
        <w:rPr>
          <w:color w:val="000000"/>
        </w:rPr>
        <w:t xml:space="preserve">, 6 </w:t>
      </w:r>
      <w:r w:rsidR="00575D31" w:rsidRPr="00B83E1A">
        <w:rPr>
          <w:color w:val="000000"/>
        </w:rPr>
        <w:t>y 8</w:t>
      </w:r>
      <w:r w:rsidRPr="00B83E1A">
        <w:rPr>
          <w:color w:val="000000"/>
        </w:rPr>
        <w:t>, utilizando la metodología expuesta en el documento CDIP/11/3, así como una evaluación, en forma descriptiva, acerca de la forma en que la OMPI contribuye a los otros cinco ODM</w:t>
      </w:r>
      <w:r w:rsidR="00395053" w:rsidRPr="00B83E1A">
        <w:rPr>
          <w:rFonts w:eastAsia="Calibri"/>
        </w:rPr>
        <w:t>.</w:t>
      </w:r>
    </w:p>
    <w:p w14:paraId="40C1F87F" w14:textId="739EF134" w:rsidR="00040FB3" w:rsidRPr="00B83E1A" w:rsidRDefault="00040FB3" w:rsidP="00040FB3">
      <w:pPr>
        <w:rPr>
          <w:rFonts w:eastAsia="Calibri"/>
        </w:rPr>
      </w:pPr>
    </w:p>
    <w:p w14:paraId="6C66EDD6" w14:textId="77777777" w:rsidR="00040FB3" w:rsidRPr="00B83E1A" w:rsidRDefault="00040FB3" w:rsidP="00040FB3">
      <w:pPr>
        <w:rPr>
          <w:rFonts w:eastAsia="Calibri"/>
          <w:b/>
        </w:rPr>
      </w:pPr>
      <w:r w:rsidRPr="00B83E1A">
        <w:rPr>
          <w:rFonts w:eastAsia="Calibri"/>
          <w:b/>
        </w:rPr>
        <w:t>METODOLOGÍA</w:t>
      </w:r>
    </w:p>
    <w:p w14:paraId="43BF1271" w14:textId="77777777" w:rsidR="00040FB3" w:rsidRPr="00B83E1A" w:rsidRDefault="00040FB3" w:rsidP="00040FB3">
      <w:pPr>
        <w:rPr>
          <w:rFonts w:eastAsia="Calibri"/>
          <w:b/>
        </w:rPr>
      </w:pPr>
    </w:p>
    <w:p w14:paraId="143361E1" w14:textId="77777777" w:rsidR="00040FB3" w:rsidRPr="00B83E1A" w:rsidRDefault="00040FB3" w:rsidP="00040FB3">
      <w:r w:rsidRPr="00B83E1A">
        <w:t>Para la preparación del Anexo II se consultó la metodología que figura en el documento CDIP/11/3 (</w:t>
      </w:r>
      <w:hyperlink r:id="rId96" w:history="1">
        <w:r w:rsidRPr="00B83E1A">
          <w:rPr>
            <w:rStyle w:val="Hyperlink"/>
          </w:rPr>
          <w:t>http://www.wipo.int/edocs/mdocs/mdocs/es/cdip_11/cdip_11_3.pdf</w:t>
        </w:r>
      </w:hyperlink>
      <w:r w:rsidRPr="00B83E1A">
        <w:t>), del que se tomó nota en la undécima sesión y que sirvió de base para la elaboración de los dos cuadros presentados en la Sección I del Anexo II.</w:t>
      </w:r>
    </w:p>
    <w:p w14:paraId="123EACA3" w14:textId="77777777" w:rsidR="00040FB3" w:rsidRPr="00B83E1A" w:rsidRDefault="00040FB3" w:rsidP="00040FB3"/>
    <w:p w14:paraId="0971B007" w14:textId="6F44B4AF" w:rsidR="00040FB3" w:rsidRPr="00B83E1A" w:rsidRDefault="00040FB3" w:rsidP="00040FB3">
      <w:r w:rsidRPr="00B83E1A">
        <w:t>Se consultaron además otros estudios existentes, en particular los documentos CDIP/10/9 (</w:t>
      </w:r>
      <w:hyperlink r:id="rId97" w:history="1">
        <w:r w:rsidRPr="00B83E1A">
          <w:rPr>
            <w:rStyle w:val="Hyperlink"/>
          </w:rPr>
          <w:t>http://www.wipo.int/edocs/mdocs/mdocs/es/cdip_10/cdip_10_9.pdf</w:t>
        </w:r>
      </w:hyperlink>
      <w:r w:rsidR="00395053" w:rsidRPr="00B83E1A">
        <w:t>)</w:t>
      </w:r>
      <w:r w:rsidRPr="00B83E1A">
        <w:t xml:space="preserve"> y CDIP/5/3 (</w:t>
      </w:r>
      <w:hyperlink r:id="rId98" w:history="1">
        <w:r w:rsidRPr="00B83E1A">
          <w:rPr>
            <w:rStyle w:val="Hyperlink"/>
          </w:rPr>
          <w:t>http://www.wipo.int/edocs/mdocs/mdocs/es/cdip_5/cdip_5_3.pdf</w:t>
        </w:r>
      </w:hyperlink>
      <w:r w:rsidR="00395053" w:rsidRPr="00B83E1A">
        <w:t>)</w:t>
      </w:r>
      <w:r w:rsidRPr="00B83E1A">
        <w:t>.  Dichos documentos proporcionan un modelo con la descripción de los programas y actividades pertinentes de la OMPI y los vincula con los ODM correspondientes.  Este modelo sirvió de base para la preparación de la Sección II del Anexo II.</w:t>
      </w:r>
    </w:p>
    <w:p w14:paraId="5CBE5713" w14:textId="77777777" w:rsidR="00CD299F" w:rsidRPr="00B83E1A" w:rsidRDefault="00CD299F" w:rsidP="00CD299F"/>
    <w:p w14:paraId="0D1F59D9" w14:textId="77777777" w:rsidR="00CD299F" w:rsidRPr="00B83E1A" w:rsidRDefault="00CD299F" w:rsidP="00CD299F">
      <w:pPr>
        <w:rPr>
          <w:rFonts w:eastAsia="Calibri"/>
        </w:rPr>
      </w:pPr>
    </w:p>
    <w:p w14:paraId="04939395" w14:textId="0C9B6760" w:rsidR="00CD299F" w:rsidRPr="00B83E1A" w:rsidRDefault="00040FB3" w:rsidP="00CD299F">
      <w:pPr>
        <w:rPr>
          <w:rFonts w:eastAsia="Calibri"/>
          <w:b/>
        </w:rPr>
      </w:pPr>
      <w:r w:rsidRPr="00B83E1A">
        <w:rPr>
          <w:rFonts w:eastAsia="Calibri"/>
          <w:b/>
        </w:rPr>
        <w:t>SECCIÓ</w:t>
      </w:r>
      <w:r w:rsidR="00CD299F" w:rsidRPr="00B83E1A">
        <w:rPr>
          <w:rFonts w:eastAsia="Calibri"/>
          <w:b/>
        </w:rPr>
        <w:t>N I</w:t>
      </w:r>
    </w:p>
    <w:p w14:paraId="06C67EDA" w14:textId="77777777" w:rsidR="00CD299F" w:rsidRPr="00B83E1A" w:rsidRDefault="00CD299F" w:rsidP="00CD299F">
      <w:pPr>
        <w:rPr>
          <w:rFonts w:eastAsia="Calibri"/>
          <w:b/>
        </w:rPr>
      </w:pPr>
    </w:p>
    <w:p w14:paraId="2C9172F4" w14:textId="3B4EB157" w:rsidR="00CD299F" w:rsidRPr="00B83E1A" w:rsidRDefault="00CD299F" w:rsidP="00CD299F">
      <w:pPr>
        <w:ind w:left="1440" w:hanging="1440"/>
        <w:rPr>
          <w:rFonts w:eastAsia="Calibri"/>
          <w:b/>
        </w:rPr>
      </w:pPr>
      <w:r w:rsidRPr="00B83E1A">
        <w:rPr>
          <w:rFonts w:eastAsia="Calibri"/>
          <w:b/>
        </w:rPr>
        <w:t>Cuadr</w:t>
      </w:r>
      <w:r w:rsidR="00575D31" w:rsidRPr="00B83E1A">
        <w:rPr>
          <w:rFonts w:eastAsia="Calibri"/>
          <w:b/>
        </w:rPr>
        <w:t>o 1</w:t>
      </w:r>
      <w:r w:rsidRPr="00B83E1A">
        <w:rPr>
          <w:rFonts w:eastAsia="Calibri"/>
          <w:b/>
        </w:rPr>
        <w:t>:</w:t>
      </w:r>
      <w:r w:rsidRPr="00B83E1A">
        <w:rPr>
          <w:rFonts w:eastAsia="Calibri"/>
          <w:b/>
        </w:rPr>
        <w:tab/>
        <w:t>CORRESPONDENCIA ENTRE LOS OD</w:t>
      </w:r>
      <w:r w:rsidR="00575D31" w:rsidRPr="00B83E1A">
        <w:rPr>
          <w:rFonts w:eastAsia="Calibri"/>
          <w:b/>
        </w:rPr>
        <w:t>M 1</w:t>
      </w:r>
      <w:r w:rsidRPr="00B83E1A">
        <w:rPr>
          <w:rFonts w:eastAsia="Calibri"/>
          <w:b/>
        </w:rPr>
        <w:t xml:space="preserve">, 6 </w:t>
      </w:r>
      <w:r w:rsidR="00575D31" w:rsidRPr="00B83E1A">
        <w:rPr>
          <w:rFonts w:eastAsia="Calibri"/>
          <w:b/>
        </w:rPr>
        <w:t>Y 8</w:t>
      </w:r>
      <w:r w:rsidRPr="00B83E1A">
        <w:rPr>
          <w:rFonts w:eastAsia="Calibri"/>
          <w:b/>
        </w:rPr>
        <w:t xml:space="preserve"> Y SUS RESPECTIVAS METAS, Y EL MARCO DE RESULTADOS DE LA OMPI PAR</w:t>
      </w:r>
      <w:r w:rsidR="00575D31" w:rsidRPr="00B83E1A">
        <w:rPr>
          <w:rFonts w:eastAsia="Calibri"/>
          <w:b/>
        </w:rPr>
        <w:t>A 2</w:t>
      </w:r>
      <w:r w:rsidRPr="00B83E1A">
        <w:rPr>
          <w:rFonts w:eastAsia="Calibri"/>
          <w:b/>
        </w:rPr>
        <w:t>012/13 Y LOS RESULTADOS DEL RENDIMIENTO A MITAD DEL EJERCICIO (2012)</w:t>
      </w:r>
    </w:p>
    <w:p w14:paraId="6B668E4E" w14:textId="77777777" w:rsidR="000275B2" w:rsidRPr="00B83E1A" w:rsidRDefault="000275B2" w:rsidP="000275B2"/>
    <w:tbl>
      <w:tblPr>
        <w:tblStyle w:val="TableGrid"/>
        <w:tblW w:w="9228" w:type="dxa"/>
        <w:jc w:val="center"/>
        <w:tblInd w:w="588" w:type="dxa"/>
        <w:tblLayout w:type="fixed"/>
        <w:tblLook w:val="04A0" w:firstRow="1" w:lastRow="0" w:firstColumn="1" w:lastColumn="0" w:noHBand="0" w:noVBand="1"/>
      </w:tblPr>
      <w:tblGrid>
        <w:gridCol w:w="1398"/>
        <w:gridCol w:w="283"/>
        <w:gridCol w:w="2410"/>
        <w:gridCol w:w="69"/>
        <w:gridCol w:w="2057"/>
        <w:gridCol w:w="142"/>
        <w:gridCol w:w="283"/>
        <w:gridCol w:w="2586"/>
      </w:tblGrid>
      <w:tr w:rsidR="00067534" w:rsidRPr="00B83E1A" w14:paraId="5C908585" w14:textId="77777777" w:rsidTr="004E65E7">
        <w:trPr>
          <w:trHeight w:val="699"/>
          <w:jc w:val="center"/>
        </w:trPr>
        <w:tc>
          <w:tcPr>
            <w:tcW w:w="9228" w:type="dxa"/>
            <w:gridSpan w:val="8"/>
            <w:shd w:val="clear" w:color="auto" w:fill="C4BC96" w:themeFill="background2" w:themeFillShade="BF"/>
            <w:vAlign w:val="center"/>
          </w:tcPr>
          <w:p w14:paraId="1ACA439C" w14:textId="3527FA26" w:rsidR="00067534" w:rsidRPr="00B83E1A" w:rsidRDefault="00067534" w:rsidP="004E65E7">
            <w:pPr>
              <w:rPr>
                <w:sz w:val="18"/>
                <w:szCs w:val="18"/>
                <w:lang w:val="es-ES"/>
              </w:rPr>
            </w:pPr>
            <w:r w:rsidRPr="00B83E1A">
              <w:rPr>
                <w:b/>
                <w:bCs/>
                <w:sz w:val="18"/>
                <w:szCs w:val="18"/>
                <w:lang w:val="es-ES"/>
              </w:rPr>
              <w:t>ODM - Objetiv</w:t>
            </w:r>
            <w:r w:rsidR="004E65E7" w:rsidRPr="00B83E1A">
              <w:rPr>
                <w:b/>
                <w:bCs/>
                <w:sz w:val="18"/>
                <w:szCs w:val="18"/>
                <w:lang w:val="es-ES"/>
              </w:rPr>
              <w:t>o 1</w:t>
            </w:r>
            <w:r w:rsidRPr="00B83E1A">
              <w:rPr>
                <w:b/>
                <w:bCs/>
                <w:sz w:val="18"/>
                <w:szCs w:val="18"/>
                <w:lang w:val="es-ES"/>
              </w:rPr>
              <w:t>:  Erradicar la pobreza extrema y el hambre</w:t>
            </w:r>
          </w:p>
        </w:tc>
      </w:tr>
      <w:tr w:rsidR="00067534" w:rsidRPr="00B83E1A" w14:paraId="727F5538" w14:textId="77777777" w:rsidTr="004E65E7">
        <w:trPr>
          <w:trHeight w:val="567"/>
          <w:jc w:val="center"/>
        </w:trPr>
        <w:tc>
          <w:tcPr>
            <w:tcW w:w="9228" w:type="dxa"/>
            <w:gridSpan w:val="8"/>
            <w:shd w:val="clear" w:color="auto" w:fill="DDD9C3" w:themeFill="background2" w:themeFillShade="E6"/>
            <w:vAlign w:val="center"/>
          </w:tcPr>
          <w:p w14:paraId="2F5F34F5" w14:textId="5824FA3C" w:rsidR="00067534" w:rsidRPr="00B83E1A" w:rsidRDefault="00067534" w:rsidP="004E65E7">
            <w:pPr>
              <w:rPr>
                <w:b/>
                <w:sz w:val="18"/>
                <w:szCs w:val="18"/>
                <w:lang w:val="es-ES"/>
              </w:rPr>
            </w:pPr>
            <w:r w:rsidRPr="00B83E1A">
              <w:rPr>
                <w:b/>
                <w:sz w:val="18"/>
                <w:szCs w:val="18"/>
                <w:lang w:val="es-ES"/>
              </w:rPr>
              <w:t>Met</w:t>
            </w:r>
            <w:r w:rsidR="004E65E7" w:rsidRPr="00B83E1A">
              <w:rPr>
                <w:b/>
                <w:sz w:val="18"/>
                <w:szCs w:val="18"/>
                <w:lang w:val="es-ES"/>
              </w:rPr>
              <w:t>a 1</w:t>
            </w:r>
            <w:r w:rsidRPr="00B83E1A">
              <w:rPr>
                <w:b/>
                <w:sz w:val="18"/>
                <w:szCs w:val="18"/>
                <w:lang w:val="es-ES"/>
              </w:rPr>
              <w:t>.C:  Reducir a la mitad, entr</w:t>
            </w:r>
            <w:r w:rsidR="004E65E7" w:rsidRPr="00B83E1A">
              <w:rPr>
                <w:b/>
                <w:sz w:val="18"/>
                <w:szCs w:val="18"/>
                <w:lang w:val="es-ES"/>
              </w:rPr>
              <w:t>e 1</w:t>
            </w:r>
            <w:r w:rsidRPr="00B83E1A">
              <w:rPr>
                <w:b/>
                <w:sz w:val="18"/>
                <w:szCs w:val="18"/>
                <w:lang w:val="es-ES"/>
              </w:rPr>
              <w:t xml:space="preserve">990 </w:t>
            </w:r>
            <w:r w:rsidR="004E65E7" w:rsidRPr="00B83E1A">
              <w:rPr>
                <w:b/>
                <w:sz w:val="18"/>
                <w:szCs w:val="18"/>
                <w:lang w:val="es-ES"/>
              </w:rPr>
              <w:t>y 2</w:t>
            </w:r>
            <w:r w:rsidRPr="00B83E1A">
              <w:rPr>
                <w:b/>
                <w:sz w:val="18"/>
                <w:szCs w:val="18"/>
                <w:lang w:val="es-ES"/>
              </w:rPr>
              <w:t>015, el porcentaje de personas que padezcan hambre</w:t>
            </w:r>
          </w:p>
        </w:tc>
      </w:tr>
      <w:tr w:rsidR="00067534" w:rsidRPr="00B83E1A" w14:paraId="35C503F1" w14:textId="77777777" w:rsidTr="004E65E7">
        <w:trPr>
          <w:trHeight w:val="195"/>
          <w:jc w:val="center"/>
        </w:trPr>
        <w:tc>
          <w:tcPr>
            <w:tcW w:w="1398" w:type="dxa"/>
            <w:shd w:val="clear" w:color="auto" w:fill="C6D9F1" w:themeFill="text2" w:themeFillTint="33"/>
            <w:vAlign w:val="center"/>
          </w:tcPr>
          <w:p w14:paraId="19F54AB8" w14:textId="77777777" w:rsidR="00067534" w:rsidRPr="00B83E1A" w:rsidRDefault="00067534" w:rsidP="004E65E7">
            <w:pPr>
              <w:spacing w:before="240"/>
              <w:rPr>
                <w:b/>
                <w:bCs/>
                <w:sz w:val="18"/>
                <w:szCs w:val="18"/>
                <w:lang w:val="es-ES"/>
              </w:rPr>
            </w:pPr>
            <w:r w:rsidRPr="00B83E1A">
              <w:rPr>
                <w:b/>
                <w:bCs/>
                <w:sz w:val="18"/>
                <w:szCs w:val="18"/>
                <w:lang w:val="es-ES"/>
              </w:rPr>
              <w:t>Meta estratégica de la OMPI</w:t>
            </w:r>
          </w:p>
          <w:p w14:paraId="7240349B" w14:textId="77777777" w:rsidR="00067534" w:rsidRPr="00B83E1A" w:rsidRDefault="00067534" w:rsidP="004E65E7">
            <w:pPr>
              <w:rPr>
                <w:b/>
                <w:bCs/>
                <w:sz w:val="18"/>
                <w:szCs w:val="18"/>
                <w:lang w:val="es-ES"/>
              </w:rPr>
            </w:pPr>
          </w:p>
        </w:tc>
        <w:tc>
          <w:tcPr>
            <w:tcW w:w="2693" w:type="dxa"/>
            <w:gridSpan w:val="2"/>
            <w:shd w:val="clear" w:color="auto" w:fill="C6D9F1" w:themeFill="text2" w:themeFillTint="33"/>
            <w:vAlign w:val="center"/>
          </w:tcPr>
          <w:p w14:paraId="242F0E41" w14:textId="77777777" w:rsidR="00067534" w:rsidRPr="00B83E1A" w:rsidRDefault="00067534" w:rsidP="004E65E7">
            <w:pPr>
              <w:rPr>
                <w:b/>
                <w:bCs/>
                <w:sz w:val="18"/>
                <w:szCs w:val="18"/>
                <w:lang w:val="es-ES"/>
              </w:rPr>
            </w:pPr>
            <w:r w:rsidRPr="00B83E1A">
              <w:rPr>
                <w:b/>
                <w:bCs/>
                <w:sz w:val="18"/>
                <w:szCs w:val="18"/>
                <w:lang w:val="es-ES"/>
              </w:rPr>
              <w:t>Resultado previsto de la OMPI pertinente - 2012/13</w:t>
            </w:r>
          </w:p>
        </w:tc>
        <w:tc>
          <w:tcPr>
            <w:tcW w:w="2126" w:type="dxa"/>
            <w:gridSpan w:val="2"/>
            <w:shd w:val="clear" w:color="auto" w:fill="C6D9F1" w:themeFill="text2" w:themeFillTint="33"/>
            <w:vAlign w:val="center"/>
          </w:tcPr>
          <w:p w14:paraId="3C42957A" w14:textId="77777777" w:rsidR="00067534" w:rsidRPr="00B83E1A" w:rsidRDefault="00067534" w:rsidP="004E65E7">
            <w:pPr>
              <w:rPr>
                <w:b/>
                <w:bCs/>
                <w:sz w:val="18"/>
                <w:szCs w:val="18"/>
                <w:lang w:val="es-ES"/>
              </w:rPr>
            </w:pPr>
            <w:r w:rsidRPr="00B83E1A">
              <w:rPr>
                <w:b/>
                <w:bCs/>
                <w:sz w:val="18"/>
                <w:szCs w:val="18"/>
                <w:lang w:val="es-ES"/>
              </w:rPr>
              <w:t>Indicadores de rendimiento</w:t>
            </w:r>
          </w:p>
        </w:tc>
        <w:tc>
          <w:tcPr>
            <w:tcW w:w="3011" w:type="dxa"/>
            <w:gridSpan w:val="3"/>
            <w:shd w:val="clear" w:color="auto" w:fill="C6D9F1" w:themeFill="text2" w:themeFillTint="33"/>
            <w:vAlign w:val="center"/>
          </w:tcPr>
          <w:p w14:paraId="616D3632" w14:textId="77777777" w:rsidR="00067534" w:rsidRPr="00B83E1A" w:rsidRDefault="00067534" w:rsidP="004E65E7">
            <w:pPr>
              <w:rPr>
                <w:sz w:val="18"/>
                <w:szCs w:val="18"/>
                <w:lang w:val="es-ES"/>
              </w:rPr>
            </w:pPr>
            <w:r w:rsidRPr="00B83E1A">
              <w:rPr>
                <w:b/>
                <w:bCs/>
                <w:sz w:val="18"/>
                <w:szCs w:val="18"/>
                <w:lang w:val="es-ES"/>
              </w:rPr>
              <w:t>Datos sobre el rendimiento</w:t>
            </w:r>
          </w:p>
        </w:tc>
      </w:tr>
      <w:tr w:rsidR="00067534" w:rsidRPr="00B83E1A" w14:paraId="7B8B5B04" w14:textId="77777777" w:rsidTr="004E65E7">
        <w:trPr>
          <w:jc w:val="center"/>
        </w:trPr>
        <w:tc>
          <w:tcPr>
            <w:tcW w:w="1398" w:type="dxa"/>
            <w:vMerge w:val="restart"/>
          </w:tcPr>
          <w:p w14:paraId="6234FDFB" w14:textId="4A8019BF" w:rsidR="00067534" w:rsidRPr="00B83E1A" w:rsidRDefault="00067534" w:rsidP="004E65E7">
            <w:pPr>
              <w:rPr>
                <w:i/>
                <w:sz w:val="18"/>
                <w:szCs w:val="18"/>
                <w:lang w:val="es-ES"/>
              </w:rPr>
            </w:pPr>
            <w:r w:rsidRPr="00B83E1A">
              <w:rPr>
                <w:i/>
                <w:sz w:val="18"/>
                <w:szCs w:val="18"/>
                <w:lang w:val="es-ES"/>
              </w:rPr>
              <w:t>Meta estratégica I</w:t>
            </w:r>
            <w:r w:rsidR="004E65E7" w:rsidRPr="00B83E1A">
              <w:rPr>
                <w:i/>
                <w:sz w:val="18"/>
                <w:szCs w:val="18"/>
                <w:lang w:val="es-ES"/>
              </w:rPr>
              <w:t>:  E</w:t>
            </w:r>
            <w:r w:rsidRPr="00B83E1A">
              <w:rPr>
                <w:i/>
                <w:sz w:val="18"/>
                <w:szCs w:val="18"/>
                <w:lang w:val="es-ES"/>
              </w:rPr>
              <w:t>volución equilibrada del marco normativo internacional de P.I.</w:t>
            </w:r>
          </w:p>
          <w:p w14:paraId="26006053" w14:textId="77777777" w:rsidR="00067534" w:rsidRPr="00B83E1A" w:rsidRDefault="00067534" w:rsidP="004E65E7">
            <w:pPr>
              <w:rPr>
                <w:sz w:val="18"/>
                <w:szCs w:val="18"/>
                <w:lang w:val="es-ES"/>
              </w:rPr>
            </w:pPr>
          </w:p>
        </w:tc>
        <w:tc>
          <w:tcPr>
            <w:tcW w:w="2693" w:type="dxa"/>
            <w:gridSpan w:val="2"/>
            <w:vMerge w:val="restart"/>
          </w:tcPr>
          <w:p w14:paraId="777C1755" w14:textId="77777777" w:rsidR="00067534" w:rsidRPr="00B83E1A" w:rsidRDefault="00067534" w:rsidP="004E65E7">
            <w:pPr>
              <w:rPr>
                <w:sz w:val="18"/>
                <w:szCs w:val="18"/>
                <w:lang w:val="es-ES"/>
              </w:rPr>
            </w:pPr>
            <w:r w:rsidRPr="00B83E1A">
              <w:rPr>
                <w:sz w:val="18"/>
                <w:szCs w:val="18"/>
                <w:lang w:val="es-ES" w:bidi="th-TH"/>
              </w:rPr>
              <w:t xml:space="preserve">Resultado i)  Mejor cooperación/mayor consenso entre los Estados miembros en lo que atañe a seguir elaborando marcos normativos y de política equilibrados para el sistema internacional de patentes, marcas, dibujos y modelos industriales, indicaciones geográficas, </w:t>
            </w:r>
            <w:r w:rsidRPr="00B83E1A">
              <w:rPr>
                <w:sz w:val="18"/>
                <w:szCs w:val="18"/>
                <w:lang w:val="es-ES" w:bidi="th-TH"/>
              </w:rPr>
              <w:lastRenderedPageBreak/>
              <w:t>derechos de autor y derechos conexos CC.TT., ECT y RR.GG.</w:t>
            </w:r>
          </w:p>
        </w:tc>
        <w:tc>
          <w:tcPr>
            <w:tcW w:w="2126" w:type="dxa"/>
            <w:gridSpan w:val="2"/>
          </w:tcPr>
          <w:p w14:paraId="6E980725" w14:textId="77777777" w:rsidR="00067534" w:rsidRPr="00B83E1A" w:rsidRDefault="00067534" w:rsidP="004E65E7">
            <w:pPr>
              <w:spacing w:after="120"/>
              <w:rPr>
                <w:i/>
                <w:sz w:val="18"/>
                <w:szCs w:val="18"/>
                <w:lang w:val="es-ES"/>
              </w:rPr>
            </w:pPr>
            <w:r w:rsidRPr="00B83E1A">
              <w:rPr>
                <w:sz w:val="18"/>
                <w:szCs w:val="18"/>
                <w:lang w:val="es-ES" w:bidi="th-TH"/>
              </w:rPr>
              <w:lastRenderedPageBreak/>
              <w:t>Avances en la aplicación de medidas/planes acordados por el SCP.</w:t>
            </w:r>
          </w:p>
        </w:tc>
        <w:tc>
          <w:tcPr>
            <w:tcW w:w="3011" w:type="dxa"/>
            <w:gridSpan w:val="3"/>
          </w:tcPr>
          <w:p w14:paraId="59570C9A" w14:textId="77777777" w:rsidR="00067534" w:rsidRPr="00B83E1A" w:rsidRDefault="00067534" w:rsidP="004E65E7">
            <w:pPr>
              <w:rPr>
                <w:sz w:val="18"/>
                <w:szCs w:val="18"/>
                <w:lang w:val="es-ES"/>
              </w:rPr>
            </w:pPr>
            <w:r w:rsidRPr="00B83E1A">
              <w:rPr>
                <w:sz w:val="18"/>
                <w:szCs w:val="18"/>
                <w:lang w:val="es-ES" w:bidi="th-TH"/>
              </w:rPr>
              <w:t>El SCP/18 acordó proseguir los debates en el SCP/19 sobre la base del orden del día del SCP/18.</w:t>
            </w:r>
          </w:p>
        </w:tc>
      </w:tr>
      <w:tr w:rsidR="00067534" w:rsidRPr="00B83E1A" w14:paraId="7E723065" w14:textId="77777777" w:rsidTr="004E65E7">
        <w:trPr>
          <w:jc w:val="center"/>
        </w:trPr>
        <w:tc>
          <w:tcPr>
            <w:tcW w:w="1398" w:type="dxa"/>
            <w:vMerge/>
          </w:tcPr>
          <w:p w14:paraId="2C2F97F3" w14:textId="77777777" w:rsidR="00067534" w:rsidRPr="00B83E1A" w:rsidRDefault="00067534" w:rsidP="004E65E7">
            <w:pPr>
              <w:rPr>
                <w:sz w:val="18"/>
                <w:szCs w:val="18"/>
                <w:lang w:val="es-ES"/>
              </w:rPr>
            </w:pPr>
          </w:p>
        </w:tc>
        <w:tc>
          <w:tcPr>
            <w:tcW w:w="2693" w:type="dxa"/>
            <w:gridSpan w:val="2"/>
            <w:vMerge/>
          </w:tcPr>
          <w:p w14:paraId="38E5038B" w14:textId="77777777" w:rsidR="00067534" w:rsidRPr="00B83E1A" w:rsidRDefault="00067534" w:rsidP="004E65E7">
            <w:pPr>
              <w:rPr>
                <w:i/>
                <w:sz w:val="18"/>
                <w:szCs w:val="18"/>
                <w:lang w:val="es-ES"/>
              </w:rPr>
            </w:pPr>
          </w:p>
        </w:tc>
        <w:tc>
          <w:tcPr>
            <w:tcW w:w="2126" w:type="dxa"/>
            <w:gridSpan w:val="2"/>
          </w:tcPr>
          <w:p w14:paraId="44C5C32A" w14:textId="77777777" w:rsidR="00067534" w:rsidRPr="00B83E1A" w:rsidRDefault="00067534" w:rsidP="004E65E7">
            <w:pPr>
              <w:rPr>
                <w:i/>
                <w:sz w:val="18"/>
                <w:szCs w:val="18"/>
                <w:lang w:val="es-ES"/>
              </w:rPr>
            </w:pPr>
            <w:r w:rsidRPr="00B83E1A">
              <w:rPr>
                <w:sz w:val="18"/>
                <w:szCs w:val="18"/>
                <w:lang w:val="es-ES"/>
              </w:rPr>
              <w:t>Acuerdo internacional sobre un marco normativo para los dibujos y modelos industriales.</w:t>
            </w:r>
          </w:p>
        </w:tc>
        <w:tc>
          <w:tcPr>
            <w:tcW w:w="3011" w:type="dxa"/>
            <w:gridSpan w:val="3"/>
          </w:tcPr>
          <w:p w14:paraId="71DCE9A9" w14:textId="0A76E27B" w:rsidR="00067534" w:rsidRPr="00B83E1A" w:rsidRDefault="00067534" w:rsidP="004E65E7">
            <w:pPr>
              <w:rPr>
                <w:sz w:val="18"/>
                <w:szCs w:val="18"/>
                <w:lang w:val="es-ES" w:bidi="th-TH"/>
              </w:rPr>
            </w:pPr>
            <w:r w:rsidRPr="00B83E1A">
              <w:rPr>
                <w:sz w:val="18"/>
                <w:szCs w:val="18"/>
                <w:lang w:val="es-ES" w:bidi="th-TH"/>
              </w:rPr>
              <w:t xml:space="preserve">Decisión de la Asamblea General de la OMOI “se insta al SCT a acelerar resueltamente la labor con el propósito de hacer avanzar sustancialmente las propuestas </w:t>
            </w:r>
            <w:r w:rsidRPr="00B83E1A">
              <w:rPr>
                <w:sz w:val="18"/>
                <w:szCs w:val="18"/>
                <w:lang w:val="es-ES" w:bidi="th-TH"/>
              </w:rPr>
              <w:lastRenderedPageBreak/>
              <w:t>básicas de un Tratado sobre el Derecho de los Diseños Industriales” (párraf</w:t>
            </w:r>
            <w:r w:rsidR="004E65E7" w:rsidRPr="00B83E1A">
              <w:rPr>
                <w:sz w:val="18"/>
                <w:szCs w:val="18"/>
                <w:lang w:val="es-ES" w:bidi="th-TH"/>
              </w:rPr>
              <w:t>o 2</w:t>
            </w:r>
            <w:r w:rsidRPr="00B83E1A">
              <w:rPr>
                <w:sz w:val="18"/>
                <w:szCs w:val="18"/>
                <w:lang w:val="es-ES" w:bidi="th-TH"/>
              </w:rPr>
              <w:t>31 del documento WO/GA/41/18).</w:t>
            </w:r>
          </w:p>
          <w:p w14:paraId="42FCFC91" w14:textId="77777777" w:rsidR="00067534" w:rsidRPr="00B83E1A" w:rsidRDefault="00067534" w:rsidP="004E65E7">
            <w:pPr>
              <w:rPr>
                <w:sz w:val="18"/>
                <w:szCs w:val="18"/>
                <w:lang w:val="es-ES"/>
              </w:rPr>
            </w:pPr>
          </w:p>
        </w:tc>
      </w:tr>
      <w:tr w:rsidR="00067534" w:rsidRPr="00B83E1A" w14:paraId="2AFF1AE0" w14:textId="77777777" w:rsidTr="004E65E7">
        <w:trPr>
          <w:jc w:val="center"/>
        </w:trPr>
        <w:tc>
          <w:tcPr>
            <w:tcW w:w="1398" w:type="dxa"/>
            <w:vMerge/>
          </w:tcPr>
          <w:p w14:paraId="7DB79E34" w14:textId="77777777" w:rsidR="00067534" w:rsidRPr="00B83E1A" w:rsidRDefault="00067534" w:rsidP="004E65E7">
            <w:pPr>
              <w:rPr>
                <w:sz w:val="18"/>
                <w:szCs w:val="18"/>
                <w:lang w:val="es-ES"/>
              </w:rPr>
            </w:pPr>
          </w:p>
        </w:tc>
        <w:tc>
          <w:tcPr>
            <w:tcW w:w="2693" w:type="dxa"/>
            <w:gridSpan w:val="2"/>
            <w:vMerge/>
          </w:tcPr>
          <w:p w14:paraId="083D397D" w14:textId="77777777" w:rsidR="00067534" w:rsidRPr="00B83E1A" w:rsidRDefault="00067534" w:rsidP="004E65E7">
            <w:pPr>
              <w:rPr>
                <w:i/>
                <w:sz w:val="18"/>
                <w:szCs w:val="18"/>
                <w:lang w:val="es-ES"/>
              </w:rPr>
            </w:pPr>
          </w:p>
        </w:tc>
        <w:tc>
          <w:tcPr>
            <w:tcW w:w="2126" w:type="dxa"/>
            <w:gridSpan w:val="2"/>
          </w:tcPr>
          <w:p w14:paraId="2FD328FB" w14:textId="77777777" w:rsidR="00067534" w:rsidRPr="00B83E1A" w:rsidRDefault="00067534" w:rsidP="004E65E7">
            <w:pPr>
              <w:rPr>
                <w:sz w:val="18"/>
                <w:szCs w:val="18"/>
                <w:lang w:val="es-ES"/>
              </w:rPr>
            </w:pPr>
            <w:r w:rsidRPr="00B83E1A">
              <w:rPr>
                <w:sz w:val="18"/>
                <w:szCs w:val="18"/>
                <w:lang w:val="es-ES"/>
              </w:rPr>
              <w:t>Avances para llegar a un acuerdo sobre las cuestiones que figuran en el orden del día del SCT.</w:t>
            </w:r>
          </w:p>
        </w:tc>
        <w:tc>
          <w:tcPr>
            <w:tcW w:w="3011" w:type="dxa"/>
            <w:gridSpan w:val="3"/>
          </w:tcPr>
          <w:p w14:paraId="52D80457" w14:textId="77777777" w:rsidR="00067534" w:rsidRPr="00B83E1A" w:rsidRDefault="00067534" w:rsidP="004E65E7">
            <w:pPr>
              <w:rPr>
                <w:sz w:val="18"/>
                <w:szCs w:val="18"/>
                <w:lang w:val="es-ES" w:bidi="th-TH"/>
              </w:rPr>
            </w:pPr>
            <w:r w:rsidRPr="00B83E1A">
              <w:rPr>
                <w:sz w:val="18"/>
                <w:szCs w:val="18"/>
                <w:lang w:val="es-ES" w:bidi="th-TH"/>
              </w:rPr>
              <w:t>Progreso logrado respecto de la normativa y la práctica en materia de diseños industriales:  proyecto de artículos y proyecto de Reglamento.</w:t>
            </w:r>
          </w:p>
          <w:p w14:paraId="51B494D2" w14:textId="77777777" w:rsidR="00067534" w:rsidRPr="00B83E1A" w:rsidRDefault="00067534" w:rsidP="004E65E7">
            <w:pPr>
              <w:rPr>
                <w:sz w:val="18"/>
                <w:szCs w:val="18"/>
                <w:lang w:val="es-ES" w:bidi="th-TH"/>
              </w:rPr>
            </w:pPr>
            <w:r w:rsidRPr="00B83E1A">
              <w:rPr>
                <w:sz w:val="18"/>
                <w:szCs w:val="18"/>
                <w:lang w:val="es-ES" w:bidi="th-TH"/>
              </w:rPr>
              <w:t>Continuación de la labor sobre la protección de los nombres de país.</w:t>
            </w:r>
          </w:p>
          <w:p w14:paraId="74A2A7CB" w14:textId="77777777" w:rsidR="00067534" w:rsidRPr="00B83E1A" w:rsidRDefault="00067534" w:rsidP="004E65E7">
            <w:pPr>
              <w:autoSpaceDE w:val="0"/>
              <w:autoSpaceDN w:val="0"/>
              <w:adjustRightInd w:val="0"/>
              <w:rPr>
                <w:sz w:val="18"/>
                <w:szCs w:val="18"/>
                <w:lang w:val="es-ES"/>
              </w:rPr>
            </w:pPr>
            <w:r w:rsidRPr="00B83E1A">
              <w:rPr>
                <w:sz w:val="18"/>
                <w:szCs w:val="18"/>
                <w:lang w:val="es-ES"/>
              </w:rPr>
              <w:t>El SCT celebró una reunión informativa sobre el papel y la responsabilidad de los intermediarios de Internet en el ámbito de las marcas pero posteriormente decidió no proseguir la labor en esa esfera.</w:t>
            </w:r>
          </w:p>
          <w:p w14:paraId="1F0C03EB" w14:textId="77777777" w:rsidR="00067534" w:rsidRPr="00B83E1A" w:rsidRDefault="00067534" w:rsidP="004E65E7">
            <w:pPr>
              <w:rPr>
                <w:sz w:val="18"/>
                <w:szCs w:val="18"/>
                <w:lang w:val="es-ES"/>
              </w:rPr>
            </w:pPr>
          </w:p>
        </w:tc>
      </w:tr>
      <w:tr w:rsidR="00067534" w:rsidRPr="00B83E1A" w14:paraId="40B551A7" w14:textId="77777777" w:rsidTr="004E65E7">
        <w:trPr>
          <w:jc w:val="center"/>
        </w:trPr>
        <w:tc>
          <w:tcPr>
            <w:tcW w:w="1398" w:type="dxa"/>
            <w:vMerge/>
          </w:tcPr>
          <w:p w14:paraId="17B6C850" w14:textId="77777777" w:rsidR="00067534" w:rsidRPr="00B83E1A" w:rsidRDefault="00067534" w:rsidP="004E65E7">
            <w:pPr>
              <w:rPr>
                <w:sz w:val="18"/>
                <w:szCs w:val="18"/>
                <w:lang w:val="es-ES"/>
              </w:rPr>
            </w:pPr>
          </w:p>
        </w:tc>
        <w:tc>
          <w:tcPr>
            <w:tcW w:w="2693" w:type="dxa"/>
            <w:gridSpan w:val="2"/>
            <w:vMerge/>
          </w:tcPr>
          <w:p w14:paraId="5A2F5CBC" w14:textId="77777777" w:rsidR="00067534" w:rsidRPr="00B83E1A" w:rsidRDefault="00067534" w:rsidP="004E65E7">
            <w:pPr>
              <w:rPr>
                <w:i/>
                <w:sz w:val="18"/>
                <w:szCs w:val="18"/>
                <w:lang w:val="es-ES"/>
              </w:rPr>
            </w:pPr>
          </w:p>
        </w:tc>
        <w:tc>
          <w:tcPr>
            <w:tcW w:w="2126" w:type="dxa"/>
            <w:gridSpan w:val="2"/>
          </w:tcPr>
          <w:p w14:paraId="6605708F" w14:textId="77777777" w:rsidR="00067534" w:rsidRPr="00B83E1A" w:rsidRDefault="00067534" w:rsidP="004E65E7">
            <w:pPr>
              <w:rPr>
                <w:sz w:val="18"/>
                <w:szCs w:val="18"/>
                <w:lang w:val="es-ES"/>
              </w:rPr>
            </w:pPr>
            <w:r w:rsidRPr="00B83E1A">
              <w:rPr>
                <w:sz w:val="18"/>
                <w:szCs w:val="18"/>
                <w:lang w:val="es-ES"/>
              </w:rPr>
              <w:t>Número de ratificaciones y adhesiones al Tratado de Singapur</w:t>
            </w:r>
          </w:p>
        </w:tc>
        <w:tc>
          <w:tcPr>
            <w:tcW w:w="3011" w:type="dxa"/>
            <w:gridSpan w:val="3"/>
          </w:tcPr>
          <w:p w14:paraId="79BC1D19" w14:textId="0D8725AB" w:rsidR="00067534" w:rsidRPr="00B83E1A" w:rsidRDefault="00067534" w:rsidP="004E65E7">
            <w:pPr>
              <w:spacing w:after="120"/>
              <w:rPr>
                <w:sz w:val="18"/>
                <w:szCs w:val="18"/>
                <w:lang w:val="es-ES" w:bidi="th-TH"/>
              </w:rPr>
            </w:pPr>
            <w:r w:rsidRPr="00B83E1A">
              <w:rPr>
                <w:sz w:val="18"/>
                <w:szCs w:val="18"/>
                <w:lang w:val="es-ES" w:bidi="th-TH"/>
              </w:rPr>
              <w:t>4 ratificaciones adicionales e</w:t>
            </w:r>
            <w:r w:rsidR="004E65E7" w:rsidRPr="00B83E1A">
              <w:rPr>
                <w:sz w:val="18"/>
                <w:szCs w:val="18"/>
                <w:lang w:val="es-ES" w:bidi="th-TH"/>
              </w:rPr>
              <w:t>n 2</w:t>
            </w:r>
            <w:r w:rsidRPr="00B83E1A">
              <w:rPr>
                <w:sz w:val="18"/>
                <w:szCs w:val="18"/>
                <w:lang w:val="es-ES" w:bidi="th-TH"/>
              </w:rPr>
              <w:t>012 (Reino Unido, Kazajstán, Nueva Zelandia e Islandia).</w:t>
            </w:r>
          </w:p>
        </w:tc>
      </w:tr>
      <w:tr w:rsidR="00067534" w:rsidRPr="00B83E1A" w14:paraId="6AD227E4" w14:textId="77777777" w:rsidTr="004E65E7">
        <w:trPr>
          <w:jc w:val="center"/>
        </w:trPr>
        <w:tc>
          <w:tcPr>
            <w:tcW w:w="1398" w:type="dxa"/>
            <w:vMerge/>
          </w:tcPr>
          <w:p w14:paraId="070A3A08" w14:textId="77777777" w:rsidR="00067534" w:rsidRPr="00B83E1A" w:rsidRDefault="00067534" w:rsidP="004E65E7">
            <w:pPr>
              <w:rPr>
                <w:sz w:val="18"/>
                <w:szCs w:val="18"/>
                <w:lang w:val="es-ES"/>
              </w:rPr>
            </w:pPr>
          </w:p>
        </w:tc>
        <w:tc>
          <w:tcPr>
            <w:tcW w:w="2693" w:type="dxa"/>
            <w:gridSpan w:val="2"/>
            <w:vMerge/>
          </w:tcPr>
          <w:p w14:paraId="2E60E786" w14:textId="77777777" w:rsidR="00067534" w:rsidRPr="00B83E1A" w:rsidRDefault="00067534" w:rsidP="004E65E7">
            <w:pPr>
              <w:rPr>
                <w:i/>
                <w:sz w:val="18"/>
                <w:szCs w:val="18"/>
                <w:lang w:val="es-ES"/>
              </w:rPr>
            </w:pPr>
          </w:p>
        </w:tc>
        <w:tc>
          <w:tcPr>
            <w:tcW w:w="2126" w:type="dxa"/>
            <w:gridSpan w:val="2"/>
          </w:tcPr>
          <w:p w14:paraId="569ED65F" w14:textId="77777777" w:rsidR="00067534" w:rsidRPr="00B83E1A" w:rsidRDefault="00067534" w:rsidP="004E65E7">
            <w:pPr>
              <w:spacing w:after="120"/>
              <w:rPr>
                <w:sz w:val="18"/>
                <w:szCs w:val="18"/>
                <w:lang w:val="es-ES"/>
              </w:rPr>
            </w:pPr>
            <w:r w:rsidRPr="00B83E1A">
              <w:rPr>
                <w:sz w:val="18"/>
                <w:szCs w:val="18"/>
                <w:lang w:val="es-ES"/>
              </w:rPr>
              <w:t xml:space="preserve">Labor iniciada por el SCT sobre las indicaciones geográficas.  </w:t>
            </w:r>
          </w:p>
        </w:tc>
        <w:tc>
          <w:tcPr>
            <w:tcW w:w="3011" w:type="dxa"/>
            <w:gridSpan w:val="3"/>
          </w:tcPr>
          <w:p w14:paraId="2692DA6C" w14:textId="07E34707" w:rsidR="00067534" w:rsidRPr="00B83E1A" w:rsidRDefault="00067534" w:rsidP="004E65E7">
            <w:pPr>
              <w:spacing w:after="120"/>
              <w:rPr>
                <w:sz w:val="18"/>
                <w:szCs w:val="18"/>
                <w:lang w:val="es-ES"/>
              </w:rPr>
            </w:pPr>
            <w:r w:rsidRPr="00B83E1A">
              <w:rPr>
                <w:sz w:val="18"/>
                <w:szCs w:val="18"/>
                <w:lang w:val="es-ES" w:bidi="th-TH"/>
              </w:rPr>
              <w:t>El SCT no inició labor alguna en relación con las indicaciones geográficas a finales d</w:t>
            </w:r>
            <w:r w:rsidR="004E65E7" w:rsidRPr="00B83E1A">
              <w:rPr>
                <w:sz w:val="18"/>
                <w:szCs w:val="18"/>
                <w:lang w:val="es-ES" w:bidi="th-TH"/>
              </w:rPr>
              <w:t>e 2</w:t>
            </w:r>
            <w:r w:rsidRPr="00B83E1A">
              <w:rPr>
                <w:sz w:val="18"/>
                <w:szCs w:val="18"/>
                <w:lang w:val="es-ES" w:bidi="th-TH"/>
              </w:rPr>
              <w:t>012.</w:t>
            </w:r>
          </w:p>
        </w:tc>
      </w:tr>
      <w:tr w:rsidR="00067534" w:rsidRPr="00B83E1A" w14:paraId="37BDA42B" w14:textId="77777777" w:rsidTr="004E65E7">
        <w:trPr>
          <w:jc w:val="center"/>
        </w:trPr>
        <w:tc>
          <w:tcPr>
            <w:tcW w:w="1398" w:type="dxa"/>
            <w:vMerge/>
          </w:tcPr>
          <w:p w14:paraId="1B513AAF" w14:textId="77777777" w:rsidR="00067534" w:rsidRPr="00B83E1A" w:rsidRDefault="00067534" w:rsidP="004E65E7">
            <w:pPr>
              <w:rPr>
                <w:sz w:val="18"/>
                <w:szCs w:val="18"/>
                <w:lang w:val="es-ES"/>
              </w:rPr>
            </w:pPr>
          </w:p>
        </w:tc>
        <w:tc>
          <w:tcPr>
            <w:tcW w:w="2693" w:type="dxa"/>
            <w:gridSpan w:val="2"/>
            <w:vMerge/>
          </w:tcPr>
          <w:p w14:paraId="164511EF" w14:textId="77777777" w:rsidR="00067534" w:rsidRPr="00B83E1A" w:rsidRDefault="00067534" w:rsidP="004E65E7">
            <w:pPr>
              <w:rPr>
                <w:i/>
                <w:sz w:val="18"/>
                <w:szCs w:val="18"/>
                <w:lang w:val="es-ES"/>
              </w:rPr>
            </w:pPr>
          </w:p>
        </w:tc>
        <w:tc>
          <w:tcPr>
            <w:tcW w:w="2126" w:type="dxa"/>
            <w:gridSpan w:val="2"/>
          </w:tcPr>
          <w:p w14:paraId="72CDC6CD" w14:textId="77777777" w:rsidR="00067534" w:rsidRPr="00B83E1A" w:rsidRDefault="00067534" w:rsidP="004E65E7">
            <w:pPr>
              <w:rPr>
                <w:sz w:val="18"/>
                <w:szCs w:val="18"/>
                <w:lang w:val="es-ES" w:bidi="th-TH"/>
              </w:rPr>
            </w:pPr>
            <w:r w:rsidRPr="00B83E1A">
              <w:rPr>
                <w:sz w:val="18"/>
                <w:szCs w:val="18"/>
                <w:lang w:val="es-ES" w:bidi="th-TH"/>
              </w:rPr>
              <w:t>Conclusiones de los Estados miembros en cada sesión del SCCR</w:t>
            </w:r>
          </w:p>
          <w:p w14:paraId="5B50A387" w14:textId="77777777" w:rsidR="00067534" w:rsidRPr="00B83E1A" w:rsidRDefault="00067534" w:rsidP="004E65E7">
            <w:pPr>
              <w:rPr>
                <w:i/>
                <w:sz w:val="18"/>
                <w:szCs w:val="18"/>
                <w:lang w:val="es-ES"/>
              </w:rPr>
            </w:pPr>
          </w:p>
        </w:tc>
        <w:tc>
          <w:tcPr>
            <w:tcW w:w="3011" w:type="dxa"/>
            <w:gridSpan w:val="3"/>
          </w:tcPr>
          <w:p w14:paraId="3F9E5207" w14:textId="77777777" w:rsidR="00067534" w:rsidRPr="00B83E1A" w:rsidRDefault="00067534" w:rsidP="004E65E7">
            <w:pPr>
              <w:spacing w:after="120"/>
              <w:rPr>
                <w:sz w:val="18"/>
                <w:szCs w:val="18"/>
                <w:lang w:val="es-ES"/>
              </w:rPr>
            </w:pPr>
            <w:r w:rsidRPr="00B83E1A">
              <w:rPr>
                <w:sz w:val="18"/>
                <w:szCs w:val="18"/>
                <w:lang w:val="es-ES" w:bidi="th-TH"/>
              </w:rPr>
              <w:t>En ambas sesiones del SCCR los Estados miembros acordaron proseguir la labor relativa a todos los aspectos sustantivos del orden del día, en particular, respecto a las limitaciones y excepciones para las personas con discapacidad visual y personas con dificultades para acceder al texto impreso;  la protección de los organismos de radiodifusión;  las limitaciones y excepciones para las bibliotecas y archivos;  y las limitaciones y excepciones en favor de las instituciones educativas y de investigación.</w:t>
            </w:r>
            <w:r w:rsidRPr="00B83E1A">
              <w:rPr>
                <w:rStyle w:val="FootnoteReference"/>
                <w:sz w:val="18"/>
                <w:szCs w:val="18"/>
                <w:lang w:val="es-ES"/>
              </w:rPr>
              <w:footnoteReference w:id="12"/>
            </w:r>
          </w:p>
        </w:tc>
      </w:tr>
      <w:tr w:rsidR="00067534" w:rsidRPr="00B83E1A" w14:paraId="72BD2A02" w14:textId="77777777" w:rsidTr="004E65E7">
        <w:trPr>
          <w:jc w:val="center"/>
        </w:trPr>
        <w:tc>
          <w:tcPr>
            <w:tcW w:w="1398" w:type="dxa"/>
            <w:vMerge/>
          </w:tcPr>
          <w:p w14:paraId="014FE65C" w14:textId="77777777" w:rsidR="00067534" w:rsidRPr="00B83E1A" w:rsidRDefault="00067534" w:rsidP="004E65E7">
            <w:pPr>
              <w:rPr>
                <w:sz w:val="18"/>
                <w:szCs w:val="18"/>
                <w:lang w:val="es-ES"/>
              </w:rPr>
            </w:pPr>
          </w:p>
        </w:tc>
        <w:tc>
          <w:tcPr>
            <w:tcW w:w="2693" w:type="dxa"/>
            <w:gridSpan w:val="2"/>
            <w:vMerge/>
          </w:tcPr>
          <w:p w14:paraId="7144F7A3" w14:textId="77777777" w:rsidR="00067534" w:rsidRPr="00B83E1A" w:rsidRDefault="00067534" w:rsidP="004E65E7">
            <w:pPr>
              <w:rPr>
                <w:i/>
                <w:sz w:val="18"/>
                <w:szCs w:val="18"/>
                <w:lang w:val="es-ES"/>
              </w:rPr>
            </w:pPr>
          </w:p>
        </w:tc>
        <w:tc>
          <w:tcPr>
            <w:tcW w:w="2126" w:type="dxa"/>
            <w:gridSpan w:val="2"/>
          </w:tcPr>
          <w:p w14:paraId="7DDD2C76" w14:textId="77777777" w:rsidR="00067534" w:rsidRPr="00B83E1A" w:rsidRDefault="00067534" w:rsidP="004E65E7">
            <w:pPr>
              <w:rPr>
                <w:sz w:val="18"/>
                <w:szCs w:val="18"/>
                <w:lang w:val="es-ES"/>
              </w:rPr>
            </w:pPr>
            <w:r w:rsidRPr="00B83E1A">
              <w:rPr>
                <w:sz w:val="18"/>
                <w:szCs w:val="18"/>
                <w:lang w:val="es-ES" w:bidi="th-TH"/>
              </w:rPr>
              <w:t>Avances para llegar a un acuerdo sobre las cuestiones que figuran en el orden del día del SCCR.</w:t>
            </w:r>
          </w:p>
        </w:tc>
        <w:tc>
          <w:tcPr>
            <w:tcW w:w="3011" w:type="dxa"/>
            <w:gridSpan w:val="3"/>
          </w:tcPr>
          <w:p w14:paraId="28FFA72D" w14:textId="3A9D77F8" w:rsidR="00067534" w:rsidRPr="00B83E1A" w:rsidRDefault="00067534" w:rsidP="004E65E7">
            <w:pPr>
              <w:spacing w:after="120"/>
              <w:rPr>
                <w:sz w:val="18"/>
                <w:szCs w:val="18"/>
                <w:lang w:val="es-ES"/>
              </w:rPr>
            </w:pPr>
            <w:r w:rsidRPr="00B83E1A">
              <w:rPr>
                <w:sz w:val="18"/>
                <w:szCs w:val="18"/>
                <w:lang w:val="es-ES"/>
              </w:rPr>
              <w:t>Se adoptó el texto del Tratado de Beijing en junio d</w:t>
            </w:r>
            <w:r w:rsidR="004E65E7" w:rsidRPr="00B83E1A">
              <w:rPr>
                <w:sz w:val="18"/>
                <w:szCs w:val="18"/>
                <w:lang w:val="es-ES"/>
              </w:rPr>
              <w:t>e 2</w:t>
            </w:r>
            <w:r w:rsidRPr="00B83E1A">
              <w:rPr>
                <w:sz w:val="18"/>
                <w:szCs w:val="18"/>
                <w:lang w:val="es-ES"/>
              </w:rPr>
              <w:t>012</w:t>
            </w:r>
            <w:r w:rsidR="004E65E7" w:rsidRPr="00B83E1A">
              <w:rPr>
                <w:sz w:val="18"/>
                <w:szCs w:val="18"/>
                <w:lang w:val="es-ES"/>
              </w:rPr>
              <w:t>.  S</w:t>
            </w:r>
            <w:r w:rsidRPr="00B83E1A">
              <w:rPr>
                <w:sz w:val="18"/>
                <w:szCs w:val="18"/>
                <w:lang w:val="es-ES"/>
              </w:rPr>
              <w:t>e tomó la decisión de convocar una conferencia diplomática en Marrakech en diciembre d</w:t>
            </w:r>
            <w:r w:rsidR="004E65E7" w:rsidRPr="00B83E1A">
              <w:rPr>
                <w:sz w:val="18"/>
                <w:szCs w:val="18"/>
                <w:lang w:val="es-ES"/>
              </w:rPr>
              <w:t>e 2</w:t>
            </w:r>
            <w:r w:rsidRPr="00B83E1A">
              <w:rPr>
                <w:sz w:val="18"/>
                <w:szCs w:val="18"/>
                <w:lang w:val="es-ES"/>
              </w:rPr>
              <w:t>012</w:t>
            </w:r>
            <w:r w:rsidR="004E65E7" w:rsidRPr="00B83E1A">
              <w:rPr>
                <w:sz w:val="18"/>
                <w:szCs w:val="18"/>
                <w:lang w:val="es-ES"/>
              </w:rPr>
              <w:t>.  L</w:t>
            </w:r>
            <w:r w:rsidRPr="00B83E1A">
              <w:rPr>
                <w:sz w:val="18"/>
                <w:szCs w:val="18"/>
                <w:lang w:val="es-ES"/>
              </w:rPr>
              <w:t>os progresos están en sintonía con el plan de trabajo del SCCR sobre todos los puntos que figuran en el orden del día.</w:t>
            </w:r>
          </w:p>
        </w:tc>
      </w:tr>
      <w:tr w:rsidR="00067534" w:rsidRPr="00B83E1A" w14:paraId="6EF0F806" w14:textId="77777777" w:rsidTr="004E65E7">
        <w:trPr>
          <w:jc w:val="center"/>
        </w:trPr>
        <w:tc>
          <w:tcPr>
            <w:tcW w:w="1398" w:type="dxa"/>
            <w:vMerge/>
          </w:tcPr>
          <w:p w14:paraId="5E018590" w14:textId="77777777" w:rsidR="00067534" w:rsidRPr="00B83E1A" w:rsidRDefault="00067534" w:rsidP="004E65E7">
            <w:pPr>
              <w:rPr>
                <w:sz w:val="18"/>
                <w:szCs w:val="18"/>
                <w:lang w:val="es-ES"/>
              </w:rPr>
            </w:pPr>
          </w:p>
        </w:tc>
        <w:tc>
          <w:tcPr>
            <w:tcW w:w="2693" w:type="dxa"/>
            <w:gridSpan w:val="2"/>
            <w:vMerge/>
          </w:tcPr>
          <w:p w14:paraId="7B6DC272" w14:textId="77777777" w:rsidR="00067534" w:rsidRPr="00B83E1A" w:rsidRDefault="00067534" w:rsidP="004E65E7">
            <w:pPr>
              <w:rPr>
                <w:i/>
                <w:sz w:val="18"/>
                <w:szCs w:val="18"/>
                <w:lang w:val="es-ES"/>
              </w:rPr>
            </w:pPr>
          </w:p>
        </w:tc>
        <w:tc>
          <w:tcPr>
            <w:tcW w:w="2126" w:type="dxa"/>
            <w:gridSpan w:val="2"/>
          </w:tcPr>
          <w:p w14:paraId="3CC98726" w14:textId="77777777" w:rsidR="00067534" w:rsidRPr="00B83E1A" w:rsidRDefault="00067534" w:rsidP="004E65E7">
            <w:pPr>
              <w:spacing w:after="120"/>
              <w:rPr>
                <w:i/>
                <w:sz w:val="18"/>
                <w:szCs w:val="18"/>
                <w:lang w:val="es-ES"/>
              </w:rPr>
            </w:pPr>
            <w:r w:rsidRPr="00B83E1A">
              <w:rPr>
                <w:sz w:val="18"/>
                <w:szCs w:val="18"/>
                <w:lang w:val="es-ES"/>
              </w:rPr>
              <w:t xml:space="preserve">Progreso en las </w:t>
            </w:r>
            <w:r w:rsidRPr="00B83E1A">
              <w:rPr>
                <w:sz w:val="18"/>
                <w:szCs w:val="18"/>
                <w:lang w:val="es-ES"/>
              </w:rPr>
              <w:lastRenderedPageBreak/>
              <w:t>negociaciones del CIG para la elaboración de uno o varios instrumentos jurídicos internacionales.</w:t>
            </w:r>
          </w:p>
        </w:tc>
        <w:tc>
          <w:tcPr>
            <w:tcW w:w="3011" w:type="dxa"/>
            <w:gridSpan w:val="3"/>
          </w:tcPr>
          <w:p w14:paraId="1A52A0D6" w14:textId="77777777" w:rsidR="00067534" w:rsidRPr="00B83E1A" w:rsidRDefault="00067534" w:rsidP="004E65E7">
            <w:pPr>
              <w:rPr>
                <w:sz w:val="18"/>
                <w:szCs w:val="18"/>
                <w:lang w:val="es-ES"/>
              </w:rPr>
            </w:pPr>
            <w:r w:rsidRPr="00B83E1A">
              <w:rPr>
                <w:sz w:val="18"/>
                <w:szCs w:val="18"/>
                <w:lang w:val="es-ES" w:bidi="th-TH"/>
              </w:rPr>
              <w:lastRenderedPageBreak/>
              <w:t xml:space="preserve">Progresos continuos en las </w:t>
            </w:r>
            <w:r w:rsidRPr="00B83E1A">
              <w:rPr>
                <w:sz w:val="18"/>
                <w:szCs w:val="18"/>
                <w:lang w:val="es-ES" w:bidi="th-TH"/>
              </w:rPr>
              <w:lastRenderedPageBreak/>
              <w:t>negociaciones</w:t>
            </w:r>
          </w:p>
        </w:tc>
      </w:tr>
      <w:tr w:rsidR="00067534" w:rsidRPr="00B83E1A" w14:paraId="76A7AD85" w14:textId="77777777" w:rsidTr="004E65E7">
        <w:trPr>
          <w:jc w:val="center"/>
        </w:trPr>
        <w:tc>
          <w:tcPr>
            <w:tcW w:w="1398" w:type="dxa"/>
            <w:vMerge w:val="restart"/>
          </w:tcPr>
          <w:p w14:paraId="2D67E68E" w14:textId="34243563" w:rsidR="00067534" w:rsidRPr="00B83E1A" w:rsidRDefault="00067534" w:rsidP="004E65E7">
            <w:pPr>
              <w:rPr>
                <w:i/>
                <w:sz w:val="18"/>
                <w:szCs w:val="18"/>
                <w:lang w:val="es-ES"/>
              </w:rPr>
            </w:pPr>
            <w:r w:rsidRPr="00B83E1A">
              <w:rPr>
                <w:i/>
                <w:sz w:val="18"/>
                <w:szCs w:val="18"/>
                <w:lang w:val="es-ES"/>
              </w:rPr>
              <w:lastRenderedPageBreak/>
              <w:t>Meta estratégica III</w:t>
            </w:r>
            <w:r w:rsidR="004E65E7" w:rsidRPr="00B83E1A">
              <w:rPr>
                <w:i/>
                <w:sz w:val="18"/>
                <w:szCs w:val="18"/>
                <w:lang w:val="es-ES"/>
              </w:rPr>
              <w:t>:  F</w:t>
            </w:r>
            <w:r w:rsidRPr="00B83E1A">
              <w:rPr>
                <w:i/>
                <w:sz w:val="18"/>
                <w:szCs w:val="18"/>
                <w:lang w:val="es-ES"/>
              </w:rPr>
              <w:t>acilitar el uso de la P.I. en aras del desarrollo</w:t>
            </w:r>
          </w:p>
          <w:p w14:paraId="0604B07A" w14:textId="77777777" w:rsidR="00067534" w:rsidRPr="00B83E1A" w:rsidRDefault="00067534" w:rsidP="004E65E7">
            <w:pPr>
              <w:rPr>
                <w:sz w:val="18"/>
                <w:szCs w:val="18"/>
                <w:lang w:val="es-ES"/>
              </w:rPr>
            </w:pPr>
          </w:p>
        </w:tc>
        <w:tc>
          <w:tcPr>
            <w:tcW w:w="2693" w:type="dxa"/>
            <w:gridSpan w:val="2"/>
            <w:vMerge w:val="restart"/>
          </w:tcPr>
          <w:p w14:paraId="7CF2F875" w14:textId="77777777" w:rsidR="00067534" w:rsidRPr="00B83E1A" w:rsidRDefault="00067534" w:rsidP="004E65E7">
            <w:pPr>
              <w:rPr>
                <w:sz w:val="18"/>
                <w:szCs w:val="18"/>
                <w:lang w:val="es-ES"/>
              </w:rPr>
            </w:pPr>
            <w:r w:rsidRPr="00B83E1A">
              <w:rPr>
                <w:sz w:val="18"/>
                <w:szCs w:val="18"/>
                <w:lang w:val="es-ES"/>
              </w:rPr>
              <w:t>Resultado i) Políticas nacionales de innovación y de P.I. claramente definidas y coherentes, estrategias y planes de desarrollo que estén en sintonía con las metas y los objetivos nacionales de desarrollo.</w:t>
            </w:r>
          </w:p>
          <w:p w14:paraId="10328CEE" w14:textId="77777777" w:rsidR="00067534" w:rsidRPr="00B83E1A" w:rsidRDefault="00067534" w:rsidP="004E65E7">
            <w:pPr>
              <w:rPr>
                <w:sz w:val="18"/>
                <w:szCs w:val="18"/>
                <w:lang w:val="es-ES"/>
              </w:rPr>
            </w:pPr>
          </w:p>
        </w:tc>
        <w:tc>
          <w:tcPr>
            <w:tcW w:w="2126" w:type="dxa"/>
            <w:gridSpan w:val="2"/>
            <w:vMerge w:val="restart"/>
          </w:tcPr>
          <w:p w14:paraId="7E5533A4" w14:textId="77777777" w:rsidR="00067534" w:rsidRPr="00B83E1A" w:rsidRDefault="00067534" w:rsidP="004E65E7">
            <w:pPr>
              <w:rPr>
                <w:sz w:val="18"/>
                <w:szCs w:val="18"/>
                <w:lang w:val="es-ES" w:bidi="th-TH"/>
              </w:rPr>
            </w:pPr>
            <w:r w:rsidRPr="00B83E1A">
              <w:rPr>
                <w:sz w:val="18"/>
                <w:szCs w:val="18"/>
                <w:lang w:val="es-ES" w:bidi="th-TH"/>
              </w:rPr>
              <w:t>Número de países que cada año han formulado políticas, estrategias y/o planes de P.I., o los están aplicando (África).</w:t>
            </w:r>
          </w:p>
          <w:p w14:paraId="25AB08BA" w14:textId="77777777" w:rsidR="00067534" w:rsidRPr="00B83E1A" w:rsidRDefault="00067534" w:rsidP="004E65E7">
            <w:pPr>
              <w:rPr>
                <w:i/>
                <w:sz w:val="18"/>
                <w:szCs w:val="18"/>
                <w:lang w:val="es-ES"/>
              </w:rPr>
            </w:pPr>
          </w:p>
        </w:tc>
        <w:tc>
          <w:tcPr>
            <w:tcW w:w="3011" w:type="dxa"/>
            <w:gridSpan w:val="3"/>
          </w:tcPr>
          <w:p w14:paraId="2D7A7BA6" w14:textId="77777777" w:rsidR="00067534" w:rsidRPr="00B83E1A" w:rsidRDefault="00067534" w:rsidP="00067534">
            <w:pPr>
              <w:numPr>
                <w:ilvl w:val="0"/>
                <w:numId w:val="12"/>
              </w:numPr>
              <w:rPr>
                <w:bCs/>
                <w:sz w:val="18"/>
                <w:szCs w:val="18"/>
                <w:lang w:val="es-ES" w:bidi="th-TH"/>
              </w:rPr>
            </w:pPr>
            <w:r w:rsidRPr="00B83E1A">
              <w:rPr>
                <w:sz w:val="18"/>
                <w:szCs w:val="18"/>
                <w:lang w:val="es-ES" w:bidi="th-TH"/>
              </w:rPr>
              <w:t>Mauricio (pendiente de su aprobación por el Parlamento)</w:t>
            </w:r>
          </w:p>
          <w:p w14:paraId="4EE64BFF" w14:textId="3758B3F5" w:rsidR="00067534" w:rsidRPr="00B83E1A" w:rsidRDefault="00067534" w:rsidP="00067534">
            <w:pPr>
              <w:numPr>
                <w:ilvl w:val="0"/>
                <w:numId w:val="12"/>
              </w:numPr>
              <w:rPr>
                <w:bCs/>
                <w:sz w:val="18"/>
                <w:szCs w:val="18"/>
                <w:lang w:val="es-ES" w:bidi="th-TH"/>
              </w:rPr>
            </w:pPr>
            <w:r w:rsidRPr="00B83E1A">
              <w:rPr>
                <w:bCs/>
                <w:sz w:val="18"/>
                <w:szCs w:val="18"/>
                <w:lang w:val="es-ES" w:bidi="th-TH"/>
              </w:rPr>
              <w:t>el Senegal (memorando de entendimiento firmado e</w:t>
            </w:r>
            <w:r w:rsidR="004E65E7" w:rsidRPr="00B83E1A">
              <w:rPr>
                <w:bCs/>
                <w:sz w:val="18"/>
                <w:szCs w:val="18"/>
                <w:lang w:val="es-ES" w:bidi="th-TH"/>
              </w:rPr>
              <w:t>n 2</w:t>
            </w:r>
            <w:r w:rsidRPr="00B83E1A">
              <w:rPr>
                <w:bCs/>
                <w:sz w:val="18"/>
                <w:szCs w:val="18"/>
                <w:lang w:val="es-ES" w:bidi="th-TH"/>
              </w:rPr>
              <w:t>011;  aplicación en curso)</w:t>
            </w:r>
          </w:p>
          <w:p w14:paraId="73FE546B" w14:textId="77777777" w:rsidR="00067534" w:rsidRPr="00B83E1A" w:rsidRDefault="00067534" w:rsidP="00067534">
            <w:pPr>
              <w:numPr>
                <w:ilvl w:val="0"/>
                <w:numId w:val="12"/>
              </w:numPr>
              <w:rPr>
                <w:bCs/>
                <w:sz w:val="18"/>
                <w:szCs w:val="18"/>
                <w:lang w:val="es-ES" w:bidi="th-TH"/>
              </w:rPr>
            </w:pPr>
            <w:r w:rsidRPr="00B83E1A">
              <w:rPr>
                <w:bCs/>
                <w:sz w:val="18"/>
                <w:szCs w:val="18"/>
                <w:lang w:val="es-ES" w:bidi="th-TH"/>
              </w:rPr>
              <w:t>Seychelles (se está revisando el memorando de entendimiento)</w:t>
            </w:r>
          </w:p>
          <w:p w14:paraId="7EF98474" w14:textId="77777777" w:rsidR="00067534" w:rsidRPr="00B83E1A" w:rsidRDefault="00067534" w:rsidP="00067534">
            <w:pPr>
              <w:numPr>
                <w:ilvl w:val="0"/>
                <w:numId w:val="12"/>
              </w:numPr>
              <w:rPr>
                <w:bCs/>
                <w:sz w:val="18"/>
                <w:szCs w:val="18"/>
                <w:lang w:val="es-ES" w:bidi="th-TH"/>
              </w:rPr>
            </w:pPr>
            <w:r w:rsidRPr="00B83E1A">
              <w:rPr>
                <w:bCs/>
                <w:sz w:val="18"/>
                <w:szCs w:val="18"/>
                <w:lang w:val="es-ES" w:bidi="th-TH"/>
              </w:rPr>
              <w:t>República Unida de Tanzanía (aplicación en curso)</w:t>
            </w:r>
          </w:p>
          <w:p w14:paraId="455B5272" w14:textId="77777777" w:rsidR="00067534" w:rsidRPr="00B83E1A" w:rsidRDefault="00067534" w:rsidP="00067534">
            <w:pPr>
              <w:numPr>
                <w:ilvl w:val="0"/>
                <w:numId w:val="12"/>
              </w:numPr>
              <w:rPr>
                <w:bCs/>
                <w:sz w:val="18"/>
                <w:szCs w:val="18"/>
                <w:lang w:val="es-ES" w:bidi="th-TH"/>
              </w:rPr>
            </w:pPr>
            <w:r w:rsidRPr="00B83E1A">
              <w:rPr>
                <w:bCs/>
                <w:sz w:val="18"/>
                <w:szCs w:val="18"/>
                <w:lang w:val="es-ES" w:bidi="th-TH"/>
              </w:rPr>
              <w:t>Ghana (en curso)</w:t>
            </w:r>
          </w:p>
          <w:p w14:paraId="5B76C670" w14:textId="77777777" w:rsidR="00067534" w:rsidRPr="00B83E1A" w:rsidRDefault="00067534" w:rsidP="004E65E7">
            <w:pPr>
              <w:rPr>
                <w:sz w:val="18"/>
                <w:szCs w:val="18"/>
                <w:lang w:val="es-ES"/>
              </w:rPr>
            </w:pPr>
          </w:p>
        </w:tc>
      </w:tr>
      <w:tr w:rsidR="00067534" w:rsidRPr="00B83E1A" w14:paraId="3D455AFB" w14:textId="77777777" w:rsidTr="004E65E7">
        <w:trPr>
          <w:jc w:val="center"/>
        </w:trPr>
        <w:tc>
          <w:tcPr>
            <w:tcW w:w="1398" w:type="dxa"/>
            <w:vMerge/>
          </w:tcPr>
          <w:p w14:paraId="19B8CAAB" w14:textId="77777777" w:rsidR="00067534" w:rsidRPr="00B83E1A" w:rsidRDefault="00067534" w:rsidP="004E65E7">
            <w:pPr>
              <w:rPr>
                <w:sz w:val="18"/>
                <w:szCs w:val="18"/>
                <w:lang w:val="es-ES"/>
              </w:rPr>
            </w:pPr>
          </w:p>
        </w:tc>
        <w:tc>
          <w:tcPr>
            <w:tcW w:w="2693" w:type="dxa"/>
            <w:gridSpan w:val="2"/>
            <w:vMerge/>
          </w:tcPr>
          <w:p w14:paraId="6143C5A1" w14:textId="77777777" w:rsidR="00067534" w:rsidRPr="00B83E1A" w:rsidRDefault="00067534" w:rsidP="004E65E7">
            <w:pPr>
              <w:rPr>
                <w:sz w:val="18"/>
                <w:szCs w:val="18"/>
                <w:lang w:val="es-ES"/>
              </w:rPr>
            </w:pPr>
          </w:p>
        </w:tc>
        <w:tc>
          <w:tcPr>
            <w:tcW w:w="2126" w:type="dxa"/>
            <w:gridSpan w:val="2"/>
            <w:vMerge/>
          </w:tcPr>
          <w:p w14:paraId="0001A495" w14:textId="77777777" w:rsidR="00067534" w:rsidRPr="00B83E1A" w:rsidRDefault="00067534" w:rsidP="004E65E7">
            <w:pPr>
              <w:rPr>
                <w:i/>
                <w:sz w:val="18"/>
                <w:szCs w:val="18"/>
                <w:lang w:val="es-ES"/>
              </w:rPr>
            </w:pPr>
          </w:p>
        </w:tc>
        <w:tc>
          <w:tcPr>
            <w:tcW w:w="3011" w:type="dxa"/>
            <w:gridSpan w:val="3"/>
          </w:tcPr>
          <w:p w14:paraId="5A139B9A" w14:textId="77777777" w:rsidR="00067534" w:rsidRPr="00B83E1A" w:rsidRDefault="00067534" w:rsidP="004E65E7">
            <w:pPr>
              <w:spacing w:after="120"/>
              <w:rPr>
                <w:sz w:val="18"/>
                <w:szCs w:val="18"/>
                <w:lang w:val="es-ES"/>
              </w:rPr>
            </w:pPr>
            <w:r w:rsidRPr="00B83E1A">
              <w:rPr>
                <w:sz w:val="18"/>
                <w:szCs w:val="18"/>
                <w:lang w:val="es-ES"/>
              </w:rPr>
              <w:t>Consultas en curso con ocho países (Botswana, Burundi, Chad, Congo, Gambia, Mauricio, Seychelles y República Unida de Tanzanía)</w:t>
            </w:r>
          </w:p>
        </w:tc>
      </w:tr>
      <w:tr w:rsidR="00067534" w:rsidRPr="00B83E1A" w14:paraId="378C4F16" w14:textId="77777777" w:rsidTr="004E65E7">
        <w:trPr>
          <w:jc w:val="center"/>
        </w:trPr>
        <w:tc>
          <w:tcPr>
            <w:tcW w:w="1398" w:type="dxa"/>
            <w:vMerge/>
          </w:tcPr>
          <w:p w14:paraId="28C03670" w14:textId="77777777" w:rsidR="00067534" w:rsidRPr="00B83E1A" w:rsidRDefault="00067534" w:rsidP="004E65E7">
            <w:pPr>
              <w:rPr>
                <w:sz w:val="18"/>
                <w:szCs w:val="18"/>
                <w:lang w:val="es-ES"/>
              </w:rPr>
            </w:pPr>
          </w:p>
        </w:tc>
        <w:tc>
          <w:tcPr>
            <w:tcW w:w="2693" w:type="dxa"/>
            <w:gridSpan w:val="2"/>
            <w:vMerge/>
          </w:tcPr>
          <w:p w14:paraId="70F525B3" w14:textId="77777777" w:rsidR="00067534" w:rsidRPr="00B83E1A" w:rsidRDefault="00067534" w:rsidP="004E65E7">
            <w:pPr>
              <w:rPr>
                <w:sz w:val="18"/>
                <w:szCs w:val="18"/>
                <w:lang w:val="es-ES"/>
              </w:rPr>
            </w:pPr>
          </w:p>
        </w:tc>
        <w:tc>
          <w:tcPr>
            <w:tcW w:w="2126" w:type="dxa"/>
            <w:gridSpan w:val="2"/>
            <w:vMerge/>
          </w:tcPr>
          <w:p w14:paraId="07B43B04" w14:textId="77777777" w:rsidR="00067534" w:rsidRPr="00B83E1A" w:rsidRDefault="00067534" w:rsidP="004E65E7">
            <w:pPr>
              <w:rPr>
                <w:i/>
                <w:sz w:val="18"/>
                <w:szCs w:val="18"/>
                <w:lang w:val="es-ES"/>
              </w:rPr>
            </w:pPr>
          </w:p>
        </w:tc>
        <w:tc>
          <w:tcPr>
            <w:tcW w:w="3011" w:type="dxa"/>
            <w:gridSpan w:val="3"/>
          </w:tcPr>
          <w:p w14:paraId="2848CD04" w14:textId="77777777" w:rsidR="00067534" w:rsidRPr="00B83E1A" w:rsidRDefault="00067534" w:rsidP="00067534">
            <w:pPr>
              <w:numPr>
                <w:ilvl w:val="0"/>
                <w:numId w:val="13"/>
              </w:numPr>
              <w:rPr>
                <w:sz w:val="18"/>
                <w:szCs w:val="18"/>
                <w:lang w:val="es-ES" w:bidi="th-TH"/>
              </w:rPr>
            </w:pPr>
            <w:r w:rsidRPr="00B83E1A">
              <w:rPr>
                <w:sz w:val="18"/>
                <w:szCs w:val="18"/>
                <w:lang w:val="es-ES" w:bidi="th-TH"/>
              </w:rPr>
              <w:t>Botswana (estrategia de P.I.)</w:t>
            </w:r>
          </w:p>
          <w:p w14:paraId="0BEDCDA6" w14:textId="77777777" w:rsidR="00067534" w:rsidRPr="00B83E1A" w:rsidRDefault="00067534" w:rsidP="00067534">
            <w:pPr>
              <w:numPr>
                <w:ilvl w:val="0"/>
                <w:numId w:val="13"/>
              </w:numPr>
              <w:rPr>
                <w:sz w:val="18"/>
                <w:szCs w:val="18"/>
                <w:lang w:val="es-ES" w:bidi="th-TH"/>
              </w:rPr>
            </w:pPr>
            <w:r w:rsidRPr="00B83E1A">
              <w:rPr>
                <w:sz w:val="18"/>
                <w:szCs w:val="18"/>
                <w:lang w:val="es-ES" w:bidi="th-TH"/>
              </w:rPr>
              <w:t>Gambia (estrategia y política de P.I.)</w:t>
            </w:r>
          </w:p>
          <w:p w14:paraId="3CF71FD0" w14:textId="77777777" w:rsidR="00067534" w:rsidRPr="00B83E1A" w:rsidRDefault="00067534" w:rsidP="00067534">
            <w:pPr>
              <w:numPr>
                <w:ilvl w:val="0"/>
                <w:numId w:val="13"/>
              </w:numPr>
              <w:rPr>
                <w:sz w:val="18"/>
                <w:szCs w:val="18"/>
                <w:lang w:val="es-ES" w:bidi="th-TH"/>
              </w:rPr>
            </w:pPr>
            <w:r w:rsidRPr="00B83E1A">
              <w:rPr>
                <w:sz w:val="18"/>
                <w:szCs w:val="18"/>
                <w:lang w:val="es-ES" w:bidi="th-TH"/>
              </w:rPr>
              <w:t>Seychelles (política de P.I.)</w:t>
            </w:r>
          </w:p>
          <w:p w14:paraId="6F8C457A" w14:textId="77777777" w:rsidR="00067534" w:rsidRPr="00B83E1A" w:rsidRDefault="00067534" w:rsidP="00067534">
            <w:pPr>
              <w:numPr>
                <w:ilvl w:val="0"/>
                <w:numId w:val="13"/>
              </w:numPr>
              <w:rPr>
                <w:sz w:val="18"/>
                <w:szCs w:val="18"/>
                <w:lang w:val="es-ES" w:bidi="th-TH"/>
              </w:rPr>
            </w:pPr>
            <w:r w:rsidRPr="00B83E1A">
              <w:rPr>
                <w:sz w:val="18"/>
                <w:szCs w:val="18"/>
                <w:lang w:val="es-ES" w:bidi="th-TH"/>
              </w:rPr>
              <w:t>Mauricio (política de P.I.)</w:t>
            </w:r>
          </w:p>
          <w:p w14:paraId="73524E21" w14:textId="77777777" w:rsidR="00067534" w:rsidRPr="00B83E1A" w:rsidRDefault="00067534" w:rsidP="004E65E7">
            <w:pPr>
              <w:spacing w:after="120"/>
              <w:rPr>
                <w:sz w:val="18"/>
                <w:szCs w:val="18"/>
                <w:lang w:val="es-ES"/>
              </w:rPr>
            </w:pPr>
            <w:r w:rsidRPr="00B83E1A">
              <w:rPr>
                <w:sz w:val="18"/>
                <w:szCs w:val="18"/>
                <w:lang w:val="es-ES" w:bidi="th-TH"/>
              </w:rPr>
              <w:t xml:space="preserve">República Unida de Tanzanía (estrategia y política de P.I.)  </w:t>
            </w:r>
          </w:p>
        </w:tc>
      </w:tr>
      <w:tr w:rsidR="00067534" w:rsidRPr="00B83E1A" w14:paraId="12C77FE9" w14:textId="77777777" w:rsidTr="004E65E7">
        <w:trPr>
          <w:jc w:val="center"/>
        </w:trPr>
        <w:tc>
          <w:tcPr>
            <w:tcW w:w="1398" w:type="dxa"/>
            <w:vMerge/>
          </w:tcPr>
          <w:p w14:paraId="1CC2C5A7" w14:textId="77777777" w:rsidR="00067534" w:rsidRPr="00B83E1A" w:rsidRDefault="00067534" w:rsidP="004E65E7">
            <w:pPr>
              <w:rPr>
                <w:sz w:val="18"/>
                <w:szCs w:val="18"/>
                <w:lang w:val="es-ES"/>
              </w:rPr>
            </w:pPr>
          </w:p>
        </w:tc>
        <w:tc>
          <w:tcPr>
            <w:tcW w:w="2693" w:type="dxa"/>
            <w:gridSpan w:val="2"/>
            <w:vMerge/>
          </w:tcPr>
          <w:p w14:paraId="77255628" w14:textId="77777777" w:rsidR="00067534" w:rsidRPr="00B83E1A" w:rsidRDefault="00067534" w:rsidP="004E65E7">
            <w:pPr>
              <w:rPr>
                <w:sz w:val="18"/>
                <w:szCs w:val="18"/>
                <w:lang w:val="es-ES"/>
              </w:rPr>
            </w:pPr>
          </w:p>
        </w:tc>
        <w:tc>
          <w:tcPr>
            <w:tcW w:w="2126" w:type="dxa"/>
            <w:gridSpan w:val="2"/>
          </w:tcPr>
          <w:p w14:paraId="6E67291A" w14:textId="40B90A61" w:rsidR="00067534" w:rsidRPr="00B83E1A" w:rsidRDefault="00067534" w:rsidP="004E65E7">
            <w:pPr>
              <w:rPr>
                <w:sz w:val="18"/>
                <w:szCs w:val="18"/>
                <w:lang w:val="es-ES" w:bidi="th-TH"/>
              </w:rPr>
            </w:pPr>
            <w:r w:rsidRPr="00B83E1A">
              <w:rPr>
                <w:sz w:val="18"/>
                <w:szCs w:val="18"/>
                <w:lang w:val="es-ES" w:bidi="th-TH"/>
              </w:rPr>
              <w:t>Número de países con mecanismos adecuados para el desarrollo y la aplicación de estrategias de P.I</w:t>
            </w:r>
            <w:r w:rsidR="004E65E7" w:rsidRPr="00B83E1A">
              <w:rPr>
                <w:sz w:val="18"/>
                <w:szCs w:val="18"/>
                <w:lang w:val="es-ES" w:bidi="th-TH"/>
              </w:rPr>
              <w:t>. (</w:t>
            </w:r>
            <w:r w:rsidRPr="00B83E1A">
              <w:rPr>
                <w:sz w:val="18"/>
                <w:szCs w:val="18"/>
                <w:lang w:val="es-ES" w:bidi="th-TH"/>
              </w:rPr>
              <w:t>región de los países árabes)</w:t>
            </w:r>
          </w:p>
          <w:p w14:paraId="06A0ABEE" w14:textId="77777777" w:rsidR="00067534" w:rsidRPr="00B83E1A" w:rsidRDefault="00067534" w:rsidP="004E65E7">
            <w:pPr>
              <w:rPr>
                <w:sz w:val="18"/>
                <w:szCs w:val="18"/>
                <w:lang w:val="es-ES"/>
              </w:rPr>
            </w:pPr>
          </w:p>
        </w:tc>
        <w:tc>
          <w:tcPr>
            <w:tcW w:w="3011" w:type="dxa"/>
            <w:gridSpan w:val="3"/>
          </w:tcPr>
          <w:p w14:paraId="5CF08913" w14:textId="77777777" w:rsidR="00067534" w:rsidRPr="00B83E1A" w:rsidRDefault="00067534" w:rsidP="004E65E7">
            <w:pPr>
              <w:rPr>
                <w:sz w:val="18"/>
                <w:szCs w:val="18"/>
                <w:lang w:val="es-ES"/>
              </w:rPr>
            </w:pPr>
            <w:r w:rsidRPr="00B83E1A">
              <w:rPr>
                <w:sz w:val="18"/>
                <w:szCs w:val="18"/>
                <w:lang w:val="es-ES"/>
              </w:rPr>
              <w:t>Tres países (Argelia, Omán y Qatar).</w:t>
            </w:r>
          </w:p>
        </w:tc>
      </w:tr>
      <w:tr w:rsidR="00067534" w:rsidRPr="00B83E1A" w14:paraId="34ED429C" w14:textId="77777777" w:rsidTr="004E65E7">
        <w:trPr>
          <w:jc w:val="center"/>
        </w:trPr>
        <w:tc>
          <w:tcPr>
            <w:tcW w:w="1398" w:type="dxa"/>
            <w:vMerge/>
          </w:tcPr>
          <w:p w14:paraId="0A82D79A" w14:textId="77777777" w:rsidR="00067534" w:rsidRPr="00B83E1A" w:rsidRDefault="00067534" w:rsidP="004E65E7">
            <w:pPr>
              <w:rPr>
                <w:sz w:val="18"/>
                <w:szCs w:val="18"/>
                <w:lang w:val="es-ES"/>
              </w:rPr>
            </w:pPr>
          </w:p>
        </w:tc>
        <w:tc>
          <w:tcPr>
            <w:tcW w:w="2693" w:type="dxa"/>
            <w:gridSpan w:val="2"/>
            <w:vMerge/>
          </w:tcPr>
          <w:p w14:paraId="5895ED22" w14:textId="77777777" w:rsidR="00067534" w:rsidRPr="00B83E1A" w:rsidRDefault="00067534" w:rsidP="004E65E7">
            <w:pPr>
              <w:rPr>
                <w:sz w:val="18"/>
                <w:szCs w:val="18"/>
                <w:lang w:val="es-ES"/>
              </w:rPr>
            </w:pPr>
          </w:p>
        </w:tc>
        <w:tc>
          <w:tcPr>
            <w:tcW w:w="2126" w:type="dxa"/>
            <w:gridSpan w:val="2"/>
          </w:tcPr>
          <w:p w14:paraId="0AB7286B" w14:textId="65FE3D5A" w:rsidR="00067534" w:rsidRPr="00B83E1A" w:rsidRDefault="00067534" w:rsidP="004E65E7">
            <w:pPr>
              <w:rPr>
                <w:sz w:val="18"/>
                <w:szCs w:val="18"/>
                <w:lang w:val="es-ES" w:bidi="th-TH"/>
              </w:rPr>
            </w:pPr>
            <w:r w:rsidRPr="00B83E1A">
              <w:rPr>
                <w:sz w:val="18"/>
                <w:szCs w:val="18"/>
                <w:lang w:val="es-ES" w:bidi="th-TH"/>
              </w:rPr>
              <w:t>Número de países con iniciativas vinculadas a los planes nacionales de P.I</w:t>
            </w:r>
            <w:r w:rsidR="004E65E7" w:rsidRPr="00B83E1A">
              <w:rPr>
                <w:sz w:val="18"/>
                <w:szCs w:val="18"/>
                <w:lang w:val="es-ES" w:bidi="th-TH"/>
              </w:rPr>
              <w:t>. (</w:t>
            </w:r>
            <w:r w:rsidRPr="00B83E1A">
              <w:rPr>
                <w:sz w:val="18"/>
                <w:szCs w:val="18"/>
                <w:lang w:val="es-ES" w:bidi="th-TH"/>
              </w:rPr>
              <w:t>región de los países árabes)</w:t>
            </w:r>
          </w:p>
          <w:p w14:paraId="2F963609" w14:textId="77777777" w:rsidR="00067534" w:rsidRPr="00B83E1A" w:rsidRDefault="00067534" w:rsidP="004E65E7">
            <w:pPr>
              <w:rPr>
                <w:sz w:val="18"/>
                <w:szCs w:val="18"/>
                <w:lang w:val="es-ES"/>
              </w:rPr>
            </w:pPr>
          </w:p>
        </w:tc>
        <w:tc>
          <w:tcPr>
            <w:tcW w:w="3011" w:type="dxa"/>
            <w:gridSpan w:val="3"/>
          </w:tcPr>
          <w:p w14:paraId="5D35E259" w14:textId="77777777" w:rsidR="009A700A" w:rsidRPr="00B83E1A" w:rsidRDefault="00067534" w:rsidP="004E65E7">
            <w:pPr>
              <w:rPr>
                <w:sz w:val="18"/>
                <w:szCs w:val="18"/>
                <w:lang w:val="es-ES"/>
              </w:rPr>
            </w:pPr>
            <w:r w:rsidRPr="00B83E1A">
              <w:rPr>
                <w:sz w:val="18"/>
                <w:szCs w:val="18"/>
                <w:lang w:val="es-ES"/>
              </w:rPr>
              <w:t>Tres países (Argelia, Egipto y el Yemen)</w:t>
            </w:r>
            <w:r w:rsidR="009A700A" w:rsidRPr="00B83E1A">
              <w:rPr>
                <w:sz w:val="18"/>
                <w:szCs w:val="18"/>
                <w:lang w:val="es-ES"/>
              </w:rPr>
              <w:t>.</w:t>
            </w:r>
          </w:p>
          <w:p w14:paraId="1823EAA4" w14:textId="1B566A3A" w:rsidR="00067534" w:rsidRPr="00B83E1A" w:rsidRDefault="00067534" w:rsidP="004E65E7">
            <w:pPr>
              <w:rPr>
                <w:sz w:val="18"/>
                <w:szCs w:val="18"/>
                <w:lang w:val="es-ES"/>
              </w:rPr>
            </w:pPr>
          </w:p>
        </w:tc>
      </w:tr>
      <w:tr w:rsidR="00067534" w:rsidRPr="00B83E1A" w14:paraId="7C20827B" w14:textId="77777777" w:rsidTr="004E65E7">
        <w:trPr>
          <w:jc w:val="center"/>
        </w:trPr>
        <w:tc>
          <w:tcPr>
            <w:tcW w:w="1398" w:type="dxa"/>
            <w:vMerge/>
          </w:tcPr>
          <w:p w14:paraId="0D213AE2" w14:textId="77777777" w:rsidR="00067534" w:rsidRPr="00B83E1A" w:rsidRDefault="00067534" w:rsidP="004E65E7">
            <w:pPr>
              <w:rPr>
                <w:sz w:val="18"/>
                <w:szCs w:val="18"/>
                <w:lang w:val="es-ES"/>
              </w:rPr>
            </w:pPr>
          </w:p>
        </w:tc>
        <w:tc>
          <w:tcPr>
            <w:tcW w:w="2693" w:type="dxa"/>
            <w:gridSpan w:val="2"/>
            <w:vMerge/>
          </w:tcPr>
          <w:p w14:paraId="4EDCAC45" w14:textId="77777777" w:rsidR="00067534" w:rsidRPr="00B83E1A" w:rsidRDefault="00067534" w:rsidP="004E65E7">
            <w:pPr>
              <w:rPr>
                <w:sz w:val="18"/>
                <w:szCs w:val="18"/>
                <w:lang w:val="es-ES"/>
              </w:rPr>
            </w:pPr>
          </w:p>
        </w:tc>
        <w:tc>
          <w:tcPr>
            <w:tcW w:w="2126" w:type="dxa"/>
            <w:gridSpan w:val="2"/>
          </w:tcPr>
          <w:p w14:paraId="0D293B66" w14:textId="4BFA4464" w:rsidR="00067534" w:rsidRPr="00B83E1A" w:rsidRDefault="00067534" w:rsidP="002135A9">
            <w:pPr>
              <w:rPr>
                <w:sz w:val="18"/>
                <w:szCs w:val="18"/>
                <w:lang w:val="es-ES"/>
              </w:rPr>
            </w:pPr>
            <w:r w:rsidRPr="00B83E1A">
              <w:rPr>
                <w:sz w:val="18"/>
                <w:szCs w:val="18"/>
                <w:lang w:val="es-ES" w:bidi="th-TH"/>
              </w:rPr>
              <w:t>Número de países con políticas y estrategias de P.I. en curso de aprobación (Asia y el Pacífico).</w:t>
            </w:r>
          </w:p>
        </w:tc>
        <w:tc>
          <w:tcPr>
            <w:tcW w:w="3011" w:type="dxa"/>
            <w:gridSpan w:val="3"/>
          </w:tcPr>
          <w:p w14:paraId="01D86505" w14:textId="77777777" w:rsidR="00067534" w:rsidRPr="00B83E1A" w:rsidRDefault="00067534" w:rsidP="004E65E7">
            <w:pPr>
              <w:rPr>
                <w:sz w:val="18"/>
                <w:szCs w:val="18"/>
                <w:lang w:val="es-ES" w:bidi="th-TH"/>
              </w:rPr>
            </w:pPr>
            <w:r w:rsidRPr="00B83E1A">
              <w:rPr>
                <w:sz w:val="18"/>
                <w:szCs w:val="18"/>
                <w:lang w:val="es-ES" w:bidi="th-TH"/>
              </w:rPr>
              <w:t>Esta labor está en curso en seis países:  Camboya, Nepal, las Islas Salomón, Tonga, Vanuatu y Viet Nam.</w:t>
            </w:r>
          </w:p>
          <w:p w14:paraId="65A81452" w14:textId="77777777" w:rsidR="00067534" w:rsidRPr="00B83E1A" w:rsidRDefault="00067534" w:rsidP="004E65E7">
            <w:pPr>
              <w:rPr>
                <w:sz w:val="18"/>
                <w:szCs w:val="18"/>
                <w:lang w:val="es-ES"/>
              </w:rPr>
            </w:pPr>
          </w:p>
        </w:tc>
      </w:tr>
      <w:tr w:rsidR="00067534" w:rsidRPr="00B83E1A" w14:paraId="57F229B3" w14:textId="77777777" w:rsidTr="004E65E7">
        <w:trPr>
          <w:jc w:val="center"/>
        </w:trPr>
        <w:tc>
          <w:tcPr>
            <w:tcW w:w="1398" w:type="dxa"/>
            <w:vMerge/>
          </w:tcPr>
          <w:p w14:paraId="063A99D4" w14:textId="77777777" w:rsidR="00067534" w:rsidRPr="00B83E1A" w:rsidRDefault="00067534" w:rsidP="004E65E7">
            <w:pPr>
              <w:rPr>
                <w:sz w:val="18"/>
                <w:szCs w:val="18"/>
                <w:lang w:val="es-ES"/>
              </w:rPr>
            </w:pPr>
          </w:p>
        </w:tc>
        <w:tc>
          <w:tcPr>
            <w:tcW w:w="2693" w:type="dxa"/>
            <w:gridSpan w:val="2"/>
            <w:vMerge/>
          </w:tcPr>
          <w:p w14:paraId="112C1849" w14:textId="77777777" w:rsidR="00067534" w:rsidRPr="00B83E1A" w:rsidRDefault="00067534" w:rsidP="004E65E7">
            <w:pPr>
              <w:rPr>
                <w:sz w:val="18"/>
                <w:szCs w:val="18"/>
                <w:lang w:val="es-ES"/>
              </w:rPr>
            </w:pPr>
          </w:p>
        </w:tc>
        <w:tc>
          <w:tcPr>
            <w:tcW w:w="2126" w:type="dxa"/>
            <w:gridSpan w:val="2"/>
          </w:tcPr>
          <w:p w14:paraId="65FEBB0F" w14:textId="2B7E8A02" w:rsidR="002135A9" w:rsidRPr="00B83E1A" w:rsidRDefault="00067534" w:rsidP="002135A9">
            <w:pPr>
              <w:rPr>
                <w:sz w:val="18"/>
                <w:szCs w:val="18"/>
                <w:lang w:val="es-ES" w:bidi="th-TH"/>
              </w:rPr>
            </w:pPr>
            <w:r w:rsidRPr="00B83E1A">
              <w:rPr>
                <w:sz w:val="18"/>
                <w:szCs w:val="18"/>
                <w:lang w:val="es-ES" w:bidi="th-TH"/>
              </w:rPr>
              <w:t>Número de países que han adoptado políticas y estrategias de P.I</w:t>
            </w:r>
            <w:r w:rsidR="004E65E7" w:rsidRPr="00B83E1A">
              <w:rPr>
                <w:sz w:val="18"/>
                <w:szCs w:val="18"/>
                <w:lang w:val="es-ES" w:bidi="th-TH"/>
              </w:rPr>
              <w:t>.</w:t>
            </w:r>
            <w:r w:rsidR="00D23810" w:rsidRPr="00B83E1A">
              <w:rPr>
                <w:sz w:val="18"/>
                <w:szCs w:val="18"/>
                <w:lang w:val="es-ES" w:bidi="th-TH"/>
              </w:rPr>
              <w:t xml:space="preserve"> (</w:t>
            </w:r>
            <w:r w:rsidRPr="00B83E1A">
              <w:rPr>
                <w:sz w:val="18"/>
                <w:szCs w:val="18"/>
                <w:lang w:val="es-ES" w:bidi="th-TH"/>
              </w:rPr>
              <w:t>Asia y el Pacífico).</w:t>
            </w:r>
          </w:p>
        </w:tc>
        <w:tc>
          <w:tcPr>
            <w:tcW w:w="3011" w:type="dxa"/>
            <w:gridSpan w:val="3"/>
          </w:tcPr>
          <w:p w14:paraId="3AB18895" w14:textId="77777777" w:rsidR="00067534" w:rsidRPr="00B83E1A" w:rsidRDefault="00067534" w:rsidP="004E65E7">
            <w:pPr>
              <w:rPr>
                <w:sz w:val="18"/>
                <w:szCs w:val="18"/>
                <w:lang w:val="es-ES" w:bidi="th-TH"/>
              </w:rPr>
            </w:pPr>
            <w:r w:rsidRPr="00B83E1A">
              <w:rPr>
                <w:sz w:val="18"/>
                <w:szCs w:val="18"/>
                <w:lang w:val="es-ES" w:bidi="th-TH"/>
              </w:rPr>
              <w:t>Tres países han iniciado los procesos de adopción:  Bhután, Mongolia y Samoa.</w:t>
            </w:r>
          </w:p>
          <w:p w14:paraId="785B0C42" w14:textId="77777777" w:rsidR="002135A9" w:rsidRPr="00B83E1A" w:rsidRDefault="002135A9" w:rsidP="004E65E7">
            <w:pPr>
              <w:rPr>
                <w:sz w:val="18"/>
                <w:szCs w:val="18"/>
                <w:lang w:val="es-ES"/>
              </w:rPr>
            </w:pPr>
          </w:p>
        </w:tc>
      </w:tr>
      <w:tr w:rsidR="00067534" w:rsidRPr="00B83E1A" w14:paraId="458FE555" w14:textId="77777777" w:rsidTr="002135A9">
        <w:trPr>
          <w:trHeight w:val="2064"/>
          <w:jc w:val="center"/>
        </w:trPr>
        <w:tc>
          <w:tcPr>
            <w:tcW w:w="1398" w:type="dxa"/>
            <w:vMerge/>
          </w:tcPr>
          <w:p w14:paraId="00369D42" w14:textId="77777777" w:rsidR="00067534" w:rsidRPr="00B83E1A" w:rsidRDefault="00067534" w:rsidP="004E65E7">
            <w:pPr>
              <w:rPr>
                <w:sz w:val="18"/>
                <w:szCs w:val="18"/>
                <w:lang w:val="es-ES"/>
              </w:rPr>
            </w:pPr>
          </w:p>
        </w:tc>
        <w:tc>
          <w:tcPr>
            <w:tcW w:w="2693" w:type="dxa"/>
            <w:gridSpan w:val="2"/>
            <w:vMerge/>
          </w:tcPr>
          <w:p w14:paraId="4A3BAFAA" w14:textId="77777777" w:rsidR="00067534" w:rsidRPr="00B83E1A" w:rsidRDefault="00067534" w:rsidP="004E65E7">
            <w:pPr>
              <w:rPr>
                <w:sz w:val="18"/>
                <w:szCs w:val="18"/>
                <w:lang w:val="es-ES"/>
              </w:rPr>
            </w:pPr>
          </w:p>
        </w:tc>
        <w:tc>
          <w:tcPr>
            <w:tcW w:w="2126" w:type="dxa"/>
            <w:gridSpan w:val="2"/>
          </w:tcPr>
          <w:p w14:paraId="107D3225" w14:textId="6593F05A" w:rsidR="002135A9" w:rsidRPr="00B83E1A" w:rsidRDefault="00067534" w:rsidP="002135A9">
            <w:pPr>
              <w:rPr>
                <w:sz w:val="18"/>
                <w:szCs w:val="18"/>
                <w:lang w:val="es-ES"/>
              </w:rPr>
            </w:pPr>
            <w:r w:rsidRPr="00B83E1A">
              <w:rPr>
                <w:sz w:val="18"/>
                <w:szCs w:val="18"/>
                <w:lang w:val="es-ES" w:bidi="th-TH"/>
              </w:rPr>
              <w:t>Número de países en los que se han realizado actividades/proyectos que hayan contribuido a la formulación de leyes/políticas de P.I</w:t>
            </w:r>
            <w:r w:rsidR="004E65E7" w:rsidRPr="00B83E1A">
              <w:rPr>
                <w:sz w:val="18"/>
                <w:szCs w:val="18"/>
                <w:lang w:val="es-ES" w:bidi="th-TH"/>
              </w:rPr>
              <w:t xml:space="preserve">. </w:t>
            </w:r>
            <w:r w:rsidR="00D23810" w:rsidRPr="00B83E1A">
              <w:rPr>
                <w:sz w:val="18"/>
                <w:szCs w:val="18"/>
                <w:lang w:val="es-ES" w:bidi="th-TH"/>
              </w:rPr>
              <w:t>(</w:t>
            </w:r>
            <w:r w:rsidRPr="00B83E1A">
              <w:rPr>
                <w:sz w:val="18"/>
                <w:szCs w:val="18"/>
                <w:lang w:val="es-ES" w:bidi="th-TH"/>
              </w:rPr>
              <w:t>América Latina y el Caribe).</w:t>
            </w:r>
          </w:p>
        </w:tc>
        <w:tc>
          <w:tcPr>
            <w:tcW w:w="3011" w:type="dxa"/>
            <w:gridSpan w:val="3"/>
          </w:tcPr>
          <w:p w14:paraId="2DF97E33" w14:textId="77777777" w:rsidR="00067534" w:rsidRPr="00B83E1A" w:rsidRDefault="00067534" w:rsidP="004E65E7">
            <w:pPr>
              <w:rPr>
                <w:sz w:val="18"/>
                <w:szCs w:val="18"/>
                <w:lang w:val="es-ES" w:bidi="th-TH"/>
              </w:rPr>
            </w:pPr>
            <w:r w:rsidRPr="00B83E1A">
              <w:rPr>
                <w:sz w:val="18"/>
                <w:szCs w:val="18"/>
                <w:lang w:val="es-ES"/>
              </w:rPr>
              <w:t>Ocho países (el Ecuador, El Salvador, Guatemala, Honduras, Nicaragua, Panamá, la República Dominicana y Trinidad y Tabago).</w:t>
            </w:r>
          </w:p>
          <w:p w14:paraId="576B2C50" w14:textId="77777777" w:rsidR="00067534" w:rsidRPr="00B83E1A" w:rsidRDefault="00067534" w:rsidP="004E65E7">
            <w:pPr>
              <w:rPr>
                <w:sz w:val="18"/>
                <w:szCs w:val="18"/>
                <w:lang w:val="es-ES"/>
              </w:rPr>
            </w:pPr>
          </w:p>
        </w:tc>
      </w:tr>
      <w:tr w:rsidR="00067534" w:rsidRPr="00B83E1A" w14:paraId="1ABACA96" w14:textId="77777777" w:rsidTr="004E65E7">
        <w:trPr>
          <w:jc w:val="center"/>
        </w:trPr>
        <w:tc>
          <w:tcPr>
            <w:tcW w:w="1398" w:type="dxa"/>
            <w:vMerge/>
          </w:tcPr>
          <w:p w14:paraId="3C5DD9C7" w14:textId="77777777" w:rsidR="00067534" w:rsidRPr="00B83E1A" w:rsidRDefault="00067534" w:rsidP="004E65E7">
            <w:pPr>
              <w:rPr>
                <w:sz w:val="18"/>
                <w:szCs w:val="18"/>
                <w:lang w:val="es-ES"/>
              </w:rPr>
            </w:pPr>
          </w:p>
        </w:tc>
        <w:tc>
          <w:tcPr>
            <w:tcW w:w="2693" w:type="dxa"/>
            <w:gridSpan w:val="2"/>
            <w:vMerge/>
          </w:tcPr>
          <w:p w14:paraId="77787058" w14:textId="77777777" w:rsidR="00067534" w:rsidRPr="00B83E1A" w:rsidRDefault="00067534" w:rsidP="004E65E7">
            <w:pPr>
              <w:rPr>
                <w:sz w:val="18"/>
                <w:szCs w:val="18"/>
                <w:lang w:val="es-ES"/>
              </w:rPr>
            </w:pPr>
          </w:p>
        </w:tc>
        <w:tc>
          <w:tcPr>
            <w:tcW w:w="2126" w:type="dxa"/>
            <w:gridSpan w:val="2"/>
          </w:tcPr>
          <w:p w14:paraId="627AE3FE" w14:textId="6A969059" w:rsidR="00067534" w:rsidRPr="00B83E1A" w:rsidRDefault="00067534" w:rsidP="004E65E7">
            <w:pPr>
              <w:spacing w:after="120"/>
              <w:rPr>
                <w:i/>
                <w:sz w:val="18"/>
                <w:szCs w:val="18"/>
                <w:lang w:val="es-ES"/>
              </w:rPr>
            </w:pPr>
            <w:r w:rsidRPr="00B83E1A">
              <w:rPr>
                <w:sz w:val="18"/>
                <w:szCs w:val="18"/>
                <w:lang w:val="es-ES" w:bidi="th-TH"/>
              </w:rPr>
              <w:t>Número de países en los que se han realizado actividades/proyectos que hayan contribuido a la aplicación de estrategias/políticas de P.I</w:t>
            </w:r>
            <w:r w:rsidR="004E65E7" w:rsidRPr="00B83E1A">
              <w:rPr>
                <w:sz w:val="18"/>
                <w:szCs w:val="18"/>
                <w:lang w:val="es-ES" w:bidi="th-TH"/>
              </w:rPr>
              <w:t>.</w:t>
            </w:r>
            <w:r w:rsidR="00D23810" w:rsidRPr="00B83E1A">
              <w:rPr>
                <w:sz w:val="18"/>
                <w:szCs w:val="18"/>
                <w:lang w:val="es-ES" w:bidi="th-TH"/>
              </w:rPr>
              <w:t xml:space="preserve"> (</w:t>
            </w:r>
            <w:r w:rsidRPr="00B83E1A">
              <w:rPr>
                <w:sz w:val="18"/>
                <w:szCs w:val="18"/>
                <w:lang w:val="es-ES" w:bidi="th-TH"/>
              </w:rPr>
              <w:t>América Latina y el Caribe).</w:t>
            </w:r>
          </w:p>
        </w:tc>
        <w:tc>
          <w:tcPr>
            <w:tcW w:w="3011" w:type="dxa"/>
            <w:gridSpan w:val="3"/>
          </w:tcPr>
          <w:p w14:paraId="1F896336" w14:textId="77777777" w:rsidR="00067534" w:rsidRPr="00B83E1A" w:rsidRDefault="00067534" w:rsidP="004E65E7">
            <w:pPr>
              <w:rPr>
                <w:sz w:val="18"/>
                <w:szCs w:val="18"/>
                <w:lang w:val="es-ES" w:bidi="th-TH"/>
              </w:rPr>
            </w:pPr>
            <w:r w:rsidRPr="00B83E1A">
              <w:rPr>
                <w:sz w:val="18"/>
                <w:szCs w:val="18"/>
                <w:lang w:val="es-ES"/>
              </w:rPr>
              <w:t>Cinco países (la Argentina, Barbados, Colombia, Costa Rica y el Uruguay)</w:t>
            </w:r>
          </w:p>
          <w:p w14:paraId="74AFE395" w14:textId="77777777" w:rsidR="00067534" w:rsidRPr="00B83E1A" w:rsidRDefault="00067534" w:rsidP="004E65E7">
            <w:pPr>
              <w:rPr>
                <w:sz w:val="18"/>
                <w:szCs w:val="18"/>
                <w:lang w:val="es-ES"/>
              </w:rPr>
            </w:pPr>
          </w:p>
        </w:tc>
      </w:tr>
      <w:tr w:rsidR="00067534" w:rsidRPr="00B83E1A" w14:paraId="6605B4E8" w14:textId="77777777" w:rsidTr="004E65E7">
        <w:trPr>
          <w:jc w:val="center"/>
        </w:trPr>
        <w:tc>
          <w:tcPr>
            <w:tcW w:w="1398" w:type="dxa"/>
            <w:vMerge/>
          </w:tcPr>
          <w:p w14:paraId="0AFA8EEC" w14:textId="77777777" w:rsidR="00067534" w:rsidRPr="00B83E1A" w:rsidRDefault="00067534" w:rsidP="004E65E7">
            <w:pPr>
              <w:rPr>
                <w:sz w:val="18"/>
                <w:szCs w:val="18"/>
                <w:lang w:val="es-ES"/>
              </w:rPr>
            </w:pPr>
          </w:p>
        </w:tc>
        <w:tc>
          <w:tcPr>
            <w:tcW w:w="2693" w:type="dxa"/>
            <w:gridSpan w:val="2"/>
            <w:vMerge/>
          </w:tcPr>
          <w:p w14:paraId="4949B093" w14:textId="77777777" w:rsidR="00067534" w:rsidRPr="00B83E1A" w:rsidRDefault="00067534" w:rsidP="004E65E7">
            <w:pPr>
              <w:rPr>
                <w:sz w:val="18"/>
                <w:szCs w:val="18"/>
                <w:lang w:val="es-ES"/>
              </w:rPr>
            </w:pPr>
          </w:p>
        </w:tc>
        <w:tc>
          <w:tcPr>
            <w:tcW w:w="2126" w:type="dxa"/>
            <w:gridSpan w:val="2"/>
          </w:tcPr>
          <w:p w14:paraId="2B07E420" w14:textId="208B5AA8" w:rsidR="00067534" w:rsidRPr="00B83E1A" w:rsidRDefault="00067534" w:rsidP="004E65E7">
            <w:pPr>
              <w:spacing w:after="120"/>
              <w:rPr>
                <w:i/>
                <w:sz w:val="18"/>
                <w:szCs w:val="18"/>
                <w:lang w:val="es-ES"/>
              </w:rPr>
            </w:pPr>
            <w:r w:rsidRPr="00B83E1A">
              <w:rPr>
                <w:sz w:val="18"/>
                <w:szCs w:val="18"/>
                <w:lang w:val="es-ES" w:bidi="th-TH"/>
              </w:rPr>
              <w:t>Número de PMA que han incluido consideraciones de P.I. propias de los PMA en sus estrategias y/o políticas nacionales de P.I</w:t>
            </w:r>
            <w:r w:rsidR="004E65E7" w:rsidRPr="00B83E1A">
              <w:rPr>
                <w:sz w:val="18"/>
                <w:szCs w:val="18"/>
                <w:lang w:val="es-ES" w:bidi="th-TH"/>
              </w:rPr>
              <w:t xml:space="preserve">. </w:t>
            </w:r>
            <w:r w:rsidR="00D23810" w:rsidRPr="00B83E1A">
              <w:rPr>
                <w:sz w:val="18"/>
                <w:szCs w:val="18"/>
                <w:lang w:val="es-ES" w:bidi="th-TH"/>
              </w:rPr>
              <w:t>(</w:t>
            </w:r>
            <w:r w:rsidRPr="00B83E1A">
              <w:rPr>
                <w:sz w:val="18"/>
                <w:szCs w:val="18"/>
                <w:lang w:val="es-ES" w:bidi="th-TH"/>
              </w:rPr>
              <w:t>PMA).</w:t>
            </w:r>
          </w:p>
        </w:tc>
        <w:tc>
          <w:tcPr>
            <w:tcW w:w="3011" w:type="dxa"/>
            <w:gridSpan w:val="3"/>
          </w:tcPr>
          <w:p w14:paraId="68C7689A" w14:textId="77777777" w:rsidR="00067534" w:rsidRPr="00B83E1A" w:rsidRDefault="00067534" w:rsidP="004E65E7">
            <w:pPr>
              <w:rPr>
                <w:sz w:val="18"/>
                <w:szCs w:val="18"/>
                <w:lang w:val="es-ES" w:bidi="th-TH"/>
              </w:rPr>
            </w:pPr>
            <w:r w:rsidRPr="00B83E1A">
              <w:rPr>
                <w:sz w:val="18"/>
                <w:szCs w:val="18"/>
                <w:lang w:val="es-ES"/>
              </w:rPr>
              <w:t>Tres PMA (Bangladesh, Etiopía y Madagascar)</w:t>
            </w:r>
          </w:p>
          <w:p w14:paraId="4504D900" w14:textId="77777777" w:rsidR="00067534" w:rsidRPr="00B83E1A" w:rsidRDefault="00067534" w:rsidP="004E65E7">
            <w:pPr>
              <w:rPr>
                <w:sz w:val="18"/>
                <w:szCs w:val="18"/>
                <w:lang w:val="es-ES"/>
              </w:rPr>
            </w:pPr>
          </w:p>
        </w:tc>
      </w:tr>
      <w:tr w:rsidR="00067534" w:rsidRPr="00B83E1A" w14:paraId="5281E178" w14:textId="77777777" w:rsidTr="004E65E7">
        <w:trPr>
          <w:jc w:val="center"/>
        </w:trPr>
        <w:tc>
          <w:tcPr>
            <w:tcW w:w="1398" w:type="dxa"/>
            <w:vMerge/>
          </w:tcPr>
          <w:p w14:paraId="03FA154E" w14:textId="77777777" w:rsidR="00067534" w:rsidRPr="00B83E1A" w:rsidRDefault="00067534" w:rsidP="004E65E7">
            <w:pPr>
              <w:rPr>
                <w:sz w:val="18"/>
                <w:szCs w:val="18"/>
                <w:lang w:val="es-ES"/>
              </w:rPr>
            </w:pPr>
          </w:p>
        </w:tc>
        <w:tc>
          <w:tcPr>
            <w:tcW w:w="2693" w:type="dxa"/>
            <w:gridSpan w:val="2"/>
            <w:vMerge/>
          </w:tcPr>
          <w:p w14:paraId="2C100FD4" w14:textId="77777777" w:rsidR="00067534" w:rsidRPr="00B83E1A" w:rsidRDefault="00067534" w:rsidP="004E65E7">
            <w:pPr>
              <w:rPr>
                <w:sz w:val="18"/>
                <w:szCs w:val="18"/>
                <w:lang w:val="es-ES"/>
              </w:rPr>
            </w:pPr>
          </w:p>
        </w:tc>
        <w:tc>
          <w:tcPr>
            <w:tcW w:w="2126" w:type="dxa"/>
            <w:gridSpan w:val="2"/>
          </w:tcPr>
          <w:p w14:paraId="7F3BFE38" w14:textId="77777777" w:rsidR="00067534" w:rsidRPr="00B83E1A" w:rsidRDefault="00067534" w:rsidP="004E65E7">
            <w:pPr>
              <w:rPr>
                <w:i/>
                <w:sz w:val="18"/>
                <w:szCs w:val="18"/>
                <w:lang w:val="es-ES"/>
              </w:rPr>
            </w:pPr>
            <w:r w:rsidRPr="00B83E1A">
              <w:rPr>
                <w:sz w:val="18"/>
                <w:szCs w:val="18"/>
                <w:lang w:val="es-ES" w:bidi="th-TH"/>
              </w:rPr>
              <w:t>Número de países que han elaborado estrategias o planes nacionales combinados con metas nacionales de desarrollo.</w:t>
            </w:r>
          </w:p>
        </w:tc>
        <w:tc>
          <w:tcPr>
            <w:tcW w:w="3011" w:type="dxa"/>
            <w:gridSpan w:val="3"/>
          </w:tcPr>
          <w:p w14:paraId="3B94B21D" w14:textId="77777777" w:rsidR="00067534" w:rsidRPr="00B83E1A" w:rsidRDefault="00067534" w:rsidP="004E65E7">
            <w:pPr>
              <w:spacing w:after="120"/>
              <w:rPr>
                <w:sz w:val="18"/>
                <w:szCs w:val="18"/>
                <w:lang w:val="es-ES"/>
              </w:rPr>
            </w:pPr>
            <w:r w:rsidRPr="00B83E1A">
              <w:rPr>
                <w:bCs/>
                <w:sz w:val="18"/>
                <w:szCs w:val="18"/>
                <w:lang w:val="es-ES" w:bidi="th-TH"/>
              </w:rPr>
              <w:t>Cinco países (Belarús, Montenegro, la ex República Yugoslava de Macedonia, la República de Moldova y Rumania) disponen de estrategias nacionales de P.I. aprobadas o en proceso de aprobación.  En Eslovaquia, la República Checa, Tayikistán y Ucrania ha comenzado la formulación o la actualización de esas estrategias.</w:t>
            </w:r>
          </w:p>
        </w:tc>
      </w:tr>
      <w:tr w:rsidR="00067534" w:rsidRPr="00B83E1A" w14:paraId="6CF2981F" w14:textId="77777777" w:rsidTr="002135A9">
        <w:trPr>
          <w:trHeight w:val="1457"/>
          <w:jc w:val="center"/>
        </w:trPr>
        <w:tc>
          <w:tcPr>
            <w:tcW w:w="1398" w:type="dxa"/>
            <w:vMerge/>
          </w:tcPr>
          <w:p w14:paraId="5BB397C0" w14:textId="77777777" w:rsidR="00067534" w:rsidRPr="00B83E1A" w:rsidRDefault="00067534" w:rsidP="004E65E7">
            <w:pPr>
              <w:rPr>
                <w:sz w:val="18"/>
                <w:szCs w:val="18"/>
                <w:lang w:val="es-ES"/>
              </w:rPr>
            </w:pPr>
          </w:p>
        </w:tc>
        <w:tc>
          <w:tcPr>
            <w:tcW w:w="2693" w:type="dxa"/>
            <w:gridSpan w:val="2"/>
            <w:vMerge/>
          </w:tcPr>
          <w:p w14:paraId="13D194D1" w14:textId="77777777" w:rsidR="00067534" w:rsidRPr="00B83E1A" w:rsidRDefault="00067534" w:rsidP="004E65E7">
            <w:pPr>
              <w:rPr>
                <w:sz w:val="18"/>
                <w:szCs w:val="18"/>
                <w:lang w:val="es-ES"/>
              </w:rPr>
            </w:pPr>
          </w:p>
        </w:tc>
        <w:tc>
          <w:tcPr>
            <w:tcW w:w="2126" w:type="dxa"/>
            <w:gridSpan w:val="2"/>
          </w:tcPr>
          <w:p w14:paraId="3ABD0E2A" w14:textId="2F35344D" w:rsidR="00067534" w:rsidRPr="00B83E1A" w:rsidRDefault="00067534" w:rsidP="004E65E7">
            <w:pPr>
              <w:rPr>
                <w:sz w:val="18"/>
                <w:szCs w:val="18"/>
                <w:lang w:val="es-ES" w:bidi="th-TH"/>
              </w:rPr>
            </w:pPr>
            <w:r w:rsidRPr="00B83E1A">
              <w:rPr>
                <w:sz w:val="18"/>
                <w:szCs w:val="18"/>
                <w:lang w:val="es-ES" w:bidi="th-TH"/>
              </w:rPr>
              <w:t>Porcentaje de funcionarios de oficinas de P.I. formados que utilizan en su trabajo las nuevas aptitudes adquiridas.</w:t>
            </w:r>
          </w:p>
        </w:tc>
        <w:tc>
          <w:tcPr>
            <w:tcW w:w="3011" w:type="dxa"/>
            <w:gridSpan w:val="3"/>
          </w:tcPr>
          <w:p w14:paraId="01D53F86" w14:textId="16AFAC75" w:rsidR="00067534" w:rsidRPr="00B83E1A" w:rsidRDefault="00067534" w:rsidP="004E65E7">
            <w:pPr>
              <w:rPr>
                <w:sz w:val="18"/>
                <w:szCs w:val="18"/>
                <w:lang w:val="es-ES"/>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tc>
      </w:tr>
      <w:tr w:rsidR="00067534" w:rsidRPr="00B83E1A" w14:paraId="214AB593" w14:textId="77777777" w:rsidTr="004E65E7">
        <w:trPr>
          <w:jc w:val="center"/>
        </w:trPr>
        <w:tc>
          <w:tcPr>
            <w:tcW w:w="1398" w:type="dxa"/>
            <w:vMerge/>
          </w:tcPr>
          <w:p w14:paraId="31C2D00E" w14:textId="77777777" w:rsidR="00067534" w:rsidRPr="00B83E1A" w:rsidRDefault="00067534" w:rsidP="004E65E7">
            <w:pPr>
              <w:rPr>
                <w:sz w:val="18"/>
                <w:szCs w:val="18"/>
                <w:lang w:val="es-ES"/>
              </w:rPr>
            </w:pPr>
          </w:p>
        </w:tc>
        <w:tc>
          <w:tcPr>
            <w:tcW w:w="2693" w:type="dxa"/>
            <w:gridSpan w:val="2"/>
            <w:vMerge/>
          </w:tcPr>
          <w:p w14:paraId="19B47E22" w14:textId="77777777" w:rsidR="00067534" w:rsidRPr="00B83E1A" w:rsidRDefault="00067534" w:rsidP="004E65E7">
            <w:pPr>
              <w:rPr>
                <w:sz w:val="18"/>
                <w:szCs w:val="18"/>
                <w:lang w:val="es-ES"/>
              </w:rPr>
            </w:pPr>
          </w:p>
        </w:tc>
        <w:tc>
          <w:tcPr>
            <w:tcW w:w="2126" w:type="dxa"/>
            <w:gridSpan w:val="2"/>
          </w:tcPr>
          <w:p w14:paraId="3C57980C" w14:textId="77777777" w:rsidR="00067534" w:rsidRPr="00B83E1A" w:rsidRDefault="00067534" w:rsidP="004E65E7">
            <w:pPr>
              <w:spacing w:after="120"/>
              <w:rPr>
                <w:sz w:val="18"/>
                <w:szCs w:val="18"/>
                <w:lang w:val="es-ES" w:bidi="th-TH"/>
              </w:rPr>
            </w:pPr>
            <w:r w:rsidRPr="00B83E1A">
              <w:rPr>
                <w:sz w:val="18"/>
                <w:szCs w:val="18"/>
                <w:lang w:val="es-ES" w:bidi="th-TH"/>
              </w:rPr>
              <w:t>Porcentaje de profesionales de la P.I. que afirman entender mejor las cuestiones de P.I.</w:t>
            </w:r>
          </w:p>
        </w:tc>
        <w:tc>
          <w:tcPr>
            <w:tcW w:w="3011" w:type="dxa"/>
            <w:gridSpan w:val="3"/>
          </w:tcPr>
          <w:p w14:paraId="0770D8F5" w14:textId="6B14B898" w:rsidR="00067534" w:rsidRPr="00B83E1A" w:rsidRDefault="00067534" w:rsidP="004E65E7">
            <w:pPr>
              <w:rPr>
                <w:bCs/>
                <w:sz w:val="18"/>
                <w:szCs w:val="18"/>
                <w:lang w:val="es-ES" w:bidi="th-TH"/>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p w14:paraId="0F3FE541" w14:textId="77777777" w:rsidR="00067534" w:rsidRPr="00B83E1A" w:rsidRDefault="00067534" w:rsidP="004E65E7">
            <w:pPr>
              <w:rPr>
                <w:sz w:val="18"/>
                <w:szCs w:val="18"/>
                <w:lang w:val="es-ES"/>
              </w:rPr>
            </w:pPr>
          </w:p>
        </w:tc>
      </w:tr>
      <w:tr w:rsidR="00067534" w:rsidRPr="00B83E1A" w14:paraId="08FADBFA" w14:textId="77777777" w:rsidTr="004E65E7">
        <w:trPr>
          <w:jc w:val="center"/>
        </w:trPr>
        <w:tc>
          <w:tcPr>
            <w:tcW w:w="1398" w:type="dxa"/>
            <w:vMerge/>
          </w:tcPr>
          <w:p w14:paraId="4A247C67" w14:textId="77777777" w:rsidR="00067534" w:rsidRPr="00B83E1A" w:rsidRDefault="00067534" w:rsidP="004E65E7">
            <w:pPr>
              <w:rPr>
                <w:sz w:val="18"/>
                <w:szCs w:val="18"/>
                <w:lang w:val="es-ES"/>
              </w:rPr>
            </w:pPr>
          </w:p>
        </w:tc>
        <w:tc>
          <w:tcPr>
            <w:tcW w:w="2693" w:type="dxa"/>
            <w:gridSpan w:val="2"/>
            <w:vMerge/>
          </w:tcPr>
          <w:p w14:paraId="74C55780" w14:textId="77777777" w:rsidR="00067534" w:rsidRPr="00B83E1A" w:rsidRDefault="00067534" w:rsidP="004E65E7">
            <w:pPr>
              <w:rPr>
                <w:sz w:val="18"/>
                <w:szCs w:val="18"/>
                <w:lang w:val="es-ES"/>
              </w:rPr>
            </w:pPr>
          </w:p>
        </w:tc>
        <w:tc>
          <w:tcPr>
            <w:tcW w:w="2126" w:type="dxa"/>
            <w:gridSpan w:val="2"/>
          </w:tcPr>
          <w:p w14:paraId="51BAD2C5" w14:textId="77777777" w:rsidR="00067534" w:rsidRPr="00B83E1A" w:rsidRDefault="00067534" w:rsidP="004E65E7">
            <w:pPr>
              <w:spacing w:after="120"/>
              <w:rPr>
                <w:sz w:val="18"/>
                <w:szCs w:val="18"/>
                <w:lang w:val="es-ES" w:bidi="th-TH"/>
              </w:rPr>
            </w:pPr>
            <w:r w:rsidRPr="00B83E1A">
              <w:rPr>
                <w:sz w:val="18"/>
                <w:szCs w:val="18"/>
                <w:lang w:val="es-ES" w:bidi="th-TH"/>
              </w:rPr>
              <w:t>Porcentaje de participantes satisfechos con la calidad de los talleres y seminarios sobre la innovación y su comercialización.</w:t>
            </w:r>
          </w:p>
        </w:tc>
        <w:tc>
          <w:tcPr>
            <w:tcW w:w="3011" w:type="dxa"/>
            <w:gridSpan w:val="3"/>
          </w:tcPr>
          <w:p w14:paraId="0734A06B" w14:textId="6E40570D" w:rsidR="00067534" w:rsidRPr="00B83E1A" w:rsidRDefault="00067534" w:rsidP="004E65E7">
            <w:pPr>
              <w:rPr>
                <w:sz w:val="18"/>
                <w:szCs w:val="18"/>
                <w:lang w:val="es-ES"/>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tc>
      </w:tr>
      <w:tr w:rsidR="00067534" w:rsidRPr="00B83E1A" w14:paraId="5AEA00DE" w14:textId="77777777" w:rsidTr="004E65E7">
        <w:trPr>
          <w:jc w:val="center"/>
        </w:trPr>
        <w:tc>
          <w:tcPr>
            <w:tcW w:w="1398" w:type="dxa"/>
            <w:vMerge/>
          </w:tcPr>
          <w:p w14:paraId="1AD5B4A7" w14:textId="77777777" w:rsidR="00067534" w:rsidRPr="00B83E1A" w:rsidRDefault="00067534" w:rsidP="004E65E7">
            <w:pPr>
              <w:rPr>
                <w:sz w:val="18"/>
                <w:szCs w:val="18"/>
                <w:lang w:val="es-ES"/>
              </w:rPr>
            </w:pPr>
          </w:p>
        </w:tc>
        <w:tc>
          <w:tcPr>
            <w:tcW w:w="2693" w:type="dxa"/>
            <w:gridSpan w:val="2"/>
            <w:vMerge/>
          </w:tcPr>
          <w:p w14:paraId="1380324D" w14:textId="77777777" w:rsidR="00067534" w:rsidRPr="00B83E1A" w:rsidRDefault="00067534" w:rsidP="004E65E7">
            <w:pPr>
              <w:rPr>
                <w:sz w:val="18"/>
                <w:szCs w:val="18"/>
                <w:lang w:val="es-ES"/>
              </w:rPr>
            </w:pPr>
          </w:p>
        </w:tc>
        <w:tc>
          <w:tcPr>
            <w:tcW w:w="2126" w:type="dxa"/>
            <w:gridSpan w:val="2"/>
          </w:tcPr>
          <w:p w14:paraId="38168053" w14:textId="77777777" w:rsidR="00067534" w:rsidRPr="00B83E1A" w:rsidRDefault="00067534" w:rsidP="004E65E7">
            <w:pPr>
              <w:spacing w:after="120"/>
              <w:rPr>
                <w:i/>
                <w:sz w:val="18"/>
                <w:szCs w:val="18"/>
                <w:lang w:val="es-ES"/>
              </w:rPr>
            </w:pPr>
            <w:r w:rsidRPr="00B83E1A">
              <w:rPr>
                <w:sz w:val="18"/>
                <w:szCs w:val="18"/>
                <w:lang w:val="es-ES" w:bidi="th-TH"/>
              </w:rPr>
              <w:t xml:space="preserve">Número de estrategias nacionales de P.I. que tienen un componente dedicado a la </w:t>
            </w:r>
            <w:r w:rsidRPr="00B83E1A">
              <w:rPr>
                <w:sz w:val="18"/>
                <w:szCs w:val="18"/>
                <w:lang w:val="es-ES" w:bidi="th-TH"/>
              </w:rPr>
              <w:lastRenderedPageBreak/>
              <w:t xml:space="preserve">innovación y a la tecnología. </w:t>
            </w:r>
          </w:p>
        </w:tc>
        <w:tc>
          <w:tcPr>
            <w:tcW w:w="3011" w:type="dxa"/>
            <w:gridSpan w:val="3"/>
          </w:tcPr>
          <w:p w14:paraId="5245CD83" w14:textId="77777777" w:rsidR="00067534" w:rsidRPr="00B83E1A" w:rsidRDefault="00067534" w:rsidP="004E65E7">
            <w:pPr>
              <w:rPr>
                <w:sz w:val="18"/>
                <w:szCs w:val="18"/>
                <w:lang w:val="es-ES"/>
              </w:rPr>
            </w:pPr>
            <w:r w:rsidRPr="00B83E1A">
              <w:rPr>
                <w:bCs/>
                <w:sz w:val="18"/>
                <w:szCs w:val="18"/>
                <w:lang w:val="es-ES" w:bidi="th-TH"/>
              </w:rPr>
              <w:lastRenderedPageBreak/>
              <w:t>Ninguno.</w:t>
            </w:r>
          </w:p>
        </w:tc>
      </w:tr>
      <w:tr w:rsidR="00067534" w:rsidRPr="00B83E1A" w14:paraId="1E091B1F" w14:textId="77777777" w:rsidTr="004E65E7">
        <w:trPr>
          <w:jc w:val="center"/>
        </w:trPr>
        <w:tc>
          <w:tcPr>
            <w:tcW w:w="1398" w:type="dxa"/>
            <w:vMerge w:val="restart"/>
          </w:tcPr>
          <w:p w14:paraId="5E301C2A" w14:textId="45FB007C" w:rsidR="00067534" w:rsidRPr="00B83E1A" w:rsidRDefault="00067534" w:rsidP="004E65E7">
            <w:pPr>
              <w:rPr>
                <w:i/>
                <w:sz w:val="18"/>
                <w:szCs w:val="18"/>
                <w:lang w:val="es-ES"/>
              </w:rPr>
            </w:pPr>
            <w:r w:rsidRPr="00B83E1A">
              <w:rPr>
                <w:i/>
                <w:sz w:val="18"/>
                <w:szCs w:val="18"/>
                <w:lang w:val="es-ES"/>
              </w:rPr>
              <w:lastRenderedPageBreak/>
              <w:t>Meta estratégica IV</w:t>
            </w:r>
            <w:r w:rsidR="00D23810" w:rsidRPr="00B83E1A">
              <w:rPr>
                <w:i/>
                <w:sz w:val="18"/>
                <w:szCs w:val="18"/>
                <w:lang w:val="es-ES"/>
              </w:rPr>
              <w:t>:  C</w:t>
            </w:r>
            <w:r w:rsidRPr="00B83E1A">
              <w:rPr>
                <w:i/>
                <w:sz w:val="18"/>
                <w:szCs w:val="18"/>
                <w:lang w:val="es-ES"/>
              </w:rPr>
              <w:t>oordinación y desarrollo de la infraestructura mundial de la P.I.</w:t>
            </w:r>
          </w:p>
          <w:p w14:paraId="76B55717" w14:textId="77777777" w:rsidR="00067534" w:rsidRPr="00B83E1A" w:rsidRDefault="00067534" w:rsidP="004E65E7">
            <w:pPr>
              <w:rPr>
                <w:sz w:val="18"/>
                <w:szCs w:val="18"/>
                <w:lang w:val="es-ES"/>
              </w:rPr>
            </w:pPr>
          </w:p>
        </w:tc>
        <w:tc>
          <w:tcPr>
            <w:tcW w:w="2693" w:type="dxa"/>
            <w:gridSpan w:val="2"/>
            <w:vMerge w:val="restart"/>
          </w:tcPr>
          <w:p w14:paraId="25DAF369" w14:textId="77777777" w:rsidR="00067534" w:rsidRPr="00B83E1A" w:rsidRDefault="00067534" w:rsidP="004E65E7">
            <w:pPr>
              <w:rPr>
                <w:sz w:val="18"/>
                <w:szCs w:val="18"/>
                <w:lang w:val="es-ES"/>
              </w:rPr>
            </w:pPr>
            <w:r w:rsidRPr="00B83E1A">
              <w:rPr>
                <w:sz w:val="18"/>
                <w:szCs w:val="18"/>
                <w:lang w:val="es-ES"/>
              </w:rPr>
              <w:t xml:space="preserve">Resultado ii) </w:t>
            </w:r>
            <w:r w:rsidRPr="00B83E1A">
              <w:rPr>
                <w:lang w:val="es-ES"/>
              </w:rPr>
              <w:t xml:space="preserve"> </w:t>
            </w:r>
            <w:r w:rsidRPr="00B83E1A">
              <w:rPr>
                <w:sz w:val="18"/>
                <w:szCs w:val="18"/>
                <w:lang w:val="es-ES"/>
              </w:rPr>
              <w:t>Mejora en el acceso a la información, los conocimientos y las tecnologías sobre P.I. y su utilización por las instituciones de P.I. y el público, para fomentar la innovación y aumentar el acceso a las obras que son fruto de la creatividad, tanto las que están protegidas como las que se encuentran en el dominio público.</w:t>
            </w:r>
          </w:p>
          <w:p w14:paraId="5BB8C5E7" w14:textId="77777777" w:rsidR="00067534" w:rsidRPr="00B83E1A" w:rsidRDefault="00067534" w:rsidP="004E65E7">
            <w:pPr>
              <w:rPr>
                <w:sz w:val="18"/>
                <w:szCs w:val="18"/>
                <w:lang w:val="es-ES"/>
              </w:rPr>
            </w:pPr>
          </w:p>
        </w:tc>
        <w:tc>
          <w:tcPr>
            <w:tcW w:w="2126" w:type="dxa"/>
            <w:gridSpan w:val="2"/>
          </w:tcPr>
          <w:p w14:paraId="5A8D290D" w14:textId="77777777" w:rsidR="00067534" w:rsidRPr="00B83E1A" w:rsidRDefault="00067534" w:rsidP="004E65E7">
            <w:pPr>
              <w:spacing w:after="120"/>
              <w:rPr>
                <w:sz w:val="18"/>
                <w:szCs w:val="18"/>
                <w:lang w:val="es-ES" w:bidi="th-TH"/>
              </w:rPr>
            </w:pPr>
            <w:r w:rsidRPr="00B83E1A">
              <w:rPr>
                <w:sz w:val="18"/>
                <w:szCs w:val="18"/>
                <w:lang w:val="es-ES" w:bidi="th-TH"/>
              </w:rPr>
              <w:t>Número de intermediarios de confianza y titulares de derechos que se han adherido a la red de sistemas TIGAR, incluidos los procedentes de países en desarrollo y PMA.</w:t>
            </w:r>
          </w:p>
        </w:tc>
        <w:tc>
          <w:tcPr>
            <w:tcW w:w="3011" w:type="dxa"/>
            <w:gridSpan w:val="3"/>
          </w:tcPr>
          <w:p w14:paraId="746CB468" w14:textId="1FAD750F" w:rsidR="00067534" w:rsidRPr="00B83E1A" w:rsidRDefault="00067534" w:rsidP="004E65E7">
            <w:pPr>
              <w:rPr>
                <w:sz w:val="18"/>
                <w:szCs w:val="18"/>
                <w:lang w:val="es-ES" w:bidi="th-TH"/>
              </w:rPr>
            </w:pPr>
            <w:r w:rsidRPr="00B83E1A">
              <w:rPr>
                <w:sz w:val="18"/>
                <w:szCs w:val="18"/>
                <w:lang w:val="es-ES" w:bidi="th-TH"/>
              </w:rPr>
              <w:t xml:space="preserve">10 intermediarios de confianza </w:t>
            </w:r>
            <w:r w:rsidR="00D23810" w:rsidRPr="00B83E1A">
              <w:rPr>
                <w:sz w:val="18"/>
                <w:szCs w:val="18"/>
                <w:lang w:val="es-ES" w:bidi="th-TH"/>
              </w:rPr>
              <w:t>y 2</w:t>
            </w:r>
            <w:r w:rsidRPr="00B83E1A">
              <w:rPr>
                <w:sz w:val="18"/>
                <w:szCs w:val="18"/>
                <w:lang w:val="es-ES" w:bidi="th-TH"/>
              </w:rPr>
              <w:t>0 titulares de derechos se adhirieron al sistema TIGAR a finales de 2012.</w:t>
            </w:r>
          </w:p>
          <w:p w14:paraId="2726FEC9" w14:textId="77777777" w:rsidR="00067534" w:rsidRPr="00B83E1A" w:rsidRDefault="00067534" w:rsidP="004E65E7">
            <w:pPr>
              <w:rPr>
                <w:sz w:val="18"/>
                <w:szCs w:val="18"/>
                <w:lang w:val="es-ES"/>
              </w:rPr>
            </w:pPr>
          </w:p>
        </w:tc>
      </w:tr>
      <w:tr w:rsidR="00067534" w:rsidRPr="00B83E1A" w14:paraId="2EB54C19" w14:textId="77777777" w:rsidTr="004E65E7">
        <w:trPr>
          <w:trHeight w:val="1242"/>
          <w:jc w:val="center"/>
        </w:trPr>
        <w:tc>
          <w:tcPr>
            <w:tcW w:w="1398" w:type="dxa"/>
            <w:vMerge/>
          </w:tcPr>
          <w:p w14:paraId="5E622D48" w14:textId="77777777" w:rsidR="00067534" w:rsidRPr="00B83E1A" w:rsidRDefault="00067534" w:rsidP="004E65E7">
            <w:pPr>
              <w:rPr>
                <w:sz w:val="18"/>
                <w:szCs w:val="18"/>
                <w:lang w:val="es-ES"/>
              </w:rPr>
            </w:pPr>
          </w:p>
        </w:tc>
        <w:tc>
          <w:tcPr>
            <w:tcW w:w="2693" w:type="dxa"/>
            <w:gridSpan w:val="2"/>
            <w:vMerge/>
          </w:tcPr>
          <w:p w14:paraId="777005C2" w14:textId="77777777" w:rsidR="00067534" w:rsidRPr="00B83E1A" w:rsidRDefault="00067534" w:rsidP="004E65E7">
            <w:pPr>
              <w:rPr>
                <w:sz w:val="18"/>
                <w:szCs w:val="18"/>
                <w:lang w:val="es-ES"/>
              </w:rPr>
            </w:pPr>
          </w:p>
        </w:tc>
        <w:tc>
          <w:tcPr>
            <w:tcW w:w="2126" w:type="dxa"/>
            <w:gridSpan w:val="2"/>
          </w:tcPr>
          <w:p w14:paraId="1F99E52E" w14:textId="77777777" w:rsidR="00067534" w:rsidRPr="00B83E1A" w:rsidRDefault="00067534" w:rsidP="004E65E7">
            <w:pPr>
              <w:spacing w:after="120"/>
              <w:rPr>
                <w:sz w:val="18"/>
                <w:szCs w:val="18"/>
                <w:lang w:val="es-ES" w:bidi="th-TH"/>
              </w:rPr>
            </w:pPr>
            <w:r w:rsidRPr="00B83E1A">
              <w:rPr>
                <w:sz w:val="18"/>
                <w:szCs w:val="18"/>
                <w:lang w:val="es-ES" w:bidi="th-TH"/>
              </w:rPr>
              <w:t>Número de obras protegidas por derecho de autor distribuidas entre intermediarios de confianza y puestas a disposición de las personas con discapacidad visual a escala internacional por medio de la red de sistemas TIGAR.</w:t>
            </w:r>
          </w:p>
        </w:tc>
        <w:tc>
          <w:tcPr>
            <w:tcW w:w="3011" w:type="dxa"/>
            <w:gridSpan w:val="3"/>
          </w:tcPr>
          <w:p w14:paraId="6DF9D95E" w14:textId="0A4A8D72" w:rsidR="00067534" w:rsidRPr="00B83E1A" w:rsidRDefault="00067534" w:rsidP="004E65E7">
            <w:pPr>
              <w:rPr>
                <w:sz w:val="18"/>
                <w:szCs w:val="18"/>
                <w:lang w:val="es-ES" w:bidi="th-TH"/>
              </w:rPr>
            </w:pPr>
            <w:r w:rsidRPr="00B83E1A">
              <w:rPr>
                <w:sz w:val="18"/>
                <w:szCs w:val="18"/>
                <w:lang w:val="es-ES" w:bidi="th-TH"/>
              </w:rPr>
              <w:t>450 libros en formatos accesibles se descargaron del sistema TIGAR e</w:t>
            </w:r>
            <w:r w:rsidR="00D23810" w:rsidRPr="00B83E1A">
              <w:rPr>
                <w:sz w:val="18"/>
                <w:szCs w:val="18"/>
                <w:lang w:val="es-ES" w:bidi="th-TH"/>
              </w:rPr>
              <w:t>n 2</w:t>
            </w:r>
            <w:r w:rsidRPr="00B83E1A">
              <w:rPr>
                <w:sz w:val="18"/>
                <w:szCs w:val="18"/>
                <w:lang w:val="es-ES" w:bidi="th-TH"/>
              </w:rPr>
              <w:t>012.</w:t>
            </w:r>
          </w:p>
          <w:p w14:paraId="2514EC2D" w14:textId="77777777" w:rsidR="00067534" w:rsidRPr="00B83E1A" w:rsidRDefault="00067534" w:rsidP="004E65E7">
            <w:pPr>
              <w:rPr>
                <w:sz w:val="18"/>
                <w:szCs w:val="18"/>
                <w:lang w:val="es-ES"/>
              </w:rPr>
            </w:pPr>
          </w:p>
        </w:tc>
      </w:tr>
      <w:tr w:rsidR="00067534" w:rsidRPr="00B83E1A" w14:paraId="236A8075" w14:textId="77777777" w:rsidTr="004E65E7">
        <w:trPr>
          <w:trHeight w:val="734"/>
          <w:jc w:val="center"/>
        </w:trPr>
        <w:tc>
          <w:tcPr>
            <w:tcW w:w="1398" w:type="dxa"/>
            <w:vMerge/>
          </w:tcPr>
          <w:p w14:paraId="7C351513" w14:textId="77777777" w:rsidR="00067534" w:rsidRPr="00B83E1A" w:rsidRDefault="00067534" w:rsidP="004E65E7">
            <w:pPr>
              <w:rPr>
                <w:sz w:val="18"/>
                <w:szCs w:val="18"/>
                <w:lang w:val="es-ES"/>
              </w:rPr>
            </w:pPr>
          </w:p>
        </w:tc>
        <w:tc>
          <w:tcPr>
            <w:tcW w:w="2693" w:type="dxa"/>
            <w:gridSpan w:val="2"/>
            <w:vMerge/>
          </w:tcPr>
          <w:p w14:paraId="1B766A5F" w14:textId="77777777" w:rsidR="00067534" w:rsidRPr="00B83E1A" w:rsidRDefault="00067534" w:rsidP="004E65E7">
            <w:pPr>
              <w:rPr>
                <w:sz w:val="18"/>
                <w:szCs w:val="18"/>
                <w:lang w:val="es-ES"/>
              </w:rPr>
            </w:pPr>
          </w:p>
        </w:tc>
        <w:tc>
          <w:tcPr>
            <w:tcW w:w="2126" w:type="dxa"/>
            <w:gridSpan w:val="2"/>
          </w:tcPr>
          <w:p w14:paraId="28DB8AB7" w14:textId="77777777" w:rsidR="00067534" w:rsidRPr="00B83E1A" w:rsidRDefault="00067534" w:rsidP="004E65E7">
            <w:pPr>
              <w:spacing w:after="120"/>
              <w:rPr>
                <w:sz w:val="18"/>
                <w:szCs w:val="18"/>
                <w:lang w:val="es-ES" w:bidi="th-TH"/>
              </w:rPr>
            </w:pPr>
            <w:r w:rsidRPr="00B83E1A">
              <w:rPr>
                <w:sz w:val="18"/>
                <w:szCs w:val="18"/>
                <w:lang w:val="es-ES" w:bidi="th-TH"/>
              </w:rPr>
              <w:t>Número de usuarios que utilizan los servicios de los CATI por trimestre y por país.</w:t>
            </w:r>
          </w:p>
        </w:tc>
        <w:tc>
          <w:tcPr>
            <w:tcW w:w="3011" w:type="dxa"/>
            <w:gridSpan w:val="3"/>
          </w:tcPr>
          <w:p w14:paraId="09655DE8" w14:textId="014BA111" w:rsidR="00067534" w:rsidRPr="00B83E1A" w:rsidRDefault="00067534" w:rsidP="004E65E7">
            <w:pPr>
              <w:rPr>
                <w:sz w:val="18"/>
                <w:szCs w:val="18"/>
                <w:lang w:val="es-ES" w:bidi="th-TH"/>
              </w:rPr>
            </w:pPr>
            <w:r w:rsidRPr="00B83E1A">
              <w:rPr>
                <w:sz w:val="18"/>
                <w:szCs w:val="18"/>
                <w:lang w:val="es-ES" w:bidi="th-TH"/>
              </w:rPr>
              <w:t>Entr</w:t>
            </w:r>
            <w:r w:rsidR="00D23810" w:rsidRPr="00B83E1A">
              <w:rPr>
                <w:sz w:val="18"/>
                <w:szCs w:val="18"/>
                <w:lang w:val="es-ES" w:bidi="th-TH"/>
              </w:rPr>
              <w:t>e 3</w:t>
            </w:r>
            <w:r w:rsidRPr="00B83E1A">
              <w:rPr>
                <w:sz w:val="18"/>
                <w:szCs w:val="18"/>
                <w:lang w:val="es-ES" w:bidi="th-TH"/>
              </w:rPr>
              <w:t xml:space="preserve">00 </w:t>
            </w:r>
            <w:r w:rsidR="00D23810" w:rsidRPr="00B83E1A">
              <w:rPr>
                <w:sz w:val="18"/>
                <w:szCs w:val="18"/>
                <w:lang w:val="es-ES" w:bidi="th-TH"/>
              </w:rPr>
              <w:t>y 7</w:t>
            </w:r>
            <w:r w:rsidRPr="00B83E1A">
              <w:rPr>
                <w:sz w:val="18"/>
                <w:szCs w:val="18"/>
                <w:lang w:val="es-ES" w:bidi="th-TH"/>
              </w:rPr>
              <w:t>50 usuarios atendidos en promedio por los CATI cada día.</w:t>
            </w:r>
          </w:p>
          <w:p w14:paraId="10D05571" w14:textId="77777777" w:rsidR="00067534" w:rsidRPr="00B83E1A" w:rsidRDefault="00067534" w:rsidP="004E65E7">
            <w:pPr>
              <w:rPr>
                <w:sz w:val="18"/>
                <w:szCs w:val="18"/>
                <w:lang w:val="es-ES"/>
              </w:rPr>
            </w:pPr>
          </w:p>
        </w:tc>
      </w:tr>
      <w:tr w:rsidR="00067534" w:rsidRPr="00B83E1A" w14:paraId="3F3753E7" w14:textId="77777777" w:rsidTr="004E65E7">
        <w:trPr>
          <w:jc w:val="center"/>
        </w:trPr>
        <w:tc>
          <w:tcPr>
            <w:tcW w:w="1398" w:type="dxa"/>
            <w:vMerge/>
          </w:tcPr>
          <w:p w14:paraId="47CEC904" w14:textId="77777777" w:rsidR="00067534" w:rsidRPr="00B83E1A" w:rsidRDefault="00067534" w:rsidP="004E65E7">
            <w:pPr>
              <w:rPr>
                <w:sz w:val="18"/>
                <w:szCs w:val="18"/>
                <w:lang w:val="es-ES"/>
              </w:rPr>
            </w:pPr>
          </w:p>
        </w:tc>
        <w:tc>
          <w:tcPr>
            <w:tcW w:w="2693" w:type="dxa"/>
            <w:gridSpan w:val="2"/>
            <w:vMerge/>
          </w:tcPr>
          <w:p w14:paraId="6302875A" w14:textId="77777777" w:rsidR="00067534" w:rsidRPr="00B83E1A" w:rsidRDefault="00067534" w:rsidP="004E65E7">
            <w:pPr>
              <w:rPr>
                <w:sz w:val="18"/>
                <w:szCs w:val="18"/>
                <w:lang w:val="es-ES"/>
              </w:rPr>
            </w:pPr>
          </w:p>
        </w:tc>
        <w:tc>
          <w:tcPr>
            <w:tcW w:w="2126" w:type="dxa"/>
            <w:gridSpan w:val="2"/>
          </w:tcPr>
          <w:p w14:paraId="730F6CEC" w14:textId="77777777" w:rsidR="00067534" w:rsidRPr="00B83E1A" w:rsidRDefault="00067534" w:rsidP="004E65E7">
            <w:pPr>
              <w:rPr>
                <w:sz w:val="18"/>
                <w:szCs w:val="18"/>
                <w:lang w:val="es-ES"/>
              </w:rPr>
            </w:pPr>
            <w:r w:rsidRPr="00B83E1A">
              <w:rPr>
                <w:sz w:val="18"/>
                <w:szCs w:val="18"/>
                <w:lang w:val="es-ES" w:bidi="th-TH"/>
              </w:rPr>
              <w:t>Número de Estados miembros que han desarrollado su marco de P.I. y establecido oficinas universitarias de transferencia de tecnología (OTT).</w:t>
            </w:r>
          </w:p>
        </w:tc>
        <w:tc>
          <w:tcPr>
            <w:tcW w:w="3011" w:type="dxa"/>
            <w:gridSpan w:val="3"/>
          </w:tcPr>
          <w:p w14:paraId="6F68C2EA" w14:textId="627C9B92" w:rsidR="009A700A" w:rsidRPr="00B83E1A" w:rsidRDefault="00067534" w:rsidP="004E65E7">
            <w:pPr>
              <w:rPr>
                <w:iCs/>
                <w:sz w:val="18"/>
                <w:szCs w:val="18"/>
                <w:lang w:val="es-ES"/>
              </w:rPr>
            </w:pPr>
            <w:r w:rsidRPr="00B83E1A">
              <w:rPr>
                <w:iCs/>
                <w:sz w:val="18"/>
                <w:szCs w:val="18"/>
                <w:lang w:val="es-ES"/>
              </w:rPr>
              <w:t>Se inició en Túnez el proyecto de establecimiento de oficinas universitarias de transferencia de tecnología (OTT) en cinco de los países árabes.  Se llevó a cabo una evaluación de las necesidades en diciembre d</w:t>
            </w:r>
            <w:r w:rsidR="00D23810" w:rsidRPr="00B83E1A">
              <w:rPr>
                <w:iCs/>
                <w:sz w:val="18"/>
                <w:szCs w:val="18"/>
                <w:lang w:val="es-ES"/>
              </w:rPr>
              <w:t>e 2</w:t>
            </w:r>
            <w:r w:rsidRPr="00B83E1A">
              <w:rPr>
                <w:iCs/>
                <w:sz w:val="18"/>
                <w:szCs w:val="18"/>
                <w:lang w:val="es-ES"/>
              </w:rPr>
              <w:t>012 para que sirviera de base a un plan de acción oficial, que será examinado y adoptado por el Gobierno e</w:t>
            </w:r>
            <w:r w:rsidR="00D23810" w:rsidRPr="00B83E1A">
              <w:rPr>
                <w:iCs/>
                <w:sz w:val="18"/>
                <w:szCs w:val="18"/>
                <w:lang w:val="es-ES"/>
              </w:rPr>
              <w:t>n 2</w:t>
            </w:r>
            <w:r w:rsidRPr="00B83E1A">
              <w:rPr>
                <w:iCs/>
                <w:sz w:val="18"/>
                <w:szCs w:val="18"/>
                <w:lang w:val="es-ES"/>
              </w:rPr>
              <w:t>013 siempre que se disponga de fondos</w:t>
            </w:r>
            <w:r w:rsidR="009A700A" w:rsidRPr="00B83E1A">
              <w:rPr>
                <w:iCs/>
                <w:sz w:val="18"/>
                <w:szCs w:val="18"/>
                <w:lang w:val="es-ES"/>
              </w:rPr>
              <w:t>.</w:t>
            </w:r>
          </w:p>
          <w:p w14:paraId="2D6B9E47" w14:textId="31EC24CC" w:rsidR="009A700A" w:rsidRPr="00B83E1A" w:rsidRDefault="00067534" w:rsidP="004E65E7">
            <w:pPr>
              <w:rPr>
                <w:sz w:val="18"/>
                <w:szCs w:val="18"/>
                <w:lang w:val="es-ES" w:bidi="th-TH"/>
              </w:rPr>
            </w:pPr>
            <w:r w:rsidRPr="00B83E1A">
              <w:rPr>
                <w:sz w:val="18"/>
                <w:szCs w:val="18"/>
                <w:lang w:val="es-ES" w:bidi="th-TH"/>
              </w:rPr>
              <w:t>Nota:  El proyecto de OTT para la región de los países árabes está retrasado porque la financiación externa prevista no se ha recibido</w:t>
            </w:r>
            <w:r w:rsidR="00D23810" w:rsidRPr="00B83E1A">
              <w:rPr>
                <w:sz w:val="18"/>
                <w:szCs w:val="18"/>
                <w:lang w:val="es-ES" w:bidi="th-TH"/>
              </w:rPr>
              <w:t>.  L</w:t>
            </w:r>
            <w:r w:rsidRPr="00B83E1A">
              <w:rPr>
                <w:sz w:val="18"/>
                <w:szCs w:val="18"/>
                <w:lang w:val="es-ES" w:bidi="th-TH"/>
              </w:rPr>
              <w:t>a OMPI ha facilitado la celebración de reuniones a ese respecto y confía en que se obtenga la financiación necesaria y el proyecto siga adelante</w:t>
            </w:r>
            <w:r w:rsidR="009A700A" w:rsidRPr="00B83E1A">
              <w:rPr>
                <w:sz w:val="18"/>
                <w:szCs w:val="18"/>
                <w:lang w:val="es-ES" w:bidi="th-TH"/>
              </w:rPr>
              <w:t>.</w:t>
            </w:r>
          </w:p>
          <w:p w14:paraId="45ADF6C3" w14:textId="2F0673FB" w:rsidR="00067534" w:rsidRPr="00B83E1A" w:rsidRDefault="00067534" w:rsidP="004E65E7">
            <w:pPr>
              <w:rPr>
                <w:sz w:val="18"/>
                <w:szCs w:val="18"/>
                <w:lang w:val="es-ES" w:bidi="th-TH"/>
              </w:rPr>
            </w:pPr>
            <w:r w:rsidRPr="00B83E1A">
              <w:rPr>
                <w:sz w:val="18"/>
                <w:szCs w:val="18"/>
                <w:lang w:val="es-ES" w:bidi="th-TH"/>
              </w:rPr>
              <w:t>En el marco de la Iniciativa universitaria de la OMPI, 20 OTT ayudaron a formular políticas institucionales de P.I</w:t>
            </w:r>
            <w:r w:rsidR="004E65E7" w:rsidRPr="00B83E1A">
              <w:rPr>
                <w:sz w:val="18"/>
                <w:szCs w:val="18"/>
                <w:lang w:val="es-ES" w:bidi="th-TH"/>
              </w:rPr>
              <w:t>.</w:t>
            </w:r>
            <w:r w:rsidR="00D23810" w:rsidRPr="00B83E1A">
              <w:rPr>
                <w:sz w:val="18"/>
                <w:szCs w:val="18"/>
                <w:lang w:val="es-ES" w:bidi="th-TH"/>
              </w:rPr>
              <w:t xml:space="preserve"> (</w:t>
            </w:r>
            <w:r w:rsidRPr="00B83E1A">
              <w:rPr>
                <w:sz w:val="18"/>
                <w:szCs w:val="18"/>
                <w:lang w:val="es-ES" w:bidi="th-TH"/>
              </w:rPr>
              <w:t>la CESPAO (5), Marruecos (6)</w:t>
            </w:r>
            <w:r w:rsidR="00D23810" w:rsidRPr="00B83E1A">
              <w:rPr>
                <w:sz w:val="18"/>
                <w:szCs w:val="18"/>
                <w:lang w:val="es-ES" w:bidi="th-TH"/>
              </w:rPr>
              <w:t>.  C</w:t>
            </w:r>
            <w:r w:rsidRPr="00B83E1A">
              <w:rPr>
                <w:sz w:val="18"/>
                <w:szCs w:val="18"/>
                <w:lang w:val="es-ES" w:bidi="th-TH"/>
              </w:rPr>
              <w:t>hile (5), Filipinas (5) y Ghana (1)).</w:t>
            </w:r>
          </w:p>
          <w:p w14:paraId="6780472C" w14:textId="75ED3EE2" w:rsidR="00067534" w:rsidRPr="00B83E1A" w:rsidRDefault="00067534" w:rsidP="004E65E7">
            <w:pPr>
              <w:spacing w:after="120"/>
              <w:rPr>
                <w:sz w:val="18"/>
                <w:szCs w:val="18"/>
                <w:lang w:val="es-ES"/>
              </w:rPr>
            </w:pPr>
            <w:r w:rsidRPr="00B83E1A">
              <w:rPr>
                <w:i/>
                <w:iCs/>
                <w:sz w:val="18"/>
                <w:szCs w:val="18"/>
                <w:lang w:val="es-ES" w:bidi="th-TH"/>
              </w:rPr>
              <w:t>Plataforma de innovación en red</w:t>
            </w:r>
            <w:r w:rsidR="00D23810" w:rsidRPr="00B83E1A">
              <w:rPr>
                <w:iCs/>
                <w:sz w:val="18"/>
                <w:szCs w:val="18"/>
                <w:lang w:val="es-ES" w:bidi="th-TH"/>
              </w:rPr>
              <w:t>:  R</w:t>
            </w:r>
            <w:r w:rsidRPr="00B83E1A">
              <w:rPr>
                <w:iCs/>
                <w:sz w:val="18"/>
                <w:szCs w:val="18"/>
                <w:lang w:val="es-ES" w:bidi="th-TH"/>
              </w:rPr>
              <w:t xml:space="preserve">edacción del primer proyecto de un documento marco para una plataforma de innovación en red que utilizará las imágenes de satélite para detectar las aguas subterráneas y promover las </w:t>
            </w:r>
            <w:r w:rsidRPr="00B83E1A">
              <w:rPr>
                <w:iCs/>
                <w:sz w:val="18"/>
                <w:szCs w:val="18"/>
                <w:lang w:val="es-ES" w:bidi="th-TH"/>
              </w:rPr>
              <w:lastRenderedPageBreak/>
              <w:t>tecnologías autóctonas para la extracción de agua.  Se elaborará un documento marco más específico para la integración modular de los informes sobre análisis de la actividad de patentamiento (fase inicial), los concursos de tecnologías y los CATI (fase inicial), las tecnologías ecológicamente racionales por medio de WIPO Green (fase intermedia) y los programas de creación de capacidad en materia de P.I</w:t>
            </w:r>
            <w:r w:rsidR="004E65E7" w:rsidRPr="00B83E1A">
              <w:rPr>
                <w:iCs/>
                <w:sz w:val="18"/>
                <w:szCs w:val="18"/>
                <w:lang w:val="es-ES" w:bidi="th-TH"/>
              </w:rPr>
              <w:t>.</w:t>
            </w:r>
            <w:r w:rsidR="00D23810" w:rsidRPr="00B83E1A">
              <w:rPr>
                <w:iCs/>
                <w:sz w:val="18"/>
                <w:szCs w:val="18"/>
                <w:lang w:val="es-ES" w:bidi="th-TH"/>
              </w:rPr>
              <w:t xml:space="preserve"> (</w:t>
            </w:r>
            <w:r w:rsidRPr="00B83E1A">
              <w:rPr>
                <w:iCs/>
                <w:sz w:val="18"/>
                <w:szCs w:val="18"/>
                <w:lang w:val="es-ES" w:bidi="th-TH"/>
              </w:rPr>
              <w:t>fase final) con objeto de disponer de un programa con un costo mínimo que permita a la OMPI actuar como facilitador.</w:t>
            </w:r>
          </w:p>
        </w:tc>
      </w:tr>
      <w:tr w:rsidR="00067534" w:rsidRPr="00B83E1A" w14:paraId="0C39986D" w14:textId="77777777" w:rsidTr="004E65E7">
        <w:trPr>
          <w:jc w:val="center"/>
        </w:trPr>
        <w:tc>
          <w:tcPr>
            <w:tcW w:w="1398" w:type="dxa"/>
            <w:vMerge/>
          </w:tcPr>
          <w:p w14:paraId="489A947E" w14:textId="77777777" w:rsidR="00067534" w:rsidRPr="00B83E1A" w:rsidRDefault="00067534" w:rsidP="004E65E7">
            <w:pPr>
              <w:rPr>
                <w:sz w:val="18"/>
                <w:szCs w:val="18"/>
                <w:lang w:val="es-ES"/>
              </w:rPr>
            </w:pPr>
          </w:p>
        </w:tc>
        <w:tc>
          <w:tcPr>
            <w:tcW w:w="2693" w:type="dxa"/>
            <w:gridSpan w:val="2"/>
            <w:vMerge/>
          </w:tcPr>
          <w:p w14:paraId="6D3F7BDD" w14:textId="77777777" w:rsidR="00067534" w:rsidRPr="00B83E1A" w:rsidRDefault="00067534" w:rsidP="004E65E7">
            <w:pPr>
              <w:rPr>
                <w:sz w:val="18"/>
                <w:szCs w:val="18"/>
                <w:lang w:val="es-ES"/>
              </w:rPr>
            </w:pPr>
          </w:p>
        </w:tc>
        <w:tc>
          <w:tcPr>
            <w:tcW w:w="2126" w:type="dxa"/>
            <w:gridSpan w:val="2"/>
          </w:tcPr>
          <w:p w14:paraId="377FC22D" w14:textId="77777777" w:rsidR="00067534" w:rsidRPr="00B83E1A" w:rsidRDefault="00067534" w:rsidP="004E65E7">
            <w:pPr>
              <w:spacing w:after="120"/>
              <w:rPr>
                <w:sz w:val="18"/>
                <w:szCs w:val="18"/>
                <w:lang w:val="es-ES"/>
              </w:rPr>
            </w:pPr>
            <w:r w:rsidRPr="00B83E1A">
              <w:rPr>
                <w:sz w:val="18"/>
                <w:szCs w:val="18"/>
                <w:lang w:val="es-ES"/>
              </w:rPr>
              <w:t>Número de usuarios por trimestre y sistema (PATENTSCOPE y Base Mundial de Datos sobre Marcas)</w:t>
            </w:r>
          </w:p>
        </w:tc>
        <w:tc>
          <w:tcPr>
            <w:tcW w:w="3011" w:type="dxa"/>
            <w:gridSpan w:val="3"/>
          </w:tcPr>
          <w:p w14:paraId="3B48F99C" w14:textId="77777777" w:rsidR="00067534" w:rsidRPr="00B83E1A" w:rsidRDefault="00067534" w:rsidP="004E65E7">
            <w:pPr>
              <w:rPr>
                <w:sz w:val="18"/>
                <w:szCs w:val="18"/>
                <w:lang w:val="es-ES"/>
              </w:rPr>
            </w:pPr>
            <w:r w:rsidRPr="00B83E1A">
              <w:rPr>
                <w:sz w:val="18"/>
                <w:szCs w:val="18"/>
                <w:lang w:val="es-ES"/>
              </w:rPr>
              <w:t>219.000</w:t>
            </w:r>
          </w:p>
          <w:p w14:paraId="799CB786" w14:textId="77777777" w:rsidR="00067534" w:rsidRPr="00B83E1A" w:rsidRDefault="00067534" w:rsidP="004E65E7">
            <w:pPr>
              <w:rPr>
                <w:sz w:val="18"/>
                <w:szCs w:val="18"/>
                <w:lang w:val="es-ES"/>
              </w:rPr>
            </w:pPr>
            <w:r w:rsidRPr="00B83E1A">
              <w:rPr>
                <w:sz w:val="18"/>
                <w:szCs w:val="18"/>
                <w:lang w:val="es-ES"/>
              </w:rPr>
              <w:t>13.000</w:t>
            </w:r>
          </w:p>
        </w:tc>
      </w:tr>
      <w:tr w:rsidR="00067534" w:rsidRPr="00B83E1A" w14:paraId="6616C3EF" w14:textId="77777777" w:rsidTr="004E65E7">
        <w:trPr>
          <w:jc w:val="center"/>
        </w:trPr>
        <w:tc>
          <w:tcPr>
            <w:tcW w:w="1398" w:type="dxa"/>
            <w:vMerge/>
          </w:tcPr>
          <w:p w14:paraId="1899541C" w14:textId="77777777" w:rsidR="00067534" w:rsidRPr="00B83E1A" w:rsidRDefault="00067534" w:rsidP="004E65E7">
            <w:pPr>
              <w:rPr>
                <w:sz w:val="18"/>
                <w:szCs w:val="18"/>
                <w:lang w:val="es-ES"/>
              </w:rPr>
            </w:pPr>
          </w:p>
        </w:tc>
        <w:tc>
          <w:tcPr>
            <w:tcW w:w="2693" w:type="dxa"/>
            <w:gridSpan w:val="2"/>
            <w:vMerge/>
          </w:tcPr>
          <w:p w14:paraId="4D3C66BA" w14:textId="77777777" w:rsidR="00067534" w:rsidRPr="00B83E1A" w:rsidRDefault="00067534" w:rsidP="004E65E7">
            <w:pPr>
              <w:rPr>
                <w:sz w:val="18"/>
                <w:szCs w:val="18"/>
                <w:lang w:val="es-ES"/>
              </w:rPr>
            </w:pPr>
          </w:p>
        </w:tc>
        <w:tc>
          <w:tcPr>
            <w:tcW w:w="2126" w:type="dxa"/>
            <w:gridSpan w:val="2"/>
          </w:tcPr>
          <w:p w14:paraId="213DBC06" w14:textId="77777777" w:rsidR="00067534" w:rsidRPr="00B83E1A" w:rsidRDefault="00067534" w:rsidP="004E65E7">
            <w:pPr>
              <w:spacing w:after="120"/>
              <w:rPr>
                <w:sz w:val="18"/>
                <w:szCs w:val="18"/>
                <w:lang w:val="es-ES" w:bidi="th-TH"/>
              </w:rPr>
            </w:pPr>
            <w:r w:rsidRPr="00B83E1A">
              <w:rPr>
                <w:sz w:val="18"/>
                <w:szCs w:val="18"/>
                <w:lang w:val="es-ES"/>
              </w:rPr>
              <w:t>Número de idiomas en los que se pueden efectuar búsquedas plurilingües.</w:t>
            </w:r>
          </w:p>
        </w:tc>
        <w:tc>
          <w:tcPr>
            <w:tcW w:w="3011" w:type="dxa"/>
            <w:gridSpan w:val="3"/>
          </w:tcPr>
          <w:p w14:paraId="5862EC79" w14:textId="77777777" w:rsidR="00067534" w:rsidRPr="00B83E1A" w:rsidRDefault="00067534" w:rsidP="004E65E7">
            <w:pPr>
              <w:rPr>
                <w:sz w:val="18"/>
                <w:szCs w:val="18"/>
                <w:lang w:val="es-ES"/>
              </w:rPr>
            </w:pPr>
            <w:r w:rsidRPr="00B83E1A">
              <w:rPr>
                <w:sz w:val="18"/>
                <w:szCs w:val="18"/>
                <w:lang w:val="es-ES"/>
              </w:rPr>
              <w:t>12 en Beta (total)</w:t>
            </w:r>
          </w:p>
        </w:tc>
      </w:tr>
      <w:tr w:rsidR="00067534" w:rsidRPr="00B83E1A" w14:paraId="18BC43B6" w14:textId="77777777" w:rsidTr="004E65E7">
        <w:trPr>
          <w:trHeight w:val="776"/>
          <w:jc w:val="center"/>
        </w:trPr>
        <w:tc>
          <w:tcPr>
            <w:tcW w:w="1398" w:type="dxa"/>
            <w:vMerge/>
          </w:tcPr>
          <w:p w14:paraId="126789D5" w14:textId="77777777" w:rsidR="00067534" w:rsidRPr="00B83E1A" w:rsidRDefault="00067534" w:rsidP="004E65E7">
            <w:pPr>
              <w:rPr>
                <w:sz w:val="18"/>
                <w:szCs w:val="18"/>
                <w:lang w:val="es-ES"/>
              </w:rPr>
            </w:pPr>
          </w:p>
        </w:tc>
        <w:tc>
          <w:tcPr>
            <w:tcW w:w="2693" w:type="dxa"/>
            <w:gridSpan w:val="2"/>
            <w:vMerge/>
          </w:tcPr>
          <w:p w14:paraId="291F7A56" w14:textId="77777777" w:rsidR="00067534" w:rsidRPr="00B83E1A" w:rsidRDefault="00067534" w:rsidP="004E65E7">
            <w:pPr>
              <w:rPr>
                <w:sz w:val="18"/>
                <w:szCs w:val="18"/>
                <w:lang w:val="es-ES"/>
              </w:rPr>
            </w:pPr>
          </w:p>
        </w:tc>
        <w:tc>
          <w:tcPr>
            <w:tcW w:w="2126" w:type="dxa"/>
            <w:gridSpan w:val="2"/>
          </w:tcPr>
          <w:p w14:paraId="37A4F36F" w14:textId="77777777" w:rsidR="00067534" w:rsidRPr="00B83E1A" w:rsidRDefault="00067534" w:rsidP="004E65E7">
            <w:pPr>
              <w:rPr>
                <w:sz w:val="18"/>
                <w:szCs w:val="18"/>
                <w:lang w:val="es-ES"/>
              </w:rPr>
            </w:pPr>
            <w:r w:rsidRPr="00B83E1A">
              <w:rPr>
                <w:sz w:val="18"/>
                <w:szCs w:val="18"/>
                <w:lang w:val="es-ES"/>
              </w:rPr>
              <w:t>Número de redes nacionales de CATI puestas en marcha.</w:t>
            </w:r>
          </w:p>
        </w:tc>
        <w:tc>
          <w:tcPr>
            <w:tcW w:w="3011" w:type="dxa"/>
            <w:gridSpan w:val="3"/>
          </w:tcPr>
          <w:p w14:paraId="4E1BBA05" w14:textId="5BF7F637" w:rsidR="00067534" w:rsidRPr="00B83E1A" w:rsidRDefault="00067534" w:rsidP="004E65E7">
            <w:pPr>
              <w:spacing w:after="120"/>
              <w:rPr>
                <w:sz w:val="18"/>
                <w:szCs w:val="18"/>
                <w:lang w:val="es-ES"/>
              </w:rPr>
            </w:pPr>
            <w:r w:rsidRPr="00B83E1A">
              <w:rPr>
                <w:sz w:val="18"/>
                <w:szCs w:val="18"/>
                <w:lang w:val="es-ES" w:bidi="th-TH"/>
              </w:rPr>
              <w:t>Puesta en marcha d</w:t>
            </w:r>
            <w:r w:rsidR="00D23810" w:rsidRPr="00B83E1A">
              <w:rPr>
                <w:sz w:val="18"/>
                <w:szCs w:val="18"/>
                <w:lang w:val="es-ES" w:bidi="th-TH"/>
              </w:rPr>
              <w:t>e 1</w:t>
            </w:r>
            <w:r w:rsidRPr="00B83E1A">
              <w:rPr>
                <w:sz w:val="18"/>
                <w:szCs w:val="18"/>
                <w:lang w:val="es-ES" w:bidi="th-TH"/>
              </w:rPr>
              <w:t>6 redes CATI adicionales:  África (10);  región de los países árabes (1);  América Latina y el Caribe (4);  y determinados países de Europa y Asia (1).</w:t>
            </w:r>
          </w:p>
        </w:tc>
      </w:tr>
      <w:tr w:rsidR="00067534" w:rsidRPr="00B83E1A" w14:paraId="4D806E81" w14:textId="77777777" w:rsidTr="004E65E7">
        <w:trPr>
          <w:jc w:val="center"/>
        </w:trPr>
        <w:tc>
          <w:tcPr>
            <w:tcW w:w="1398" w:type="dxa"/>
            <w:vMerge/>
          </w:tcPr>
          <w:p w14:paraId="097E5431" w14:textId="77777777" w:rsidR="00067534" w:rsidRPr="00B83E1A" w:rsidRDefault="00067534" w:rsidP="004E65E7">
            <w:pPr>
              <w:rPr>
                <w:sz w:val="18"/>
                <w:szCs w:val="18"/>
                <w:lang w:val="es-ES"/>
              </w:rPr>
            </w:pPr>
          </w:p>
        </w:tc>
        <w:tc>
          <w:tcPr>
            <w:tcW w:w="2693" w:type="dxa"/>
            <w:gridSpan w:val="2"/>
            <w:vMerge/>
          </w:tcPr>
          <w:p w14:paraId="4E70A2AF" w14:textId="77777777" w:rsidR="00067534" w:rsidRPr="00B83E1A" w:rsidRDefault="00067534" w:rsidP="004E65E7">
            <w:pPr>
              <w:rPr>
                <w:sz w:val="18"/>
                <w:szCs w:val="18"/>
                <w:lang w:val="es-ES"/>
              </w:rPr>
            </w:pPr>
          </w:p>
        </w:tc>
        <w:tc>
          <w:tcPr>
            <w:tcW w:w="2126" w:type="dxa"/>
            <w:gridSpan w:val="2"/>
          </w:tcPr>
          <w:p w14:paraId="521DE6F8" w14:textId="77777777" w:rsidR="00067534" w:rsidRPr="00B83E1A" w:rsidRDefault="00067534" w:rsidP="004E65E7">
            <w:pPr>
              <w:rPr>
                <w:sz w:val="18"/>
                <w:szCs w:val="18"/>
                <w:lang w:val="es-ES"/>
              </w:rPr>
            </w:pPr>
            <w:r w:rsidRPr="00B83E1A">
              <w:rPr>
                <w:sz w:val="18"/>
                <w:szCs w:val="18"/>
                <w:lang w:val="es-ES"/>
              </w:rPr>
              <w:t>Porcentaje de usuarios satisfechos de los servicios de los CATI.</w:t>
            </w:r>
          </w:p>
        </w:tc>
        <w:tc>
          <w:tcPr>
            <w:tcW w:w="3011" w:type="dxa"/>
            <w:gridSpan w:val="3"/>
          </w:tcPr>
          <w:p w14:paraId="6032984D" w14:textId="2C98E806" w:rsidR="00067534" w:rsidRPr="00B83E1A" w:rsidRDefault="00067534" w:rsidP="004E65E7">
            <w:pPr>
              <w:rPr>
                <w:sz w:val="18"/>
                <w:szCs w:val="18"/>
                <w:lang w:val="es-ES" w:bidi="th-TH"/>
              </w:rPr>
            </w:pPr>
            <w:r w:rsidRPr="00B83E1A">
              <w:rPr>
                <w:sz w:val="18"/>
                <w:szCs w:val="18"/>
                <w:lang w:val="es-ES" w:bidi="th-TH"/>
              </w:rPr>
              <w:t>Muy satisfechos</w:t>
            </w:r>
            <w:r w:rsidR="00D23810" w:rsidRPr="00B83E1A">
              <w:rPr>
                <w:sz w:val="18"/>
                <w:szCs w:val="18"/>
                <w:lang w:val="es-ES" w:bidi="th-TH"/>
              </w:rPr>
              <w:t>:  3</w:t>
            </w:r>
            <w:r w:rsidRPr="00B83E1A">
              <w:rPr>
                <w:sz w:val="18"/>
                <w:szCs w:val="18"/>
                <w:lang w:val="es-ES" w:bidi="th-TH"/>
              </w:rPr>
              <w:t>3%</w:t>
            </w:r>
          </w:p>
          <w:p w14:paraId="1009A482" w14:textId="63FEEFAA" w:rsidR="00067534" w:rsidRPr="00B83E1A" w:rsidRDefault="00067534" w:rsidP="004E65E7">
            <w:pPr>
              <w:rPr>
                <w:sz w:val="18"/>
                <w:szCs w:val="18"/>
                <w:lang w:val="es-ES" w:bidi="th-TH"/>
              </w:rPr>
            </w:pPr>
            <w:r w:rsidRPr="00B83E1A">
              <w:rPr>
                <w:sz w:val="18"/>
                <w:szCs w:val="18"/>
                <w:lang w:val="es-ES" w:bidi="th-TH"/>
              </w:rPr>
              <w:t>Moderadamente satisfechos</w:t>
            </w:r>
            <w:r w:rsidR="00D23810" w:rsidRPr="00B83E1A">
              <w:rPr>
                <w:sz w:val="18"/>
                <w:szCs w:val="18"/>
                <w:lang w:val="es-ES" w:bidi="th-TH"/>
              </w:rPr>
              <w:t>:  4</w:t>
            </w:r>
            <w:r w:rsidRPr="00B83E1A">
              <w:rPr>
                <w:sz w:val="18"/>
                <w:szCs w:val="18"/>
                <w:lang w:val="es-ES" w:bidi="th-TH"/>
              </w:rPr>
              <w:t>4%</w:t>
            </w:r>
          </w:p>
          <w:p w14:paraId="5CF8BD3B" w14:textId="77777777" w:rsidR="00067534" w:rsidRPr="00B83E1A" w:rsidRDefault="00067534" w:rsidP="004E65E7">
            <w:pPr>
              <w:rPr>
                <w:sz w:val="18"/>
                <w:szCs w:val="18"/>
                <w:lang w:val="es-ES"/>
              </w:rPr>
            </w:pPr>
          </w:p>
        </w:tc>
      </w:tr>
      <w:tr w:rsidR="00067534" w:rsidRPr="00B83E1A" w14:paraId="6DDA2383" w14:textId="77777777" w:rsidTr="004E65E7">
        <w:trPr>
          <w:jc w:val="center"/>
        </w:trPr>
        <w:tc>
          <w:tcPr>
            <w:tcW w:w="1398" w:type="dxa"/>
            <w:vMerge/>
          </w:tcPr>
          <w:p w14:paraId="531C1E2F" w14:textId="77777777" w:rsidR="00067534" w:rsidRPr="00B83E1A" w:rsidRDefault="00067534" w:rsidP="004E65E7">
            <w:pPr>
              <w:rPr>
                <w:sz w:val="18"/>
                <w:szCs w:val="18"/>
                <w:lang w:val="es-ES"/>
              </w:rPr>
            </w:pPr>
          </w:p>
        </w:tc>
        <w:tc>
          <w:tcPr>
            <w:tcW w:w="2693" w:type="dxa"/>
            <w:gridSpan w:val="2"/>
            <w:vMerge/>
          </w:tcPr>
          <w:p w14:paraId="78BECA50" w14:textId="77777777" w:rsidR="00067534" w:rsidRPr="00B83E1A" w:rsidRDefault="00067534" w:rsidP="004E65E7">
            <w:pPr>
              <w:rPr>
                <w:sz w:val="18"/>
                <w:szCs w:val="18"/>
                <w:lang w:val="es-ES"/>
              </w:rPr>
            </w:pPr>
          </w:p>
        </w:tc>
        <w:tc>
          <w:tcPr>
            <w:tcW w:w="2126" w:type="dxa"/>
            <w:gridSpan w:val="2"/>
          </w:tcPr>
          <w:p w14:paraId="4A6445B7" w14:textId="77777777" w:rsidR="00067534" w:rsidRPr="00B83E1A" w:rsidRDefault="00067534" w:rsidP="004E65E7">
            <w:pPr>
              <w:rPr>
                <w:sz w:val="18"/>
                <w:szCs w:val="18"/>
                <w:lang w:val="es-ES"/>
              </w:rPr>
            </w:pPr>
            <w:r w:rsidRPr="00B83E1A">
              <w:rPr>
                <w:sz w:val="18"/>
                <w:szCs w:val="18"/>
                <w:lang w:val="es-ES"/>
              </w:rPr>
              <w:t>Número de usuarios de los servicios de información con valor añadido (servicio de búsqueda de la tecnología, informes sobre análisis de la actividad de patentamiento y cooperación internacional en el examen).</w:t>
            </w:r>
          </w:p>
        </w:tc>
        <w:tc>
          <w:tcPr>
            <w:tcW w:w="3011" w:type="dxa"/>
            <w:gridSpan w:val="3"/>
          </w:tcPr>
          <w:p w14:paraId="03D351A1" w14:textId="2E5ACF5D" w:rsidR="00067534" w:rsidRPr="00B83E1A" w:rsidRDefault="00067534" w:rsidP="004E65E7">
            <w:pPr>
              <w:rPr>
                <w:sz w:val="18"/>
                <w:szCs w:val="18"/>
                <w:lang w:val="es-ES" w:bidi="th-TH"/>
              </w:rPr>
            </w:pPr>
            <w:r w:rsidRPr="00B83E1A">
              <w:rPr>
                <w:sz w:val="18"/>
                <w:szCs w:val="18"/>
                <w:lang w:val="es-ES" w:bidi="th-TH"/>
              </w:rPr>
              <w:t>Del servicio de cooperación internacional en el examen/servicios de la OMPI de información sobre patentes:  e</w:t>
            </w:r>
            <w:r w:rsidR="00D23810" w:rsidRPr="00B83E1A">
              <w:rPr>
                <w:sz w:val="18"/>
                <w:szCs w:val="18"/>
                <w:lang w:val="es-ES" w:bidi="th-TH"/>
              </w:rPr>
              <w:t>n 2</w:t>
            </w:r>
            <w:r w:rsidRPr="00B83E1A">
              <w:rPr>
                <w:sz w:val="18"/>
                <w:szCs w:val="18"/>
                <w:lang w:val="es-ES" w:bidi="th-TH"/>
              </w:rPr>
              <w:t>012 se recibiero</w:t>
            </w:r>
            <w:r w:rsidR="00D23810" w:rsidRPr="00B83E1A">
              <w:rPr>
                <w:sz w:val="18"/>
                <w:szCs w:val="18"/>
                <w:lang w:val="es-ES" w:bidi="th-TH"/>
              </w:rPr>
              <w:t>n 2</w:t>
            </w:r>
            <w:r w:rsidRPr="00B83E1A">
              <w:rPr>
                <w:sz w:val="18"/>
                <w:szCs w:val="18"/>
                <w:lang w:val="es-ES" w:bidi="th-TH"/>
              </w:rPr>
              <w:t>41 solicitudes de búsqueda d</w:t>
            </w:r>
            <w:r w:rsidR="00D23810" w:rsidRPr="00B83E1A">
              <w:rPr>
                <w:sz w:val="18"/>
                <w:szCs w:val="18"/>
                <w:lang w:val="es-ES" w:bidi="th-TH"/>
              </w:rPr>
              <w:t>e 1</w:t>
            </w:r>
            <w:r w:rsidRPr="00B83E1A">
              <w:rPr>
                <w:sz w:val="18"/>
                <w:szCs w:val="18"/>
                <w:lang w:val="es-ES" w:bidi="th-TH"/>
              </w:rPr>
              <w:t>9 países, incluida</w:t>
            </w:r>
            <w:r w:rsidR="00D23810" w:rsidRPr="00B83E1A">
              <w:rPr>
                <w:sz w:val="18"/>
                <w:szCs w:val="18"/>
                <w:lang w:val="es-ES" w:bidi="th-TH"/>
              </w:rPr>
              <w:t>s 1</w:t>
            </w:r>
            <w:r w:rsidRPr="00B83E1A">
              <w:rPr>
                <w:sz w:val="18"/>
                <w:szCs w:val="18"/>
                <w:lang w:val="es-ES" w:bidi="th-TH"/>
              </w:rPr>
              <w:t>01 solicitudes de informes de examen por conducto de la cooperación internacional en el examen.</w:t>
            </w:r>
          </w:p>
          <w:p w14:paraId="61823691" w14:textId="77777777" w:rsidR="00067534" w:rsidRPr="00B83E1A" w:rsidRDefault="00067534" w:rsidP="004E65E7">
            <w:pPr>
              <w:rPr>
                <w:sz w:val="18"/>
                <w:szCs w:val="18"/>
                <w:lang w:val="es-ES" w:bidi="th-TH"/>
              </w:rPr>
            </w:pPr>
            <w:r w:rsidRPr="00B83E1A">
              <w:rPr>
                <w:sz w:val="18"/>
                <w:szCs w:val="18"/>
                <w:lang w:val="es-ES" w:bidi="th-TH"/>
              </w:rPr>
              <w:t>De los informes sobre análisis de la actividad de patentamiento:</w:t>
            </w:r>
          </w:p>
          <w:p w14:paraId="1380A69A" w14:textId="77777777" w:rsidR="00067534" w:rsidRPr="00B83E1A" w:rsidRDefault="00067534" w:rsidP="004E65E7">
            <w:pPr>
              <w:rPr>
                <w:sz w:val="18"/>
                <w:szCs w:val="18"/>
                <w:lang w:val="es-ES" w:bidi="th-TH"/>
              </w:rPr>
            </w:pPr>
            <w:r w:rsidRPr="00B83E1A">
              <w:rPr>
                <w:sz w:val="18"/>
                <w:szCs w:val="18"/>
                <w:lang w:val="es-ES" w:bidi="th-TH"/>
              </w:rPr>
              <w:t>13.102 visitas (una sola pulsación del ratón);</w:t>
            </w:r>
          </w:p>
          <w:p w14:paraId="49842707" w14:textId="77777777" w:rsidR="00067534" w:rsidRPr="00B83E1A" w:rsidRDefault="00067534" w:rsidP="004E65E7">
            <w:pPr>
              <w:spacing w:after="120"/>
              <w:rPr>
                <w:sz w:val="18"/>
                <w:szCs w:val="18"/>
                <w:lang w:val="es-ES"/>
              </w:rPr>
            </w:pPr>
            <w:r w:rsidRPr="00B83E1A">
              <w:rPr>
                <w:sz w:val="18"/>
                <w:szCs w:val="18"/>
                <w:lang w:val="es-ES" w:bidi="th-TH"/>
              </w:rPr>
              <w:t>8.930 descargas de documentos en formato pdf.</w:t>
            </w:r>
          </w:p>
        </w:tc>
      </w:tr>
      <w:tr w:rsidR="00067534" w:rsidRPr="00B83E1A" w14:paraId="73BD9E21" w14:textId="77777777" w:rsidTr="004E65E7">
        <w:trPr>
          <w:jc w:val="center"/>
        </w:trPr>
        <w:tc>
          <w:tcPr>
            <w:tcW w:w="1398" w:type="dxa"/>
            <w:vMerge/>
          </w:tcPr>
          <w:p w14:paraId="64914EFA" w14:textId="77777777" w:rsidR="00067534" w:rsidRPr="00B83E1A" w:rsidRDefault="00067534" w:rsidP="004E65E7">
            <w:pPr>
              <w:rPr>
                <w:i/>
                <w:sz w:val="18"/>
                <w:szCs w:val="18"/>
                <w:lang w:val="es-ES"/>
              </w:rPr>
            </w:pPr>
          </w:p>
        </w:tc>
        <w:tc>
          <w:tcPr>
            <w:tcW w:w="2693" w:type="dxa"/>
            <w:gridSpan w:val="2"/>
            <w:vMerge/>
          </w:tcPr>
          <w:p w14:paraId="358FA65C" w14:textId="77777777" w:rsidR="00067534" w:rsidRPr="00B83E1A" w:rsidRDefault="00067534" w:rsidP="004E65E7">
            <w:pPr>
              <w:rPr>
                <w:sz w:val="18"/>
                <w:szCs w:val="18"/>
                <w:lang w:val="es-ES"/>
              </w:rPr>
            </w:pPr>
          </w:p>
        </w:tc>
        <w:tc>
          <w:tcPr>
            <w:tcW w:w="2126" w:type="dxa"/>
            <w:gridSpan w:val="2"/>
          </w:tcPr>
          <w:p w14:paraId="62EDF395" w14:textId="77777777" w:rsidR="00067534" w:rsidRPr="00B83E1A" w:rsidRDefault="00067534" w:rsidP="004E65E7">
            <w:pPr>
              <w:keepNext/>
              <w:keepLines/>
              <w:rPr>
                <w:sz w:val="18"/>
                <w:szCs w:val="18"/>
                <w:lang w:val="es-ES"/>
              </w:rPr>
            </w:pPr>
            <w:r w:rsidRPr="00B83E1A">
              <w:rPr>
                <w:sz w:val="18"/>
                <w:szCs w:val="18"/>
                <w:lang w:val="es-ES"/>
              </w:rPr>
              <w:t xml:space="preserve">Porcentaje de usuarios satisfechos de los servicios de información con valor añadido (servicio de búsqueda de la </w:t>
            </w:r>
            <w:r w:rsidRPr="00B83E1A">
              <w:rPr>
                <w:sz w:val="18"/>
                <w:szCs w:val="18"/>
                <w:lang w:val="es-ES"/>
              </w:rPr>
              <w:lastRenderedPageBreak/>
              <w:t>tecnología, informes sobre análisis de la actividad de patentamiento y cooperación internacional en el examen).</w:t>
            </w:r>
          </w:p>
        </w:tc>
        <w:tc>
          <w:tcPr>
            <w:tcW w:w="3011" w:type="dxa"/>
            <w:gridSpan w:val="3"/>
          </w:tcPr>
          <w:p w14:paraId="5DA68500" w14:textId="0D5FDBA5" w:rsidR="00067534" w:rsidRPr="00B83E1A" w:rsidRDefault="00067534" w:rsidP="004E65E7">
            <w:pPr>
              <w:keepNext/>
              <w:keepLines/>
              <w:rPr>
                <w:sz w:val="18"/>
                <w:szCs w:val="18"/>
                <w:lang w:val="es-ES" w:bidi="th-TH"/>
              </w:rPr>
            </w:pPr>
            <w:r w:rsidRPr="00B83E1A">
              <w:rPr>
                <w:sz w:val="18"/>
                <w:szCs w:val="18"/>
                <w:lang w:val="es-ES" w:bidi="th-TH"/>
              </w:rPr>
              <w:lastRenderedPageBreak/>
              <w:t xml:space="preserve">Actualmente se están examinando con las oficinas donantes las encuestas de evaluación de la satisfacción de los usuarios con los informes del servicio de cooperación internacional en el </w:t>
            </w:r>
            <w:r w:rsidRPr="00B83E1A">
              <w:rPr>
                <w:sz w:val="18"/>
                <w:szCs w:val="18"/>
                <w:lang w:val="es-ES" w:bidi="th-TH"/>
              </w:rPr>
              <w:lastRenderedPageBreak/>
              <w:t>examen/servicios de la OMPI de información sobre patentes.  Se prevé que empiecen a aplicarse e</w:t>
            </w:r>
            <w:r w:rsidR="00D23810" w:rsidRPr="00B83E1A">
              <w:rPr>
                <w:sz w:val="18"/>
                <w:szCs w:val="18"/>
                <w:lang w:val="es-ES" w:bidi="th-TH"/>
              </w:rPr>
              <w:t>n 2</w:t>
            </w:r>
            <w:r w:rsidRPr="00B83E1A">
              <w:rPr>
                <w:sz w:val="18"/>
                <w:szCs w:val="18"/>
                <w:lang w:val="es-ES" w:bidi="th-TH"/>
              </w:rPr>
              <w:t>013.</w:t>
            </w:r>
          </w:p>
          <w:p w14:paraId="0DC60033" w14:textId="0C477D5B" w:rsidR="00067534" w:rsidRPr="00B83E1A" w:rsidRDefault="00067534" w:rsidP="004E65E7">
            <w:pPr>
              <w:keepNext/>
              <w:keepLines/>
              <w:rPr>
                <w:sz w:val="18"/>
                <w:szCs w:val="18"/>
                <w:lang w:val="es-ES" w:bidi="th-TH"/>
              </w:rPr>
            </w:pPr>
            <w:r w:rsidRPr="00B83E1A">
              <w:rPr>
                <w:sz w:val="18"/>
                <w:szCs w:val="18"/>
                <w:lang w:val="es-ES" w:bidi="th-TH"/>
              </w:rPr>
              <w:t>De los informes sobre análisis de la actividad de patentamiento:  E</w:t>
            </w:r>
            <w:r w:rsidR="00D23810" w:rsidRPr="00B83E1A">
              <w:rPr>
                <w:sz w:val="18"/>
                <w:szCs w:val="18"/>
                <w:lang w:val="es-ES" w:bidi="th-TH"/>
              </w:rPr>
              <w:t>l 8</w:t>
            </w:r>
            <w:r w:rsidRPr="00B83E1A">
              <w:rPr>
                <w:sz w:val="18"/>
                <w:szCs w:val="18"/>
                <w:lang w:val="es-ES" w:bidi="th-TH"/>
              </w:rPr>
              <w:t>8% de los usuarios de primer y de segundo nivel estaba satisfecho con los informes.</w:t>
            </w:r>
          </w:p>
          <w:p w14:paraId="00024FD7" w14:textId="45911745" w:rsidR="00067534" w:rsidRPr="00B83E1A" w:rsidRDefault="00067534" w:rsidP="004E65E7">
            <w:pPr>
              <w:keepNext/>
              <w:keepLines/>
              <w:spacing w:after="120"/>
              <w:rPr>
                <w:sz w:val="18"/>
                <w:szCs w:val="18"/>
                <w:lang w:val="es-ES"/>
              </w:rPr>
            </w:pPr>
            <w:r w:rsidRPr="00B83E1A">
              <w:rPr>
                <w:sz w:val="18"/>
                <w:szCs w:val="18"/>
                <w:lang w:val="es-ES" w:bidi="th-TH"/>
              </w:rPr>
              <w:t>U</w:t>
            </w:r>
            <w:r w:rsidR="00D23810" w:rsidRPr="00B83E1A">
              <w:rPr>
                <w:sz w:val="18"/>
                <w:szCs w:val="18"/>
                <w:lang w:val="es-ES" w:bidi="th-TH"/>
              </w:rPr>
              <w:t>n 6</w:t>
            </w:r>
            <w:r w:rsidRPr="00B83E1A">
              <w:rPr>
                <w:sz w:val="18"/>
                <w:szCs w:val="18"/>
                <w:lang w:val="es-ES" w:bidi="th-TH"/>
              </w:rPr>
              <w:t>7% de los usuarios consideraba que los informes eran útiles para su trabajo.</w:t>
            </w:r>
          </w:p>
        </w:tc>
      </w:tr>
      <w:tr w:rsidR="00067534" w:rsidRPr="00B83E1A" w14:paraId="15AFE53A" w14:textId="77777777" w:rsidTr="004E65E7">
        <w:trPr>
          <w:jc w:val="center"/>
        </w:trPr>
        <w:tc>
          <w:tcPr>
            <w:tcW w:w="1398" w:type="dxa"/>
            <w:vMerge/>
          </w:tcPr>
          <w:p w14:paraId="4C684C94" w14:textId="77777777" w:rsidR="00067534" w:rsidRPr="00B83E1A" w:rsidRDefault="00067534" w:rsidP="004E65E7">
            <w:pPr>
              <w:rPr>
                <w:i/>
                <w:sz w:val="18"/>
                <w:szCs w:val="18"/>
                <w:lang w:val="es-ES"/>
              </w:rPr>
            </w:pPr>
          </w:p>
        </w:tc>
        <w:tc>
          <w:tcPr>
            <w:tcW w:w="2693" w:type="dxa"/>
            <w:gridSpan w:val="2"/>
            <w:vMerge/>
          </w:tcPr>
          <w:p w14:paraId="584EA374" w14:textId="77777777" w:rsidR="00067534" w:rsidRPr="00B83E1A" w:rsidRDefault="00067534" w:rsidP="004E65E7">
            <w:pPr>
              <w:rPr>
                <w:sz w:val="18"/>
                <w:szCs w:val="18"/>
                <w:lang w:val="es-ES"/>
              </w:rPr>
            </w:pPr>
          </w:p>
        </w:tc>
        <w:tc>
          <w:tcPr>
            <w:tcW w:w="2126" w:type="dxa"/>
            <w:gridSpan w:val="2"/>
          </w:tcPr>
          <w:p w14:paraId="5BE1833D" w14:textId="77777777" w:rsidR="00067534" w:rsidRPr="00B83E1A" w:rsidRDefault="00067534" w:rsidP="004E65E7">
            <w:pPr>
              <w:keepNext/>
              <w:keepLines/>
              <w:rPr>
                <w:sz w:val="18"/>
                <w:szCs w:val="18"/>
                <w:lang w:val="es-ES"/>
              </w:rPr>
            </w:pPr>
            <w:r w:rsidRPr="00B83E1A">
              <w:rPr>
                <w:sz w:val="18"/>
                <w:szCs w:val="18"/>
                <w:lang w:val="es-ES"/>
              </w:rPr>
              <w:t>Número de usuarios inscritos en aRDI y ASPI.</w:t>
            </w:r>
          </w:p>
        </w:tc>
        <w:tc>
          <w:tcPr>
            <w:tcW w:w="3011" w:type="dxa"/>
            <w:gridSpan w:val="3"/>
          </w:tcPr>
          <w:p w14:paraId="75749CCA" w14:textId="4F9777D3" w:rsidR="00067534" w:rsidRPr="00B83E1A" w:rsidRDefault="00067534" w:rsidP="004E65E7">
            <w:pPr>
              <w:keepNext/>
              <w:keepLines/>
              <w:spacing w:after="120"/>
              <w:rPr>
                <w:sz w:val="18"/>
                <w:szCs w:val="18"/>
                <w:lang w:val="es-ES"/>
              </w:rPr>
            </w:pPr>
            <w:r w:rsidRPr="00B83E1A">
              <w:rPr>
                <w:sz w:val="18"/>
                <w:szCs w:val="18"/>
                <w:lang w:val="es-ES" w:bidi="th-TH"/>
              </w:rPr>
              <w:t>aRDI contaba co</w:t>
            </w:r>
            <w:r w:rsidR="00D23810" w:rsidRPr="00B83E1A">
              <w:rPr>
                <w:sz w:val="18"/>
                <w:szCs w:val="18"/>
                <w:lang w:val="es-ES" w:bidi="th-TH"/>
              </w:rPr>
              <w:t>n 2</w:t>
            </w:r>
            <w:r w:rsidRPr="00B83E1A">
              <w:rPr>
                <w:sz w:val="18"/>
                <w:szCs w:val="18"/>
                <w:lang w:val="es-ES" w:bidi="th-TH"/>
              </w:rPr>
              <w:t>30 usuarios inscritos, de los qu</w:t>
            </w:r>
            <w:r w:rsidR="00D23810" w:rsidRPr="00B83E1A">
              <w:rPr>
                <w:sz w:val="18"/>
                <w:szCs w:val="18"/>
                <w:lang w:val="es-ES" w:bidi="th-TH"/>
              </w:rPr>
              <w:t>e 1</w:t>
            </w:r>
            <w:r w:rsidRPr="00B83E1A">
              <w:rPr>
                <w:sz w:val="18"/>
                <w:szCs w:val="18"/>
                <w:lang w:val="es-ES" w:bidi="th-TH"/>
              </w:rPr>
              <w:t>10 estaban activos</w:t>
            </w:r>
            <w:r w:rsidR="00D23810" w:rsidRPr="00B83E1A">
              <w:rPr>
                <w:sz w:val="18"/>
                <w:szCs w:val="18"/>
                <w:lang w:val="es-ES" w:bidi="th-TH"/>
              </w:rPr>
              <w:t>.  A</w:t>
            </w:r>
            <w:r w:rsidRPr="00B83E1A">
              <w:rPr>
                <w:sz w:val="18"/>
                <w:szCs w:val="18"/>
                <w:lang w:val="es-ES" w:bidi="th-TH"/>
              </w:rPr>
              <w:t>SPI tení</w:t>
            </w:r>
            <w:r w:rsidR="00D23810" w:rsidRPr="00B83E1A">
              <w:rPr>
                <w:sz w:val="18"/>
                <w:szCs w:val="18"/>
                <w:lang w:val="es-ES" w:bidi="th-TH"/>
              </w:rPr>
              <w:t>a 3</w:t>
            </w:r>
            <w:r w:rsidRPr="00B83E1A">
              <w:rPr>
                <w:sz w:val="18"/>
                <w:szCs w:val="18"/>
                <w:lang w:val="es-ES" w:bidi="th-TH"/>
              </w:rPr>
              <w:t>0 usuarios inscritos, de los qu</w:t>
            </w:r>
            <w:r w:rsidR="00D23810" w:rsidRPr="00B83E1A">
              <w:rPr>
                <w:sz w:val="18"/>
                <w:szCs w:val="18"/>
                <w:lang w:val="es-ES" w:bidi="th-TH"/>
              </w:rPr>
              <w:t>e 1</w:t>
            </w:r>
            <w:r w:rsidRPr="00B83E1A">
              <w:rPr>
                <w:sz w:val="18"/>
                <w:szCs w:val="18"/>
                <w:lang w:val="es-ES" w:bidi="th-TH"/>
              </w:rPr>
              <w:t>2 estaban activos.</w:t>
            </w:r>
          </w:p>
        </w:tc>
      </w:tr>
      <w:tr w:rsidR="00067534" w:rsidRPr="00B83E1A" w14:paraId="52FE3494" w14:textId="77777777" w:rsidTr="004E65E7">
        <w:trPr>
          <w:jc w:val="center"/>
        </w:trPr>
        <w:tc>
          <w:tcPr>
            <w:tcW w:w="1398" w:type="dxa"/>
          </w:tcPr>
          <w:p w14:paraId="17F98EA8" w14:textId="4071E3AF" w:rsidR="00067534" w:rsidRPr="00B83E1A" w:rsidRDefault="00067534" w:rsidP="004E65E7">
            <w:pPr>
              <w:rPr>
                <w:i/>
                <w:sz w:val="18"/>
                <w:szCs w:val="18"/>
                <w:lang w:val="es-ES"/>
              </w:rPr>
            </w:pPr>
            <w:r w:rsidRPr="00B83E1A">
              <w:rPr>
                <w:i/>
                <w:sz w:val="18"/>
                <w:szCs w:val="18"/>
                <w:lang w:val="es-ES"/>
              </w:rPr>
              <w:t>Meta estratégica VII</w:t>
            </w:r>
            <w:r w:rsidR="00D23810" w:rsidRPr="00B83E1A">
              <w:rPr>
                <w:i/>
                <w:sz w:val="18"/>
                <w:szCs w:val="18"/>
                <w:lang w:val="es-ES"/>
              </w:rPr>
              <w:t>:  V</w:t>
            </w:r>
            <w:r w:rsidRPr="00B83E1A">
              <w:rPr>
                <w:i/>
                <w:sz w:val="18"/>
                <w:szCs w:val="18"/>
                <w:lang w:val="es-ES"/>
              </w:rPr>
              <w:t>ínculos entre la P.I. y los problemas mundiales de política pública</w:t>
            </w:r>
          </w:p>
          <w:p w14:paraId="5BE2796E" w14:textId="77777777" w:rsidR="00067534" w:rsidRPr="00B83E1A" w:rsidRDefault="00067534" w:rsidP="004E65E7">
            <w:pPr>
              <w:rPr>
                <w:sz w:val="18"/>
                <w:szCs w:val="18"/>
                <w:lang w:val="es-ES"/>
              </w:rPr>
            </w:pPr>
          </w:p>
        </w:tc>
        <w:tc>
          <w:tcPr>
            <w:tcW w:w="2693" w:type="dxa"/>
            <w:gridSpan w:val="2"/>
          </w:tcPr>
          <w:p w14:paraId="1A5945DB" w14:textId="77777777" w:rsidR="00067534" w:rsidRPr="00B83E1A" w:rsidRDefault="00067534" w:rsidP="004E65E7">
            <w:pPr>
              <w:rPr>
                <w:sz w:val="18"/>
                <w:szCs w:val="18"/>
                <w:lang w:val="es-ES"/>
              </w:rPr>
            </w:pPr>
            <w:r w:rsidRPr="00B83E1A">
              <w:rPr>
                <w:sz w:val="18"/>
                <w:szCs w:val="18"/>
                <w:lang w:val="es-ES"/>
              </w:rPr>
              <w:t>Resultado i) La OMPI constituye una fuente fidedigna de apoyo, asistencia y referencia para la información sobre la innovación y la P.I. en los pertinentes procesos de políticas públicas.</w:t>
            </w:r>
          </w:p>
          <w:p w14:paraId="6DD9B4AD" w14:textId="77777777" w:rsidR="00067534" w:rsidRPr="00B83E1A" w:rsidRDefault="00067534" w:rsidP="004E65E7">
            <w:pPr>
              <w:rPr>
                <w:sz w:val="18"/>
                <w:szCs w:val="18"/>
                <w:lang w:val="es-ES"/>
              </w:rPr>
            </w:pPr>
          </w:p>
        </w:tc>
        <w:tc>
          <w:tcPr>
            <w:tcW w:w="2126" w:type="dxa"/>
            <w:gridSpan w:val="2"/>
          </w:tcPr>
          <w:p w14:paraId="53F5540C" w14:textId="77777777" w:rsidR="00067534" w:rsidRPr="00B83E1A" w:rsidRDefault="00067534" w:rsidP="004E65E7">
            <w:pPr>
              <w:rPr>
                <w:sz w:val="18"/>
                <w:szCs w:val="18"/>
                <w:lang w:val="es-ES"/>
              </w:rPr>
            </w:pPr>
            <w:r w:rsidRPr="00B83E1A">
              <w:rPr>
                <w:sz w:val="18"/>
                <w:szCs w:val="18"/>
                <w:lang w:val="es-ES"/>
              </w:rPr>
              <w:t>Número y diversidad de peticiones concretas de Estados miembros y organizaciones internacionales que solicitan aportaciones de la OMPI en relación con la P.I. y las cuestiones mundiales de política pública.</w:t>
            </w:r>
          </w:p>
        </w:tc>
        <w:tc>
          <w:tcPr>
            <w:tcW w:w="3011" w:type="dxa"/>
            <w:gridSpan w:val="3"/>
          </w:tcPr>
          <w:p w14:paraId="05A62C4D" w14:textId="27AEFCBE" w:rsidR="00067534" w:rsidRPr="00B83E1A" w:rsidRDefault="00067534" w:rsidP="004E65E7">
            <w:pPr>
              <w:spacing w:after="120"/>
              <w:rPr>
                <w:sz w:val="18"/>
                <w:szCs w:val="18"/>
                <w:lang w:val="es-ES"/>
              </w:rPr>
            </w:pPr>
            <w:r w:rsidRPr="00B83E1A">
              <w:rPr>
                <w:sz w:val="18"/>
                <w:szCs w:val="18"/>
                <w:lang w:val="es-ES" w:bidi="th-TH"/>
              </w:rPr>
              <w:t>En el marco de este programa se recibió una petición para la organización conjunta de una actividad sobre la P.I. y el cambio climático del Programa Infodev del Banco Mundial en el Centro de Innovación Climática de Kenya.  A solicitud de un centro de excelencia de la Red Africana para la Innovación en materia de Medicamentos y Medios Diagnósticos (ANDI), y en cooperación con el program</w:t>
            </w:r>
            <w:r w:rsidR="00D23810" w:rsidRPr="00B83E1A">
              <w:rPr>
                <w:sz w:val="18"/>
                <w:szCs w:val="18"/>
                <w:lang w:val="es-ES" w:bidi="th-TH"/>
              </w:rPr>
              <w:t>a 3</w:t>
            </w:r>
            <w:r w:rsidRPr="00B83E1A">
              <w:rPr>
                <w:sz w:val="18"/>
                <w:szCs w:val="18"/>
                <w:lang w:val="es-ES" w:bidi="th-TH"/>
              </w:rPr>
              <w:t>0, se organizó en Ginebra un programa adaptado de formación sobre cómo negociar licencias tecnológicas los día</w:t>
            </w:r>
            <w:r w:rsidR="00D23810" w:rsidRPr="00B83E1A">
              <w:rPr>
                <w:sz w:val="18"/>
                <w:szCs w:val="18"/>
                <w:lang w:val="es-ES" w:bidi="th-TH"/>
              </w:rPr>
              <w:t>s 1</w:t>
            </w:r>
            <w:r w:rsidRPr="00B83E1A">
              <w:rPr>
                <w:sz w:val="18"/>
                <w:szCs w:val="18"/>
                <w:lang w:val="es-ES" w:bidi="th-TH"/>
              </w:rPr>
              <w:t xml:space="preserve"> </w:t>
            </w:r>
            <w:r w:rsidR="00D23810" w:rsidRPr="00B83E1A">
              <w:rPr>
                <w:sz w:val="18"/>
                <w:szCs w:val="18"/>
                <w:lang w:val="es-ES" w:bidi="th-TH"/>
              </w:rPr>
              <w:t>y 2</w:t>
            </w:r>
            <w:r w:rsidRPr="00B83E1A">
              <w:rPr>
                <w:sz w:val="18"/>
                <w:szCs w:val="18"/>
                <w:lang w:val="es-ES" w:bidi="th-TH"/>
              </w:rPr>
              <w:t xml:space="preserve"> de noviembre d</w:t>
            </w:r>
            <w:r w:rsidR="00D23810" w:rsidRPr="00B83E1A">
              <w:rPr>
                <w:sz w:val="18"/>
                <w:szCs w:val="18"/>
                <w:lang w:val="es-ES" w:bidi="th-TH"/>
              </w:rPr>
              <w:t>e 2</w:t>
            </w:r>
            <w:r w:rsidRPr="00B83E1A">
              <w:rPr>
                <w:sz w:val="18"/>
                <w:szCs w:val="18"/>
                <w:lang w:val="es-ES" w:bidi="th-TH"/>
              </w:rPr>
              <w:t>012.</w:t>
            </w:r>
          </w:p>
        </w:tc>
      </w:tr>
      <w:tr w:rsidR="00067534" w:rsidRPr="00B83E1A" w14:paraId="796ED5AA" w14:textId="77777777" w:rsidTr="004E65E7">
        <w:trPr>
          <w:trHeight w:val="648"/>
          <w:jc w:val="center"/>
        </w:trPr>
        <w:tc>
          <w:tcPr>
            <w:tcW w:w="9228" w:type="dxa"/>
            <w:gridSpan w:val="8"/>
            <w:shd w:val="clear" w:color="auto" w:fill="C4BC96" w:themeFill="background2" w:themeFillShade="BF"/>
            <w:vAlign w:val="center"/>
          </w:tcPr>
          <w:p w14:paraId="7D33EADA" w14:textId="7C05CB6D" w:rsidR="00067534" w:rsidRPr="00B83E1A" w:rsidRDefault="00067534" w:rsidP="004E65E7">
            <w:pPr>
              <w:rPr>
                <w:b/>
                <w:bCs/>
                <w:sz w:val="18"/>
                <w:szCs w:val="18"/>
                <w:lang w:val="es-ES"/>
              </w:rPr>
            </w:pPr>
            <w:r w:rsidRPr="00B83E1A">
              <w:rPr>
                <w:b/>
                <w:bCs/>
                <w:sz w:val="18"/>
                <w:szCs w:val="18"/>
                <w:lang w:val="es-ES"/>
              </w:rPr>
              <w:t>ODM - Objetiv</w:t>
            </w:r>
            <w:r w:rsidR="00D23810" w:rsidRPr="00B83E1A">
              <w:rPr>
                <w:b/>
                <w:bCs/>
                <w:sz w:val="18"/>
                <w:szCs w:val="18"/>
                <w:lang w:val="es-ES"/>
              </w:rPr>
              <w:t>o 6</w:t>
            </w:r>
            <w:r w:rsidRPr="00B83E1A">
              <w:rPr>
                <w:b/>
                <w:bCs/>
                <w:sz w:val="18"/>
                <w:szCs w:val="18"/>
                <w:lang w:val="es-ES"/>
              </w:rPr>
              <w:t>:  Combatir el VIH/SIDA, el paludismo y otras enfermedades</w:t>
            </w:r>
          </w:p>
          <w:p w14:paraId="4BC5AC46" w14:textId="77777777" w:rsidR="00067534" w:rsidRPr="00B83E1A" w:rsidRDefault="00067534" w:rsidP="004E65E7">
            <w:pPr>
              <w:rPr>
                <w:b/>
                <w:sz w:val="18"/>
                <w:szCs w:val="18"/>
                <w:lang w:val="es-ES"/>
              </w:rPr>
            </w:pPr>
          </w:p>
        </w:tc>
      </w:tr>
      <w:tr w:rsidR="00067534" w:rsidRPr="00B83E1A" w14:paraId="0E974C9F" w14:textId="77777777" w:rsidTr="004E65E7">
        <w:trPr>
          <w:trHeight w:val="828"/>
          <w:jc w:val="center"/>
        </w:trPr>
        <w:tc>
          <w:tcPr>
            <w:tcW w:w="9228" w:type="dxa"/>
            <w:gridSpan w:val="8"/>
            <w:shd w:val="clear" w:color="auto" w:fill="DDD9C3" w:themeFill="background2" w:themeFillShade="E6"/>
            <w:vAlign w:val="center"/>
          </w:tcPr>
          <w:p w14:paraId="2C07CB9A" w14:textId="5D01EB5E" w:rsidR="00067534" w:rsidRPr="00B83E1A" w:rsidRDefault="00067534" w:rsidP="004E65E7">
            <w:pPr>
              <w:spacing w:before="240"/>
              <w:rPr>
                <w:b/>
                <w:sz w:val="18"/>
                <w:szCs w:val="18"/>
                <w:lang w:val="es-ES"/>
              </w:rPr>
            </w:pPr>
            <w:r w:rsidRPr="00B83E1A">
              <w:rPr>
                <w:b/>
                <w:sz w:val="18"/>
                <w:szCs w:val="18"/>
                <w:lang w:val="es-ES"/>
              </w:rPr>
              <w:t>Met</w:t>
            </w:r>
            <w:r w:rsidR="00D23810" w:rsidRPr="00B83E1A">
              <w:rPr>
                <w:b/>
                <w:sz w:val="18"/>
                <w:szCs w:val="18"/>
                <w:lang w:val="es-ES"/>
              </w:rPr>
              <w:t>a 6</w:t>
            </w:r>
            <w:r w:rsidRPr="00B83E1A">
              <w:rPr>
                <w:b/>
                <w:sz w:val="18"/>
                <w:szCs w:val="18"/>
                <w:lang w:val="es-ES"/>
              </w:rPr>
              <w:t>.B:  Lograr, par</w:t>
            </w:r>
            <w:r w:rsidR="00D23810" w:rsidRPr="00B83E1A">
              <w:rPr>
                <w:b/>
                <w:sz w:val="18"/>
                <w:szCs w:val="18"/>
                <w:lang w:val="es-ES"/>
              </w:rPr>
              <w:t>a 2</w:t>
            </w:r>
            <w:r w:rsidRPr="00B83E1A">
              <w:rPr>
                <w:b/>
                <w:sz w:val="18"/>
                <w:szCs w:val="18"/>
                <w:lang w:val="es-ES"/>
              </w:rPr>
              <w:t>010, el acceso universal al tratamiento de la infección por VIH a quienes lo necesiten</w:t>
            </w:r>
          </w:p>
          <w:p w14:paraId="421A9BB3" w14:textId="1E91D8F8" w:rsidR="00067534" w:rsidRPr="00B83E1A" w:rsidRDefault="00067534" w:rsidP="004E65E7">
            <w:pPr>
              <w:rPr>
                <w:b/>
                <w:sz w:val="18"/>
                <w:szCs w:val="18"/>
                <w:lang w:val="es-ES"/>
              </w:rPr>
            </w:pPr>
            <w:r w:rsidRPr="00B83E1A">
              <w:rPr>
                <w:b/>
                <w:sz w:val="18"/>
                <w:szCs w:val="18"/>
                <w:lang w:val="es-ES"/>
              </w:rPr>
              <w:t>Met</w:t>
            </w:r>
            <w:r w:rsidR="00D23810" w:rsidRPr="00B83E1A">
              <w:rPr>
                <w:b/>
                <w:sz w:val="18"/>
                <w:szCs w:val="18"/>
                <w:lang w:val="es-ES"/>
              </w:rPr>
              <w:t>a 6</w:t>
            </w:r>
            <w:r w:rsidRPr="00B83E1A">
              <w:rPr>
                <w:b/>
                <w:sz w:val="18"/>
                <w:szCs w:val="18"/>
                <w:lang w:val="es-ES"/>
              </w:rPr>
              <w:t>.C:  Haber comenzado a reducir, para el añ</w:t>
            </w:r>
            <w:r w:rsidR="00D23810" w:rsidRPr="00B83E1A">
              <w:rPr>
                <w:b/>
                <w:sz w:val="18"/>
                <w:szCs w:val="18"/>
                <w:lang w:val="es-ES"/>
              </w:rPr>
              <w:t>o 2</w:t>
            </w:r>
            <w:r w:rsidRPr="00B83E1A">
              <w:rPr>
                <w:b/>
                <w:sz w:val="18"/>
                <w:szCs w:val="18"/>
                <w:lang w:val="es-ES"/>
              </w:rPr>
              <w:t>015, la incidencia del paludismo y otras enfermedades graves</w:t>
            </w:r>
          </w:p>
          <w:p w14:paraId="11D40A2E" w14:textId="77777777" w:rsidR="00067534" w:rsidRPr="00B83E1A" w:rsidRDefault="00067534" w:rsidP="004E65E7">
            <w:pPr>
              <w:rPr>
                <w:sz w:val="18"/>
                <w:szCs w:val="18"/>
                <w:lang w:val="es-ES"/>
              </w:rPr>
            </w:pPr>
          </w:p>
        </w:tc>
      </w:tr>
      <w:tr w:rsidR="00067534" w:rsidRPr="00B83E1A" w14:paraId="3CFC5E6D" w14:textId="77777777" w:rsidTr="004E65E7">
        <w:trPr>
          <w:trHeight w:val="863"/>
          <w:jc w:val="center"/>
        </w:trPr>
        <w:tc>
          <w:tcPr>
            <w:tcW w:w="1681" w:type="dxa"/>
            <w:gridSpan w:val="2"/>
            <w:shd w:val="clear" w:color="auto" w:fill="C6D9F1" w:themeFill="text2" w:themeFillTint="33"/>
            <w:vAlign w:val="center"/>
          </w:tcPr>
          <w:p w14:paraId="5D63354B" w14:textId="77777777" w:rsidR="00067534" w:rsidRPr="00B83E1A" w:rsidRDefault="00067534" w:rsidP="004E65E7">
            <w:pPr>
              <w:rPr>
                <w:b/>
                <w:bCs/>
                <w:sz w:val="18"/>
                <w:szCs w:val="18"/>
                <w:lang w:val="es-ES"/>
              </w:rPr>
            </w:pPr>
            <w:r w:rsidRPr="00B83E1A">
              <w:rPr>
                <w:b/>
                <w:bCs/>
                <w:sz w:val="18"/>
                <w:szCs w:val="18"/>
                <w:lang w:val="es-ES"/>
              </w:rPr>
              <w:t>Meta estratégica de la OMPI</w:t>
            </w:r>
          </w:p>
        </w:tc>
        <w:tc>
          <w:tcPr>
            <w:tcW w:w="2479" w:type="dxa"/>
            <w:gridSpan w:val="2"/>
            <w:shd w:val="clear" w:color="auto" w:fill="C6D9F1" w:themeFill="text2" w:themeFillTint="33"/>
            <w:vAlign w:val="center"/>
          </w:tcPr>
          <w:p w14:paraId="42006DAA" w14:textId="77777777" w:rsidR="00067534" w:rsidRPr="00B83E1A" w:rsidRDefault="00067534" w:rsidP="004E65E7">
            <w:pPr>
              <w:rPr>
                <w:b/>
                <w:bCs/>
                <w:sz w:val="18"/>
                <w:szCs w:val="18"/>
                <w:lang w:val="es-ES"/>
              </w:rPr>
            </w:pPr>
            <w:r w:rsidRPr="00B83E1A">
              <w:rPr>
                <w:b/>
                <w:bCs/>
                <w:sz w:val="18"/>
                <w:szCs w:val="18"/>
                <w:lang w:val="es-ES"/>
              </w:rPr>
              <w:t>Resultado previsto de la OMPI pertinente - 2012/13</w:t>
            </w:r>
          </w:p>
        </w:tc>
        <w:tc>
          <w:tcPr>
            <w:tcW w:w="2199" w:type="dxa"/>
            <w:gridSpan w:val="2"/>
            <w:shd w:val="clear" w:color="auto" w:fill="C6D9F1" w:themeFill="text2" w:themeFillTint="33"/>
            <w:vAlign w:val="center"/>
          </w:tcPr>
          <w:p w14:paraId="257BF06C" w14:textId="77777777" w:rsidR="00067534" w:rsidRPr="00B83E1A" w:rsidRDefault="00067534" w:rsidP="004E65E7">
            <w:pPr>
              <w:rPr>
                <w:b/>
                <w:bCs/>
                <w:sz w:val="18"/>
                <w:szCs w:val="18"/>
                <w:lang w:val="es-ES"/>
              </w:rPr>
            </w:pPr>
            <w:r w:rsidRPr="00B83E1A">
              <w:rPr>
                <w:b/>
                <w:bCs/>
                <w:sz w:val="18"/>
                <w:szCs w:val="18"/>
                <w:lang w:val="es-ES"/>
              </w:rPr>
              <w:t>Indicadores de rendimiento</w:t>
            </w:r>
          </w:p>
        </w:tc>
        <w:tc>
          <w:tcPr>
            <w:tcW w:w="2869" w:type="dxa"/>
            <w:gridSpan w:val="2"/>
            <w:shd w:val="clear" w:color="auto" w:fill="C6D9F1" w:themeFill="text2" w:themeFillTint="33"/>
            <w:vAlign w:val="center"/>
          </w:tcPr>
          <w:p w14:paraId="1EC314A9" w14:textId="77777777" w:rsidR="00067534" w:rsidRPr="00B83E1A" w:rsidRDefault="00067534" w:rsidP="004E65E7">
            <w:pPr>
              <w:rPr>
                <w:sz w:val="18"/>
                <w:szCs w:val="18"/>
                <w:lang w:val="es-ES"/>
              </w:rPr>
            </w:pPr>
            <w:r w:rsidRPr="00B83E1A">
              <w:rPr>
                <w:b/>
                <w:bCs/>
                <w:sz w:val="18"/>
                <w:szCs w:val="18"/>
                <w:lang w:val="es-ES"/>
              </w:rPr>
              <w:t>Datos sobre el rendimiento</w:t>
            </w:r>
          </w:p>
        </w:tc>
      </w:tr>
      <w:tr w:rsidR="00067534" w:rsidRPr="00B83E1A" w14:paraId="69071920" w14:textId="77777777" w:rsidTr="004E65E7">
        <w:trPr>
          <w:jc w:val="center"/>
        </w:trPr>
        <w:tc>
          <w:tcPr>
            <w:tcW w:w="1681" w:type="dxa"/>
            <w:gridSpan w:val="2"/>
            <w:vMerge w:val="restart"/>
          </w:tcPr>
          <w:p w14:paraId="38BF5CEE" w14:textId="76A93E42" w:rsidR="00067534" w:rsidRPr="00B83E1A" w:rsidRDefault="00067534" w:rsidP="004E65E7">
            <w:pPr>
              <w:rPr>
                <w:i/>
                <w:sz w:val="18"/>
                <w:szCs w:val="18"/>
                <w:lang w:val="es-ES"/>
              </w:rPr>
            </w:pPr>
            <w:r w:rsidRPr="00B83E1A">
              <w:rPr>
                <w:i/>
                <w:sz w:val="18"/>
                <w:szCs w:val="18"/>
                <w:lang w:val="es-ES"/>
              </w:rPr>
              <w:t>Meta estratégica III</w:t>
            </w:r>
            <w:r w:rsidR="00D23810" w:rsidRPr="00B83E1A">
              <w:rPr>
                <w:i/>
                <w:sz w:val="18"/>
                <w:szCs w:val="18"/>
                <w:lang w:val="es-ES"/>
              </w:rPr>
              <w:t>:  F</w:t>
            </w:r>
            <w:r w:rsidRPr="00B83E1A">
              <w:rPr>
                <w:i/>
                <w:sz w:val="18"/>
                <w:szCs w:val="18"/>
                <w:lang w:val="es-ES"/>
              </w:rPr>
              <w:t>acilitar el uso de la P.I. en aras del desarrollo</w:t>
            </w:r>
          </w:p>
        </w:tc>
        <w:tc>
          <w:tcPr>
            <w:tcW w:w="2479" w:type="dxa"/>
            <w:gridSpan w:val="2"/>
            <w:vMerge w:val="restart"/>
          </w:tcPr>
          <w:p w14:paraId="205CEE6E" w14:textId="77777777" w:rsidR="00067534" w:rsidRPr="00B83E1A" w:rsidRDefault="00067534" w:rsidP="004E65E7">
            <w:pPr>
              <w:rPr>
                <w:sz w:val="18"/>
                <w:szCs w:val="18"/>
                <w:lang w:val="es-ES"/>
              </w:rPr>
            </w:pPr>
            <w:r w:rsidRPr="00B83E1A">
              <w:rPr>
                <w:sz w:val="18"/>
                <w:szCs w:val="18"/>
                <w:lang w:val="es-ES"/>
              </w:rPr>
              <w:t>Resultado i) Políticas nacionales de innovación y de P.I. claramente definidas y coherentes, estrategias y planes de desarrollo que estén en sintonía con las metas y los objetivos nacionales de desarrollo.</w:t>
            </w:r>
          </w:p>
          <w:p w14:paraId="2833AEE1" w14:textId="77777777" w:rsidR="00067534" w:rsidRPr="00B83E1A" w:rsidRDefault="00067534" w:rsidP="004E65E7">
            <w:pPr>
              <w:rPr>
                <w:sz w:val="18"/>
                <w:szCs w:val="18"/>
                <w:lang w:val="es-ES"/>
              </w:rPr>
            </w:pPr>
          </w:p>
        </w:tc>
        <w:tc>
          <w:tcPr>
            <w:tcW w:w="2199" w:type="dxa"/>
            <w:gridSpan w:val="2"/>
            <w:vMerge w:val="restart"/>
          </w:tcPr>
          <w:p w14:paraId="61C8BB10" w14:textId="77777777" w:rsidR="00067534" w:rsidRPr="00B83E1A" w:rsidRDefault="00067534" w:rsidP="004E65E7">
            <w:pPr>
              <w:rPr>
                <w:sz w:val="18"/>
                <w:szCs w:val="18"/>
                <w:lang w:val="es-ES" w:bidi="th-TH"/>
              </w:rPr>
            </w:pPr>
            <w:r w:rsidRPr="00B83E1A">
              <w:rPr>
                <w:sz w:val="18"/>
                <w:szCs w:val="18"/>
                <w:lang w:val="es-ES" w:bidi="th-TH"/>
              </w:rPr>
              <w:t>Número de países que cada año han formulado políticas, estrategias y/o planes de P.I., o los están aplicando (África).</w:t>
            </w:r>
          </w:p>
          <w:p w14:paraId="6CBD4008" w14:textId="77777777" w:rsidR="00067534" w:rsidRPr="00B83E1A" w:rsidRDefault="00067534" w:rsidP="004E65E7">
            <w:pPr>
              <w:rPr>
                <w:i/>
                <w:sz w:val="18"/>
                <w:szCs w:val="18"/>
                <w:lang w:val="es-ES"/>
              </w:rPr>
            </w:pPr>
          </w:p>
        </w:tc>
        <w:tc>
          <w:tcPr>
            <w:tcW w:w="2869" w:type="dxa"/>
            <w:gridSpan w:val="2"/>
          </w:tcPr>
          <w:p w14:paraId="334E7056" w14:textId="77777777" w:rsidR="00067534" w:rsidRPr="00B83E1A" w:rsidRDefault="00067534" w:rsidP="00067534">
            <w:pPr>
              <w:numPr>
                <w:ilvl w:val="0"/>
                <w:numId w:val="12"/>
              </w:numPr>
              <w:rPr>
                <w:bCs/>
                <w:sz w:val="18"/>
                <w:szCs w:val="18"/>
                <w:lang w:val="es-ES" w:bidi="th-TH"/>
              </w:rPr>
            </w:pPr>
            <w:r w:rsidRPr="00B83E1A">
              <w:rPr>
                <w:sz w:val="18"/>
                <w:szCs w:val="18"/>
                <w:lang w:val="es-ES" w:bidi="th-TH"/>
              </w:rPr>
              <w:t>Mauricio (pendiente de su aprobación por el Parlamento)</w:t>
            </w:r>
          </w:p>
          <w:p w14:paraId="63386FC7" w14:textId="33508795" w:rsidR="00067534" w:rsidRPr="00B83E1A" w:rsidRDefault="00067534" w:rsidP="00067534">
            <w:pPr>
              <w:numPr>
                <w:ilvl w:val="0"/>
                <w:numId w:val="12"/>
              </w:numPr>
              <w:rPr>
                <w:bCs/>
                <w:sz w:val="18"/>
                <w:szCs w:val="18"/>
                <w:lang w:val="es-ES" w:bidi="th-TH"/>
              </w:rPr>
            </w:pPr>
            <w:r w:rsidRPr="00B83E1A">
              <w:rPr>
                <w:bCs/>
                <w:sz w:val="18"/>
                <w:szCs w:val="18"/>
                <w:lang w:val="es-ES" w:bidi="th-TH"/>
              </w:rPr>
              <w:t>el Senegal (memorando de entendimiento firmado e</w:t>
            </w:r>
            <w:r w:rsidR="00D23810" w:rsidRPr="00B83E1A">
              <w:rPr>
                <w:bCs/>
                <w:sz w:val="18"/>
                <w:szCs w:val="18"/>
                <w:lang w:val="es-ES" w:bidi="th-TH"/>
              </w:rPr>
              <w:t>n 2</w:t>
            </w:r>
            <w:r w:rsidRPr="00B83E1A">
              <w:rPr>
                <w:bCs/>
                <w:sz w:val="18"/>
                <w:szCs w:val="18"/>
                <w:lang w:val="es-ES" w:bidi="th-TH"/>
              </w:rPr>
              <w:t>011;  aplicación en curso)</w:t>
            </w:r>
          </w:p>
          <w:p w14:paraId="07250BA6" w14:textId="77777777" w:rsidR="00067534" w:rsidRPr="00B83E1A" w:rsidRDefault="00067534" w:rsidP="00067534">
            <w:pPr>
              <w:numPr>
                <w:ilvl w:val="0"/>
                <w:numId w:val="12"/>
              </w:numPr>
              <w:rPr>
                <w:bCs/>
                <w:sz w:val="18"/>
                <w:szCs w:val="18"/>
                <w:lang w:val="es-ES" w:bidi="th-TH"/>
              </w:rPr>
            </w:pPr>
            <w:r w:rsidRPr="00B83E1A">
              <w:rPr>
                <w:bCs/>
                <w:sz w:val="18"/>
                <w:szCs w:val="18"/>
                <w:lang w:val="es-ES" w:bidi="th-TH"/>
              </w:rPr>
              <w:t>Seychelles (se está revisando el memorando de entendimiento)</w:t>
            </w:r>
          </w:p>
          <w:p w14:paraId="333C976D" w14:textId="77777777" w:rsidR="00067534" w:rsidRPr="00B83E1A" w:rsidRDefault="00067534" w:rsidP="00067534">
            <w:pPr>
              <w:numPr>
                <w:ilvl w:val="0"/>
                <w:numId w:val="12"/>
              </w:numPr>
              <w:rPr>
                <w:bCs/>
                <w:sz w:val="18"/>
                <w:szCs w:val="18"/>
                <w:lang w:val="es-ES" w:bidi="th-TH"/>
              </w:rPr>
            </w:pPr>
            <w:r w:rsidRPr="00B83E1A">
              <w:rPr>
                <w:bCs/>
                <w:sz w:val="18"/>
                <w:szCs w:val="18"/>
                <w:lang w:val="es-ES" w:bidi="th-TH"/>
              </w:rPr>
              <w:t>República Unida de Tanzanía (aplicación en curso)</w:t>
            </w:r>
          </w:p>
          <w:p w14:paraId="368A0C50" w14:textId="77777777" w:rsidR="00067534" w:rsidRPr="00B83E1A" w:rsidRDefault="00067534" w:rsidP="004E65E7">
            <w:pPr>
              <w:spacing w:after="120"/>
              <w:rPr>
                <w:sz w:val="18"/>
                <w:szCs w:val="18"/>
                <w:lang w:val="es-ES"/>
              </w:rPr>
            </w:pPr>
            <w:r w:rsidRPr="00B83E1A">
              <w:rPr>
                <w:bCs/>
                <w:sz w:val="18"/>
                <w:szCs w:val="18"/>
                <w:lang w:val="es-ES" w:bidi="th-TH"/>
              </w:rPr>
              <w:lastRenderedPageBreak/>
              <w:t>Ghana (en curso)</w:t>
            </w:r>
          </w:p>
        </w:tc>
      </w:tr>
      <w:tr w:rsidR="00067534" w:rsidRPr="00B83E1A" w14:paraId="58FFD10B" w14:textId="77777777" w:rsidTr="004E65E7">
        <w:trPr>
          <w:jc w:val="center"/>
        </w:trPr>
        <w:tc>
          <w:tcPr>
            <w:tcW w:w="1681" w:type="dxa"/>
            <w:gridSpan w:val="2"/>
            <w:vMerge/>
          </w:tcPr>
          <w:p w14:paraId="505BC614" w14:textId="77777777" w:rsidR="00067534" w:rsidRPr="00B83E1A" w:rsidRDefault="00067534" w:rsidP="004E65E7">
            <w:pPr>
              <w:rPr>
                <w:sz w:val="18"/>
                <w:szCs w:val="18"/>
                <w:lang w:val="es-ES"/>
              </w:rPr>
            </w:pPr>
          </w:p>
        </w:tc>
        <w:tc>
          <w:tcPr>
            <w:tcW w:w="2479" w:type="dxa"/>
            <w:gridSpan w:val="2"/>
            <w:vMerge/>
          </w:tcPr>
          <w:p w14:paraId="6BCAC4DB" w14:textId="77777777" w:rsidR="00067534" w:rsidRPr="00B83E1A" w:rsidRDefault="00067534" w:rsidP="004E65E7">
            <w:pPr>
              <w:rPr>
                <w:sz w:val="18"/>
                <w:szCs w:val="18"/>
                <w:lang w:val="es-ES"/>
              </w:rPr>
            </w:pPr>
          </w:p>
        </w:tc>
        <w:tc>
          <w:tcPr>
            <w:tcW w:w="2199" w:type="dxa"/>
            <w:gridSpan w:val="2"/>
            <w:vMerge/>
          </w:tcPr>
          <w:p w14:paraId="5CEEEC5C" w14:textId="77777777" w:rsidR="00067534" w:rsidRPr="00B83E1A" w:rsidRDefault="00067534" w:rsidP="004E65E7">
            <w:pPr>
              <w:rPr>
                <w:i/>
                <w:sz w:val="18"/>
                <w:szCs w:val="18"/>
                <w:lang w:val="es-ES"/>
              </w:rPr>
            </w:pPr>
          </w:p>
        </w:tc>
        <w:tc>
          <w:tcPr>
            <w:tcW w:w="2869" w:type="dxa"/>
            <w:gridSpan w:val="2"/>
          </w:tcPr>
          <w:p w14:paraId="54EE675A" w14:textId="77777777" w:rsidR="00067534" w:rsidRPr="00B83E1A" w:rsidRDefault="00067534" w:rsidP="004E65E7">
            <w:pPr>
              <w:spacing w:after="120"/>
              <w:rPr>
                <w:sz w:val="18"/>
                <w:szCs w:val="18"/>
                <w:lang w:val="es-ES"/>
              </w:rPr>
            </w:pPr>
            <w:r w:rsidRPr="00B83E1A">
              <w:rPr>
                <w:sz w:val="18"/>
                <w:szCs w:val="18"/>
                <w:lang w:val="es-ES"/>
              </w:rPr>
              <w:t>Consultas en curso con ocho países (Botswana, Burundi, Chad, Congo, Gambia, Mauricio, Seychelles y República Unida de Tanzanía)</w:t>
            </w:r>
          </w:p>
        </w:tc>
      </w:tr>
      <w:tr w:rsidR="00067534" w:rsidRPr="00B83E1A" w14:paraId="5F150580" w14:textId="77777777" w:rsidTr="004E65E7">
        <w:trPr>
          <w:jc w:val="center"/>
        </w:trPr>
        <w:tc>
          <w:tcPr>
            <w:tcW w:w="1681" w:type="dxa"/>
            <w:gridSpan w:val="2"/>
            <w:vMerge/>
          </w:tcPr>
          <w:p w14:paraId="69037BAB" w14:textId="77777777" w:rsidR="00067534" w:rsidRPr="00B83E1A" w:rsidRDefault="00067534" w:rsidP="004E65E7">
            <w:pPr>
              <w:rPr>
                <w:sz w:val="18"/>
                <w:szCs w:val="18"/>
                <w:lang w:val="es-ES"/>
              </w:rPr>
            </w:pPr>
          </w:p>
        </w:tc>
        <w:tc>
          <w:tcPr>
            <w:tcW w:w="2479" w:type="dxa"/>
            <w:gridSpan w:val="2"/>
            <w:vMerge/>
          </w:tcPr>
          <w:p w14:paraId="45AC45CF" w14:textId="77777777" w:rsidR="00067534" w:rsidRPr="00B83E1A" w:rsidRDefault="00067534" w:rsidP="004E65E7">
            <w:pPr>
              <w:rPr>
                <w:sz w:val="18"/>
                <w:szCs w:val="18"/>
                <w:lang w:val="es-ES"/>
              </w:rPr>
            </w:pPr>
          </w:p>
        </w:tc>
        <w:tc>
          <w:tcPr>
            <w:tcW w:w="2199" w:type="dxa"/>
            <w:gridSpan w:val="2"/>
            <w:vMerge/>
          </w:tcPr>
          <w:p w14:paraId="7CFEE53F" w14:textId="77777777" w:rsidR="00067534" w:rsidRPr="00B83E1A" w:rsidRDefault="00067534" w:rsidP="004E65E7">
            <w:pPr>
              <w:rPr>
                <w:i/>
                <w:sz w:val="18"/>
                <w:szCs w:val="18"/>
                <w:lang w:val="es-ES"/>
              </w:rPr>
            </w:pPr>
          </w:p>
        </w:tc>
        <w:tc>
          <w:tcPr>
            <w:tcW w:w="2869" w:type="dxa"/>
            <w:gridSpan w:val="2"/>
          </w:tcPr>
          <w:p w14:paraId="59AD93ED" w14:textId="77777777" w:rsidR="00067534" w:rsidRPr="00B83E1A" w:rsidRDefault="00067534" w:rsidP="00067534">
            <w:pPr>
              <w:numPr>
                <w:ilvl w:val="0"/>
                <w:numId w:val="13"/>
              </w:numPr>
              <w:rPr>
                <w:sz w:val="18"/>
                <w:szCs w:val="18"/>
                <w:lang w:val="es-ES" w:bidi="th-TH"/>
              </w:rPr>
            </w:pPr>
            <w:r w:rsidRPr="00B83E1A">
              <w:rPr>
                <w:sz w:val="18"/>
                <w:szCs w:val="18"/>
                <w:lang w:val="es-ES" w:bidi="th-TH"/>
              </w:rPr>
              <w:t>Botswana (estrategia de P.I.)</w:t>
            </w:r>
          </w:p>
          <w:p w14:paraId="7310D69E" w14:textId="77777777" w:rsidR="00067534" w:rsidRPr="00B83E1A" w:rsidRDefault="00067534" w:rsidP="00067534">
            <w:pPr>
              <w:numPr>
                <w:ilvl w:val="0"/>
                <w:numId w:val="13"/>
              </w:numPr>
              <w:rPr>
                <w:sz w:val="18"/>
                <w:szCs w:val="18"/>
                <w:lang w:val="es-ES" w:bidi="th-TH"/>
              </w:rPr>
            </w:pPr>
            <w:r w:rsidRPr="00B83E1A">
              <w:rPr>
                <w:sz w:val="18"/>
                <w:szCs w:val="18"/>
                <w:lang w:val="es-ES" w:bidi="th-TH"/>
              </w:rPr>
              <w:t>Gambia (estrategia y política de P.I.)</w:t>
            </w:r>
          </w:p>
          <w:p w14:paraId="68065E56" w14:textId="77777777" w:rsidR="00067534" w:rsidRPr="00B83E1A" w:rsidRDefault="00067534" w:rsidP="00067534">
            <w:pPr>
              <w:numPr>
                <w:ilvl w:val="0"/>
                <w:numId w:val="13"/>
              </w:numPr>
              <w:rPr>
                <w:sz w:val="18"/>
                <w:szCs w:val="18"/>
                <w:lang w:val="es-ES" w:bidi="th-TH"/>
              </w:rPr>
            </w:pPr>
            <w:r w:rsidRPr="00B83E1A">
              <w:rPr>
                <w:sz w:val="18"/>
                <w:szCs w:val="18"/>
                <w:lang w:val="es-ES" w:bidi="th-TH"/>
              </w:rPr>
              <w:t>Seychelles (política de P.I.)</w:t>
            </w:r>
          </w:p>
          <w:p w14:paraId="575DFBA8" w14:textId="77777777" w:rsidR="00067534" w:rsidRPr="00B83E1A" w:rsidRDefault="00067534" w:rsidP="00067534">
            <w:pPr>
              <w:numPr>
                <w:ilvl w:val="0"/>
                <w:numId w:val="13"/>
              </w:numPr>
              <w:rPr>
                <w:sz w:val="18"/>
                <w:szCs w:val="18"/>
                <w:lang w:val="es-ES" w:bidi="th-TH"/>
              </w:rPr>
            </w:pPr>
            <w:r w:rsidRPr="00B83E1A">
              <w:rPr>
                <w:sz w:val="18"/>
                <w:szCs w:val="18"/>
                <w:lang w:val="es-ES" w:bidi="th-TH"/>
              </w:rPr>
              <w:t>Mauricio (política de P.I.)</w:t>
            </w:r>
          </w:p>
          <w:p w14:paraId="4B8C43E2" w14:textId="77777777" w:rsidR="00067534" w:rsidRPr="00B83E1A" w:rsidRDefault="00067534" w:rsidP="004E65E7">
            <w:pPr>
              <w:spacing w:after="120"/>
              <w:rPr>
                <w:sz w:val="18"/>
                <w:szCs w:val="18"/>
                <w:lang w:val="es-ES"/>
              </w:rPr>
            </w:pPr>
            <w:r w:rsidRPr="00B83E1A">
              <w:rPr>
                <w:sz w:val="18"/>
                <w:szCs w:val="18"/>
                <w:lang w:val="es-ES" w:bidi="th-TH"/>
              </w:rPr>
              <w:t xml:space="preserve">República Unida de Tanzanía (estrategia y política de P.I.)  </w:t>
            </w:r>
          </w:p>
        </w:tc>
      </w:tr>
      <w:tr w:rsidR="00067534" w:rsidRPr="00B83E1A" w14:paraId="114CD7E9" w14:textId="77777777" w:rsidTr="004E65E7">
        <w:trPr>
          <w:jc w:val="center"/>
        </w:trPr>
        <w:tc>
          <w:tcPr>
            <w:tcW w:w="1681" w:type="dxa"/>
            <w:gridSpan w:val="2"/>
            <w:vMerge/>
          </w:tcPr>
          <w:p w14:paraId="4480D585" w14:textId="77777777" w:rsidR="00067534" w:rsidRPr="00B83E1A" w:rsidRDefault="00067534" w:rsidP="004E65E7">
            <w:pPr>
              <w:rPr>
                <w:sz w:val="18"/>
                <w:szCs w:val="18"/>
                <w:lang w:val="es-ES"/>
              </w:rPr>
            </w:pPr>
          </w:p>
        </w:tc>
        <w:tc>
          <w:tcPr>
            <w:tcW w:w="2479" w:type="dxa"/>
            <w:gridSpan w:val="2"/>
            <w:vMerge/>
          </w:tcPr>
          <w:p w14:paraId="1D8C16E0" w14:textId="77777777" w:rsidR="00067534" w:rsidRPr="00B83E1A" w:rsidRDefault="00067534" w:rsidP="004E65E7">
            <w:pPr>
              <w:rPr>
                <w:sz w:val="18"/>
                <w:szCs w:val="18"/>
                <w:lang w:val="es-ES"/>
              </w:rPr>
            </w:pPr>
          </w:p>
        </w:tc>
        <w:tc>
          <w:tcPr>
            <w:tcW w:w="2199" w:type="dxa"/>
            <w:gridSpan w:val="2"/>
          </w:tcPr>
          <w:p w14:paraId="225654C3" w14:textId="6F3EA02B" w:rsidR="00067534" w:rsidRPr="00B83E1A" w:rsidRDefault="00067534" w:rsidP="004E65E7">
            <w:pPr>
              <w:spacing w:after="120"/>
              <w:rPr>
                <w:sz w:val="18"/>
                <w:szCs w:val="18"/>
                <w:lang w:val="es-ES"/>
              </w:rPr>
            </w:pPr>
            <w:r w:rsidRPr="00B83E1A">
              <w:rPr>
                <w:sz w:val="18"/>
                <w:szCs w:val="18"/>
                <w:lang w:val="es-ES" w:bidi="th-TH"/>
              </w:rPr>
              <w:t>Número de países con mecanismos adecuados para el desarrollo y la aplicación de estrategias de P.I</w:t>
            </w:r>
            <w:r w:rsidR="004E65E7" w:rsidRPr="00B83E1A">
              <w:rPr>
                <w:sz w:val="18"/>
                <w:szCs w:val="18"/>
                <w:lang w:val="es-ES" w:bidi="th-TH"/>
              </w:rPr>
              <w:t xml:space="preserve">. </w:t>
            </w:r>
            <w:r w:rsidR="00D23810" w:rsidRPr="00B83E1A">
              <w:rPr>
                <w:sz w:val="18"/>
                <w:szCs w:val="18"/>
                <w:lang w:val="es-ES" w:bidi="th-TH"/>
              </w:rPr>
              <w:t>(</w:t>
            </w:r>
            <w:r w:rsidRPr="00B83E1A">
              <w:rPr>
                <w:sz w:val="18"/>
                <w:szCs w:val="18"/>
                <w:lang w:val="es-ES" w:bidi="th-TH"/>
              </w:rPr>
              <w:t>región de los países árabes)</w:t>
            </w:r>
          </w:p>
        </w:tc>
        <w:tc>
          <w:tcPr>
            <w:tcW w:w="2869" w:type="dxa"/>
            <w:gridSpan w:val="2"/>
          </w:tcPr>
          <w:p w14:paraId="64FE77F5" w14:textId="77777777" w:rsidR="00067534" w:rsidRPr="00B83E1A" w:rsidRDefault="00067534" w:rsidP="004E65E7">
            <w:pPr>
              <w:rPr>
                <w:sz w:val="18"/>
                <w:szCs w:val="18"/>
                <w:lang w:val="es-ES"/>
              </w:rPr>
            </w:pPr>
            <w:r w:rsidRPr="00B83E1A">
              <w:rPr>
                <w:sz w:val="18"/>
                <w:szCs w:val="18"/>
                <w:lang w:val="es-ES"/>
              </w:rPr>
              <w:t>Tres países (Argelia, Omán y Qatar).</w:t>
            </w:r>
          </w:p>
        </w:tc>
      </w:tr>
      <w:tr w:rsidR="00067534" w:rsidRPr="00B83E1A" w14:paraId="31374948" w14:textId="77777777" w:rsidTr="004E65E7">
        <w:trPr>
          <w:jc w:val="center"/>
        </w:trPr>
        <w:tc>
          <w:tcPr>
            <w:tcW w:w="1681" w:type="dxa"/>
            <w:gridSpan w:val="2"/>
            <w:vMerge/>
          </w:tcPr>
          <w:p w14:paraId="4C03BA52" w14:textId="77777777" w:rsidR="00067534" w:rsidRPr="00B83E1A" w:rsidRDefault="00067534" w:rsidP="004E65E7">
            <w:pPr>
              <w:rPr>
                <w:sz w:val="18"/>
                <w:szCs w:val="18"/>
                <w:lang w:val="es-ES"/>
              </w:rPr>
            </w:pPr>
          </w:p>
        </w:tc>
        <w:tc>
          <w:tcPr>
            <w:tcW w:w="2479" w:type="dxa"/>
            <w:gridSpan w:val="2"/>
            <w:vMerge/>
          </w:tcPr>
          <w:p w14:paraId="460FA9DD" w14:textId="77777777" w:rsidR="00067534" w:rsidRPr="00B83E1A" w:rsidRDefault="00067534" w:rsidP="004E65E7">
            <w:pPr>
              <w:rPr>
                <w:sz w:val="18"/>
                <w:szCs w:val="18"/>
                <w:lang w:val="es-ES"/>
              </w:rPr>
            </w:pPr>
          </w:p>
        </w:tc>
        <w:tc>
          <w:tcPr>
            <w:tcW w:w="2199" w:type="dxa"/>
            <w:gridSpan w:val="2"/>
          </w:tcPr>
          <w:p w14:paraId="61F46776" w14:textId="45B61B33" w:rsidR="00067534" w:rsidRPr="00B83E1A" w:rsidRDefault="00067534" w:rsidP="004E65E7">
            <w:pPr>
              <w:spacing w:after="120"/>
              <w:rPr>
                <w:sz w:val="18"/>
                <w:szCs w:val="18"/>
                <w:lang w:val="es-ES"/>
              </w:rPr>
            </w:pPr>
            <w:r w:rsidRPr="00B83E1A">
              <w:rPr>
                <w:sz w:val="18"/>
                <w:szCs w:val="18"/>
                <w:lang w:val="es-ES" w:bidi="th-TH"/>
              </w:rPr>
              <w:t>Número de países con iniciativas vinculadas a los planes nacionales de P.I</w:t>
            </w:r>
            <w:r w:rsidR="004E65E7" w:rsidRPr="00B83E1A">
              <w:rPr>
                <w:sz w:val="18"/>
                <w:szCs w:val="18"/>
                <w:lang w:val="es-ES" w:bidi="th-TH"/>
              </w:rPr>
              <w:t xml:space="preserve">. </w:t>
            </w:r>
            <w:r w:rsidR="00D23810" w:rsidRPr="00B83E1A">
              <w:rPr>
                <w:sz w:val="18"/>
                <w:szCs w:val="18"/>
                <w:lang w:val="es-ES" w:bidi="th-TH"/>
              </w:rPr>
              <w:t>(</w:t>
            </w:r>
            <w:r w:rsidRPr="00B83E1A">
              <w:rPr>
                <w:sz w:val="18"/>
                <w:szCs w:val="18"/>
                <w:lang w:val="es-ES" w:bidi="th-TH"/>
              </w:rPr>
              <w:t>región de los países árabes)</w:t>
            </w:r>
          </w:p>
        </w:tc>
        <w:tc>
          <w:tcPr>
            <w:tcW w:w="2869" w:type="dxa"/>
            <w:gridSpan w:val="2"/>
          </w:tcPr>
          <w:p w14:paraId="6D2CFD5C" w14:textId="77777777" w:rsidR="009A700A" w:rsidRPr="00B83E1A" w:rsidRDefault="00067534" w:rsidP="004E65E7">
            <w:pPr>
              <w:rPr>
                <w:sz w:val="18"/>
                <w:szCs w:val="18"/>
                <w:lang w:val="es-ES"/>
              </w:rPr>
            </w:pPr>
            <w:r w:rsidRPr="00B83E1A">
              <w:rPr>
                <w:sz w:val="18"/>
                <w:szCs w:val="18"/>
                <w:lang w:val="es-ES"/>
              </w:rPr>
              <w:t>Tres países (Argelia, Egipto y el Yemen)</w:t>
            </w:r>
            <w:r w:rsidR="009A700A" w:rsidRPr="00B83E1A">
              <w:rPr>
                <w:sz w:val="18"/>
                <w:szCs w:val="18"/>
                <w:lang w:val="es-ES"/>
              </w:rPr>
              <w:t>.</w:t>
            </w:r>
          </w:p>
          <w:p w14:paraId="34475FE9" w14:textId="14A3DB9E" w:rsidR="00067534" w:rsidRPr="00B83E1A" w:rsidRDefault="00067534" w:rsidP="004E65E7">
            <w:pPr>
              <w:rPr>
                <w:sz w:val="18"/>
                <w:szCs w:val="18"/>
                <w:lang w:val="es-ES"/>
              </w:rPr>
            </w:pPr>
          </w:p>
        </w:tc>
      </w:tr>
      <w:tr w:rsidR="00067534" w:rsidRPr="00B83E1A" w14:paraId="61ABC736" w14:textId="77777777" w:rsidTr="004E65E7">
        <w:trPr>
          <w:jc w:val="center"/>
        </w:trPr>
        <w:tc>
          <w:tcPr>
            <w:tcW w:w="1681" w:type="dxa"/>
            <w:gridSpan w:val="2"/>
            <w:vMerge/>
          </w:tcPr>
          <w:p w14:paraId="31032E9E" w14:textId="77777777" w:rsidR="00067534" w:rsidRPr="00B83E1A" w:rsidRDefault="00067534" w:rsidP="004E65E7">
            <w:pPr>
              <w:rPr>
                <w:sz w:val="18"/>
                <w:szCs w:val="18"/>
                <w:lang w:val="es-ES"/>
              </w:rPr>
            </w:pPr>
          </w:p>
        </w:tc>
        <w:tc>
          <w:tcPr>
            <w:tcW w:w="2479" w:type="dxa"/>
            <w:gridSpan w:val="2"/>
            <w:vMerge/>
          </w:tcPr>
          <w:p w14:paraId="6220269B" w14:textId="77777777" w:rsidR="00067534" w:rsidRPr="00B83E1A" w:rsidRDefault="00067534" w:rsidP="004E65E7">
            <w:pPr>
              <w:rPr>
                <w:sz w:val="18"/>
                <w:szCs w:val="18"/>
                <w:lang w:val="es-ES"/>
              </w:rPr>
            </w:pPr>
          </w:p>
        </w:tc>
        <w:tc>
          <w:tcPr>
            <w:tcW w:w="2199" w:type="dxa"/>
            <w:gridSpan w:val="2"/>
          </w:tcPr>
          <w:p w14:paraId="067605E4" w14:textId="77777777" w:rsidR="00067534" w:rsidRPr="00B83E1A" w:rsidRDefault="00067534" w:rsidP="004E65E7">
            <w:pPr>
              <w:spacing w:after="120"/>
              <w:rPr>
                <w:sz w:val="18"/>
                <w:szCs w:val="18"/>
                <w:lang w:val="es-ES"/>
              </w:rPr>
            </w:pPr>
            <w:r w:rsidRPr="00B83E1A">
              <w:rPr>
                <w:sz w:val="18"/>
                <w:szCs w:val="18"/>
                <w:lang w:val="es-ES" w:bidi="th-TH"/>
              </w:rPr>
              <w:t>Número de países con políticas y estrategias de P.I. en curso de aprobación (Asia y el Pacífico).</w:t>
            </w:r>
          </w:p>
        </w:tc>
        <w:tc>
          <w:tcPr>
            <w:tcW w:w="2869" w:type="dxa"/>
            <w:gridSpan w:val="2"/>
          </w:tcPr>
          <w:p w14:paraId="78CCBFC9" w14:textId="77777777" w:rsidR="00067534" w:rsidRPr="00B83E1A" w:rsidRDefault="00067534" w:rsidP="004E65E7">
            <w:pPr>
              <w:rPr>
                <w:sz w:val="18"/>
                <w:szCs w:val="18"/>
                <w:lang w:val="es-ES" w:bidi="th-TH"/>
              </w:rPr>
            </w:pPr>
            <w:r w:rsidRPr="00B83E1A">
              <w:rPr>
                <w:sz w:val="18"/>
                <w:szCs w:val="18"/>
                <w:lang w:val="es-ES" w:bidi="th-TH"/>
              </w:rPr>
              <w:t>Esta labor está en curso en seis países:  Camboya, Nepal, las Islas Salomón, Tonga, Vanuatu y Viet Nam.</w:t>
            </w:r>
          </w:p>
          <w:p w14:paraId="61E6788E" w14:textId="77777777" w:rsidR="00067534" w:rsidRPr="00B83E1A" w:rsidRDefault="00067534" w:rsidP="004E65E7">
            <w:pPr>
              <w:rPr>
                <w:sz w:val="18"/>
                <w:szCs w:val="18"/>
                <w:lang w:val="es-ES"/>
              </w:rPr>
            </w:pPr>
          </w:p>
        </w:tc>
      </w:tr>
      <w:tr w:rsidR="00067534" w:rsidRPr="00B83E1A" w14:paraId="64CBD04F" w14:textId="77777777" w:rsidTr="004E65E7">
        <w:trPr>
          <w:jc w:val="center"/>
        </w:trPr>
        <w:tc>
          <w:tcPr>
            <w:tcW w:w="1681" w:type="dxa"/>
            <w:gridSpan w:val="2"/>
            <w:vMerge/>
          </w:tcPr>
          <w:p w14:paraId="1606447A" w14:textId="77777777" w:rsidR="00067534" w:rsidRPr="00B83E1A" w:rsidRDefault="00067534" w:rsidP="004E65E7">
            <w:pPr>
              <w:rPr>
                <w:sz w:val="18"/>
                <w:szCs w:val="18"/>
                <w:lang w:val="es-ES"/>
              </w:rPr>
            </w:pPr>
          </w:p>
        </w:tc>
        <w:tc>
          <w:tcPr>
            <w:tcW w:w="2479" w:type="dxa"/>
            <w:gridSpan w:val="2"/>
            <w:vMerge/>
          </w:tcPr>
          <w:p w14:paraId="097DB857" w14:textId="77777777" w:rsidR="00067534" w:rsidRPr="00B83E1A" w:rsidRDefault="00067534" w:rsidP="004E65E7">
            <w:pPr>
              <w:rPr>
                <w:sz w:val="18"/>
                <w:szCs w:val="18"/>
                <w:lang w:val="es-ES"/>
              </w:rPr>
            </w:pPr>
          </w:p>
        </w:tc>
        <w:tc>
          <w:tcPr>
            <w:tcW w:w="2199" w:type="dxa"/>
            <w:gridSpan w:val="2"/>
          </w:tcPr>
          <w:p w14:paraId="3715A80A" w14:textId="4E088DE2" w:rsidR="00067534" w:rsidRPr="00B83E1A" w:rsidRDefault="00067534" w:rsidP="004E65E7">
            <w:pPr>
              <w:rPr>
                <w:sz w:val="18"/>
                <w:szCs w:val="18"/>
                <w:lang w:val="es-ES" w:bidi="th-TH"/>
              </w:rPr>
            </w:pPr>
            <w:r w:rsidRPr="00B83E1A">
              <w:rPr>
                <w:sz w:val="18"/>
                <w:szCs w:val="18"/>
                <w:lang w:val="es-ES" w:bidi="th-TH"/>
              </w:rPr>
              <w:t>Número de países que han adoptado políticas y estrategias de P.I</w:t>
            </w:r>
            <w:r w:rsidR="004E65E7" w:rsidRPr="00B83E1A">
              <w:rPr>
                <w:sz w:val="18"/>
                <w:szCs w:val="18"/>
                <w:lang w:val="es-ES" w:bidi="th-TH"/>
              </w:rPr>
              <w:t>.</w:t>
            </w:r>
            <w:r w:rsidR="00D23810" w:rsidRPr="00B83E1A">
              <w:rPr>
                <w:sz w:val="18"/>
                <w:szCs w:val="18"/>
                <w:lang w:val="es-ES" w:bidi="th-TH"/>
              </w:rPr>
              <w:t xml:space="preserve"> (</w:t>
            </w:r>
            <w:r w:rsidRPr="00B83E1A">
              <w:rPr>
                <w:sz w:val="18"/>
                <w:szCs w:val="18"/>
                <w:lang w:val="es-ES" w:bidi="th-TH"/>
              </w:rPr>
              <w:t>Asia y el Pacífico).</w:t>
            </w:r>
          </w:p>
          <w:p w14:paraId="54DC5795" w14:textId="77777777" w:rsidR="00067534" w:rsidRPr="00B83E1A" w:rsidRDefault="00067534" w:rsidP="004E65E7">
            <w:pPr>
              <w:rPr>
                <w:i/>
                <w:sz w:val="18"/>
                <w:szCs w:val="18"/>
                <w:lang w:val="es-ES"/>
              </w:rPr>
            </w:pPr>
          </w:p>
        </w:tc>
        <w:tc>
          <w:tcPr>
            <w:tcW w:w="2869" w:type="dxa"/>
            <w:gridSpan w:val="2"/>
          </w:tcPr>
          <w:p w14:paraId="2418C1B4" w14:textId="77777777" w:rsidR="00067534" w:rsidRPr="00B83E1A" w:rsidRDefault="00067534" w:rsidP="004E65E7">
            <w:pPr>
              <w:rPr>
                <w:sz w:val="18"/>
                <w:szCs w:val="18"/>
                <w:lang w:val="es-ES"/>
              </w:rPr>
            </w:pPr>
            <w:r w:rsidRPr="00B83E1A">
              <w:rPr>
                <w:sz w:val="18"/>
                <w:szCs w:val="18"/>
                <w:lang w:val="es-ES" w:bidi="th-TH"/>
              </w:rPr>
              <w:t>Tres países han iniciado los procesos de adopción:  Bhután, Mongolia y Samoa.</w:t>
            </w:r>
          </w:p>
        </w:tc>
      </w:tr>
      <w:tr w:rsidR="00067534" w:rsidRPr="00B83E1A" w14:paraId="2A9F664E" w14:textId="77777777" w:rsidTr="0010740F">
        <w:trPr>
          <w:trHeight w:val="1870"/>
          <w:jc w:val="center"/>
        </w:trPr>
        <w:tc>
          <w:tcPr>
            <w:tcW w:w="1681" w:type="dxa"/>
            <w:gridSpan w:val="2"/>
            <w:vMerge/>
          </w:tcPr>
          <w:p w14:paraId="7A035032" w14:textId="77777777" w:rsidR="00067534" w:rsidRPr="00B83E1A" w:rsidRDefault="00067534" w:rsidP="004E65E7">
            <w:pPr>
              <w:rPr>
                <w:sz w:val="18"/>
                <w:szCs w:val="18"/>
                <w:lang w:val="es-ES"/>
              </w:rPr>
            </w:pPr>
          </w:p>
        </w:tc>
        <w:tc>
          <w:tcPr>
            <w:tcW w:w="2479" w:type="dxa"/>
            <w:gridSpan w:val="2"/>
            <w:vMerge/>
          </w:tcPr>
          <w:p w14:paraId="6C2884C6" w14:textId="77777777" w:rsidR="00067534" w:rsidRPr="00B83E1A" w:rsidRDefault="00067534" w:rsidP="004E65E7">
            <w:pPr>
              <w:rPr>
                <w:sz w:val="18"/>
                <w:szCs w:val="18"/>
                <w:lang w:val="es-ES"/>
              </w:rPr>
            </w:pPr>
          </w:p>
        </w:tc>
        <w:tc>
          <w:tcPr>
            <w:tcW w:w="2199" w:type="dxa"/>
            <w:gridSpan w:val="2"/>
          </w:tcPr>
          <w:p w14:paraId="697A8E72" w14:textId="313769D4" w:rsidR="0010740F" w:rsidRPr="00B83E1A" w:rsidRDefault="00067534" w:rsidP="004E65E7">
            <w:pPr>
              <w:rPr>
                <w:sz w:val="18"/>
                <w:szCs w:val="18"/>
                <w:lang w:val="es-ES" w:bidi="th-TH"/>
              </w:rPr>
            </w:pPr>
            <w:r w:rsidRPr="00B83E1A">
              <w:rPr>
                <w:sz w:val="18"/>
                <w:szCs w:val="18"/>
                <w:lang w:val="es-ES" w:bidi="th-TH"/>
              </w:rPr>
              <w:t>Número de países en los que se han realizado actividades/proyectos que hayan contribuido a la formulación de leyes/políticas de P.I</w:t>
            </w:r>
            <w:r w:rsidR="004E65E7" w:rsidRPr="00B83E1A">
              <w:rPr>
                <w:sz w:val="18"/>
                <w:szCs w:val="18"/>
                <w:lang w:val="es-ES" w:bidi="th-TH"/>
              </w:rPr>
              <w:t xml:space="preserve">. </w:t>
            </w:r>
            <w:r w:rsidR="00D23810" w:rsidRPr="00B83E1A">
              <w:rPr>
                <w:sz w:val="18"/>
                <w:szCs w:val="18"/>
                <w:lang w:val="es-ES" w:bidi="th-TH"/>
              </w:rPr>
              <w:t>(</w:t>
            </w:r>
            <w:r w:rsidRPr="00B83E1A">
              <w:rPr>
                <w:sz w:val="18"/>
                <w:szCs w:val="18"/>
                <w:lang w:val="es-ES" w:bidi="th-TH"/>
              </w:rPr>
              <w:t>América Latina y el Caribe).</w:t>
            </w:r>
          </w:p>
        </w:tc>
        <w:tc>
          <w:tcPr>
            <w:tcW w:w="2869" w:type="dxa"/>
            <w:gridSpan w:val="2"/>
          </w:tcPr>
          <w:p w14:paraId="1DB7A89F" w14:textId="77777777" w:rsidR="00067534" w:rsidRPr="00B83E1A" w:rsidRDefault="00067534" w:rsidP="004E65E7">
            <w:pPr>
              <w:rPr>
                <w:sz w:val="18"/>
                <w:szCs w:val="18"/>
                <w:lang w:val="es-ES" w:bidi="th-TH"/>
              </w:rPr>
            </w:pPr>
            <w:r w:rsidRPr="00B83E1A">
              <w:rPr>
                <w:sz w:val="18"/>
                <w:szCs w:val="18"/>
                <w:lang w:val="es-ES"/>
              </w:rPr>
              <w:t>Ocho países (el Ecuador, El Salvador, Guatemala, Honduras, Nicaragua, Panamá, la República Dominicana y Trinidad y Tabago).</w:t>
            </w:r>
          </w:p>
          <w:p w14:paraId="29CCA33F" w14:textId="77777777" w:rsidR="00067534" w:rsidRPr="00B83E1A" w:rsidRDefault="00067534" w:rsidP="004E65E7">
            <w:pPr>
              <w:rPr>
                <w:sz w:val="18"/>
                <w:szCs w:val="18"/>
                <w:lang w:val="es-ES"/>
              </w:rPr>
            </w:pPr>
          </w:p>
        </w:tc>
      </w:tr>
      <w:tr w:rsidR="00067534" w:rsidRPr="00B83E1A" w14:paraId="14C51AE2" w14:textId="77777777" w:rsidTr="004E65E7">
        <w:trPr>
          <w:jc w:val="center"/>
        </w:trPr>
        <w:tc>
          <w:tcPr>
            <w:tcW w:w="1681" w:type="dxa"/>
            <w:gridSpan w:val="2"/>
            <w:vMerge/>
          </w:tcPr>
          <w:p w14:paraId="40247D93" w14:textId="77777777" w:rsidR="00067534" w:rsidRPr="00B83E1A" w:rsidRDefault="00067534" w:rsidP="004E65E7">
            <w:pPr>
              <w:rPr>
                <w:sz w:val="18"/>
                <w:szCs w:val="18"/>
                <w:lang w:val="es-ES"/>
              </w:rPr>
            </w:pPr>
          </w:p>
        </w:tc>
        <w:tc>
          <w:tcPr>
            <w:tcW w:w="2479" w:type="dxa"/>
            <w:gridSpan w:val="2"/>
            <w:vMerge/>
          </w:tcPr>
          <w:p w14:paraId="52F255EE" w14:textId="77777777" w:rsidR="00067534" w:rsidRPr="00B83E1A" w:rsidRDefault="00067534" w:rsidP="004E65E7">
            <w:pPr>
              <w:rPr>
                <w:sz w:val="18"/>
                <w:szCs w:val="18"/>
                <w:lang w:val="es-ES"/>
              </w:rPr>
            </w:pPr>
          </w:p>
        </w:tc>
        <w:tc>
          <w:tcPr>
            <w:tcW w:w="2199" w:type="dxa"/>
            <w:gridSpan w:val="2"/>
          </w:tcPr>
          <w:p w14:paraId="35D76A05" w14:textId="7CB287AD" w:rsidR="00067534" w:rsidRPr="00B83E1A" w:rsidRDefault="00067534" w:rsidP="004E65E7">
            <w:pPr>
              <w:spacing w:after="120"/>
              <w:rPr>
                <w:i/>
                <w:sz w:val="18"/>
                <w:szCs w:val="18"/>
                <w:lang w:val="es-ES"/>
              </w:rPr>
            </w:pPr>
            <w:r w:rsidRPr="00B83E1A">
              <w:rPr>
                <w:sz w:val="18"/>
                <w:szCs w:val="18"/>
                <w:lang w:val="es-ES" w:bidi="th-TH"/>
              </w:rPr>
              <w:t>Número de países en los que se han realizado actividades/proyectos que hayan contribuido a la aplicación de estrategias/políticas de P.I</w:t>
            </w:r>
            <w:r w:rsidR="004E65E7" w:rsidRPr="00B83E1A">
              <w:rPr>
                <w:sz w:val="18"/>
                <w:szCs w:val="18"/>
                <w:lang w:val="es-ES" w:bidi="th-TH"/>
              </w:rPr>
              <w:t>.</w:t>
            </w:r>
            <w:r w:rsidR="00D23810" w:rsidRPr="00B83E1A">
              <w:rPr>
                <w:sz w:val="18"/>
                <w:szCs w:val="18"/>
                <w:lang w:val="es-ES" w:bidi="th-TH"/>
              </w:rPr>
              <w:t xml:space="preserve"> (</w:t>
            </w:r>
            <w:r w:rsidRPr="00B83E1A">
              <w:rPr>
                <w:sz w:val="18"/>
                <w:szCs w:val="18"/>
                <w:lang w:val="es-ES" w:bidi="th-TH"/>
              </w:rPr>
              <w:t>América Latina y el Caribe).</w:t>
            </w:r>
          </w:p>
        </w:tc>
        <w:tc>
          <w:tcPr>
            <w:tcW w:w="2869" w:type="dxa"/>
            <w:gridSpan w:val="2"/>
          </w:tcPr>
          <w:p w14:paraId="240B2480" w14:textId="77777777" w:rsidR="00067534" w:rsidRPr="00B83E1A" w:rsidRDefault="00067534" w:rsidP="004E65E7">
            <w:pPr>
              <w:rPr>
                <w:sz w:val="18"/>
                <w:szCs w:val="18"/>
                <w:lang w:val="es-ES" w:bidi="th-TH"/>
              </w:rPr>
            </w:pPr>
            <w:r w:rsidRPr="00B83E1A">
              <w:rPr>
                <w:sz w:val="18"/>
                <w:szCs w:val="18"/>
                <w:lang w:val="es-ES"/>
              </w:rPr>
              <w:t>Cinco países (la Argentina, Barbados, Colombia, Costa Rica y el Uruguay)</w:t>
            </w:r>
          </w:p>
          <w:p w14:paraId="5A83FE71" w14:textId="77777777" w:rsidR="00067534" w:rsidRPr="00B83E1A" w:rsidRDefault="00067534" w:rsidP="004E65E7">
            <w:pPr>
              <w:rPr>
                <w:sz w:val="18"/>
                <w:szCs w:val="18"/>
                <w:lang w:val="es-ES"/>
              </w:rPr>
            </w:pPr>
          </w:p>
        </w:tc>
      </w:tr>
      <w:tr w:rsidR="00067534" w:rsidRPr="00B83E1A" w14:paraId="2896D53A" w14:textId="77777777" w:rsidTr="004E65E7">
        <w:trPr>
          <w:jc w:val="center"/>
        </w:trPr>
        <w:tc>
          <w:tcPr>
            <w:tcW w:w="1681" w:type="dxa"/>
            <w:gridSpan w:val="2"/>
            <w:vMerge/>
          </w:tcPr>
          <w:p w14:paraId="68A4FDCE" w14:textId="77777777" w:rsidR="00067534" w:rsidRPr="00B83E1A" w:rsidRDefault="00067534" w:rsidP="004E65E7">
            <w:pPr>
              <w:rPr>
                <w:sz w:val="18"/>
                <w:szCs w:val="18"/>
                <w:lang w:val="es-ES"/>
              </w:rPr>
            </w:pPr>
          </w:p>
        </w:tc>
        <w:tc>
          <w:tcPr>
            <w:tcW w:w="2479" w:type="dxa"/>
            <w:gridSpan w:val="2"/>
            <w:vMerge/>
          </w:tcPr>
          <w:p w14:paraId="1CA9C066" w14:textId="77777777" w:rsidR="00067534" w:rsidRPr="00B83E1A" w:rsidRDefault="00067534" w:rsidP="004E65E7">
            <w:pPr>
              <w:rPr>
                <w:i/>
                <w:sz w:val="18"/>
                <w:szCs w:val="18"/>
                <w:lang w:val="es-ES"/>
              </w:rPr>
            </w:pPr>
          </w:p>
        </w:tc>
        <w:tc>
          <w:tcPr>
            <w:tcW w:w="2199" w:type="dxa"/>
            <w:gridSpan w:val="2"/>
          </w:tcPr>
          <w:p w14:paraId="3746C67F" w14:textId="2F2391DE" w:rsidR="00067534" w:rsidRPr="00B83E1A" w:rsidRDefault="00067534" w:rsidP="004E65E7">
            <w:pPr>
              <w:spacing w:after="120"/>
              <w:rPr>
                <w:i/>
                <w:sz w:val="18"/>
                <w:szCs w:val="18"/>
                <w:lang w:val="es-ES"/>
              </w:rPr>
            </w:pPr>
            <w:r w:rsidRPr="00B83E1A">
              <w:rPr>
                <w:sz w:val="18"/>
                <w:szCs w:val="18"/>
                <w:lang w:val="es-ES" w:bidi="th-TH"/>
              </w:rPr>
              <w:t xml:space="preserve">Número de PMA que han incluido consideraciones de P.I. </w:t>
            </w:r>
            <w:r w:rsidRPr="00B83E1A">
              <w:rPr>
                <w:sz w:val="18"/>
                <w:szCs w:val="18"/>
                <w:lang w:val="es-ES" w:bidi="th-TH"/>
              </w:rPr>
              <w:lastRenderedPageBreak/>
              <w:t>propias de los PMA en sus estrategias y/o políticas nacionales de P.I</w:t>
            </w:r>
            <w:r w:rsidR="004E65E7" w:rsidRPr="00B83E1A">
              <w:rPr>
                <w:sz w:val="18"/>
                <w:szCs w:val="18"/>
                <w:lang w:val="es-ES" w:bidi="th-TH"/>
              </w:rPr>
              <w:t xml:space="preserve">. </w:t>
            </w:r>
            <w:r w:rsidR="00D23810" w:rsidRPr="00B83E1A">
              <w:rPr>
                <w:sz w:val="18"/>
                <w:szCs w:val="18"/>
                <w:lang w:val="es-ES" w:bidi="th-TH"/>
              </w:rPr>
              <w:t>(</w:t>
            </w:r>
            <w:r w:rsidRPr="00B83E1A">
              <w:rPr>
                <w:sz w:val="18"/>
                <w:szCs w:val="18"/>
                <w:lang w:val="es-ES" w:bidi="th-TH"/>
              </w:rPr>
              <w:t>PMA).</w:t>
            </w:r>
          </w:p>
        </w:tc>
        <w:tc>
          <w:tcPr>
            <w:tcW w:w="2869" w:type="dxa"/>
            <w:gridSpan w:val="2"/>
          </w:tcPr>
          <w:p w14:paraId="3139CDE1" w14:textId="77777777" w:rsidR="00067534" w:rsidRPr="00B83E1A" w:rsidRDefault="00067534" w:rsidP="004E65E7">
            <w:pPr>
              <w:rPr>
                <w:sz w:val="18"/>
                <w:szCs w:val="18"/>
                <w:lang w:val="es-ES" w:bidi="th-TH"/>
              </w:rPr>
            </w:pPr>
            <w:r w:rsidRPr="00B83E1A">
              <w:rPr>
                <w:sz w:val="18"/>
                <w:szCs w:val="18"/>
                <w:lang w:val="es-ES"/>
              </w:rPr>
              <w:lastRenderedPageBreak/>
              <w:t>Tres PMA (Bangladesh, Etiopía y Madagascar)</w:t>
            </w:r>
          </w:p>
          <w:p w14:paraId="119BFF1E" w14:textId="77777777" w:rsidR="00067534" w:rsidRPr="00B83E1A" w:rsidRDefault="00067534" w:rsidP="004E65E7">
            <w:pPr>
              <w:rPr>
                <w:sz w:val="18"/>
                <w:szCs w:val="18"/>
                <w:lang w:val="es-ES"/>
              </w:rPr>
            </w:pPr>
          </w:p>
        </w:tc>
      </w:tr>
      <w:tr w:rsidR="00067534" w:rsidRPr="00B83E1A" w14:paraId="56962A34" w14:textId="77777777" w:rsidTr="0010740F">
        <w:trPr>
          <w:trHeight w:val="2801"/>
          <w:jc w:val="center"/>
        </w:trPr>
        <w:tc>
          <w:tcPr>
            <w:tcW w:w="1681" w:type="dxa"/>
            <w:gridSpan w:val="2"/>
            <w:vMerge/>
          </w:tcPr>
          <w:p w14:paraId="3D7ED5CE" w14:textId="77777777" w:rsidR="00067534" w:rsidRPr="00B83E1A" w:rsidRDefault="00067534" w:rsidP="004E65E7">
            <w:pPr>
              <w:rPr>
                <w:sz w:val="18"/>
                <w:szCs w:val="18"/>
                <w:lang w:val="es-ES"/>
              </w:rPr>
            </w:pPr>
          </w:p>
        </w:tc>
        <w:tc>
          <w:tcPr>
            <w:tcW w:w="2479" w:type="dxa"/>
            <w:gridSpan w:val="2"/>
            <w:vMerge/>
          </w:tcPr>
          <w:p w14:paraId="45DD2178" w14:textId="77777777" w:rsidR="00067534" w:rsidRPr="00B83E1A" w:rsidRDefault="00067534" w:rsidP="004E65E7">
            <w:pPr>
              <w:rPr>
                <w:i/>
                <w:sz w:val="18"/>
                <w:szCs w:val="18"/>
                <w:lang w:val="es-ES"/>
              </w:rPr>
            </w:pPr>
          </w:p>
        </w:tc>
        <w:tc>
          <w:tcPr>
            <w:tcW w:w="2199" w:type="dxa"/>
            <w:gridSpan w:val="2"/>
          </w:tcPr>
          <w:p w14:paraId="4F59C612" w14:textId="77777777" w:rsidR="00067534" w:rsidRPr="00B83E1A" w:rsidRDefault="00067534" w:rsidP="004E65E7">
            <w:pPr>
              <w:rPr>
                <w:i/>
                <w:sz w:val="18"/>
                <w:szCs w:val="18"/>
                <w:lang w:val="es-ES"/>
              </w:rPr>
            </w:pPr>
            <w:r w:rsidRPr="00B83E1A">
              <w:rPr>
                <w:sz w:val="18"/>
                <w:szCs w:val="18"/>
                <w:lang w:val="es-ES" w:bidi="th-TH"/>
              </w:rPr>
              <w:t>Número de países que han elaborado estrategias o planes nacionales combinados con metas nacionales de desarrollo.</w:t>
            </w:r>
          </w:p>
        </w:tc>
        <w:tc>
          <w:tcPr>
            <w:tcW w:w="2869" w:type="dxa"/>
            <w:gridSpan w:val="2"/>
          </w:tcPr>
          <w:p w14:paraId="3408F470" w14:textId="67011676" w:rsidR="00067534" w:rsidRPr="00B83E1A" w:rsidRDefault="00067534" w:rsidP="0010740F">
            <w:pPr>
              <w:rPr>
                <w:sz w:val="18"/>
                <w:szCs w:val="18"/>
                <w:lang w:val="es-ES"/>
              </w:rPr>
            </w:pPr>
            <w:r w:rsidRPr="00B83E1A">
              <w:rPr>
                <w:bCs/>
                <w:sz w:val="18"/>
                <w:szCs w:val="18"/>
                <w:lang w:val="es-ES" w:bidi="th-TH"/>
              </w:rPr>
              <w:t>Cinco países (Belarús, Montenegro, la ex República Yugoslava de Macedonia, la República de Moldova y Rumania) disponen de estrategias nacionales de P.I. aprobadas o en proceso de aprobación.  En Eslovaquia, la República Checa, Tayikistán y Ucrania ha comenzado la formulación o la actualización de esas estrategias.</w:t>
            </w:r>
          </w:p>
        </w:tc>
      </w:tr>
      <w:tr w:rsidR="00067534" w:rsidRPr="00B83E1A" w14:paraId="3209995A" w14:textId="77777777" w:rsidTr="004E65E7">
        <w:trPr>
          <w:jc w:val="center"/>
        </w:trPr>
        <w:tc>
          <w:tcPr>
            <w:tcW w:w="1681" w:type="dxa"/>
            <w:gridSpan w:val="2"/>
            <w:vMerge/>
          </w:tcPr>
          <w:p w14:paraId="59DDEB99" w14:textId="77777777" w:rsidR="00067534" w:rsidRPr="00B83E1A" w:rsidRDefault="00067534" w:rsidP="004E65E7">
            <w:pPr>
              <w:rPr>
                <w:sz w:val="18"/>
                <w:szCs w:val="18"/>
                <w:lang w:val="es-ES"/>
              </w:rPr>
            </w:pPr>
          </w:p>
        </w:tc>
        <w:tc>
          <w:tcPr>
            <w:tcW w:w="2479" w:type="dxa"/>
            <w:gridSpan w:val="2"/>
            <w:vMerge/>
          </w:tcPr>
          <w:p w14:paraId="31A43D33" w14:textId="77777777" w:rsidR="00067534" w:rsidRPr="00B83E1A" w:rsidRDefault="00067534" w:rsidP="004E65E7">
            <w:pPr>
              <w:rPr>
                <w:sz w:val="18"/>
                <w:szCs w:val="18"/>
                <w:lang w:val="es-ES"/>
              </w:rPr>
            </w:pPr>
          </w:p>
        </w:tc>
        <w:tc>
          <w:tcPr>
            <w:tcW w:w="2199" w:type="dxa"/>
            <w:gridSpan w:val="2"/>
          </w:tcPr>
          <w:p w14:paraId="04CCA798" w14:textId="77777777" w:rsidR="00067534" w:rsidRPr="00B83E1A" w:rsidRDefault="00067534" w:rsidP="004E65E7">
            <w:pPr>
              <w:spacing w:after="120"/>
              <w:rPr>
                <w:sz w:val="18"/>
                <w:szCs w:val="18"/>
                <w:lang w:val="es-ES"/>
              </w:rPr>
            </w:pPr>
            <w:r w:rsidRPr="00B83E1A">
              <w:rPr>
                <w:sz w:val="18"/>
                <w:szCs w:val="18"/>
                <w:lang w:val="es-ES" w:bidi="th-TH"/>
              </w:rPr>
              <w:t>Porcentaje de funcionarios de oficinas de P.I. formados que utilizan en su trabajo las nuevas aptitudes adquiridas.</w:t>
            </w:r>
          </w:p>
        </w:tc>
        <w:tc>
          <w:tcPr>
            <w:tcW w:w="2869" w:type="dxa"/>
            <w:gridSpan w:val="2"/>
          </w:tcPr>
          <w:p w14:paraId="3A46326F" w14:textId="6A93B619" w:rsidR="00067534" w:rsidRPr="00B83E1A" w:rsidRDefault="00067534" w:rsidP="004E65E7">
            <w:pPr>
              <w:rPr>
                <w:sz w:val="18"/>
                <w:szCs w:val="18"/>
                <w:lang w:val="es-ES"/>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tc>
      </w:tr>
      <w:tr w:rsidR="00067534" w:rsidRPr="00B83E1A" w14:paraId="7ABC07EF" w14:textId="77777777" w:rsidTr="004E65E7">
        <w:trPr>
          <w:jc w:val="center"/>
        </w:trPr>
        <w:tc>
          <w:tcPr>
            <w:tcW w:w="1681" w:type="dxa"/>
            <w:gridSpan w:val="2"/>
            <w:vMerge/>
          </w:tcPr>
          <w:p w14:paraId="354CE10C" w14:textId="77777777" w:rsidR="00067534" w:rsidRPr="00B83E1A" w:rsidRDefault="00067534" w:rsidP="004E65E7">
            <w:pPr>
              <w:rPr>
                <w:sz w:val="18"/>
                <w:szCs w:val="18"/>
                <w:lang w:val="es-ES"/>
              </w:rPr>
            </w:pPr>
          </w:p>
        </w:tc>
        <w:tc>
          <w:tcPr>
            <w:tcW w:w="2479" w:type="dxa"/>
            <w:gridSpan w:val="2"/>
            <w:vMerge/>
          </w:tcPr>
          <w:p w14:paraId="61624A8C" w14:textId="77777777" w:rsidR="00067534" w:rsidRPr="00B83E1A" w:rsidRDefault="00067534" w:rsidP="004E65E7">
            <w:pPr>
              <w:rPr>
                <w:sz w:val="18"/>
                <w:szCs w:val="18"/>
                <w:lang w:val="es-ES" w:bidi="th-TH"/>
              </w:rPr>
            </w:pPr>
          </w:p>
        </w:tc>
        <w:tc>
          <w:tcPr>
            <w:tcW w:w="2199" w:type="dxa"/>
            <w:gridSpan w:val="2"/>
          </w:tcPr>
          <w:p w14:paraId="12D2B7C0" w14:textId="77777777" w:rsidR="00067534" w:rsidRPr="00B83E1A" w:rsidRDefault="00067534" w:rsidP="004E65E7">
            <w:pPr>
              <w:spacing w:after="120"/>
              <w:rPr>
                <w:sz w:val="18"/>
                <w:szCs w:val="18"/>
                <w:lang w:val="es-ES" w:bidi="th-TH"/>
              </w:rPr>
            </w:pPr>
            <w:r w:rsidRPr="00B83E1A">
              <w:rPr>
                <w:sz w:val="18"/>
                <w:szCs w:val="18"/>
                <w:lang w:val="es-ES" w:bidi="th-TH"/>
              </w:rPr>
              <w:t>Porcentaje de profesionales de la P.I. que afirman entender mejor las cuestiones de P.I.</w:t>
            </w:r>
          </w:p>
        </w:tc>
        <w:tc>
          <w:tcPr>
            <w:tcW w:w="2869" w:type="dxa"/>
            <w:gridSpan w:val="2"/>
          </w:tcPr>
          <w:p w14:paraId="38E000E4" w14:textId="7D3F592E" w:rsidR="00067534" w:rsidRPr="00B83E1A" w:rsidRDefault="00067534" w:rsidP="004E65E7">
            <w:pPr>
              <w:rPr>
                <w:bCs/>
                <w:sz w:val="18"/>
                <w:szCs w:val="18"/>
                <w:lang w:val="es-ES" w:bidi="th-TH"/>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p w14:paraId="048EF0E4" w14:textId="77777777" w:rsidR="00067534" w:rsidRPr="00B83E1A" w:rsidRDefault="00067534" w:rsidP="004E65E7">
            <w:pPr>
              <w:rPr>
                <w:sz w:val="18"/>
                <w:szCs w:val="18"/>
                <w:lang w:val="es-ES"/>
              </w:rPr>
            </w:pPr>
          </w:p>
        </w:tc>
      </w:tr>
      <w:tr w:rsidR="00067534" w:rsidRPr="00B83E1A" w14:paraId="18529460" w14:textId="77777777" w:rsidTr="004E65E7">
        <w:trPr>
          <w:jc w:val="center"/>
        </w:trPr>
        <w:tc>
          <w:tcPr>
            <w:tcW w:w="1681" w:type="dxa"/>
            <w:gridSpan w:val="2"/>
            <w:vMerge/>
          </w:tcPr>
          <w:p w14:paraId="1A894301" w14:textId="77777777" w:rsidR="00067534" w:rsidRPr="00B83E1A" w:rsidRDefault="00067534" w:rsidP="004E65E7">
            <w:pPr>
              <w:rPr>
                <w:sz w:val="18"/>
                <w:szCs w:val="18"/>
                <w:lang w:val="es-ES"/>
              </w:rPr>
            </w:pPr>
          </w:p>
        </w:tc>
        <w:tc>
          <w:tcPr>
            <w:tcW w:w="2479" w:type="dxa"/>
            <w:gridSpan w:val="2"/>
            <w:vMerge/>
          </w:tcPr>
          <w:p w14:paraId="1EDC357D" w14:textId="77777777" w:rsidR="00067534" w:rsidRPr="00B83E1A" w:rsidRDefault="00067534" w:rsidP="004E65E7">
            <w:pPr>
              <w:rPr>
                <w:sz w:val="18"/>
                <w:szCs w:val="18"/>
                <w:lang w:val="es-ES" w:bidi="th-TH"/>
              </w:rPr>
            </w:pPr>
          </w:p>
        </w:tc>
        <w:tc>
          <w:tcPr>
            <w:tcW w:w="2199" w:type="dxa"/>
            <w:gridSpan w:val="2"/>
          </w:tcPr>
          <w:p w14:paraId="00FCB1C3" w14:textId="77777777" w:rsidR="00067534" w:rsidRPr="00B83E1A" w:rsidRDefault="00067534" w:rsidP="004E65E7">
            <w:pPr>
              <w:spacing w:after="120"/>
              <w:rPr>
                <w:sz w:val="18"/>
                <w:szCs w:val="18"/>
                <w:lang w:val="es-ES" w:bidi="th-TH"/>
              </w:rPr>
            </w:pPr>
            <w:r w:rsidRPr="00B83E1A">
              <w:rPr>
                <w:sz w:val="18"/>
                <w:szCs w:val="18"/>
                <w:lang w:val="es-ES" w:bidi="th-TH"/>
              </w:rPr>
              <w:t>Porcentaje de participantes satisfechos con la calidad de los talleres y seminarios sobre la innovación y su comercialización.</w:t>
            </w:r>
          </w:p>
        </w:tc>
        <w:tc>
          <w:tcPr>
            <w:tcW w:w="2869" w:type="dxa"/>
            <w:gridSpan w:val="2"/>
          </w:tcPr>
          <w:p w14:paraId="793C45E6" w14:textId="11B22A19" w:rsidR="00067534" w:rsidRPr="00B83E1A" w:rsidRDefault="00067534" w:rsidP="004E65E7">
            <w:pPr>
              <w:rPr>
                <w:sz w:val="18"/>
                <w:szCs w:val="18"/>
                <w:lang w:val="es-ES"/>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tc>
      </w:tr>
      <w:tr w:rsidR="00067534" w:rsidRPr="00B83E1A" w14:paraId="06BDF9E1" w14:textId="77777777" w:rsidTr="004E65E7">
        <w:trPr>
          <w:jc w:val="center"/>
        </w:trPr>
        <w:tc>
          <w:tcPr>
            <w:tcW w:w="1681" w:type="dxa"/>
            <w:gridSpan w:val="2"/>
            <w:vMerge/>
          </w:tcPr>
          <w:p w14:paraId="3312E3A5" w14:textId="77777777" w:rsidR="00067534" w:rsidRPr="00B83E1A" w:rsidRDefault="00067534" w:rsidP="004E65E7">
            <w:pPr>
              <w:rPr>
                <w:sz w:val="18"/>
                <w:szCs w:val="18"/>
                <w:lang w:val="es-ES"/>
              </w:rPr>
            </w:pPr>
          </w:p>
        </w:tc>
        <w:tc>
          <w:tcPr>
            <w:tcW w:w="2479" w:type="dxa"/>
            <w:gridSpan w:val="2"/>
            <w:vMerge/>
          </w:tcPr>
          <w:p w14:paraId="76B3F054" w14:textId="77777777" w:rsidR="00067534" w:rsidRPr="00B83E1A" w:rsidRDefault="00067534" w:rsidP="004E65E7">
            <w:pPr>
              <w:rPr>
                <w:i/>
                <w:sz w:val="18"/>
                <w:szCs w:val="18"/>
                <w:lang w:val="es-ES"/>
              </w:rPr>
            </w:pPr>
          </w:p>
        </w:tc>
        <w:tc>
          <w:tcPr>
            <w:tcW w:w="2199" w:type="dxa"/>
            <w:gridSpan w:val="2"/>
          </w:tcPr>
          <w:p w14:paraId="7017B9FA" w14:textId="77777777" w:rsidR="00067534" w:rsidRPr="00B83E1A" w:rsidRDefault="00067534" w:rsidP="004E65E7">
            <w:pPr>
              <w:spacing w:after="120"/>
              <w:rPr>
                <w:i/>
                <w:sz w:val="18"/>
                <w:szCs w:val="18"/>
                <w:lang w:val="es-ES"/>
              </w:rPr>
            </w:pPr>
            <w:r w:rsidRPr="00B83E1A">
              <w:rPr>
                <w:sz w:val="18"/>
                <w:szCs w:val="18"/>
                <w:lang w:val="es-ES" w:bidi="th-TH"/>
              </w:rPr>
              <w:t xml:space="preserve">Número de estrategias nacionales de P.I. que tienen un componente dedicado a la innovación y a la tecnología. </w:t>
            </w:r>
          </w:p>
        </w:tc>
        <w:tc>
          <w:tcPr>
            <w:tcW w:w="2869" w:type="dxa"/>
            <w:gridSpan w:val="2"/>
          </w:tcPr>
          <w:p w14:paraId="5946A893" w14:textId="77777777" w:rsidR="00067534" w:rsidRPr="00B83E1A" w:rsidRDefault="00067534" w:rsidP="004E65E7">
            <w:pPr>
              <w:rPr>
                <w:sz w:val="18"/>
                <w:szCs w:val="18"/>
                <w:lang w:val="es-ES"/>
              </w:rPr>
            </w:pPr>
            <w:r w:rsidRPr="00B83E1A">
              <w:rPr>
                <w:bCs/>
                <w:sz w:val="18"/>
                <w:szCs w:val="18"/>
                <w:lang w:val="es-ES" w:bidi="th-TH"/>
              </w:rPr>
              <w:t>Ninguno.</w:t>
            </w:r>
          </w:p>
        </w:tc>
      </w:tr>
      <w:tr w:rsidR="00067534" w:rsidRPr="00B83E1A" w14:paraId="21640BB0" w14:textId="77777777" w:rsidTr="0010740F">
        <w:trPr>
          <w:trHeight w:val="2949"/>
          <w:jc w:val="center"/>
        </w:trPr>
        <w:tc>
          <w:tcPr>
            <w:tcW w:w="1681" w:type="dxa"/>
            <w:gridSpan w:val="2"/>
          </w:tcPr>
          <w:p w14:paraId="4127E47C" w14:textId="51BA010C" w:rsidR="00067534" w:rsidRPr="00B83E1A" w:rsidRDefault="00067534" w:rsidP="004E65E7">
            <w:pPr>
              <w:rPr>
                <w:i/>
                <w:sz w:val="18"/>
                <w:szCs w:val="18"/>
                <w:lang w:val="es-ES"/>
              </w:rPr>
            </w:pPr>
            <w:r w:rsidRPr="00B83E1A">
              <w:rPr>
                <w:i/>
                <w:sz w:val="18"/>
                <w:szCs w:val="18"/>
                <w:lang w:val="es-ES"/>
              </w:rPr>
              <w:t>Meta estratégica VI</w:t>
            </w:r>
            <w:r w:rsidR="00D23810" w:rsidRPr="00B83E1A">
              <w:rPr>
                <w:i/>
                <w:sz w:val="18"/>
                <w:szCs w:val="18"/>
                <w:lang w:val="es-ES"/>
              </w:rPr>
              <w:t>:  C</w:t>
            </w:r>
            <w:r w:rsidRPr="00B83E1A">
              <w:rPr>
                <w:i/>
                <w:sz w:val="18"/>
                <w:szCs w:val="18"/>
                <w:lang w:val="es-ES"/>
              </w:rPr>
              <w:t>ooperación internacional para cultivar el respeto por la P.I.</w:t>
            </w:r>
          </w:p>
          <w:p w14:paraId="32754848" w14:textId="77777777" w:rsidR="00067534" w:rsidRPr="00B83E1A" w:rsidRDefault="00067534" w:rsidP="004E65E7">
            <w:pPr>
              <w:rPr>
                <w:i/>
                <w:sz w:val="18"/>
                <w:szCs w:val="18"/>
                <w:lang w:val="es-ES"/>
              </w:rPr>
            </w:pPr>
          </w:p>
        </w:tc>
        <w:tc>
          <w:tcPr>
            <w:tcW w:w="2479" w:type="dxa"/>
            <w:gridSpan w:val="2"/>
          </w:tcPr>
          <w:p w14:paraId="5862C6D3" w14:textId="5B361B76" w:rsidR="00067534" w:rsidRPr="00B83E1A" w:rsidRDefault="00067534" w:rsidP="004E65E7">
            <w:pPr>
              <w:rPr>
                <w:sz w:val="18"/>
                <w:szCs w:val="18"/>
                <w:lang w:val="es-ES"/>
              </w:rPr>
            </w:pPr>
            <w:r w:rsidRPr="00B83E1A">
              <w:rPr>
                <w:sz w:val="18"/>
                <w:szCs w:val="18"/>
                <w:lang w:val="es-ES"/>
              </w:rPr>
              <w:t>Resultado i) Avances en el diálogo internacional sobre políticas entre los Estados miembros de la OMPI para cultivar el respeto por la P.I. sobre la base de la recomendació</w:t>
            </w:r>
            <w:r w:rsidR="00D23810" w:rsidRPr="00B83E1A">
              <w:rPr>
                <w:sz w:val="18"/>
                <w:szCs w:val="18"/>
                <w:lang w:val="es-ES"/>
              </w:rPr>
              <w:t>n 4</w:t>
            </w:r>
            <w:r w:rsidRPr="00B83E1A">
              <w:rPr>
                <w:sz w:val="18"/>
                <w:szCs w:val="18"/>
                <w:lang w:val="es-ES"/>
              </w:rPr>
              <w:t>5 de la Agenda de la OMPI para el Desarrollo.</w:t>
            </w:r>
          </w:p>
          <w:p w14:paraId="6072703B" w14:textId="77777777" w:rsidR="00067534" w:rsidRPr="00B83E1A" w:rsidRDefault="00067534" w:rsidP="004E65E7">
            <w:pPr>
              <w:rPr>
                <w:sz w:val="18"/>
                <w:szCs w:val="18"/>
                <w:lang w:val="es-ES"/>
              </w:rPr>
            </w:pPr>
          </w:p>
        </w:tc>
        <w:tc>
          <w:tcPr>
            <w:tcW w:w="2199" w:type="dxa"/>
            <w:gridSpan w:val="2"/>
          </w:tcPr>
          <w:p w14:paraId="214870A3" w14:textId="77777777" w:rsidR="00067534" w:rsidRPr="00B83E1A" w:rsidRDefault="00067534" w:rsidP="004E65E7">
            <w:pPr>
              <w:spacing w:after="120"/>
              <w:rPr>
                <w:sz w:val="18"/>
                <w:szCs w:val="18"/>
                <w:lang w:val="es-ES"/>
              </w:rPr>
            </w:pPr>
            <w:r w:rsidRPr="00B83E1A">
              <w:rPr>
                <w:sz w:val="18"/>
                <w:szCs w:val="18"/>
                <w:lang w:val="es-ES"/>
              </w:rPr>
              <w:t>Acuerdo constante entre los Estados miembros sobre la labor sustantiva del Comité Asesor de la OMPI sobre Observancia (ACE) en el bienio, incorporando elementos orientados al desarrollo.</w:t>
            </w:r>
          </w:p>
        </w:tc>
        <w:tc>
          <w:tcPr>
            <w:tcW w:w="2869" w:type="dxa"/>
            <w:gridSpan w:val="2"/>
          </w:tcPr>
          <w:p w14:paraId="2716666C" w14:textId="1A337059" w:rsidR="00067534" w:rsidRPr="00B83E1A" w:rsidRDefault="00067534" w:rsidP="0010740F">
            <w:pPr>
              <w:keepNext/>
              <w:keepLines/>
              <w:ind w:right="64"/>
              <w:rPr>
                <w:sz w:val="18"/>
                <w:szCs w:val="18"/>
                <w:lang w:val="es-ES"/>
              </w:rPr>
            </w:pPr>
            <w:r w:rsidRPr="00B83E1A">
              <w:rPr>
                <w:sz w:val="18"/>
                <w:szCs w:val="18"/>
                <w:lang w:val="es-ES" w:bidi="th-TH"/>
              </w:rPr>
              <w:t>Los Estados miembros convinieron en el programa futuro de este Comité, que incluirá las prácticas en materia de solución extrajudicial de controversias, así como medidas o actividades preventivas a fin de complementar las medidas de observancia (véase el párraf</w:t>
            </w:r>
            <w:r w:rsidR="00D23810" w:rsidRPr="00B83E1A">
              <w:rPr>
                <w:sz w:val="18"/>
                <w:szCs w:val="18"/>
                <w:lang w:val="es-ES" w:bidi="th-TH"/>
              </w:rPr>
              <w:t>o 3</w:t>
            </w:r>
            <w:r w:rsidRPr="00B83E1A">
              <w:rPr>
                <w:sz w:val="18"/>
                <w:szCs w:val="18"/>
                <w:lang w:val="es-ES" w:bidi="th-TH"/>
              </w:rPr>
              <w:t>4 del proyecto de resumen de la Presidencia (documento WIPO/ACE/8/12 Prov.).</w:t>
            </w:r>
          </w:p>
        </w:tc>
      </w:tr>
      <w:tr w:rsidR="00067534" w:rsidRPr="00B83E1A" w14:paraId="7D7C0264" w14:textId="77777777" w:rsidTr="004E65E7">
        <w:trPr>
          <w:jc w:val="center"/>
        </w:trPr>
        <w:tc>
          <w:tcPr>
            <w:tcW w:w="1681" w:type="dxa"/>
            <w:gridSpan w:val="2"/>
          </w:tcPr>
          <w:p w14:paraId="1621193C" w14:textId="58AA8B1B" w:rsidR="00067534" w:rsidRPr="00B83E1A" w:rsidRDefault="00067534" w:rsidP="004E65E7">
            <w:pPr>
              <w:rPr>
                <w:i/>
                <w:sz w:val="18"/>
                <w:szCs w:val="18"/>
                <w:lang w:val="es-ES"/>
              </w:rPr>
            </w:pPr>
            <w:r w:rsidRPr="00B83E1A">
              <w:rPr>
                <w:i/>
                <w:sz w:val="18"/>
                <w:szCs w:val="18"/>
                <w:lang w:val="es-ES"/>
              </w:rPr>
              <w:t>Meta estratégica VII</w:t>
            </w:r>
            <w:r w:rsidR="00D23810" w:rsidRPr="00B83E1A">
              <w:rPr>
                <w:i/>
                <w:sz w:val="18"/>
                <w:szCs w:val="18"/>
                <w:lang w:val="es-ES"/>
              </w:rPr>
              <w:t>:  V</w:t>
            </w:r>
            <w:r w:rsidRPr="00B83E1A">
              <w:rPr>
                <w:i/>
                <w:sz w:val="18"/>
                <w:szCs w:val="18"/>
                <w:lang w:val="es-ES"/>
              </w:rPr>
              <w:t>ínculos entre la P.I. y los problemas mundiales de política pública</w:t>
            </w:r>
          </w:p>
          <w:p w14:paraId="0ED1D26A" w14:textId="77777777" w:rsidR="00067534" w:rsidRPr="00B83E1A" w:rsidRDefault="00067534" w:rsidP="004E65E7">
            <w:pPr>
              <w:rPr>
                <w:i/>
                <w:sz w:val="18"/>
                <w:szCs w:val="18"/>
                <w:lang w:val="es-ES"/>
              </w:rPr>
            </w:pPr>
          </w:p>
        </w:tc>
        <w:tc>
          <w:tcPr>
            <w:tcW w:w="2479" w:type="dxa"/>
            <w:gridSpan w:val="2"/>
          </w:tcPr>
          <w:p w14:paraId="2281E827" w14:textId="77777777" w:rsidR="00067534" w:rsidRPr="00B83E1A" w:rsidRDefault="00067534" w:rsidP="004E65E7">
            <w:pPr>
              <w:rPr>
                <w:sz w:val="18"/>
                <w:szCs w:val="18"/>
                <w:lang w:val="es-ES"/>
              </w:rPr>
            </w:pPr>
            <w:r w:rsidRPr="00B83E1A">
              <w:rPr>
                <w:sz w:val="18"/>
                <w:szCs w:val="18"/>
                <w:lang w:val="es-ES"/>
              </w:rPr>
              <w:lastRenderedPageBreak/>
              <w:t xml:space="preserve">Resultado i) La OMPI constituye una fuente fidedigna de apoyo, asistencia y referencia para la información sobre la innovación y la P.I. en los pertinentes procesos de </w:t>
            </w:r>
            <w:r w:rsidRPr="00B83E1A">
              <w:rPr>
                <w:sz w:val="18"/>
                <w:szCs w:val="18"/>
                <w:lang w:val="es-ES"/>
              </w:rPr>
              <w:lastRenderedPageBreak/>
              <w:t>políticas públicas.</w:t>
            </w:r>
          </w:p>
        </w:tc>
        <w:tc>
          <w:tcPr>
            <w:tcW w:w="2199" w:type="dxa"/>
            <w:gridSpan w:val="2"/>
          </w:tcPr>
          <w:p w14:paraId="6CB3EA1F" w14:textId="77777777" w:rsidR="00067534" w:rsidRPr="00B83E1A" w:rsidRDefault="00067534" w:rsidP="004E65E7">
            <w:pPr>
              <w:rPr>
                <w:sz w:val="18"/>
                <w:szCs w:val="18"/>
                <w:lang w:val="es-ES"/>
              </w:rPr>
            </w:pPr>
            <w:r w:rsidRPr="00B83E1A">
              <w:rPr>
                <w:sz w:val="18"/>
                <w:szCs w:val="18"/>
                <w:lang w:val="es-ES"/>
              </w:rPr>
              <w:lastRenderedPageBreak/>
              <w:t xml:space="preserve">Número y diversidad de peticiones concretas de Estados miembros y organizaciones internacionales que solicitan aportaciones de la OMPI en relación con </w:t>
            </w:r>
            <w:r w:rsidRPr="00B83E1A">
              <w:rPr>
                <w:sz w:val="18"/>
                <w:szCs w:val="18"/>
                <w:lang w:val="es-ES"/>
              </w:rPr>
              <w:lastRenderedPageBreak/>
              <w:t>la P.I. y las cuestiones mundiales de política pública.</w:t>
            </w:r>
          </w:p>
        </w:tc>
        <w:tc>
          <w:tcPr>
            <w:tcW w:w="2869" w:type="dxa"/>
            <w:gridSpan w:val="2"/>
          </w:tcPr>
          <w:p w14:paraId="4D298BD1" w14:textId="5C13805E" w:rsidR="00067534" w:rsidRPr="00B83E1A" w:rsidRDefault="00067534" w:rsidP="004E65E7">
            <w:pPr>
              <w:rPr>
                <w:sz w:val="18"/>
                <w:szCs w:val="18"/>
                <w:lang w:val="es-ES" w:bidi="th-TH"/>
              </w:rPr>
            </w:pPr>
            <w:r w:rsidRPr="00B83E1A">
              <w:rPr>
                <w:sz w:val="18"/>
                <w:szCs w:val="18"/>
                <w:lang w:val="es-ES" w:bidi="th-TH"/>
              </w:rPr>
              <w:lastRenderedPageBreak/>
              <w:t xml:space="preserve">En el marco de este programa se recibió una petición para la organización conjunta de una actividad sobre la P.I. y el cambio climático del Programa Infodev del Banco Mundial en el Centro de Innovación Climática </w:t>
            </w:r>
            <w:r w:rsidRPr="00B83E1A">
              <w:rPr>
                <w:sz w:val="18"/>
                <w:szCs w:val="18"/>
                <w:lang w:val="es-ES" w:bidi="th-TH"/>
              </w:rPr>
              <w:lastRenderedPageBreak/>
              <w:t>de Kenya.  A solicitud de un centro de excelencia de la Red Africana para la Innovación en materia de Medicamentos y Medios Diagnósticos (ANDI), y en cooperación con el program</w:t>
            </w:r>
            <w:r w:rsidR="00D23810" w:rsidRPr="00B83E1A">
              <w:rPr>
                <w:sz w:val="18"/>
                <w:szCs w:val="18"/>
                <w:lang w:val="es-ES" w:bidi="th-TH"/>
              </w:rPr>
              <w:t>a 3</w:t>
            </w:r>
            <w:r w:rsidRPr="00B83E1A">
              <w:rPr>
                <w:sz w:val="18"/>
                <w:szCs w:val="18"/>
                <w:lang w:val="es-ES" w:bidi="th-TH"/>
              </w:rPr>
              <w:t>0, se organizó en Ginebra un programa adaptado de formación sobre cómo negociar licencias tecnológicas los día</w:t>
            </w:r>
            <w:r w:rsidR="00D23810" w:rsidRPr="00B83E1A">
              <w:rPr>
                <w:sz w:val="18"/>
                <w:szCs w:val="18"/>
                <w:lang w:val="es-ES" w:bidi="th-TH"/>
              </w:rPr>
              <w:t>s 1</w:t>
            </w:r>
            <w:r w:rsidRPr="00B83E1A">
              <w:rPr>
                <w:sz w:val="18"/>
                <w:szCs w:val="18"/>
                <w:lang w:val="es-ES" w:bidi="th-TH"/>
              </w:rPr>
              <w:t xml:space="preserve"> </w:t>
            </w:r>
            <w:r w:rsidR="00D23810" w:rsidRPr="00B83E1A">
              <w:rPr>
                <w:sz w:val="18"/>
                <w:szCs w:val="18"/>
                <w:lang w:val="es-ES" w:bidi="th-TH"/>
              </w:rPr>
              <w:t>y 2</w:t>
            </w:r>
            <w:r w:rsidRPr="00B83E1A">
              <w:rPr>
                <w:sz w:val="18"/>
                <w:szCs w:val="18"/>
                <w:lang w:val="es-ES" w:bidi="th-TH"/>
              </w:rPr>
              <w:t xml:space="preserve"> de noviembre d</w:t>
            </w:r>
            <w:r w:rsidR="00D23810" w:rsidRPr="00B83E1A">
              <w:rPr>
                <w:sz w:val="18"/>
                <w:szCs w:val="18"/>
                <w:lang w:val="es-ES" w:bidi="th-TH"/>
              </w:rPr>
              <w:t>e 2</w:t>
            </w:r>
            <w:r w:rsidRPr="00B83E1A">
              <w:rPr>
                <w:sz w:val="18"/>
                <w:szCs w:val="18"/>
                <w:lang w:val="es-ES" w:bidi="th-TH"/>
              </w:rPr>
              <w:t>012.</w:t>
            </w:r>
          </w:p>
          <w:p w14:paraId="4DE5A1C6" w14:textId="77777777" w:rsidR="00067534" w:rsidRPr="00B83E1A" w:rsidRDefault="00067534" w:rsidP="004E65E7">
            <w:pPr>
              <w:rPr>
                <w:sz w:val="18"/>
                <w:szCs w:val="18"/>
                <w:lang w:val="es-ES"/>
              </w:rPr>
            </w:pPr>
          </w:p>
        </w:tc>
      </w:tr>
      <w:tr w:rsidR="00067534" w:rsidRPr="00B83E1A" w14:paraId="1FA7804F" w14:textId="77777777" w:rsidTr="004E65E7">
        <w:trPr>
          <w:jc w:val="center"/>
        </w:trPr>
        <w:tc>
          <w:tcPr>
            <w:tcW w:w="9228" w:type="dxa"/>
            <w:gridSpan w:val="8"/>
            <w:shd w:val="clear" w:color="auto" w:fill="C4BC96" w:themeFill="background2" w:themeFillShade="BF"/>
            <w:vAlign w:val="center"/>
          </w:tcPr>
          <w:p w14:paraId="1974B1E3" w14:textId="2BC4DBA0" w:rsidR="00067534" w:rsidRPr="00B83E1A" w:rsidRDefault="00067534" w:rsidP="004E65E7">
            <w:pPr>
              <w:spacing w:before="240"/>
              <w:rPr>
                <w:b/>
                <w:bCs/>
                <w:sz w:val="18"/>
                <w:szCs w:val="18"/>
                <w:lang w:val="es-ES"/>
              </w:rPr>
            </w:pPr>
            <w:r w:rsidRPr="00B83E1A">
              <w:rPr>
                <w:b/>
                <w:bCs/>
                <w:sz w:val="18"/>
                <w:szCs w:val="18"/>
                <w:lang w:val="es-ES"/>
              </w:rPr>
              <w:lastRenderedPageBreak/>
              <w:t>ODM - Objetiv</w:t>
            </w:r>
            <w:r w:rsidR="00D23810" w:rsidRPr="00B83E1A">
              <w:rPr>
                <w:b/>
                <w:bCs/>
                <w:sz w:val="18"/>
                <w:szCs w:val="18"/>
                <w:lang w:val="es-ES"/>
              </w:rPr>
              <w:t>o 8</w:t>
            </w:r>
            <w:r w:rsidRPr="00B83E1A">
              <w:rPr>
                <w:b/>
                <w:bCs/>
                <w:sz w:val="18"/>
                <w:szCs w:val="18"/>
                <w:lang w:val="es-ES"/>
              </w:rPr>
              <w:t>:  Fomentar una asociación mundial para el desarrollo</w:t>
            </w:r>
          </w:p>
          <w:p w14:paraId="2CD9192C" w14:textId="77777777" w:rsidR="00067534" w:rsidRPr="00B83E1A" w:rsidRDefault="00067534" w:rsidP="004E65E7">
            <w:pPr>
              <w:spacing w:before="240"/>
              <w:rPr>
                <w:sz w:val="18"/>
                <w:szCs w:val="18"/>
                <w:lang w:val="es-ES"/>
              </w:rPr>
            </w:pPr>
          </w:p>
        </w:tc>
      </w:tr>
      <w:tr w:rsidR="00067534" w:rsidRPr="00B83E1A" w14:paraId="1B66330F" w14:textId="77777777" w:rsidTr="004E65E7">
        <w:trPr>
          <w:trHeight w:val="647"/>
          <w:jc w:val="center"/>
        </w:trPr>
        <w:tc>
          <w:tcPr>
            <w:tcW w:w="9228" w:type="dxa"/>
            <w:gridSpan w:val="8"/>
            <w:shd w:val="clear" w:color="auto" w:fill="DDD9C3" w:themeFill="background2" w:themeFillShade="E6"/>
            <w:vAlign w:val="center"/>
          </w:tcPr>
          <w:p w14:paraId="77F20993" w14:textId="5255559C" w:rsidR="00067534" w:rsidRPr="00B83E1A" w:rsidRDefault="00067534" w:rsidP="004E65E7">
            <w:pPr>
              <w:rPr>
                <w:b/>
                <w:sz w:val="18"/>
                <w:szCs w:val="18"/>
                <w:lang w:val="es-ES"/>
              </w:rPr>
            </w:pPr>
            <w:r w:rsidRPr="00B83E1A">
              <w:rPr>
                <w:b/>
                <w:sz w:val="18"/>
                <w:szCs w:val="18"/>
                <w:lang w:val="es-ES"/>
              </w:rPr>
              <w:t>Met</w:t>
            </w:r>
            <w:r w:rsidR="00D23810" w:rsidRPr="00B83E1A">
              <w:rPr>
                <w:b/>
                <w:sz w:val="18"/>
                <w:szCs w:val="18"/>
                <w:lang w:val="es-ES"/>
              </w:rPr>
              <w:t>a 8</w:t>
            </w:r>
            <w:r w:rsidRPr="00B83E1A">
              <w:rPr>
                <w:b/>
                <w:sz w:val="18"/>
                <w:szCs w:val="18"/>
                <w:lang w:val="es-ES"/>
              </w:rPr>
              <w:t>.B:  Atender las necesidades especiales de los países menos adelantados</w:t>
            </w:r>
          </w:p>
        </w:tc>
      </w:tr>
      <w:tr w:rsidR="00067534" w:rsidRPr="00B83E1A" w14:paraId="64B74424" w14:textId="77777777" w:rsidTr="004E65E7">
        <w:trPr>
          <w:trHeight w:val="1007"/>
          <w:jc w:val="center"/>
        </w:trPr>
        <w:tc>
          <w:tcPr>
            <w:tcW w:w="1681" w:type="dxa"/>
            <w:gridSpan w:val="2"/>
            <w:shd w:val="clear" w:color="auto" w:fill="C6D9F1" w:themeFill="text2" w:themeFillTint="33"/>
            <w:vAlign w:val="center"/>
          </w:tcPr>
          <w:p w14:paraId="3AC1743B" w14:textId="77777777" w:rsidR="00067534" w:rsidRPr="00B83E1A" w:rsidRDefault="00067534" w:rsidP="004E65E7">
            <w:pPr>
              <w:rPr>
                <w:b/>
                <w:bCs/>
                <w:sz w:val="18"/>
                <w:szCs w:val="18"/>
                <w:lang w:val="es-ES"/>
              </w:rPr>
            </w:pPr>
            <w:r w:rsidRPr="00B83E1A">
              <w:rPr>
                <w:b/>
                <w:bCs/>
                <w:sz w:val="18"/>
                <w:szCs w:val="18"/>
                <w:lang w:val="es-ES"/>
              </w:rPr>
              <w:t>Meta estratégica de la OMPI</w:t>
            </w:r>
          </w:p>
        </w:tc>
        <w:tc>
          <w:tcPr>
            <w:tcW w:w="2479" w:type="dxa"/>
            <w:gridSpan w:val="2"/>
            <w:shd w:val="clear" w:color="auto" w:fill="C6D9F1" w:themeFill="text2" w:themeFillTint="33"/>
            <w:vAlign w:val="center"/>
          </w:tcPr>
          <w:p w14:paraId="2A94D49A" w14:textId="77777777" w:rsidR="00067534" w:rsidRPr="00B83E1A" w:rsidRDefault="00067534" w:rsidP="004E65E7">
            <w:pPr>
              <w:rPr>
                <w:b/>
                <w:bCs/>
                <w:sz w:val="18"/>
                <w:szCs w:val="18"/>
                <w:lang w:val="es-ES"/>
              </w:rPr>
            </w:pPr>
            <w:r w:rsidRPr="00B83E1A">
              <w:rPr>
                <w:b/>
                <w:bCs/>
                <w:sz w:val="18"/>
                <w:szCs w:val="18"/>
                <w:lang w:val="es-ES"/>
              </w:rPr>
              <w:t>Resultado previsto de la OMPI pertinente - 2012/13</w:t>
            </w:r>
          </w:p>
        </w:tc>
        <w:tc>
          <w:tcPr>
            <w:tcW w:w="2199" w:type="dxa"/>
            <w:gridSpan w:val="2"/>
            <w:shd w:val="clear" w:color="auto" w:fill="C6D9F1" w:themeFill="text2" w:themeFillTint="33"/>
            <w:vAlign w:val="center"/>
          </w:tcPr>
          <w:p w14:paraId="2AACD144" w14:textId="77777777" w:rsidR="00067534" w:rsidRPr="00B83E1A" w:rsidRDefault="00067534" w:rsidP="004E65E7">
            <w:pPr>
              <w:rPr>
                <w:b/>
                <w:bCs/>
                <w:sz w:val="18"/>
                <w:szCs w:val="18"/>
                <w:lang w:val="es-ES"/>
              </w:rPr>
            </w:pPr>
            <w:r w:rsidRPr="00B83E1A">
              <w:rPr>
                <w:b/>
                <w:bCs/>
                <w:sz w:val="18"/>
                <w:szCs w:val="18"/>
                <w:lang w:val="es-ES"/>
              </w:rPr>
              <w:t>Indicadores de rendimiento</w:t>
            </w:r>
          </w:p>
        </w:tc>
        <w:tc>
          <w:tcPr>
            <w:tcW w:w="2869" w:type="dxa"/>
            <w:gridSpan w:val="2"/>
            <w:shd w:val="clear" w:color="auto" w:fill="C6D9F1" w:themeFill="text2" w:themeFillTint="33"/>
            <w:vAlign w:val="center"/>
          </w:tcPr>
          <w:p w14:paraId="42E4F5D2" w14:textId="77777777" w:rsidR="00067534" w:rsidRPr="00B83E1A" w:rsidRDefault="00067534" w:rsidP="004E65E7">
            <w:pPr>
              <w:rPr>
                <w:sz w:val="18"/>
                <w:szCs w:val="18"/>
                <w:lang w:val="es-ES"/>
              </w:rPr>
            </w:pPr>
            <w:r w:rsidRPr="00B83E1A">
              <w:rPr>
                <w:b/>
                <w:bCs/>
                <w:sz w:val="18"/>
                <w:szCs w:val="18"/>
                <w:lang w:val="es-ES"/>
              </w:rPr>
              <w:t>Datos sobre el rendimiento</w:t>
            </w:r>
          </w:p>
        </w:tc>
      </w:tr>
      <w:tr w:rsidR="00067534" w:rsidRPr="00B83E1A" w14:paraId="6D414328" w14:textId="77777777" w:rsidTr="004E65E7">
        <w:trPr>
          <w:jc w:val="center"/>
        </w:trPr>
        <w:tc>
          <w:tcPr>
            <w:tcW w:w="1681" w:type="dxa"/>
            <w:gridSpan w:val="2"/>
            <w:vMerge w:val="restart"/>
          </w:tcPr>
          <w:p w14:paraId="65BE0486" w14:textId="6984F594" w:rsidR="00067534" w:rsidRPr="00B83E1A" w:rsidRDefault="00067534" w:rsidP="004E65E7">
            <w:pPr>
              <w:rPr>
                <w:i/>
                <w:sz w:val="18"/>
                <w:szCs w:val="18"/>
                <w:lang w:val="es-ES"/>
              </w:rPr>
            </w:pPr>
            <w:r w:rsidRPr="00B83E1A">
              <w:rPr>
                <w:i/>
                <w:sz w:val="18"/>
                <w:szCs w:val="18"/>
                <w:lang w:val="es-ES"/>
              </w:rPr>
              <w:t>Meta estratégica III</w:t>
            </w:r>
            <w:r w:rsidR="00D23810" w:rsidRPr="00B83E1A">
              <w:rPr>
                <w:i/>
                <w:sz w:val="18"/>
                <w:szCs w:val="18"/>
                <w:lang w:val="es-ES"/>
              </w:rPr>
              <w:t>:  F</w:t>
            </w:r>
            <w:r w:rsidRPr="00B83E1A">
              <w:rPr>
                <w:i/>
                <w:sz w:val="18"/>
                <w:szCs w:val="18"/>
                <w:lang w:val="es-ES"/>
              </w:rPr>
              <w:t xml:space="preserve">acilitar el uso de la P.I. en aras del desarrollo </w:t>
            </w:r>
          </w:p>
          <w:p w14:paraId="45C074A7" w14:textId="77777777" w:rsidR="00067534" w:rsidRPr="00B83E1A" w:rsidRDefault="00067534" w:rsidP="004E65E7">
            <w:pPr>
              <w:rPr>
                <w:sz w:val="18"/>
                <w:szCs w:val="18"/>
                <w:lang w:val="es-ES"/>
              </w:rPr>
            </w:pPr>
          </w:p>
        </w:tc>
        <w:tc>
          <w:tcPr>
            <w:tcW w:w="2479" w:type="dxa"/>
            <w:gridSpan w:val="2"/>
            <w:vMerge w:val="restart"/>
          </w:tcPr>
          <w:p w14:paraId="0347FAB2" w14:textId="77777777" w:rsidR="00067534" w:rsidRPr="00B83E1A" w:rsidRDefault="00067534" w:rsidP="004E65E7">
            <w:pPr>
              <w:rPr>
                <w:sz w:val="18"/>
                <w:szCs w:val="18"/>
                <w:lang w:val="es-ES"/>
              </w:rPr>
            </w:pPr>
            <w:r w:rsidRPr="00B83E1A">
              <w:rPr>
                <w:sz w:val="18"/>
                <w:szCs w:val="18"/>
                <w:lang w:val="es-ES"/>
              </w:rPr>
              <w:t>Resultado i) Mecanismos de cooperación, programas y asociaciones nuevos o consolidados en los PMA.</w:t>
            </w:r>
          </w:p>
          <w:p w14:paraId="7B6931D6" w14:textId="77777777" w:rsidR="00067534" w:rsidRPr="00B83E1A" w:rsidRDefault="00067534" w:rsidP="004E65E7">
            <w:pPr>
              <w:rPr>
                <w:sz w:val="18"/>
                <w:szCs w:val="18"/>
                <w:lang w:val="es-ES"/>
              </w:rPr>
            </w:pPr>
          </w:p>
        </w:tc>
        <w:tc>
          <w:tcPr>
            <w:tcW w:w="2199" w:type="dxa"/>
            <w:gridSpan w:val="2"/>
          </w:tcPr>
          <w:p w14:paraId="0DA9E146" w14:textId="77777777" w:rsidR="00067534" w:rsidRPr="00B83E1A" w:rsidRDefault="00067534" w:rsidP="004E65E7">
            <w:pPr>
              <w:spacing w:after="120"/>
              <w:rPr>
                <w:sz w:val="18"/>
                <w:szCs w:val="18"/>
                <w:lang w:val="es-ES"/>
              </w:rPr>
            </w:pPr>
            <w:r w:rsidRPr="00B83E1A">
              <w:rPr>
                <w:sz w:val="18"/>
                <w:szCs w:val="18"/>
                <w:lang w:val="es-ES" w:bidi="th-TH"/>
              </w:rPr>
              <w:t>Número de asociaciones establecidas en los PMA entre organizaciones gubernamentales, sector privado, ONG y otros asociados en el desarrollo (PMA).</w:t>
            </w:r>
          </w:p>
        </w:tc>
        <w:tc>
          <w:tcPr>
            <w:tcW w:w="2869" w:type="dxa"/>
            <w:gridSpan w:val="2"/>
          </w:tcPr>
          <w:p w14:paraId="1CD7B812" w14:textId="79D2CA69" w:rsidR="009A700A" w:rsidRPr="00B83E1A" w:rsidRDefault="00067534" w:rsidP="004E65E7">
            <w:pPr>
              <w:rPr>
                <w:sz w:val="18"/>
                <w:szCs w:val="18"/>
                <w:lang w:val="es-ES" w:bidi="th-TH"/>
              </w:rPr>
            </w:pPr>
            <w:r w:rsidRPr="00B83E1A">
              <w:rPr>
                <w:sz w:val="18"/>
                <w:szCs w:val="18"/>
                <w:lang w:val="es-ES" w:bidi="th-TH"/>
              </w:rPr>
              <w:t>Las asociaciones puestas en marcha en Bangladesh, Nepal y Zambia e</w:t>
            </w:r>
            <w:r w:rsidR="00D23810" w:rsidRPr="00B83E1A">
              <w:rPr>
                <w:sz w:val="18"/>
                <w:szCs w:val="18"/>
                <w:lang w:val="es-ES" w:bidi="th-TH"/>
              </w:rPr>
              <w:t>n 2</w:t>
            </w:r>
            <w:r w:rsidRPr="00B83E1A">
              <w:rPr>
                <w:sz w:val="18"/>
                <w:szCs w:val="18"/>
                <w:lang w:val="es-ES" w:bidi="th-TH"/>
              </w:rPr>
              <w:t>011 se reforzaron mediante el establecimiento de grupos de expertos y grupos de múltiples partes interesadas sobre tecnologías adecuadas</w:t>
            </w:r>
            <w:r w:rsidR="009A700A" w:rsidRPr="00B83E1A">
              <w:rPr>
                <w:sz w:val="18"/>
                <w:szCs w:val="18"/>
                <w:lang w:val="es-ES" w:bidi="th-TH"/>
              </w:rPr>
              <w:t>.</w:t>
            </w:r>
          </w:p>
          <w:p w14:paraId="7D16C2EF" w14:textId="72009EC4" w:rsidR="00067534" w:rsidRPr="00B83E1A" w:rsidRDefault="00067534" w:rsidP="004E65E7">
            <w:pPr>
              <w:rPr>
                <w:sz w:val="18"/>
                <w:szCs w:val="18"/>
                <w:lang w:val="es-ES"/>
              </w:rPr>
            </w:pPr>
          </w:p>
        </w:tc>
      </w:tr>
      <w:tr w:rsidR="00067534" w:rsidRPr="00B83E1A" w14:paraId="14B52BA4" w14:textId="77777777" w:rsidTr="004E65E7">
        <w:trPr>
          <w:jc w:val="center"/>
        </w:trPr>
        <w:tc>
          <w:tcPr>
            <w:tcW w:w="1681" w:type="dxa"/>
            <w:gridSpan w:val="2"/>
            <w:vMerge/>
          </w:tcPr>
          <w:p w14:paraId="7BBA4AF1" w14:textId="77777777" w:rsidR="00067534" w:rsidRPr="00B83E1A" w:rsidRDefault="00067534" w:rsidP="004E65E7">
            <w:pPr>
              <w:rPr>
                <w:sz w:val="18"/>
                <w:szCs w:val="18"/>
                <w:lang w:val="es-ES"/>
              </w:rPr>
            </w:pPr>
          </w:p>
        </w:tc>
        <w:tc>
          <w:tcPr>
            <w:tcW w:w="2479" w:type="dxa"/>
            <w:gridSpan w:val="2"/>
            <w:vMerge/>
          </w:tcPr>
          <w:p w14:paraId="34D9F1AB" w14:textId="77777777" w:rsidR="00067534" w:rsidRPr="00B83E1A" w:rsidRDefault="00067534" w:rsidP="004E65E7">
            <w:pPr>
              <w:rPr>
                <w:sz w:val="18"/>
                <w:szCs w:val="18"/>
                <w:lang w:val="es-ES"/>
              </w:rPr>
            </w:pPr>
          </w:p>
        </w:tc>
        <w:tc>
          <w:tcPr>
            <w:tcW w:w="2199" w:type="dxa"/>
            <w:gridSpan w:val="2"/>
          </w:tcPr>
          <w:p w14:paraId="2818F92D" w14:textId="77777777" w:rsidR="00067534" w:rsidRPr="00B83E1A" w:rsidRDefault="00067534" w:rsidP="004E65E7">
            <w:pPr>
              <w:rPr>
                <w:sz w:val="18"/>
                <w:szCs w:val="18"/>
                <w:lang w:val="es-ES"/>
              </w:rPr>
            </w:pPr>
            <w:r w:rsidRPr="00B83E1A">
              <w:rPr>
                <w:sz w:val="18"/>
                <w:szCs w:val="18"/>
                <w:lang w:val="es-ES" w:bidi="th-TH"/>
              </w:rPr>
              <w:t>Número de programas de P.I. ejecutados conjuntamente con otros organismos de NN.UU. y otras OIG.</w:t>
            </w:r>
          </w:p>
        </w:tc>
        <w:tc>
          <w:tcPr>
            <w:tcW w:w="2869" w:type="dxa"/>
            <w:gridSpan w:val="2"/>
          </w:tcPr>
          <w:p w14:paraId="611BF4D5" w14:textId="77777777" w:rsidR="00067534" w:rsidRPr="00B83E1A" w:rsidRDefault="00067534" w:rsidP="004E65E7">
            <w:pPr>
              <w:rPr>
                <w:sz w:val="18"/>
                <w:szCs w:val="18"/>
                <w:lang w:val="es-ES" w:bidi="th-TH"/>
              </w:rPr>
            </w:pPr>
            <w:r w:rsidRPr="00B83E1A">
              <w:rPr>
                <w:sz w:val="18"/>
                <w:szCs w:val="18"/>
                <w:lang w:val="es-ES" w:bidi="th-TH"/>
              </w:rPr>
              <w:t>La OMPI participó en las reuniones del Grupo Consultivo Interinstitucional de las Naciones Unidas para los Países Menos Adelantados, los Países en Desarrollo Sin Litoral y los Pequeños Estados Insulares en Desarrollo, un proceso consultivo del sistema de las Naciones Unidas sobre la cooperación entre las Naciones Unidas y los PMA.</w:t>
            </w:r>
          </w:p>
          <w:p w14:paraId="1202E919" w14:textId="78D37CD6" w:rsidR="00067534" w:rsidRPr="00B83E1A" w:rsidRDefault="00067534" w:rsidP="004E65E7">
            <w:pPr>
              <w:spacing w:after="120"/>
              <w:rPr>
                <w:sz w:val="18"/>
                <w:szCs w:val="18"/>
                <w:lang w:val="es-ES"/>
              </w:rPr>
            </w:pPr>
            <w:r w:rsidRPr="00B83E1A">
              <w:rPr>
                <w:sz w:val="18"/>
                <w:szCs w:val="18"/>
                <w:lang w:val="es-ES" w:bidi="th-TH"/>
              </w:rPr>
              <w:t>La OMPI prestó asistencia técnica y asesoramiento a los PMA en el marco del proceso de evaluación de las necesidades llevado a cabo por la OMC con objeto de atender las necesidades y prioridades de los PMA con miras a la aplicación del Acuerdo sobre los ADPIC durante sus períodos de gracia</w:t>
            </w:r>
            <w:r w:rsidR="00D23810" w:rsidRPr="00B83E1A">
              <w:rPr>
                <w:sz w:val="18"/>
                <w:szCs w:val="18"/>
                <w:lang w:val="es-ES" w:bidi="th-TH"/>
              </w:rPr>
              <w:t>.  L</w:t>
            </w:r>
            <w:r w:rsidRPr="00B83E1A">
              <w:rPr>
                <w:sz w:val="18"/>
                <w:szCs w:val="18"/>
                <w:lang w:val="es-ES" w:bidi="th-TH"/>
              </w:rPr>
              <w:t>a OMPI participó activamente en los programas regionales, subregionales y nacionales organizados por la OMC en beneficio de los PMA.</w:t>
            </w:r>
          </w:p>
        </w:tc>
      </w:tr>
      <w:tr w:rsidR="00067534" w:rsidRPr="00B83E1A" w14:paraId="1F53A2F6" w14:textId="77777777" w:rsidTr="004E65E7">
        <w:trPr>
          <w:jc w:val="center"/>
        </w:trPr>
        <w:tc>
          <w:tcPr>
            <w:tcW w:w="1681" w:type="dxa"/>
            <w:gridSpan w:val="2"/>
            <w:vMerge w:val="restart"/>
          </w:tcPr>
          <w:p w14:paraId="0557F7F7" w14:textId="27C290BC" w:rsidR="00067534" w:rsidRPr="00B83E1A" w:rsidRDefault="00067534" w:rsidP="004E65E7">
            <w:pPr>
              <w:rPr>
                <w:i/>
                <w:sz w:val="18"/>
                <w:szCs w:val="18"/>
                <w:lang w:val="es-ES"/>
              </w:rPr>
            </w:pPr>
            <w:r w:rsidRPr="00B83E1A">
              <w:rPr>
                <w:i/>
                <w:sz w:val="18"/>
                <w:szCs w:val="18"/>
                <w:lang w:val="es-ES"/>
              </w:rPr>
              <w:t>Meta estratégica VII</w:t>
            </w:r>
            <w:r w:rsidR="00D23810" w:rsidRPr="00B83E1A">
              <w:rPr>
                <w:i/>
                <w:sz w:val="18"/>
                <w:szCs w:val="18"/>
                <w:lang w:val="es-ES"/>
              </w:rPr>
              <w:t>:  V</w:t>
            </w:r>
            <w:r w:rsidRPr="00B83E1A">
              <w:rPr>
                <w:i/>
                <w:sz w:val="18"/>
                <w:szCs w:val="18"/>
                <w:lang w:val="es-ES"/>
              </w:rPr>
              <w:t xml:space="preserve">ínculos </w:t>
            </w:r>
            <w:r w:rsidRPr="00B83E1A">
              <w:rPr>
                <w:i/>
                <w:sz w:val="18"/>
                <w:szCs w:val="18"/>
                <w:lang w:val="es-ES"/>
              </w:rPr>
              <w:lastRenderedPageBreak/>
              <w:t>entre la P.I. y los problemas mundiales de política pública</w:t>
            </w:r>
          </w:p>
          <w:p w14:paraId="1AD079DA" w14:textId="77777777" w:rsidR="00067534" w:rsidRPr="00B83E1A" w:rsidRDefault="00067534" w:rsidP="004E65E7">
            <w:pPr>
              <w:rPr>
                <w:sz w:val="18"/>
                <w:szCs w:val="18"/>
                <w:lang w:val="es-ES"/>
              </w:rPr>
            </w:pPr>
          </w:p>
        </w:tc>
        <w:tc>
          <w:tcPr>
            <w:tcW w:w="2479" w:type="dxa"/>
            <w:gridSpan w:val="2"/>
            <w:vMerge w:val="restart"/>
          </w:tcPr>
          <w:p w14:paraId="4ADF5FBC" w14:textId="77777777" w:rsidR="00067534" w:rsidRPr="00B83E1A" w:rsidRDefault="00067534" w:rsidP="004E65E7">
            <w:pPr>
              <w:rPr>
                <w:sz w:val="18"/>
                <w:szCs w:val="18"/>
                <w:lang w:val="es-ES"/>
              </w:rPr>
            </w:pPr>
            <w:r w:rsidRPr="00B83E1A">
              <w:rPr>
                <w:sz w:val="18"/>
                <w:szCs w:val="18"/>
                <w:lang w:val="es-ES"/>
              </w:rPr>
              <w:lastRenderedPageBreak/>
              <w:t xml:space="preserve">Resultado ii) Las herramientas de P.I. se </w:t>
            </w:r>
            <w:r w:rsidRPr="00B83E1A">
              <w:rPr>
                <w:sz w:val="18"/>
                <w:szCs w:val="18"/>
                <w:lang w:val="es-ES"/>
              </w:rPr>
              <w:lastRenderedPageBreak/>
              <w:t>utilizan para la transferencia de tecnología por parte de países desarrollados a países en desarrollo, especialmente los países menos adelantados, para responder a los desafíos mundiales.</w:t>
            </w:r>
          </w:p>
        </w:tc>
        <w:tc>
          <w:tcPr>
            <w:tcW w:w="2199" w:type="dxa"/>
            <w:gridSpan w:val="2"/>
          </w:tcPr>
          <w:p w14:paraId="76688A55" w14:textId="77777777" w:rsidR="00067534" w:rsidRPr="00B83E1A" w:rsidRDefault="00067534" w:rsidP="004E65E7">
            <w:pPr>
              <w:rPr>
                <w:sz w:val="18"/>
                <w:szCs w:val="18"/>
                <w:lang w:val="es-ES"/>
              </w:rPr>
            </w:pPr>
            <w:r w:rsidRPr="00B83E1A">
              <w:rPr>
                <w:sz w:val="18"/>
                <w:szCs w:val="18"/>
                <w:lang w:val="es-ES"/>
              </w:rPr>
              <w:lastRenderedPageBreak/>
              <w:t>Número de participantes en plataformas de P.I.</w:t>
            </w:r>
          </w:p>
        </w:tc>
        <w:tc>
          <w:tcPr>
            <w:tcW w:w="2869" w:type="dxa"/>
            <w:gridSpan w:val="2"/>
          </w:tcPr>
          <w:p w14:paraId="238FD352" w14:textId="77777777" w:rsidR="00067534" w:rsidRPr="00B83E1A" w:rsidRDefault="00067534" w:rsidP="004E65E7">
            <w:pPr>
              <w:keepNext/>
              <w:keepLines/>
              <w:rPr>
                <w:sz w:val="18"/>
                <w:szCs w:val="18"/>
                <w:lang w:val="es-ES" w:bidi="th-TH"/>
              </w:rPr>
            </w:pPr>
            <w:r w:rsidRPr="00B83E1A">
              <w:rPr>
                <w:sz w:val="18"/>
                <w:szCs w:val="18"/>
                <w:lang w:val="es-ES" w:bidi="th-TH"/>
              </w:rPr>
              <w:t xml:space="preserve">WIPO Re:Search:  61 miembros (proveedores, usuarios y </w:t>
            </w:r>
            <w:r w:rsidRPr="00B83E1A">
              <w:rPr>
                <w:sz w:val="18"/>
                <w:szCs w:val="18"/>
                <w:lang w:val="es-ES" w:bidi="th-TH"/>
              </w:rPr>
              <w:lastRenderedPageBreak/>
              <w:t>colaboradores) (en total).</w:t>
            </w:r>
          </w:p>
          <w:p w14:paraId="31FF0445" w14:textId="77777777" w:rsidR="00067534" w:rsidRPr="00B83E1A" w:rsidRDefault="00067534" w:rsidP="004E65E7">
            <w:pPr>
              <w:keepNext/>
              <w:keepLines/>
              <w:spacing w:after="120"/>
              <w:rPr>
                <w:sz w:val="18"/>
                <w:szCs w:val="18"/>
                <w:lang w:val="es-ES"/>
              </w:rPr>
            </w:pPr>
            <w:r w:rsidRPr="00B83E1A">
              <w:rPr>
                <w:sz w:val="18"/>
                <w:szCs w:val="18"/>
                <w:lang w:val="es-ES" w:bidi="th-TH"/>
              </w:rPr>
              <w:t xml:space="preserve">WIPO GREEN:  20 participantes (organismos que colaboran, proveedores de tecnología y personas que buscan tecnología) (en total).  </w:t>
            </w:r>
          </w:p>
        </w:tc>
      </w:tr>
      <w:tr w:rsidR="00067534" w:rsidRPr="00B83E1A" w14:paraId="3D671EE3" w14:textId="77777777" w:rsidTr="004E65E7">
        <w:trPr>
          <w:jc w:val="center"/>
        </w:trPr>
        <w:tc>
          <w:tcPr>
            <w:tcW w:w="1681" w:type="dxa"/>
            <w:gridSpan w:val="2"/>
            <w:vMerge/>
          </w:tcPr>
          <w:p w14:paraId="669F6D50" w14:textId="77777777" w:rsidR="00067534" w:rsidRPr="00B83E1A" w:rsidRDefault="00067534" w:rsidP="004E65E7">
            <w:pPr>
              <w:rPr>
                <w:sz w:val="18"/>
                <w:szCs w:val="18"/>
                <w:lang w:val="es-ES"/>
              </w:rPr>
            </w:pPr>
          </w:p>
        </w:tc>
        <w:tc>
          <w:tcPr>
            <w:tcW w:w="2479" w:type="dxa"/>
            <w:gridSpan w:val="2"/>
            <w:vMerge/>
          </w:tcPr>
          <w:p w14:paraId="0D318DE0" w14:textId="77777777" w:rsidR="00067534" w:rsidRPr="00B83E1A" w:rsidRDefault="00067534" w:rsidP="004E65E7">
            <w:pPr>
              <w:rPr>
                <w:sz w:val="18"/>
                <w:szCs w:val="18"/>
                <w:lang w:val="es-ES"/>
              </w:rPr>
            </w:pPr>
          </w:p>
        </w:tc>
        <w:tc>
          <w:tcPr>
            <w:tcW w:w="2199" w:type="dxa"/>
            <w:gridSpan w:val="2"/>
          </w:tcPr>
          <w:p w14:paraId="411C8EDC" w14:textId="77777777" w:rsidR="00067534" w:rsidRPr="00B83E1A" w:rsidRDefault="00067534" w:rsidP="004E65E7">
            <w:pPr>
              <w:rPr>
                <w:sz w:val="18"/>
                <w:szCs w:val="18"/>
                <w:lang w:val="es-ES"/>
              </w:rPr>
            </w:pPr>
            <w:r w:rsidRPr="00B83E1A">
              <w:rPr>
                <w:sz w:val="18"/>
                <w:szCs w:val="18"/>
                <w:lang w:val="es-ES"/>
              </w:rPr>
              <w:t>Número de transacciones realizadas por medio de la(s) plataforma(s).</w:t>
            </w:r>
          </w:p>
        </w:tc>
        <w:tc>
          <w:tcPr>
            <w:tcW w:w="2869" w:type="dxa"/>
            <w:gridSpan w:val="2"/>
          </w:tcPr>
          <w:p w14:paraId="7FA16882" w14:textId="32D694D2" w:rsidR="00067534" w:rsidRPr="00B83E1A" w:rsidRDefault="00067534" w:rsidP="004E65E7">
            <w:pPr>
              <w:rPr>
                <w:sz w:val="18"/>
                <w:szCs w:val="18"/>
                <w:lang w:val="es-ES" w:bidi="th-TH"/>
              </w:rPr>
            </w:pPr>
            <w:r w:rsidRPr="00B83E1A">
              <w:rPr>
                <w:sz w:val="18"/>
                <w:szCs w:val="18"/>
                <w:lang w:val="es-ES" w:bidi="th-TH"/>
              </w:rPr>
              <w:t>WIPO Re:Search:  13 colaboraciones a finales d</w:t>
            </w:r>
            <w:r w:rsidR="00D23810" w:rsidRPr="00B83E1A">
              <w:rPr>
                <w:sz w:val="18"/>
                <w:szCs w:val="18"/>
                <w:lang w:val="es-ES" w:bidi="th-TH"/>
              </w:rPr>
              <w:t>e 2</w:t>
            </w:r>
            <w:r w:rsidRPr="00B83E1A">
              <w:rPr>
                <w:sz w:val="18"/>
                <w:szCs w:val="18"/>
                <w:lang w:val="es-ES" w:bidi="th-TH"/>
              </w:rPr>
              <w:t>012.</w:t>
            </w:r>
          </w:p>
          <w:p w14:paraId="6E333437" w14:textId="77777777" w:rsidR="00067534" w:rsidRPr="00B83E1A" w:rsidRDefault="00067534" w:rsidP="004E65E7">
            <w:pPr>
              <w:spacing w:after="120"/>
              <w:rPr>
                <w:sz w:val="18"/>
                <w:szCs w:val="18"/>
                <w:lang w:val="es-ES"/>
              </w:rPr>
            </w:pPr>
            <w:r w:rsidRPr="00B83E1A">
              <w:rPr>
                <w:sz w:val="18"/>
                <w:szCs w:val="18"/>
                <w:lang w:val="es-ES" w:bidi="th-TH"/>
              </w:rPr>
              <w:t>WIPO GREEN:  Ninguna transacción.</w:t>
            </w:r>
          </w:p>
        </w:tc>
      </w:tr>
      <w:tr w:rsidR="00067534" w:rsidRPr="00B83E1A" w14:paraId="59CB3F7C" w14:textId="77777777" w:rsidTr="004E65E7">
        <w:trPr>
          <w:jc w:val="center"/>
        </w:trPr>
        <w:tc>
          <w:tcPr>
            <w:tcW w:w="9228" w:type="dxa"/>
            <w:gridSpan w:val="8"/>
            <w:shd w:val="clear" w:color="auto" w:fill="C4BC96" w:themeFill="background2" w:themeFillShade="BF"/>
            <w:vAlign w:val="center"/>
          </w:tcPr>
          <w:p w14:paraId="3818BC83" w14:textId="0FFFA31F" w:rsidR="00067534" w:rsidRPr="00B83E1A" w:rsidRDefault="00067534" w:rsidP="004E65E7">
            <w:pPr>
              <w:spacing w:before="240"/>
              <w:rPr>
                <w:b/>
                <w:bCs/>
                <w:sz w:val="18"/>
                <w:szCs w:val="18"/>
                <w:lang w:val="es-ES"/>
              </w:rPr>
            </w:pPr>
            <w:r w:rsidRPr="00B83E1A">
              <w:rPr>
                <w:b/>
                <w:bCs/>
                <w:sz w:val="18"/>
                <w:szCs w:val="18"/>
                <w:lang w:val="es-ES"/>
              </w:rPr>
              <w:t>ODM - Objetiv</w:t>
            </w:r>
            <w:r w:rsidR="00D23810" w:rsidRPr="00B83E1A">
              <w:rPr>
                <w:b/>
                <w:bCs/>
                <w:sz w:val="18"/>
                <w:szCs w:val="18"/>
                <w:lang w:val="es-ES"/>
              </w:rPr>
              <w:t>o 8</w:t>
            </w:r>
            <w:r w:rsidRPr="00B83E1A">
              <w:rPr>
                <w:b/>
                <w:bCs/>
                <w:sz w:val="18"/>
                <w:szCs w:val="18"/>
                <w:lang w:val="es-ES"/>
              </w:rPr>
              <w:t>:  Fomentar una asociación mundial para el desarrollo</w:t>
            </w:r>
          </w:p>
          <w:p w14:paraId="2804C376" w14:textId="77777777" w:rsidR="00067534" w:rsidRPr="00B83E1A" w:rsidRDefault="00067534" w:rsidP="004E65E7">
            <w:pPr>
              <w:rPr>
                <w:sz w:val="18"/>
                <w:szCs w:val="18"/>
                <w:lang w:val="es-ES"/>
              </w:rPr>
            </w:pPr>
          </w:p>
        </w:tc>
      </w:tr>
      <w:tr w:rsidR="00067534" w:rsidRPr="00B83E1A" w14:paraId="4DEBCAF2" w14:textId="77777777" w:rsidTr="004E65E7">
        <w:trPr>
          <w:jc w:val="center"/>
        </w:trPr>
        <w:tc>
          <w:tcPr>
            <w:tcW w:w="9228" w:type="dxa"/>
            <w:gridSpan w:val="8"/>
            <w:shd w:val="clear" w:color="auto" w:fill="DDD9C3" w:themeFill="background2" w:themeFillShade="E6"/>
            <w:vAlign w:val="center"/>
          </w:tcPr>
          <w:p w14:paraId="654F6C09" w14:textId="145BF28B" w:rsidR="00067534" w:rsidRPr="00B83E1A" w:rsidRDefault="00067534" w:rsidP="004E65E7">
            <w:pPr>
              <w:spacing w:before="240"/>
              <w:rPr>
                <w:b/>
                <w:sz w:val="18"/>
                <w:szCs w:val="18"/>
                <w:lang w:val="es-ES"/>
              </w:rPr>
            </w:pPr>
            <w:r w:rsidRPr="00B83E1A">
              <w:rPr>
                <w:b/>
                <w:sz w:val="18"/>
                <w:szCs w:val="18"/>
                <w:lang w:val="es-ES"/>
              </w:rPr>
              <w:t>Met</w:t>
            </w:r>
            <w:r w:rsidR="00D23810" w:rsidRPr="00B83E1A">
              <w:rPr>
                <w:b/>
                <w:sz w:val="18"/>
                <w:szCs w:val="18"/>
                <w:lang w:val="es-ES"/>
              </w:rPr>
              <w:t>a 8</w:t>
            </w:r>
            <w:r w:rsidRPr="00B83E1A">
              <w:rPr>
                <w:b/>
                <w:sz w:val="18"/>
                <w:szCs w:val="18"/>
                <w:lang w:val="es-ES"/>
              </w:rPr>
              <w:t>.E:  En cooperación con las empresas farmacéuticas, proporcionar acceso a los medicamentos esenciales en los países en desarrollo</w:t>
            </w:r>
          </w:p>
          <w:p w14:paraId="32F07601" w14:textId="77777777" w:rsidR="00067534" w:rsidRPr="00B83E1A" w:rsidRDefault="00067534" w:rsidP="004E65E7">
            <w:pPr>
              <w:rPr>
                <w:b/>
                <w:sz w:val="18"/>
                <w:szCs w:val="18"/>
                <w:lang w:val="es-ES"/>
              </w:rPr>
            </w:pPr>
          </w:p>
        </w:tc>
      </w:tr>
      <w:tr w:rsidR="00067534" w:rsidRPr="00B83E1A" w14:paraId="4495B031" w14:textId="77777777" w:rsidTr="004E65E7">
        <w:trPr>
          <w:trHeight w:val="1007"/>
          <w:jc w:val="center"/>
        </w:trPr>
        <w:tc>
          <w:tcPr>
            <w:tcW w:w="1681" w:type="dxa"/>
            <w:gridSpan w:val="2"/>
            <w:shd w:val="clear" w:color="auto" w:fill="C6D9F1" w:themeFill="text2" w:themeFillTint="33"/>
            <w:vAlign w:val="center"/>
          </w:tcPr>
          <w:p w14:paraId="69D583CC" w14:textId="77777777" w:rsidR="00067534" w:rsidRPr="00B83E1A" w:rsidRDefault="00067534" w:rsidP="004E65E7">
            <w:pPr>
              <w:spacing w:before="240"/>
              <w:rPr>
                <w:b/>
                <w:bCs/>
                <w:sz w:val="18"/>
                <w:szCs w:val="18"/>
                <w:lang w:val="es-ES"/>
              </w:rPr>
            </w:pPr>
            <w:r w:rsidRPr="00B83E1A">
              <w:rPr>
                <w:b/>
                <w:bCs/>
                <w:sz w:val="18"/>
                <w:szCs w:val="18"/>
                <w:lang w:val="es-ES"/>
              </w:rPr>
              <w:t>Meta estratégica de la OMPI</w:t>
            </w:r>
          </w:p>
        </w:tc>
        <w:tc>
          <w:tcPr>
            <w:tcW w:w="2479" w:type="dxa"/>
            <w:gridSpan w:val="2"/>
            <w:shd w:val="clear" w:color="auto" w:fill="C6D9F1" w:themeFill="text2" w:themeFillTint="33"/>
            <w:vAlign w:val="center"/>
          </w:tcPr>
          <w:p w14:paraId="3F2E19CD" w14:textId="77777777" w:rsidR="00067534" w:rsidRPr="00B83E1A" w:rsidRDefault="00067534" w:rsidP="004E65E7">
            <w:pPr>
              <w:spacing w:before="240"/>
              <w:rPr>
                <w:b/>
                <w:bCs/>
                <w:sz w:val="18"/>
                <w:szCs w:val="18"/>
                <w:lang w:val="es-ES"/>
              </w:rPr>
            </w:pPr>
            <w:r w:rsidRPr="00B83E1A">
              <w:rPr>
                <w:b/>
                <w:bCs/>
                <w:sz w:val="18"/>
                <w:szCs w:val="18"/>
                <w:lang w:val="es-ES"/>
              </w:rPr>
              <w:t>Resultado previsto de la OMPI pertinente - 2012/13</w:t>
            </w:r>
          </w:p>
        </w:tc>
        <w:tc>
          <w:tcPr>
            <w:tcW w:w="2199" w:type="dxa"/>
            <w:gridSpan w:val="2"/>
            <w:shd w:val="clear" w:color="auto" w:fill="C6D9F1" w:themeFill="text2" w:themeFillTint="33"/>
            <w:vAlign w:val="center"/>
          </w:tcPr>
          <w:p w14:paraId="66A0AE81" w14:textId="77777777" w:rsidR="00067534" w:rsidRPr="00B83E1A" w:rsidRDefault="00067534" w:rsidP="004E65E7">
            <w:pPr>
              <w:spacing w:before="240"/>
              <w:rPr>
                <w:b/>
                <w:bCs/>
                <w:sz w:val="18"/>
                <w:szCs w:val="18"/>
                <w:lang w:val="es-ES"/>
              </w:rPr>
            </w:pPr>
            <w:r w:rsidRPr="00B83E1A">
              <w:rPr>
                <w:b/>
                <w:bCs/>
                <w:sz w:val="18"/>
                <w:szCs w:val="18"/>
                <w:lang w:val="es-ES"/>
              </w:rPr>
              <w:t>Indicadores de rendimiento</w:t>
            </w:r>
          </w:p>
        </w:tc>
        <w:tc>
          <w:tcPr>
            <w:tcW w:w="2869" w:type="dxa"/>
            <w:gridSpan w:val="2"/>
            <w:shd w:val="clear" w:color="auto" w:fill="C6D9F1" w:themeFill="text2" w:themeFillTint="33"/>
            <w:vAlign w:val="center"/>
          </w:tcPr>
          <w:p w14:paraId="3D536D52" w14:textId="77777777" w:rsidR="00067534" w:rsidRPr="00B83E1A" w:rsidRDefault="00067534" w:rsidP="004E65E7">
            <w:pPr>
              <w:spacing w:before="240"/>
              <w:rPr>
                <w:sz w:val="18"/>
                <w:szCs w:val="18"/>
                <w:lang w:val="es-ES"/>
              </w:rPr>
            </w:pPr>
            <w:r w:rsidRPr="00B83E1A">
              <w:rPr>
                <w:b/>
                <w:bCs/>
                <w:sz w:val="18"/>
                <w:szCs w:val="18"/>
                <w:lang w:val="es-ES"/>
              </w:rPr>
              <w:t>Datos sobre el rendimiento</w:t>
            </w:r>
          </w:p>
        </w:tc>
      </w:tr>
      <w:tr w:rsidR="00067534" w:rsidRPr="00B83E1A" w14:paraId="5402B8A1" w14:textId="77777777" w:rsidTr="004E65E7">
        <w:trPr>
          <w:jc w:val="center"/>
        </w:trPr>
        <w:tc>
          <w:tcPr>
            <w:tcW w:w="1681" w:type="dxa"/>
            <w:gridSpan w:val="2"/>
            <w:vMerge w:val="restart"/>
          </w:tcPr>
          <w:p w14:paraId="3D9513A1" w14:textId="3DA4FFB5" w:rsidR="00067534" w:rsidRPr="00B83E1A" w:rsidRDefault="00067534" w:rsidP="004E65E7">
            <w:pPr>
              <w:rPr>
                <w:i/>
                <w:sz w:val="18"/>
                <w:szCs w:val="18"/>
                <w:lang w:val="es-ES"/>
              </w:rPr>
            </w:pPr>
            <w:r w:rsidRPr="00B83E1A">
              <w:rPr>
                <w:i/>
                <w:sz w:val="18"/>
                <w:szCs w:val="18"/>
                <w:lang w:val="es-ES"/>
              </w:rPr>
              <w:t>Meta estratégica III</w:t>
            </w:r>
            <w:r w:rsidR="00D23810" w:rsidRPr="00B83E1A">
              <w:rPr>
                <w:i/>
                <w:sz w:val="18"/>
                <w:szCs w:val="18"/>
                <w:lang w:val="es-ES"/>
              </w:rPr>
              <w:t>:  F</w:t>
            </w:r>
            <w:r w:rsidRPr="00B83E1A">
              <w:rPr>
                <w:i/>
                <w:sz w:val="18"/>
                <w:szCs w:val="18"/>
                <w:lang w:val="es-ES"/>
              </w:rPr>
              <w:t>acilitar el uso de la P.I. en aras del desarrollo</w:t>
            </w:r>
          </w:p>
          <w:p w14:paraId="1B1EDA70" w14:textId="77777777" w:rsidR="00067534" w:rsidRPr="00B83E1A" w:rsidRDefault="00067534" w:rsidP="004E65E7">
            <w:pPr>
              <w:rPr>
                <w:sz w:val="18"/>
                <w:szCs w:val="18"/>
                <w:lang w:val="es-ES"/>
              </w:rPr>
            </w:pPr>
          </w:p>
        </w:tc>
        <w:tc>
          <w:tcPr>
            <w:tcW w:w="2479" w:type="dxa"/>
            <w:gridSpan w:val="2"/>
            <w:vMerge w:val="restart"/>
          </w:tcPr>
          <w:p w14:paraId="09AEB117" w14:textId="77777777" w:rsidR="00067534" w:rsidRPr="00B83E1A" w:rsidRDefault="00067534" w:rsidP="004E65E7">
            <w:pPr>
              <w:rPr>
                <w:sz w:val="18"/>
                <w:szCs w:val="18"/>
                <w:lang w:val="es-ES"/>
              </w:rPr>
            </w:pPr>
            <w:r w:rsidRPr="00B83E1A">
              <w:rPr>
                <w:sz w:val="18"/>
                <w:szCs w:val="18"/>
                <w:lang w:val="es-ES"/>
              </w:rPr>
              <w:t>Resultado i) Políticas nacionales de innovación y de P.I. claramente definidas y coherentes, estrategias y planes de desarrollo que estén en sintonía con las metas y los objetivos nacionales de desarrollo.</w:t>
            </w:r>
          </w:p>
          <w:p w14:paraId="0DCC6DE4" w14:textId="77777777" w:rsidR="00067534" w:rsidRPr="00B83E1A" w:rsidRDefault="00067534" w:rsidP="004E65E7">
            <w:pPr>
              <w:rPr>
                <w:sz w:val="18"/>
                <w:szCs w:val="18"/>
                <w:lang w:val="es-ES"/>
              </w:rPr>
            </w:pPr>
          </w:p>
        </w:tc>
        <w:tc>
          <w:tcPr>
            <w:tcW w:w="2199" w:type="dxa"/>
            <w:gridSpan w:val="2"/>
            <w:vMerge w:val="restart"/>
          </w:tcPr>
          <w:p w14:paraId="76A06F95" w14:textId="77777777" w:rsidR="00067534" w:rsidRPr="00B83E1A" w:rsidRDefault="00067534" w:rsidP="004E65E7">
            <w:pPr>
              <w:rPr>
                <w:sz w:val="18"/>
                <w:szCs w:val="18"/>
                <w:lang w:val="es-ES" w:bidi="th-TH"/>
              </w:rPr>
            </w:pPr>
            <w:r w:rsidRPr="00B83E1A">
              <w:rPr>
                <w:sz w:val="18"/>
                <w:szCs w:val="18"/>
                <w:lang w:val="es-ES" w:bidi="th-TH"/>
              </w:rPr>
              <w:t>Número de países que cada año han formulado políticas, estrategias y/o planes de P.I., o los están aplicando (África).</w:t>
            </w:r>
          </w:p>
          <w:p w14:paraId="03E5AA55" w14:textId="77777777" w:rsidR="00067534" w:rsidRPr="00B83E1A" w:rsidRDefault="00067534" w:rsidP="004E65E7">
            <w:pPr>
              <w:rPr>
                <w:i/>
                <w:sz w:val="18"/>
                <w:szCs w:val="18"/>
                <w:lang w:val="es-ES"/>
              </w:rPr>
            </w:pPr>
          </w:p>
        </w:tc>
        <w:tc>
          <w:tcPr>
            <w:tcW w:w="2869" w:type="dxa"/>
            <w:gridSpan w:val="2"/>
          </w:tcPr>
          <w:p w14:paraId="1CC43475" w14:textId="77777777" w:rsidR="00067534" w:rsidRPr="00B83E1A" w:rsidRDefault="00067534" w:rsidP="00067534">
            <w:pPr>
              <w:numPr>
                <w:ilvl w:val="0"/>
                <w:numId w:val="12"/>
              </w:numPr>
              <w:rPr>
                <w:bCs/>
                <w:sz w:val="18"/>
                <w:szCs w:val="18"/>
                <w:lang w:val="es-ES" w:bidi="th-TH"/>
              </w:rPr>
            </w:pPr>
            <w:r w:rsidRPr="00B83E1A">
              <w:rPr>
                <w:sz w:val="18"/>
                <w:szCs w:val="18"/>
                <w:lang w:val="es-ES" w:bidi="th-TH"/>
              </w:rPr>
              <w:t>Mauricio (pendiente de su aprobación por el Parlamento)</w:t>
            </w:r>
          </w:p>
          <w:p w14:paraId="2E1D1B1C" w14:textId="3CA2BCEC" w:rsidR="00067534" w:rsidRPr="00B83E1A" w:rsidRDefault="00067534" w:rsidP="00067534">
            <w:pPr>
              <w:numPr>
                <w:ilvl w:val="0"/>
                <w:numId w:val="12"/>
              </w:numPr>
              <w:rPr>
                <w:bCs/>
                <w:sz w:val="18"/>
                <w:szCs w:val="18"/>
                <w:lang w:val="es-ES" w:bidi="th-TH"/>
              </w:rPr>
            </w:pPr>
            <w:r w:rsidRPr="00B83E1A">
              <w:rPr>
                <w:bCs/>
                <w:sz w:val="18"/>
                <w:szCs w:val="18"/>
                <w:lang w:val="es-ES" w:bidi="th-TH"/>
              </w:rPr>
              <w:t>el Senegal (memorando de entendimiento firmado e</w:t>
            </w:r>
            <w:r w:rsidR="00D23810" w:rsidRPr="00B83E1A">
              <w:rPr>
                <w:bCs/>
                <w:sz w:val="18"/>
                <w:szCs w:val="18"/>
                <w:lang w:val="es-ES" w:bidi="th-TH"/>
              </w:rPr>
              <w:t>n 2</w:t>
            </w:r>
            <w:r w:rsidRPr="00B83E1A">
              <w:rPr>
                <w:bCs/>
                <w:sz w:val="18"/>
                <w:szCs w:val="18"/>
                <w:lang w:val="es-ES" w:bidi="th-TH"/>
              </w:rPr>
              <w:t>011;  aplicación en curso)</w:t>
            </w:r>
          </w:p>
          <w:p w14:paraId="2DA5DA43" w14:textId="77777777" w:rsidR="00067534" w:rsidRPr="00B83E1A" w:rsidRDefault="00067534" w:rsidP="00067534">
            <w:pPr>
              <w:numPr>
                <w:ilvl w:val="0"/>
                <w:numId w:val="12"/>
              </w:numPr>
              <w:rPr>
                <w:bCs/>
                <w:sz w:val="18"/>
                <w:szCs w:val="18"/>
                <w:lang w:val="es-ES" w:bidi="th-TH"/>
              </w:rPr>
            </w:pPr>
            <w:r w:rsidRPr="00B83E1A">
              <w:rPr>
                <w:bCs/>
                <w:sz w:val="18"/>
                <w:szCs w:val="18"/>
                <w:lang w:val="es-ES" w:bidi="th-TH"/>
              </w:rPr>
              <w:t>Seychelles (se está revisando el memorando de entendimiento)</w:t>
            </w:r>
          </w:p>
          <w:p w14:paraId="4EB3150E" w14:textId="77777777" w:rsidR="00067534" w:rsidRPr="00B83E1A" w:rsidRDefault="00067534" w:rsidP="00067534">
            <w:pPr>
              <w:numPr>
                <w:ilvl w:val="0"/>
                <w:numId w:val="12"/>
              </w:numPr>
              <w:rPr>
                <w:bCs/>
                <w:sz w:val="18"/>
                <w:szCs w:val="18"/>
                <w:lang w:val="es-ES" w:bidi="th-TH"/>
              </w:rPr>
            </w:pPr>
            <w:r w:rsidRPr="00B83E1A">
              <w:rPr>
                <w:bCs/>
                <w:sz w:val="18"/>
                <w:szCs w:val="18"/>
                <w:lang w:val="es-ES" w:bidi="th-TH"/>
              </w:rPr>
              <w:t>República Unida de Tanzanía (aplicación en curso)</w:t>
            </w:r>
          </w:p>
          <w:p w14:paraId="473B9653" w14:textId="77777777" w:rsidR="00067534" w:rsidRPr="00B83E1A" w:rsidRDefault="00067534" w:rsidP="00067534">
            <w:pPr>
              <w:numPr>
                <w:ilvl w:val="0"/>
                <w:numId w:val="12"/>
              </w:numPr>
              <w:spacing w:after="120"/>
              <w:rPr>
                <w:sz w:val="18"/>
                <w:szCs w:val="18"/>
                <w:lang w:val="es-ES"/>
              </w:rPr>
            </w:pPr>
            <w:r w:rsidRPr="00B83E1A">
              <w:rPr>
                <w:bCs/>
                <w:sz w:val="18"/>
                <w:szCs w:val="18"/>
                <w:lang w:val="es-ES" w:bidi="th-TH"/>
              </w:rPr>
              <w:t>Ghana (en curso)</w:t>
            </w:r>
          </w:p>
        </w:tc>
      </w:tr>
      <w:tr w:rsidR="00067534" w:rsidRPr="00B83E1A" w14:paraId="218E0F56" w14:textId="77777777" w:rsidTr="004E65E7">
        <w:trPr>
          <w:jc w:val="center"/>
        </w:trPr>
        <w:tc>
          <w:tcPr>
            <w:tcW w:w="1681" w:type="dxa"/>
            <w:gridSpan w:val="2"/>
            <w:vMerge/>
          </w:tcPr>
          <w:p w14:paraId="0771E776" w14:textId="77777777" w:rsidR="00067534" w:rsidRPr="00B83E1A" w:rsidRDefault="00067534" w:rsidP="004E65E7">
            <w:pPr>
              <w:rPr>
                <w:sz w:val="18"/>
                <w:szCs w:val="18"/>
                <w:lang w:val="es-ES"/>
              </w:rPr>
            </w:pPr>
          </w:p>
        </w:tc>
        <w:tc>
          <w:tcPr>
            <w:tcW w:w="2479" w:type="dxa"/>
            <w:gridSpan w:val="2"/>
            <w:vMerge/>
          </w:tcPr>
          <w:p w14:paraId="37C94DB8" w14:textId="77777777" w:rsidR="00067534" w:rsidRPr="00B83E1A" w:rsidRDefault="00067534" w:rsidP="004E65E7">
            <w:pPr>
              <w:rPr>
                <w:i/>
                <w:sz w:val="18"/>
                <w:szCs w:val="18"/>
                <w:lang w:val="es-ES"/>
              </w:rPr>
            </w:pPr>
          </w:p>
        </w:tc>
        <w:tc>
          <w:tcPr>
            <w:tcW w:w="2199" w:type="dxa"/>
            <w:gridSpan w:val="2"/>
            <w:vMerge/>
          </w:tcPr>
          <w:p w14:paraId="40B759FF" w14:textId="77777777" w:rsidR="00067534" w:rsidRPr="00B83E1A" w:rsidRDefault="00067534" w:rsidP="004E65E7">
            <w:pPr>
              <w:rPr>
                <w:i/>
                <w:sz w:val="18"/>
                <w:szCs w:val="18"/>
                <w:lang w:val="es-ES"/>
              </w:rPr>
            </w:pPr>
          </w:p>
        </w:tc>
        <w:tc>
          <w:tcPr>
            <w:tcW w:w="2869" w:type="dxa"/>
            <w:gridSpan w:val="2"/>
          </w:tcPr>
          <w:p w14:paraId="5504506C" w14:textId="77777777" w:rsidR="00067534" w:rsidRPr="00B83E1A" w:rsidRDefault="00067534" w:rsidP="004E65E7">
            <w:pPr>
              <w:spacing w:after="120"/>
              <w:rPr>
                <w:sz w:val="18"/>
                <w:szCs w:val="18"/>
                <w:lang w:val="es-ES"/>
              </w:rPr>
            </w:pPr>
            <w:r w:rsidRPr="00B83E1A">
              <w:rPr>
                <w:sz w:val="18"/>
                <w:szCs w:val="18"/>
                <w:lang w:val="es-ES"/>
              </w:rPr>
              <w:t>Consultas en curso con ocho países (Botswana, Burundi, Chad, Congo, Gambia, Mauricio, Seychelles y República Unida de Tanzanía)</w:t>
            </w:r>
          </w:p>
        </w:tc>
      </w:tr>
      <w:tr w:rsidR="00067534" w:rsidRPr="00B83E1A" w14:paraId="11F049B4" w14:textId="77777777" w:rsidTr="0010740F">
        <w:trPr>
          <w:trHeight w:val="2218"/>
          <w:jc w:val="center"/>
        </w:trPr>
        <w:tc>
          <w:tcPr>
            <w:tcW w:w="1681" w:type="dxa"/>
            <w:gridSpan w:val="2"/>
            <w:vMerge/>
          </w:tcPr>
          <w:p w14:paraId="61EF1063" w14:textId="77777777" w:rsidR="00067534" w:rsidRPr="00B83E1A" w:rsidRDefault="00067534" w:rsidP="004E65E7">
            <w:pPr>
              <w:rPr>
                <w:sz w:val="18"/>
                <w:szCs w:val="18"/>
                <w:lang w:val="es-ES"/>
              </w:rPr>
            </w:pPr>
          </w:p>
        </w:tc>
        <w:tc>
          <w:tcPr>
            <w:tcW w:w="2479" w:type="dxa"/>
            <w:gridSpan w:val="2"/>
            <w:vMerge/>
          </w:tcPr>
          <w:p w14:paraId="2B547E02" w14:textId="77777777" w:rsidR="00067534" w:rsidRPr="00B83E1A" w:rsidRDefault="00067534" w:rsidP="004E65E7">
            <w:pPr>
              <w:rPr>
                <w:i/>
                <w:sz w:val="18"/>
                <w:szCs w:val="18"/>
                <w:lang w:val="es-ES"/>
              </w:rPr>
            </w:pPr>
          </w:p>
        </w:tc>
        <w:tc>
          <w:tcPr>
            <w:tcW w:w="2199" w:type="dxa"/>
            <w:gridSpan w:val="2"/>
            <w:vMerge/>
          </w:tcPr>
          <w:p w14:paraId="6372D69C" w14:textId="77777777" w:rsidR="00067534" w:rsidRPr="00B83E1A" w:rsidRDefault="00067534" w:rsidP="004E65E7">
            <w:pPr>
              <w:rPr>
                <w:i/>
                <w:sz w:val="18"/>
                <w:szCs w:val="18"/>
                <w:lang w:val="es-ES"/>
              </w:rPr>
            </w:pPr>
          </w:p>
        </w:tc>
        <w:tc>
          <w:tcPr>
            <w:tcW w:w="2869" w:type="dxa"/>
            <w:gridSpan w:val="2"/>
          </w:tcPr>
          <w:p w14:paraId="47A00E3D" w14:textId="77777777" w:rsidR="00067534" w:rsidRPr="00B83E1A" w:rsidRDefault="00067534" w:rsidP="00067534">
            <w:pPr>
              <w:numPr>
                <w:ilvl w:val="0"/>
                <w:numId w:val="13"/>
              </w:numPr>
              <w:rPr>
                <w:sz w:val="18"/>
                <w:szCs w:val="18"/>
                <w:lang w:val="es-ES" w:bidi="th-TH"/>
              </w:rPr>
            </w:pPr>
            <w:r w:rsidRPr="00B83E1A">
              <w:rPr>
                <w:sz w:val="18"/>
                <w:szCs w:val="18"/>
                <w:lang w:val="es-ES" w:bidi="th-TH"/>
              </w:rPr>
              <w:t>Botswana (estrategia de P.I.)</w:t>
            </w:r>
          </w:p>
          <w:p w14:paraId="624F25C1" w14:textId="77777777" w:rsidR="00067534" w:rsidRPr="00B83E1A" w:rsidRDefault="00067534" w:rsidP="00067534">
            <w:pPr>
              <w:numPr>
                <w:ilvl w:val="0"/>
                <w:numId w:val="13"/>
              </w:numPr>
              <w:rPr>
                <w:sz w:val="18"/>
                <w:szCs w:val="18"/>
                <w:lang w:val="es-ES" w:bidi="th-TH"/>
              </w:rPr>
            </w:pPr>
            <w:r w:rsidRPr="00B83E1A">
              <w:rPr>
                <w:sz w:val="18"/>
                <w:szCs w:val="18"/>
                <w:lang w:val="es-ES" w:bidi="th-TH"/>
              </w:rPr>
              <w:t>Gambia (estrategia y política de P.I.)</w:t>
            </w:r>
          </w:p>
          <w:p w14:paraId="11685706" w14:textId="77777777" w:rsidR="00067534" w:rsidRPr="00B83E1A" w:rsidRDefault="00067534" w:rsidP="00067534">
            <w:pPr>
              <w:numPr>
                <w:ilvl w:val="0"/>
                <w:numId w:val="13"/>
              </w:numPr>
              <w:rPr>
                <w:sz w:val="18"/>
                <w:szCs w:val="18"/>
                <w:lang w:val="es-ES" w:bidi="th-TH"/>
              </w:rPr>
            </w:pPr>
            <w:r w:rsidRPr="00B83E1A">
              <w:rPr>
                <w:sz w:val="18"/>
                <w:szCs w:val="18"/>
                <w:lang w:val="es-ES" w:bidi="th-TH"/>
              </w:rPr>
              <w:t>Seychelles (política de P.I.)</w:t>
            </w:r>
          </w:p>
          <w:p w14:paraId="6ADF48F5" w14:textId="77777777" w:rsidR="00067534" w:rsidRPr="00B83E1A" w:rsidRDefault="00067534" w:rsidP="00067534">
            <w:pPr>
              <w:numPr>
                <w:ilvl w:val="0"/>
                <w:numId w:val="13"/>
              </w:numPr>
              <w:rPr>
                <w:sz w:val="18"/>
                <w:szCs w:val="18"/>
                <w:lang w:val="es-ES" w:bidi="th-TH"/>
              </w:rPr>
            </w:pPr>
            <w:r w:rsidRPr="00B83E1A">
              <w:rPr>
                <w:sz w:val="18"/>
                <w:szCs w:val="18"/>
                <w:lang w:val="es-ES" w:bidi="th-TH"/>
              </w:rPr>
              <w:t>Mauricio (política de P.I.)</w:t>
            </w:r>
          </w:p>
          <w:p w14:paraId="56D70539" w14:textId="21F9FC1C" w:rsidR="00067534" w:rsidRPr="00B83E1A" w:rsidRDefault="00067534" w:rsidP="00F358C4">
            <w:pPr>
              <w:spacing w:after="120"/>
              <w:rPr>
                <w:sz w:val="18"/>
                <w:szCs w:val="18"/>
                <w:lang w:val="es-ES"/>
              </w:rPr>
            </w:pPr>
            <w:r w:rsidRPr="00B83E1A">
              <w:rPr>
                <w:sz w:val="18"/>
                <w:szCs w:val="18"/>
                <w:lang w:val="es-ES" w:bidi="th-TH"/>
              </w:rPr>
              <w:t>República Unida de Tanzanía (estrategia y política de P.I.)</w:t>
            </w:r>
          </w:p>
        </w:tc>
      </w:tr>
      <w:tr w:rsidR="00067534" w:rsidRPr="00B83E1A" w14:paraId="0815F281" w14:textId="77777777" w:rsidTr="0010740F">
        <w:trPr>
          <w:trHeight w:val="1541"/>
          <w:jc w:val="center"/>
        </w:trPr>
        <w:tc>
          <w:tcPr>
            <w:tcW w:w="1681" w:type="dxa"/>
            <w:gridSpan w:val="2"/>
            <w:vMerge/>
          </w:tcPr>
          <w:p w14:paraId="4A484ABE" w14:textId="77777777" w:rsidR="00067534" w:rsidRPr="00B83E1A" w:rsidRDefault="00067534" w:rsidP="004E65E7">
            <w:pPr>
              <w:rPr>
                <w:sz w:val="18"/>
                <w:szCs w:val="18"/>
                <w:lang w:val="es-ES"/>
              </w:rPr>
            </w:pPr>
          </w:p>
        </w:tc>
        <w:tc>
          <w:tcPr>
            <w:tcW w:w="2479" w:type="dxa"/>
            <w:gridSpan w:val="2"/>
            <w:vMerge/>
          </w:tcPr>
          <w:p w14:paraId="52683862" w14:textId="77777777" w:rsidR="00067534" w:rsidRPr="00B83E1A" w:rsidRDefault="00067534" w:rsidP="004E65E7">
            <w:pPr>
              <w:rPr>
                <w:sz w:val="18"/>
                <w:szCs w:val="18"/>
                <w:lang w:val="es-ES"/>
              </w:rPr>
            </w:pPr>
          </w:p>
        </w:tc>
        <w:tc>
          <w:tcPr>
            <w:tcW w:w="2199" w:type="dxa"/>
            <w:gridSpan w:val="2"/>
          </w:tcPr>
          <w:p w14:paraId="76443E0A" w14:textId="43A2565F" w:rsidR="00067534" w:rsidRPr="00B83E1A" w:rsidRDefault="00067534" w:rsidP="0010740F">
            <w:pPr>
              <w:rPr>
                <w:sz w:val="18"/>
                <w:szCs w:val="18"/>
                <w:lang w:val="es-ES" w:bidi="th-TH"/>
              </w:rPr>
            </w:pPr>
            <w:r w:rsidRPr="00B83E1A">
              <w:rPr>
                <w:sz w:val="18"/>
                <w:szCs w:val="18"/>
                <w:lang w:val="es-ES" w:bidi="th-TH"/>
              </w:rPr>
              <w:t>Número de países con mecanismos adecuados para el desarrollo y la aplicación de estrategias de P.I</w:t>
            </w:r>
            <w:r w:rsidR="004E65E7" w:rsidRPr="00B83E1A">
              <w:rPr>
                <w:sz w:val="18"/>
                <w:szCs w:val="18"/>
                <w:lang w:val="es-ES" w:bidi="th-TH"/>
              </w:rPr>
              <w:t xml:space="preserve">. </w:t>
            </w:r>
            <w:r w:rsidR="00D23810" w:rsidRPr="00B83E1A">
              <w:rPr>
                <w:sz w:val="18"/>
                <w:szCs w:val="18"/>
                <w:lang w:val="es-ES" w:bidi="th-TH"/>
              </w:rPr>
              <w:t>(</w:t>
            </w:r>
            <w:r w:rsidRPr="00B83E1A">
              <w:rPr>
                <w:sz w:val="18"/>
                <w:szCs w:val="18"/>
                <w:lang w:val="es-ES" w:bidi="th-TH"/>
              </w:rPr>
              <w:t>región de los países árabes)</w:t>
            </w:r>
          </w:p>
          <w:p w14:paraId="64ACA572" w14:textId="06C95EBD" w:rsidR="0010740F" w:rsidRPr="00B83E1A" w:rsidRDefault="0010740F" w:rsidP="0010740F">
            <w:pPr>
              <w:rPr>
                <w:sz w:val="18"/>
                <w:szCs w:val="18"/>
                <w:lang w:val="es-ES"/>
              </w:rPr>
            </w:pPr>
          </w:p>
        </w:tc>
        <w:tc>
          <w:tcPr>
            <w:tcW w:w="2869" w:type="dxa"/>
            <w:gridSpan w:val="2"/>
          </w:tcPr>
          <w:p w14:paraId="4E540378" w14:textId="77777777" w:rsidR="00067534" w:rsidRPr="00B83E1A" w:rsidRDefault="00067534" w:rsidP="004E65E7">
            <w:pPr>
              <w:rPr>
                <w:sz w:val="18"/>
                <w:szCs w:val="18"/>
                <w:lang w:val="es-ES"/>
              </w:rPr>
            </w:pPr>
            <w:r w:rsidRPr="00B83E1A">
              <w:rPr>
                <w:sz w:val="18"/>
                <w:szCs w:val="18"/>
                <w:lang w:val="es-ES"/>
              </w:rPr>
              <w:t>Tres países (Argelia, Omán y Qatar).</w:t>
            </w:r>
          </w:p>
        </w:tc>
      </w:tr>
      <w:tr w:rsidR="00067534" w:rsidRPr="00B83E1A" w14:paraId="014D1B9A" w14:textId="77777777" w:rsidTr="004E65E7">
        <w:trPr>
          <w:jc w:val="center"/>
        </w:trPr>
        <w:tc>
          <w:tcPr>
            <w:tcW w:w="1681" w:type="dxa"/>
            <w:gridSpan w:val="2"/>
            <w:vMerge/>
          </w:tcPr>
          <w:p w14:paraId="4D050585" w14:textId="77777777" w:rsidR="00067534" w:rsidRPr="00B83E1A" w:rsidRDefault="00067534" w:rsidP="004E65E7">
            <w:pPr>
              <w:rPr>
                <w:sz w:val="18"/>
                <w:szCs w:val="18"/>
                <w:lang w:val="es-ES"/>
              </w:rPr>
            </w:pPr>
          </w:p>
        </w:tc>
        <w:tc>
          <w:tcPr>
            <w:tcW w:w="2479" w:type="dxa"/>
            <w:gridSpan w:val="2"/>
            <w:vMerge/>
          </w:tcPr>
          <w:p w14:paraId="54B1A42B" w14:textId="77777777" w:rsidR="00067534" w:rsidRPr="00B83E1A" w:rsidRDefault="00067534" w:rsidP="004E65E7">
            <w:pPr>
              <w:rPr>
                <w:sz w:val="18"/>
                <w:szCs w:val="18"/>
                <w:lang w:val="es-ES"/>
              </w:rPr>
            </w:pPr>
          </w:p>
        </w:tc>
        <w:tc>
          <w:tcPr>
            <w:tcW w:w="2199" w:type="dxa"/>
            <w:gridSpan w:val="2"/>
          </w:tcPr>
          <w:p w14:paraId="3DF3F231" w14:textId="17D281BE" w:rsidR="00067534" w:rsidRPr="00B83E1A" w:rsidRDefault="00067534" w:rsidP="004E65E7">
            <w:pPr>
              <w:spacing w:after="120"/>
              <w:rPr>
                <w:sz w:val="18"/>
                <w:szCs w:val="18"/>
                <w:lang w:val="es-ES"/>
              </w:rPr>
            </w:pPr>
            <w:r w:rsidRPr="00B83E1A">
              <w:rPr>
                <w:sz w:val="18"/>
                <w:szCs w:val="18"/>
                <w:lang w:val="es-ES" w:bidi="th-TH"/>
              </w:rPr>
              <w:t>Número de países con iniciativas vinculadas a los planes nacionales de P.I</w:t>
            </w:r>
            <w:r w:rsidR="004E65E7" w:rsidRPr="00B83E1A">
              <w:rPr>
                <w:sz w:val="18"/>
                <w:szCs w:val="18"/>
                <w:lang w:val="es-ES" w:bidi="th-TH"/>
              </w:rPr>
              <w:t>.</w:t>
            </w:r>
            <w:r w:rsidR="00D23810" w:rsidRPr="00B83E1A">
              <w:rPr>
                <w:sz w:val="18"/>
                <w:szCs w:val="18"/>
                <w:lang w:val="es-ES" w:bidi="th-TH"/>
              </w:rPr>
              <w:t xml:space="preserve"> (</w:t>
            </w:r>
            <w:r w:rsidRPr="00B83E1A">
              <w:rPr>
                <w:sz w:val="18"/>
                <w:szCs w:val="18"/>
                <w:lang w:val="es-ES" w:bidi="th-TH"/>
              </w:rPr>
              <w:t>región de los países árabes)</w:t>
            </w:r>
          </w:p>
        </w:tc>
        <w:tc>
          <w:tcPr>
            <w:tcW w:w="2869" w:type="dxa"/>
            <w:gridSpan w:val="2"/>
          </w:tcPr>
          <w:p w14:paraId="6BA192DC" w14:textId="77777777" w:rsidR="009A700A" w:rsidRPr="00B83E1A" w:rsidRDefault="00067534" w:rsidP="004E65E7">
            <w:pPr>
              <w:rPr>
                <w:sz w:val="18"/>
                <w:szCs w:val="18"/>
                <w:lang w:val="es-ES"/>
              </w:rPr>
            </w:pPr>
            <w:r w:rsidRPr="00B83E1A">
              <w:rPr>
                <w:sz w:val="18"/>
                <w:szCs w:val="18"/>
                <w:lang w:val="es-ES"/>
              </w:rPr>
              <w:t>Tres países (Argelia, Egipto y el Yemen)</w:t>
            </w:r>
            <w:r w:rsidR="009A700A" w:rsidRPr="00B83E1A">
              <w:rPr>
                <w:sz w:val="18"/>
                <w:szCs w:val="18"/>
                <w:lang w:val="es-ES"/>
              </w:rPr>
              <w:t>.</w:t>
            </w:r>
          </w:p>
          <w:p w14:paraId="3E168730" w14:textId="1ABD4F8D" w:rsidR="00067534" w:rsidRPr="00B83E1A" w:rsidRDefault="00067534" w:rsidP="004E65E7">
            <w:pPr>
              <w:rPr>
                <w:sz w:val="18"/>
                <w:szCs w:val="18"/>
                <w:lang w:val="es-ES"/>
              </w:rPr>
            </w:pPr>
          </w:p>
        </w:tc>
      </w:tr>
      <w:tr w:rsidR="00067534" w:rsidRPr="00B83E1A" w14:paraId="2C9B835A" w14:textId="77777777" w:rsidTr="004E65E7">
        <w:trPr>
          <w:jc w:val="center"/>
        </w:trPr>
        <w:tc>
          <w:tcPr>
            <w:tcW w:w="1681" w:type="dxa"/>
            <w:gridSpan w:val="2"/>
            <w:vMerge/>
          </w:tcPr>
          <w:p w14:paraId="06288A49" w14:textId="77777777" w:rsidR="00067534" w:rsidRPr="00B83E1A" w:rsidRDefault="00067534" w:rsidP="004E65E7">
            <w:pPr>
              <w:rPr>
                <w:sz w:val="18"/>
                <w:szCs w:val="18"/>
                <w:lang w:val="es-ES"/>
              </w:rPr>
            </w:pPr>
          </w:p>
        </w:tc>
        <w:tc>
          <w:tcPr>
            <w:tcW w:w="2479" w:type="dxa"/>
            <w:gridSpan w:val="2"/>
            <w:vMerge/>
          </w:tcPr>
          <w:p w14:paraId="5C4DD3DB" w14:textId="77777777" w:rsidR="00067534" w:rsidRPr="00B83E1A" w:rsidRDefault="00067534" w:rsidP="004E65E7">
            <w:pPr>
              <w:rPr>
                <w:sz w:val="18"/>
                <w:szCs w:val="18"/>
                <w:lang w:val="es-ES"/>
              </w:rPr>
            </w:pPr>
          </w:p>
        </w:tc>
        <w:tc>
          <w:tcPr>
            <w:tcW w:w="2199" w:type="dxa"/>
            <w:gridSpan w:val="2"/>
          </w:tcPr>
          <w:p w14:paraId="30C56CE2" w14:textId="77777777" w:rsidR="00067534" w:rsidRPr="00B83E1A" w:rsidRDefault="00067534" w:rsidP="004E65E7">
            <w:pPr>
              <w:spacing w:after="120"/>
              <w:rPr>
                <w:sz w:val="18"/>
                <w:szCs w:val="18"/>
                <w:lang w:val="es-ES"/>
              </w:rPr>
            </w:pPr>
            <w:r w:rsidRPr="00B83E1A">
              <w:rPr>
                <w:sz w:val="18"/>
                <w:szCs w:val="18"/>
                <w:lang w:val="es-ES" w:bidi="th-TH"/>
              </w:rPr>
              <w:t>Número de países con políticas y estrategias de P.I. en curso de aprobación (Asia y el Pacífico).</w:t>
            </w:r>
          </w:p>
        </w:tc>
        <w:tc>
          <w:tcPr>
            <w:tcW w:w="2869" w:type="dxa"/>
            <w:gridSpan w:val="2"/>
          </w:tcPr>
          <w:p w14:paraId="20EED90B" w14:textId="77777777" w:rsidR="00067534" w:rsidRPr="00B83E1A" w:rsidRDefault="00067534" w:rsidP="004E65E7">
            <w:pPr>
              <w:rPr>
                <w:sz w:val="18"/>
                <w:szCs w:val="18"/>
                <w:lang w:val="es-ES" w:bidi="th-TH"/>
              </w:rPr>
            </w:pPr>
            <w:r w:rsidRPr="00B83E1A">
              <w:rPr>
                <w:sz w:val="18"/>
                <w:szCs w:val="18"/>
                <w:lang w:val="es-ES" w:bidi="th-TH"/>
              </w:rPr>
              <w:t>Esta labor está en curso en seis países:  Camboya, Nepal, las Islas Salomón, Tonga, Vanuatu y Viet Nam.</w:t>
            </w:r>
          </w:p>
          <w:p w14:paraId="060944A8" w14:textId="77777777" w:rsidR="00067534" w:rsidRPr="00B83E1A" w:rsidRDefault="00067534" w:rsidP="004E65E7">
            <w:pPr>
              <w:rPr>
                <w:sz w:val="18"/>
                <w:szCs w:val="18"/>
                <w:lang w:val="es-ES"/>
              </w:rPr>
            </w:pPr>
          </w:p>
        </w:tc>
      </w:tr>
      <w:tr w:rsidR="00067534" w:rsidRPr="00B83E1A" w14:paraId="19560FC9" w14:textId="77777777" w:rsidTr="004E65E7">
        <w:trPr>
          <w:jc w:val="center"/>
        </w:trPr>
        <w:tc>
          <w:tcPr>
            <w:tcW w:w="1681" w:type="dxa"/>
            <w:gridSpan w:val="2"/>
            <w:vMerge/>
          </w:tcPr>
          <w:p w14:paraId="650ACE83" w14:textId="77777777" w:rsidR="00067534" w:rsidRPr="00B83E1A" w:rsidRDefault="00067534" w:rsidP="004E65E7">
            <w:pPr>
              <w:rPr>
                <w:sz w:val="18"/>
                <w:szCs w:val="18"/>
                <w:lang w:val="es-ES"/>
              </w:rPr>
            </w:pPr>
          </w:p>
        </w:tc>
        <w:tc>
          <w:tcPr>
            <w:tcW w:w="2479" w:type="dxa"/>
            <w:gridSpan w:val="2"/>
            <w:vMerge/>
          </w:tcPr>
          <w:p w14:paraId="6AA167FB" w14:textId="77777777" w:rsidR="00067534" w:rsidRPr="00B83E1A" w:rsidRDefault="00067534" w:rsidP="004E65E7">
            <w:pPr>
              <w:rPr>
                <w:i/>
                <w:sz w:val="18"/>
                <w:szCs w:val="18"/>
                <w:lang w:val="es-ES"/>
              </w:rPr>
            </w:pPr>
          </w:p>
        </w:tc>
        <w:tc>
          <w:tcPr>
            <w:tcW w:w="2199" w:type="dxa"/>
            <w:gridSpan w:val="2"/>
          </w:tcPr>
          <w:p w14:paraId="4D1EF3B5" w14:textId="7482A9C0" w:rsidR="00067534" w:rsidRPr="00B83E1A" w:rsidRDefault="00067534" w:rsidP="004E65E7">
            <w:pPr>
              <w:spacing w:after="120"/>
              <w:rPr>
                <w:i/>
                <w:sz w:val="18"/>
                <w:szCs w:val="18"/>
                <w:lang w:val="es-ES"/>
              </w:rPr>
            </w:pPr>
            <w:r w:rsidRPr="00B83E1A">
              <w:rPr>
                <w:sz w:val="18"/>
                <w:szCs w:val="18"/>
                <w:lang w:val="es-ES" w:bidi="th-TH"/>
              </w:rPr>
              <w:t>Número de países que han adoptado políticas y estrategias de P.I</w:t>
            </w:r>
            <w:r w:rsidR="004E65E7" w:rsidRPr="00B83E1A">
              <w:rPr>
                <w:sz w:val="18"/>
                <w:szCs w:val="18"/>
                <w:lang w:val="es-ES" w:bidi="th-TH"/>
              </w:rPr>
              <w:t>.</w:t>
            </w:r>
            <w:r w:rsidR="00D23810" w:rsidRPr="00B83E1A">
              <w:rPr>
                <w:sz w:val="18"/>
                <w:szCs w:val="18"/>
                <w:lang w:val="es-ES" w:bidi="th-TH"/>
              </w:rPr>
              <w:t xml:space="preserve"> (</w:t>
            </w:r>
            <w:r w:rsidRPr="00B83E1A">
              <w:rPr>
                <w:sz w:val="18"/>
                <w:szCs w:val="18"/>
                <w:lang w:val="es-ES" w:bidi="th-TH"/>
              </w:rPr>
              <w:t>Asia y el Pacífico).</w:t>
            </w:r>
          </w:p>
        </w:tc>
        <w:tc>
          <w:tcPr>
            <w:tcW w:w="2869" w:type="dxa"/>
            <w:gridSpan w:val="2"/>
          </w:tcPr>
          <w:p w14:paraId="37783355" w14:textId="77777777" w:rsidR="00067534" w:rsidRPr="00B83E1A" w:rsidRDefault="00067534" w:rsidP="004E65E7">
            <w:pPr>
              <w:rPr>
                <w:sz w:val="18"/>
                <w:szCs w:val="18"/>
                <w:lang w:val="es-ES"/>
              </w:rPr>
            </w:pPr>
            <w:r w:rsidRPr="00B83E1A">
              <w:rPr>
                <w:sz w:val="18"/>
                <w:szCs w:val="18"/>
                <w:lang w:val="es-ES" w:bidi="th-TH"/>
              </w:rPr>
              <w:t>Tres países han iniciado los procesos de adopción:  Bhután, Mongolia y Samoa.</w:t>
            </w:r>
          </w:p>
        </w:tc>
      </w:tr>
      <w:tr w:rsidR="00067534" w:rsidRPr="00B83E1A" w14:paraId="1D72A66B" w14:textId="77777777" w:rsidTr="004E65E7">
        <w:trPr>
          <w:jc w:val="center"/>
        </w:trPr>
        <w:tc>
          <w:tcPr>
            <w:tcW w:w="1681" w:type="dxa"/>
            <w:gridSpan w:val="2"/>
            <w:vMerge/>
          </w:tcPr>
          <w:p w14:paraId="15A84593" w14:textId="77777777" w:rsidR="00067534" w:rsidRPr="00B83E1A" w:rsidRDefault="00067534" w:rsidP="004E65E7">
            <w:pPr>
              <w:rPr>
                <w:sz w:val="18"/>
                <w:szCs w:val="18"/>
                <w:lang w:val="es-ES"/>
              </w:rPr>
            </w:pPr>
          </w:p>
        </w:tc>
        <w:tc>
          <w:tcPr>
            <w:tcW w:w="2479" w:type="dxa"/>
            <w:gridSpan w:val="2"/>
            <w:vMerge/>
          </w:tcPr>
          <w:p w14:paraId="7381CAAD" w14:textId="77777777" w:rsidR="00067534" w:rsidRPr="00B83E1A" w:rsidRDefault="00067534" w:rsidP="004E65E7">
            <w:pPr>
              <w:rPr>
                <w:sz w:val="18"/>
                <w:szCs w:val="18"/>
                <w:lang w:val="es-ES"/>
              </w:rPr>
            </w:pPr>
          </w:p>
        </w:tc>
        <w:tc>
          <w:tcPr>
            <w:tcW w:w="2199" w:type="dxa"/>
            <w:gridSpan w:val="2"/>
          </w:tcPr>
          <w:p w14:paraId="55494A7A" w14:textId="3633ED17" w:rsidR="00067534" w:rsidRPr="00B83E1A" w:rsidRDefault="00067534" w:rsidP="004E65E7">
            <w:pPr>
              <w:spacing w:after="120"/>
              <w:rPr>
                <w:sz w:val="18"/>
                <w:szCs w:val="18"/>
                <w:lang w:val="es-ES"/>
              </w:rPr>
            </w:pPr>
            <w:r w:rsidRPr="00B83E1A">
              <w:rPr>
                <w:sz w:val="18"/>
                <w:szCs w:val="18"/>
                <w:lang w:val="es-ES" w:bidi="th-TH"/>
              </w:rPr>
              <w:t>Número de países en los que se han realizado actividades/proyectos que hayan contribuido a la formulación de leyes/políticas de P.I</w:t>
            </w:r>
            <w:r w:rsidR="004E65E7" w:rsidRPr="00B83E1A">
              <w:rPr>
                <w:sz w:val="18"/>
                <w:szCs w:val="18"/>
                <w:lang w:val="es-ES" w:bidi="th-TH"/>
              </w:rPr>
              <w:t xml:space="preserve">. </w:t>
            </w:r>
            <w:r w:rsidR="00D23810" w:rsidRPr="00B83E1A">
              <w:rPr>
                <w:sz w:val="18"/>
                <w:szCs w:val="18"/>
                <w:lang w:val="es-ES" w:bidi="th-TH"/>
              </w:rPr>
              <w:t>(</w:t>
            </w:r>
            <w:r w:rsidRPr="00B83E1A">
              <w:rPr>
                <w:sz w:val="18"/>
                <w:szCs w:val="18"/>
                <w:lang w:val="es-ES" w:bidi="th-TH"/>
              </w:rPr>
              <w:t xml:space="preserve">América Latina y el Caribe). </w:t>
            </w:r>
          </w:p>
        </w:tc>
        <w:tc>
          <w:tcPr>
            <w:tcW w:w="2869" w:type="dxa"/>
            <w:gridSpan w:val="2"/>
          </w:tcPr>
          <w:p w14:paraId="77BB1F6E" w14:textId="77777777" w:rsidR="00067534" w:rsidRPr="00B83E1A" w:rsidRDefault="00067534" w:rsidP="004E65E7">
            <w:pPr>
              <w:rPr>
                <w:sz w:val="18"/>
                <w:szCs w:val="18"/>
                <w:lang w:val="es-ES" w:bidi="th-TH"/>
              </w:rPr>
            </w:pPr>
            <w:r w:rsidRPr="00B83E1A">
              <w:rPr>
                <w:sz w:val="18"/>
                <w:szCs w:val="18"/>
                <w:lang w:val="es-ES"/>
              </w:rPr>
              <w:t>Ocho países (el Ecuador, El Salvador, Guatemala, Honduras, Nicaragua, Panamá, la República Dominicana y Trinidad y Tabago).</w:t>
            </w:r>
          </w:p>
          <w:p w14:paraId="60B1BB7D" w14:textId="77777777" w:rsidR="00067534" w:rsidRPr="00B83E1A" w:rsidRDefault="00067534" w:rsidP="004E65E7">
            <w:pPr>
              <w:rPr>
                <w:sz w:val="18"/>
                <w:szCs w:val="18"/>
                <w:lang w:val="es-ES"/>
              </w:rPr>
            </w:pPr>
          </w:p>
        </w:tc>
      </w:tr>
      <w:tr w:rsidR="00067534" w:rsidRPr="00B83E1A" w14:paraId="09AC38EE" w14:textId="77777777" w:rsidTr="004E65E7">
        <w:trPr>
          <w:jc w:val="center"/>
        </w:trPr>
        <w:tc>
          <w:tcPr>
            <w:tcW w:w="1681" w:type="dxa"/>
            <w:gridSpan w:val="2"/>
            <w:vMerge/>
          </w:tcPr>
          <w:p w14:paraId="526721F3" w14:textId="77777777" w:rsidR="00067534" w:rsidRPr="00B83E1A" w:rsidRDefault="00067534" w:rsidP="004E65E7">
            <w:pPr>
              <w:rPr>
                <w:sz w:val="18"/>
                <w:szCs w:val="18"/>
                <w:lang w:val="es-ES"/>
              </w:rPr>
            </w:pPr>
          </w:p>
        </w:tc>
        <w:tc>
          <w:tcPr>
            <w:tcW w:w="2479" w:type="dxa"/>
            <w:gridSpan w:val="2"/>
            <w:vMerge/>
          </w:tcPr>
          <w:p w14:paraId="598E4144" w14:textId="77777777" w:rsidR="00067534" w:rsidRPr="00B83E1A" w:rsidRDefault="00067534" w:rsidP="004E65E7">
            <w:pPr>
              <w:rPr>
                <w:i/>
                <w:sz w:val="18"/>
                <w:szCs w:val="18"/>
                <w:lang w:val="es-ES"/>
              </w:rPr>
            </w:pPr>
          </w:p>
        </w:tc>
        <w:tc>
          <w:tcPr>
            <w:tcW w:w="2199" w:type="dxa"/>
            <w:gridSpan w:val="2"/>
          </w:tcPr>
          <w:p w14:paraId="416AAD50" w14:textId="12A7251B" w:rsidR="00067534" w:rsidRPr="00B83E1A" w:rsidRDefault="00067534" w:rsidP="004E65E7">
            <w:pPr>
              <w:spacing w:after="120"/>
              <w:rPr>
                <w:i/>
                <w:sz w:val="18"/>
                <w:szCs w:val="18"/>
                <w:lang w:val="es-ES"/>
              </w:rPr>
            </w:pPr>
            <w:r w:rsidRPr="00B83E1A">
              <w:rPr>
                <w:sz w:val="18"/>
                <w:szCs w:val="18"/>
                <w:lang w:val="es-ES" w:bidi="th-TH"/>
              </w:rPr>
              <w:t>Número de países en los que se han realizado actividades/proyectos que hayan contribuido a la aplicación de estrategias/políticas de P.I</w:t>
            </w:r>
            <w:r w:rsidR="004E65E7" w:rsidRPr="00B83E1A">
              <w:rPr>
                <w:sz w:val="18"/>
                <w:szCs w:val="18"/>
                <w:lang w:val="es-ES" w:bidi="th-TH"/>
              </w:rPr>
              <w:t>.</w:t>
            </w:r>
            <w:r w:rsidR="00D23810" w:rsidRPr="00B83E1A">
              <w:rPr>
                <w:sz w:val="18"/>
                <w:szCs w:val="18"/>
                <w:lang w:val="es-ES" w:bidi="th-TH"/>
              </w:rPr>
              <w:t xml:space="preserve"> (</w:t>
            </w:r>
            <w:r w:rsidRPr="00B83E1A">
              <w:rPr>
                <w:sz w:val="18"/>
                <w:szCs w:val="18"/>
                <w:lang w:val="es-ES" w:bidi="th-TH"/>
              </w:rPr>
              <w:t>América Latina y el Caribe).</w:t>
            </w:r>
          </w:p>
        </w:tc>
        <w:tc>
          <w:tcPr>
            <w:tcW w:w="2869" w:type="dxa"/>
            <w:gridSpan w:val="2"/>
          </w:tcPr>
          <w:p w14:paraId="3487A736" w14:textId="77777777" w:rsidR="00067534" w:rsidRPr="00B83E1A" w:rsidRDefault="00067534" w:rsidP="004E65E7">
            <w:pPr>
              <w:rPr>
                <w:sz w:val="18"/>
                <w:szCs w:val="18"/>
                <w:lang w:val="es-ES" w:bidi="th-TH"/>
              </w:rPr>
            </w:pPr>
            <w:r w:rsidRPr="00B83E1A">
              <w:rPr>
                <w:sz w:val="18"/>
                <w:szCs w:val="18"/>
                <w:lang w:val="es-ES"/>
              </w:rPr>
              <w:t>Cinco países (la Argentina, Barbados, Colombia, Costa Rica y el Uruguay)</w:t>
            </w:r>
          </w:p>
          <w:p w14:paraId="53269197" w14:textId="77777777" w:rsidR="00067534" w:rsidRPr="00B83E1A" w:rsidRDefault="00067534" w:rsidP="004E65E7">
            <w:pPr>
              <w:rPr>
                <w:sz w:val="18"/>
                <w:szCs w:val="18"/>
                <w:lang w:val="es-ES"/>
              </w:rPr>
            </w:pPr>
          </w:p>
        </w:tc>
      </w:tr>
      <w:tr w:rsidR="00067534" w:rsidRPr="00B83E1A" w14:paraId="0A022C28" w14:textId="77777777" w:rsidTr="004E65E7">
        <w:trPr>
          <w:jc w:val="center"/>
        </w:trPr>
        <w:tc>
          <w:tcPr>
            <w:tcW w:w="1681" w:type="dxa"/>
            <w:gridSpan w:val="2"/>
            <w:vMerge/>
          </w:tcPr>
          <w:p w14:paraId="2F10CB98" w14:textId="77777777" w:rsidR="00067534" w:rsidRPr="00B83E1A" w:rsidRDefault="00067534" w:rsidP="004E65E7">
            <w:pPr>
              <w:rPr>
                <w:sz w:val="18"/>
                <w:szCs w:val="18"/>
                <w:lang w:val="es-ES"/>
              </w:rPr>
            </w:pPr>
          </w:p>
        </w:tc>
        <w:tc>
          <w:tcPr>
            <w:tcW w:w="2479" w:type="dxa"/>
            <w:gridSpan w:val="2"/>
            <w:vMerge/>
          </w:tcPr>
          <w:p w14:paraId="325F447C" w14:textId="77777777" w:rsidR="00067534" w:rsidRPr="00B83E1A" w:rsidRDefault="00067534" w:rsidP="004E65E7">
            <w:pPr>
              <w:rPr>
                <w:i/>
                <w:sz w:val="18"/>
                <w:szCs w:val="18"/>
                <w:lang w:val="es-ES"/>
              </w:rPr>
            </w:pPr>
          </w:p>
        </w:tc>
        <w:tc>
          <w:tcPr>
            <w:tcW w:w="2199" w:type="dxa"/>
            <w:gridSpan w:val="2"/>
          </w:tcPr>
          <w:p w14:paraId="0BD320B7" w14:textId="1B8C20F1" w:rsidR="00067534" w:rsidRPr="00B83E1A" w:rsidRDefault="00067534" w:rsidP="004E65E7">
            <w:pPr>
              <w:spacing w:after="120"/>
              <w:rPr>
                <w:sz w:val="18"/>
                <w:szCs w:val="18"/>
                <w:lang w:val="es-ES" w:bidi="th-TH"/>
              </w:rPr>
            </w:pPr>
            <w:r w:rsidRPr="00B83E1A">
              <w:rPr>
                <w:sz w:val="18"/>
                <w:szCs w:val="18"/>
                <w:lang w:val="es-ES" w:bidi="th-TH"/>
              </w:rPr>
              <w:t>Número de PMA que han incluido consideraciones de P.I. propias de los PMA en sus estrategias y/o políticas nacionales de P.I</w:t>
            </w:r>
            <w:r w:rsidR="004E65E7" w:rsidRPr="00B83E1A">
              <w:rPr>
                <w:sz w:val="18"/>
                <w:szCs w:val="18"/>
                <w:lang w:val="es-ES" w:bidi="th-TH"/>
              </w:rPr>
              <w:t xml:space="preserve">. </w:t>
            </w:r>
            <w:r w:rsidR="00D23810" w:rsidRPr="00B83E1A">
              <w:rPr>
                <w:sz w:val="18"/>
                <w:szCs w:val="18"/>
                <w:lang w:val="es-ES" w:bidi="th-TH"/>
              </w:rPr>
              <w:t>(</w:t>
            </w:r>
            <w:r w:rsidRPr="00B83E1A">
              <w:rPr>
                <w:sz w:val="18"/>
                <w:szCs w:val="18"/>
                <w:lang w:val="es-ES" w:bidi="th-TH"/>
              </w:rPr>
              <w:t>PMA).</w:t>
            </w:r>
          </w:p>
        </w:tc>
        <w:tc>
          <w:tcPr>
            <w:tcW w:w="2869" w:type="dxa"/>
            <w:gridSpan w:val="2"/>
          </w:tcPr>
          <w:p w14:paraId="3D9AD3E3" w14:textId="77777777" w:rsidR="00067534" w:rsidRPr="00B83E1A" w:rsidRDefault="00067534" w:rsidP="004E65E7">
            <w:pPr>
              <w:rPr>
                <w:sz w:val="18"/>
                <w:szCs w:val="18"/>
                <w:lang w:val="es-ES" w:bidi="th-TH"/>
              </w:rPr>
            </w:pPr>
            <w:r w:rsidRPr="00B83E1A">
              <w:rPr>
                <w:sz w:val="18"/>
                <w:szCs w:val="18"/>
                <w:lang w:val="es-ES"/>
              </w:rPr>
              <w:t>Tres PMA (Bangladesh, Etiopía y Madagascar)</w:t>
            </w:r>
          </w:p>
          <w:p w14:paraId="77BF8946" w14:textId="77777777" w:rsidR="00067534" w:rsidRPr="00B83E1A" w:rsidRDefault="00067534" w:rsidP="004E65E7">
            <w:pPr>
              <w:rPr>
                <w:sz w:val="18"/>
                <w:szCs w:val="18"/>
                <w:lang w:val="es-ES"/>
              </w:rPr>
            </w:pPr>
          </w:p>
        </w:tc>
      </w:tr>
      <w:tr w:rsidR="00067534" w:rsidRPr="00B83E1A" w14:paraId="6549236B" w14:textId="77777777" w:rsidTr="004E65E7">
        <w:trPr>
          <w:jc w:val="center"/>
        </w:trPr>
        <w:tc>
          <w:tcPr>
            <w:tcW w:w="1681" w:type="dxa"/>
            <w:gridSpan w:val="2"/>
            <w:vMerge/>
          </w:tcPr>
          <w:p w14:paraId="1064B966" w14:textId="77777777" w:rsidR="00067534" w:rsidRPr="00B83E1A" w:rsidRDefault="00067534" w:rsidP="004E65E7">
            <w:pPr>
              <w:rPr>
                <w:sz w:val="18"/>
                <w:szCs w:val="18"/>
                <w:lang w:val="es-ES"/>
              </w:rPr>
            </w:pPr>
          </w:p>
        </w:tc>
        <w:tc>
          <w:tcPr>
            <w:tcW w:w="2479" w:type="dxa"/>
            <w:gridSpan w:val="2"/>
            <w:vMerge/>
          </w:tcPr>
          <w:p w14:paraId="032940BF" w14:textId="77777777" w:rsidR="00067534" w:rsidRPr="00B83E1A" w:rsidRDefault="00067534" w:rsidP="004E65E7">
            <w:pPr>
              <w:rPr>
                <w:i/>
                <w:sz w:val="18"/>
                <w:szCs w:val="18"/>
                <w:lang w:val="es-ES"/>
              </w:rPr>
            </w:pPr>
          </w:p>
        </w:tc>
        <w:tc>
          <w:tcPr>
            <w:tcW w:w="2199" w:type="dxa"/>
            <w:gridSpan w:val="2"/>
          </w:tcPr>
          <w:p w14:paraId="60A585D3" w14:textId="77777777" w:rsidR="00067534" w:rsidRPr="00B83E1A" w:rsidRDefault="00067534" w:rsidP="004E65E7">
            <w:pPr>
              <w:rPr>
                <w:i/>
                <w:sz w:val="18"/>
                <w:szCs w:val="18"/>
                <w:lang w:val="es-ES"/>
              </w:rPr>
            </w:pPr>
            <w:r w:rsidRPr="00B83E1A">
              <w:rPr>
                <w:sz w:val="18"/>
                <w:szCs w:val="18"/>
                <w:lang w:val="es-ES" w:bidi="th-TH"/>
              </w:rPr>
              <w:t>Número de países que han elaborado estrategias o planes nacionales combinados con metas nacionales de desarrollo.</w:t>
            </w:r>
          </w:p>
        </w:tc>
        <w:tc>
          <w:tcPr>
            <w:tcW w:w="2869" w:type="dxa"/>
            <w:gridSpan w:val="2"/>
          </w:tcPr>
          <w:p w14:paraId="330D0D7B" w14:textId="77777777" w:rsidR="00067534" w:rsidRPr="00B83E1A" w:rsidRDefault="00067534" w:rsidP="004E65E7">
            <w:pPr>
              <w:spacing w:after="120"/>
              <w:rPr>
                <w:bCs/>
                <w:sz w:val="18"/>
                <w:szCs w:val="18"/>
                <w:lang w:val="es-ES" w:bidi="th-TH"/>
              </w:rPr>
            </w:pPr>
            <w:r w:rsidRPr="00B83E1A">
              <w:rPr>
                <w:bCs/>
                <w:sz w:val="18"/>
                <w:szCs w:val="18"/>
                <w:lang w:val="es-ES" w:bidi="th-TH"/>
              </w:rPr>
              <w:t>Cinco países (Belarús, Montenegro, la ex República Yugoslava de Macedonia, la República de Moldova y Rumania) disponen de estrategias nacionales de P.I. aprobadas o en proceso de aprobación.  En Eslovaquia, la República Checa, Tayikistán y Ucrania ha comenzado la formulación o la actualización de esas estrategias.</w:t>
            </w:r>
          </w:p>
          <w:p w14:paraId="490BD076" w14:textId="77777777" w:rsidR="0010740F" w:rsidRPr="00B83E1A" w:rsidRDefault="0010740F" w:rsidP="004E65E7">
            <w:pPr>
              <w:spacing w:after="120"/>
              <w:rPr>
                <w:sz w:val="18"/>
                <w:szCs w:val="18"/>
                <w:lang w:val="es-ES"/>
              </w:rPr>
            </w:pPr>
          </w:p>
        </w:tc>
      </w:tr>
      <w:tr w:rsidR="00067534" w:rsidRPr="00B83E1A" w14:paraId="46A9D802" w14:textId="77777777" w:rsidTr="004E65E7">
        <w:trPr>
          <w:jc w:val="center"/>
        </w:trPr>
        <w:tc>
          <w:tcPr>
            <w:tcW w:w="1681" w:type="dxa"/>
            <w:gridSpan w:val="2"/>
            <w:vMerge/>
          </w:tcPr>
          <w:p w14:paraId="41E0B6EF" w14:textId="77777777" w:rsidR="00067534" w:rsidRPr="00B83E1A" w:rsidRDefault="00067534" w:rsidP="004E65E7">
            <w:pPr>
              <w:rPr>
                <w:sz w:val="18"/>
                <w:szCs w:val="18"/>
                <w:lang w:val="es-ES"/>
              </w:rPr>
            </w:pPr>
          </w:p>
        </w:tc>
        <w:tc>
          <w:tcPr>
            <w:tcW w:w="2479" w:type="dxa"/>
            <w:gridSpan w:val="2"/>
            <w:vMerge/>
          </w:tcPr>
          <w:p w14:paraId="64D6BA5A" w14:textId="77777777" w:rsidR="00067534" w:rsidRPr="00B83E1A" w:rsidRDefault="00067534" w:rsidP="004E65E7">
            <w:pPr>
              <w:rPr>
                <w:sz w:val="18"/>
                <w:szCs w:val="18"/>
                <w:lang w:val="es-ES"/>
              </w:rPr>
            </w:pPr>
          </w:p>
        </w:tc>
        <w:tc>
          <w:tcPr>
            <w:tcW w:w="2199" w:type="dxa"/>
            <w:gridSpan w:val="2"/>
          </w:tcPr>
          <w:p w14:paraId="1CB7EC22" w14:textId="77777777" w:rsidR="00067534" w:rsidRPr="00B83E1A" w:rsidRDefault="00067534" w:rsidP="004E65E7">
            <w:pPr>
              <w:rPr>
                <w:sz w:val="18"/>
                <w:szCs w:val="18"/>
                <w:lang w:val="es-ES" w:bidi="th-TH"/>
              </w:rPr>
            </w:pPr>
            <w:r w:rsidRPr="00B83E1A">
              <w:rPr>
                <w:sz w:val="18"/>
                <w:szCs w:val="18"/>
                <w:lang w:val="es-ES" w:bidi="th-TH"/>
              </w:rPr>
              <w:t>Porcentaje de funcionarios de oficinas de P.I. formados que utilizan en su trabajo las nuevas aptitudes adquiridas.</w:t>
            </w:r>
          </w:p>
          <w:p w14:paraId="56EA9B3C" w14:textId="77777777" w:rsidR="00067534" w:rsidRPr="00B83E1A" w:rsidRDefault="00067534" w:rsidP="004E65E7">
            <w:pPr>
              <w:rPr>
                <w:sz w:val="18"/>
                <w:szCs w:val="18"/>
                <w:lang w:val="es-ES"/>
              </w:rPr>
            </w:pPr>
          </w:p>
        </w:tc>
        <w:tc>
          <w:tcPr>
            <w:tcW w:w="2869" w:type="dxa"/>
            <w:gridSpan w:val="2"/>
          </w:tcPr>
          <w:p w14:paraId="01522032" w14:textId="5C199AAE" w:rsidR="00067534" w:rsidRPr="00B83E1A" w:rsidRDefault="00067534" w:rsidP="004E65E7">
            <w:pPr>
              <w:rPr>
                <w:sz w:val="18"/>
                <w:szCs w:val="18"/>
                <w:lang w:val="es-ES"/>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tc>
      </w:tr>
      <w:tr w:rsidR="00067534" w:rsidRPr="00B83E1A" w14:paraId="6C8BDFCF" w14:textId="77777777" w:rsidTr="004E65E7">
        <w:trPr>
          <w:jc w:val="center"/>
        </w:trPr>
        <w:tc>
          <w:tcPr>
            <w:tcW w:w="1681" w:type="dxa"/>
            <w:gridSpan w:val="2"/>
            <w:vMerge/>
          </w:tcPr>
          <w:p w14:paraId="7CD0A741" w14:textId="77777777" w:rsidR="00067534" w:rsidRPr="00B83E1A" w:rsidRDefault="00067534" w:rsidP="004E65E7">
            <w:pPr>
              <w:rPr>
                <w:sz w:val="18"/>
                <w:szCs w:val="18"/>
                <w:lang w:val="es-ES"/>
              </w:rPr>
            </w:pPr>
          </w:p>
        </w:tc>
        <w:tc>
          <w:tcPr>
            <w:tcW w:w="2479" w:type="dxa"/>
            <w:gridSpan w:val="2"/>
            <w:vMerge/>
          </w:tcPr>
          <w:p w14:paraId="6BAD6ECF" w14:textId="77777777" w:rsidR="00067534" w:rsidRPr="00B83E1A" w:rsidRDefault="00067534" w:rsidP="004E65E7">
            <w:pPr>
              <w:rPr>
                <w:sz w:val="18"/>
                <w:szCs w:val="18"/>
                <w:lang w:val="es-ES" w:bidi="th-TH"/>
              </w:rPr>
            </w:pPr>
          </w:p>
        </w:tc>
        <w:tc>
          <w:tcPr>
            <w:tcW w:w="2199" w:type="dxa"/>
            <w:gridSpan w:val="2"/>
          </w:tcPr>
          <w:p w14:paraId="7780E153" w14:textId="77777777" w:rsidR="00067534" w:rsidRPr="00B83E1A" w:rsidRDefault="00067534" w:rsidP="004E65E7">
            <w:pPr>
              <w:spacing w:after="120"/>
              <w:rPr>
                <w:sz w:val="18"/>
                <w:szCs w:val="18"/>
                <w:lang w:val="es-ES" w:bidi="th-TH"/>
              </w:rPr>
            </w:pPr>
            <w:r w:rsidRPr="00B83E1A">
              <w:rPr>
                <w:sz w:val="18"/>
                <w:szCs w:val="18"/>
                <w:lang w:val="es-ES" w:bidi="th-TH"/>
              </w:rPr>
              <w:t>Porcentaje de profesionales de la P.I. que afirman entender mejor las cuestiones de P.I.</w:t>
            </w:r>
          </w:p>
        </w:tc>
        <w:tc>
          <w:tcPr>
            <w:tcW w:w="2869" w:type="dxa"/>
            <w:gridSpan w:val="2"/>
          </w:tcPr>
          <w:p w14:paraId="26511D2C" w14:textId="2CB3D161" w:rsidR="00067534" w:rsidRPr="00B83E1A" w:rsidRDefault="00067534" w:rsidP="004E65E7">
            <w:pPr>
              <w:rPr>
                <w:bCs/>
                <w:sz w:val="18"/>
                <w:szCs w:val="18"/>
                <w:lang w:val="es-ES" w:bidi="th-TH"/>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p w14:paraId="10D8E9BE" w14:textId="77777777" w:rsidR="00067534" w:rsidRPr="00B83E1A" w:rsidRDefault="00067534" w:rsidP="004E65E7">
            <w:pPr>
              <w:rPr>
                <w:sz w:val="18"/>
                <w:szCs w:val="18"/>
                <w:lang w:val="es-ES"/>
              </w:rPr>
            </w:pPr>
          </w:p>
        </w:tc>
      </w:tr>
      <w:tr w:rsidR="00067534" w:rsidRPr="00B83E1A" w14:paraId="753F23D6" w14:textId="77777777" w:rsidTr="004E65E7">
        <w:trPr>
          <w:jc w:val="center"/>
        </w:trPr>
        <w:tc>
          <w:tcPr>
            <w:tcW w:w="1681" w:type="dxa"/>
            <w:gridSpan w:val="2"/>
            <w:vMerge/>
          </w:tcPr>
          <w:p w14:paraId="4D15F478" w14:textId="77777777" w:rsidR="00067534" w:rsidRPr="00B83E1A" w:rsidRDefault="00067534" w:rsidP="004E65E7">
            <w:pPr>
              <w:rPr>
                <w:sz w:val="18"/>
                <w:szCs w:val="18"/>
                <w:lang w:val="es-ES"/>
              </w:rPr>
            </w:pPr>
          </w:p>
        </w:tc>
        <w:tc>
          <w:tcPr>
            <w:tcW w:w="2479" w:type="dxa"/>
            <w:gridSpan w:val="2"/>
            <w:vMerge/>
          </w:tcPr>
          <w:p w14:paraId="5E508B90" w14:textId="77777777" w:rsidR="00067534" w:rsidRPr="00B83E1A" w:rsidRDefault="00067534" w:rsidP="004E65E7">
            <w:pPr>
              <w:rPr>
                <w:sz w:val="18"/>
                <w:szCs w:val="18"/>
                <w:lang w:val="es-ES" w:bidi="th-TH"/>
              </w:rPr>
            </w:pPr>
          </w:p>
        </w:tc>
        <w:tc>
          <w:tcPr>
            <w:tcW w:w="2199" w:type="dxa"/>
            <w:gridSpan w:val="2"/>
          </w:tcPr>
          <w:p w14:paraId="530709B3" w14:textId="77777777" w:rsidR="00067534" w:rsidRPr="00B83E1A" w:rsidRDefault="00067534" w:rsidP="004E65E7">
            <w:pPr>
              <w:spacing w:after="120"/>
              <w:rPr>
                <w:sz w:val="18"/>
                <w:szCs w:val="18"/>
                <w:lang w:val="es-ES" w:bidi="th-TH"/>
              </w:rPr>
            </w:pPr>
            <w:r w:rsidRPr="00B83E1A">
              <w:rPr>
                <w:sz w:val="18"/>
                <w:szCs w:val="18"/>
                <w:lang w:val="es-ES" w:bidi="th-TH"/>
              </w:rPr>
              <w:t>Porcentaje de participantes satisfechos con la calidad de los talleres y seminarios sobre la innovación y su comercialización.</w:t>
            </w:r>
          </w:p>
        </w:tc>
        <w:tc>
          <w:tcPr>
            <w:tcW w:w="2869" w:type="dxa"/>
            <w:gridSpan w:val="2"/>
          </w:tcPr>
          <w:p w14:paraId="500BF191" w14:textId="12791923" w:rsidR="00067534" w:rsidRPr="00B83E1A" w:rsidRDefault="00067534" w:rsidP="004E65E7">
            <w:pPr>
              <w:rPr>
                <w:sz w:val="18"/>
                <w:szCs w:val="18"/>
                <w:lang w:val="es-ES"/>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tc>
      </w:tr>
      <w:tr w:rsidR="00067534" w:rsidRPr="00B83E1A" w14:paraId="58D15682" w14:textId="77777777" w:rsidTr="004E65E7">
        <w:trPr>
          <w:jc w:val="center"/>
        </w:trPr>
        <w:tc>
          <w:tcPr>
            <w:tcW w:w="1681" w:type="dxa"/>
            <w:gridSpan w:val="2"/>
            <w:vMerge/>
          </w:tcPr>
          <w:p w14:paraId="124EB29E" w14:textId="77777777" w:rsidR="00067534" w:rsidRPr="00B83E1A" w:rsidRDefault="00067534" w:rsidP="004E65E7">
            <w:pPr>
              <w:rPr>
                <w:sz w:val="18"/>
                <w:szCs w:val="18"/>
                <w:lang w:val="es-ES"/>
              </w:rPr>
            </w:pPr>
          </w:p>
        </w:tc>
        <w:tc>
          <w:tcPr>
            <w:tcW w:w="2479" w:type="dxa"/>
            <w:gridSpan w:val="2"/>
            <w:vMerge/>
          </w:tcPr>
          <w:p w14:paraId="70272433" w14:textId="77777777" w:rsidR="00067534" w:rsidRPr="00B83E1A" w:rsidRDefault="00067534" w:rsidP="004E65E7">
            <w:pPr>
              <w:rPr>
                <w:i/>
                <w:sz w:val="18"/>
                <w:szCs w:val="18"/>
                <w:lang w:val="es-ES"/>
              </w:rPr>
            </w:pPr>
          </w:p>
        </w:tc>
        <w:tc>
          <w:tcPr>
            <w:tcW w:w="2199" w:type="dxa"/>
            <w:gridSpan w:val="2"/>
          </w:tcPr>
          <w:p w14:paraId="28A49956" w14:textId="77777777" w:rsidR="00067534" w:rsidRPr="00B83E1A" w:rsidRDefault="00067534" w:rsidP="004E65E7">
            <w:pPr>
              <w:spacing w:after="120"/>
              <w:rPr>
                <w:i/>
                <w:sz w:val="18"/>
                <w:szCs w:val="18"/>
                <w:lang w:val="es-ES"/>
              </w:rPr>
            </w:pPr>
            <w:r w:rsidRPr="00B83E1A">
              <w:rPr>
                <w:sz w:val="18"/>
                <w:szCs w:val="18"/>
                <w:lang w:val="es-ES" w:bidi="th-TH"/>
              </w:rPr>
              <w:t xml:space="preserve">Número de estrategias nacionales de P.I. que tienen un componente dedicado a la innovación y a la tecnología. </w:t>
            </w:r>
          </w:p>
        </w:tc>
        <w:tc>
          <w:tcPr>
            <w:tcW w:w="2869" w:type="dxa"/>
            <w:gridSpan w:val="2"/>
          </w:tcPr>
          <w:p w14:paraId="4D9B45CB" w14:textId="77777777" w:rsidR="00067534" w:rsidRPr="00B83E1A" w:rsidRDefault="00067534" w:rsidP="004E65E7">
            <w:pPr>
              <w:rPr>
                <w:sz w:val="18"/>
                <w:szCs w:val="18"/>
                <w:lang w:val="es-ES"/>
              </w:rPr>
            </w:pPr>
            <w:r w:rsidRPr="00B83E1A">
              <w:rPr>
                <w:bCs/>
                <w:sz w:val="18"/>
                <w:szCs w:val="18"/>
                <w:lang w:val="es-ES" w:bidi="th-TH"/>
              </w:rPr>
              <w:t>Ninguno.</w:t>
            </w:r>
          </w:p>
        </w:tc>
      </w:tr>
      <w:tr w:rsidR="00067534" w:rsidRPr="00B83E1A" w14:paraId="44EC4217" w14:textId="77777777" w:rsidTr="004E65E7">
        <w:trPr>
          <w:jc w:val="center"/>
        </w:trPr>
        <w:tc>
          <w:tcPr>
            <w:tcW w:w="1681" w:type="dxa"/>
            <w:gridSpan w:val="2"/>
          </w:tcPr>
          <w:p w14:paraId="71F0AA4A" w14:textId="2A027050" w:rsidR="00067534" w:rsidRPr="00B83E1A" w:rsidRDefault="00067534" w:rsidP="004E65E7">
            <w:pPr>
              <w:rPr>
                <w:i/>
                <w:sz w:val="18"/>
                <w:szCs w:val="18"/>
                <w:lang w:val="es-ES"/>
              </w:rPr>
            </w:pPr>
            <w:r w:rsidRPr="00B83E1A">
              <w:rPr>
                <w:i/>
                <w:sz w:val="18"/>
                <w:szCs w:val="18"/>
                <w:lang w:val="es-ES"/>
              </w:rPr>
              <w:t>Meta estratégica VI</w:t>
            </w:r>
            <w:r w:rsidR="00D23810" w:rsidRPr="00B83E1A">
              <w:rPr>
                <w:i/>
                <w:sz w:val="18"/>
                <w:szCs w:val="18"/>
                <w:lang w:val="es-ES"/>
              </w:rPr>
              <w:t>:  C</w:t>
            </w:r>
            <w:r w:rsidRPr="00B83E1A">
              <w:rPr>
                <w:i/>
                <w:sz w:val="18"/>
                <w:szCs w:val="18"/>
                <w:lang w:val="es-ES"/>
              </w:rPr>
              <w:t>ooperación internacional para cultivar el respeto por la P.I.</w:t>
            </w:r>
          </w:p>
          <w:p w14:paraId="38C1DCC2" w14:textId="77777777" w:rsidR="00067534" w:rsidRPr="00B83E1A" w:rsidRDefault="00067534" w:rsidP="004E65E7">
            <w:pPr>
              <w:rPr>
                <w:i/>
                <w:sz w:val="18"/>
                <w:szCs w:val="18"/>
                <w:lang w:val="es-ES"/>
              </w:rPr>
            </w:pPr>
          </w:p>
        </w:tc>
        <w:tc>
          <w:tcPr>
            <w:tcW w:w="2479" w:type="dxa"/>
            <w:gridSpan w:val="2"/>
          </w:tcPr>
          <w:p w14:paraId="003ECC55" w14:textId="0F16D97D" w:rsidR="00067534" w:rsidRPr="00B83E1A" w:rsidRDefault="00067534" w:rsidP="004E65E7">
            <w:pPr>
              <w:rPr>
                <w:sz w:val="18"/>
                <w:szCs w:val="18"/>
                <w:lang w:val="es-ES"/>
              </w:rPr>
            </w:pPr>
            <w:r w:rsidRPr="00B83E1A">
              <w:rPr>
                <w:sz w:val="18"/>
                <w:szCs w:val="18"/>
                <w:lang w:val="es-ES"/>
              </w:rPr>
              <w:t>Resultado i) Avances en el diálogo internacional sobre políticas entre los Estados miembros de la OMPI para cultivar el respeto por la P.I. sobre la base de la recomendació</w:t>
            </w:r>
            <w:r w:rsidR="00D23810" w:rsidRPr="00B83E1A">
              <w:rPr>
                <w:sz w:val="18"/>
                <w:szCs w:val="18"/>
                <w:lang w:val="es-ES"/>
              </w:rPr>
              <w:t>n 4</w:t>
            </w:r>
            <w:r w:rsidRPr="00B83E1A">
              <w:rPr>
                <w:sz w:val="18"/>
                <w:szCs w:val="18"/>
                <w:lang w:val="es-ES"/>
              </w:rPr>
              <w:t>5 de la Agenda de la OMPI para el Desarrollo.</w:t>
            </w:r>
          </w:p>
        </w:tc>
        <w:tc>
          <w:tcPr>
            <w:tcW w:w="2199" w:type="dxa"/>
            <w:gridSpan w:val="2"/>
          </w:tcPr>
          <w:p w14:paraId="043181CB" w14:textId="77777777" w:rsidR="00067534" w:rsidRPr="00B83E1A" w:rsidRDefault="00067534" w:rsidP="004E65E7">
            <w:pPr>
              <w:spacing w:after="120"/>
              <w:rPr>
                <w:sz w:val="18"/>
                <w:szCs w:val="18"/>
                <w:lang w:val="es-ES"/>
              </w:rPr>
            </w:pPr>
            <w:r w:rsidRPr="00B83E1A">
              <w:rPr>
                <w:sz w:val="18"/>
                <w:szCs w:val="18"/>
                <w:lang w:val="es-ES"/>
              </w:rPr>
              <w:t>Acuerdo constante entre los Estados miembros sobre la labor sustantiva del Comité Asesor de la OMPI sobre Observancia (ACE) en el bienio, incorporando elementos orientados al desarrollo.</w:t>
            </w:r>
          </w:p>
        </w:tc>
        <w:tc>
          <w:tcPr>
            <w:tcW w:w="2869" w:type="dxa"/>
            <w:gridSpan w:val="2"/>
          </w:tcPr>
          <w:p w14:paraId="055FE134" w14:textId="54A548C4" w:rsidR="009A700A" w:rsidRPr="00B83E1A" w:rsidRDefault="00067534" w:rsidP="004E65E7">
            <w:pPr>
              <w:keepNext/>
              <w:keepLines/>
              <w:ind w:right="64"/>
              <w:rPr>
                <w:sz w:val="18"/>
                <w:szCs w:val="18"/>
                <w:lang w:val="es-ES" w:bidi="th-TH"/>
              </w:rPr>
            </w:pPr>
            <w:r w:rsidRPr="00B83E1A">
              <w:rPr>
                <w:sz w:val="18"/>
                <w:szCs w:val="18"/>
                <w:lang w:val="es-ES" w:bidi="th-TH"/>
              </w:rPr>
              <w:t>Los Estados miembros convinieron en el programa futuro de este Comité, que incluirá las prácticas en materia de solución extrajudicial de controversias, así como medidas o actividades preventivas a fin de complementar las medidas de observancia (véase el párraf</w:t>
            </w:r>
            <w:r w:rsidR="00D23810" w:rsidRPr="00B83E1A">
              <w:rPr>
                <w:sz w:val="18"/>
                <w:szCs w:val="18"/>
                <w:lang w:val="es-ES" w:bidi="th-TH"/>
              </w:rPr>
              <w:t>o 3</w:t>
            </w:r>
            <w:r w:rsidRPr="00B83E1A">
              <w:rPr>
                <w:sz w:val="18"/>
                <w:szCs w:val="18"/>
                <w:lang w:val="es-ES" w:bidi="th-TH"/>
              </w:rPr>
              <w:t>4 del proyecto de resumen de la Presidencia (documento WIPO/ACE/8/12 Prov.)</w:t>
            </w:r>
            <w:r w:rsidR="009A700A" w:rsidRPr="00B83E1A">
              <w:rPr>
                <w:sz w:val="18"/>
                <w:szCs w:val="18"/>
                <w:lang w:val="es-ES" w:bidi="th-TH"/>
              </w:rPr>
              <w:t>.</w:t>
            </w:r>
          </w:p>
          <w:p w14:paraId="7777AB1C" w14:textId="308BFC6E" w:rsidR="00067534" w:rsidRPr="00B83E1A" w:rsidRDefault="00067534" w:rsidP="004E65E7">
            <w:pPr>
              <w:rPr>
                <w:sz w:val="18"/>
                <w:szCs w:val="18"/>
                <w:lang w:val="es-ES"/>
              </w:rPr>
            </w:pPr>
          </w:p>
        </w:tc>
      </w:tr>
      <w:tr w:rsidR="00067534" w:rsidRPr="00B83E1A" w14:paraId="63C21E04" w14:textId="77777777" w:rsidTr="0010740F">
        <w:trPr>
          <w:trHeight w:val="4081"/>
          <w:jc w:val="center"/>
        </w:trPr>
        <w:tc>
          <w:tcPr>
            <w:tcW w:w="1681" w:type="dxa"/>
            <w:gridSpan w:val="2"/>
          </w:tcPr>
          <w:p w14:paraId="36B03C01" w14:textId="2CEEE7EB" w:rsidR="00067534" w:rsidRPr="00B83E1A" w:rsidRDefault="00067534" w:rsidP="004E65E7">
            <w:pPr>
              <w:rPr>
                <w:i/>
                <w:sz w:val="18"/>
                <w:szCs w:val="18"/>
                <w:lang w:val="es-ES"/>
              </w:rPr>
            </w:pPr>
            <w:r w:rsidRPr="00B83E1A">
              <w:rPr>
                <w:i/>
                <w:sz w:val="18"/>
                <w:szCs w:val="18"/>
                <w:lang w:val="es-ES"/>
              </w:rPr>
              <w:t>Meta estratégica VII</w:t>
            </w:r>
            <w:r w:rsidR="00D23810" w:rsidRPr="00B83E1A">
              <w:rPr>
                <w:i/>
                <w:sz w:val="18"/>
                <w:szCs w:val="18"/>
                <w:lang w:val="es-ES"/>
              </w:rPr>
              <w:t>:  V</w:t>
            </w:r>
            <w:r w:rsidRPr="00B83E1A">
              <w:rPr>
                <w:i/>
                <w:sz w:val="18"/>
                <w:szCs w:val="18"/>
                <w:lang w:val="es-ES"/>
              </w:rPr>
              <w:t>ínculos entre la P.I. y los problemas mundiales de política pública</w:t>
            </w:r>
          </w:p>
          <w:p w14:paraId="21FACF6D" w14:textId="77777777" w:rsidR="00067534" w:rsidRPr="00B83E1A" w:rsidRDefault="00067534" w:rsidP="004E65E7">
            <w:pPr>
              <w:rPr>
                <w:i/>
                <w:sz w:val="18"/>
                <w:szCs w:val="18"/>
                <w:lang w:val="es-ES"/>
              </w:rPr>
            </w:pPr>
          </w:p>
        </w:tc>
        <w:tc>
          <w:tcPr>
            <w:tcW w:w="2479" w:type="dxa"/>
            <w:gridSpan w:val="2"/>
          </w:tcPr>
          <w:p w14:paraId="2DF45301" w14:textId="77777777" w:rsidR="00067534" w:rsidRPr="00B83E1A" w:rsidRDefault="00067534" w:rsidP="004E65E7">
            <w:pPr>
              <w:rPr>
                <w:sz w:val="18"/>
                <w:szCs w:val="18"/>
                <w:lang w:val="es-ES"/>
              </w:rPr>
            </w:pPr>
            <w:r w:rsidRPr="00B83E1A">
              <w:rPr>
                <w:sz w:val="18"/>
                <w:szCs w:val="18"/>
                <w:lang w:val="es-ES"/>
              </w:rPr>
              <w:t>Resultado i) La OMPI constituye una fuente fidedigna de apoyo, asistencia y referencia para la información sobre la innovación y la P.I. en los pertinentes procesos de políticas públicas.</w:t>
            </w:r>
          </w:p>
        </w:tc>
        <w:tc>
          <w:tcPr>
            <w:tcW w:w="2199" w:type="dxa"/>
            <w:gridSpan w:val="2"/>
          </w:tcPr>
          <w:p w14:paraId="11210F01" w14:textId="77777777" w:rsidR="00067534" w:rsidRPr="00B83E1A" w:rsidRDefault="00067534" w:rsidP="004E65E7">
            <w:pPr>
              <w:rPr>
                <w:sz w:val="18"/>
                <w:szCs w:val="18"/>
                <w:lang w:val="es-ES"/>
              </w:rPr>
            </w:pPr>
            <w:r w:rsidRPr="00B83E1A">
              <w:rPr>
                <w:sz w:val="18"/>
                <w:szCs w:val="18"/>
                <w:lang w:val="es-ES"/>
              </w:rPr>
              <w:t>Número y diversidad de peticiones concretas de Estados miembros y organizaciones internacionales que solicitan aportaciones de la OMPI en relación con la P.I. y las cuestiones mundiales de política pública.</w:t>
            </w:r>
          </w:p>
        </w:tc>
        <w:tc>
          <w:tcPr>
            <w:tcW w:w="2869" w:type="dxa"/>
            <w:gridSpan w:val="2"/>
          </w:tcPr>
          <w:p w14:paraId="3C495156" w14:textId="398671EE" w:rsidR="00067534" w:rsidRPr="00B83E1A" w:rsidRDefault="00067534" w:rsidP="004E65E7">
            <w:pPr>
              <w:rPr>
                <w:sz w:val="18"/>
                <w:szCs w:val="18"/>
                <w:lang w:val="es-ES"/>
              </w:rPr>
            </w:pPr>
            <w:r w:rsidRPr="00B83E1A">
              <w:rPr>
                <w:sz w:val="18"/>
                <w:szCs w:val="18"/>
                <w:lang w:val="es-ES" w:bidi="th-TH"/>
              </w:rPr>
              <w:t>En el marco de este programa se recibió una petición para la organización conjunta de una actividad sobre la P.I. y el cambio climático del Programa Infodev del Banco Mundial en el Centro de Innovación Climática de Kenya.  A solicitud de un centro de excelencia de la Red Africana para la Innovación en materia de Medicamentos y Medios Diagnósticos (ANDI), y en cooperación con el program</w:t>
            </w:r>
            <w:r w:rsidR="00D23810" w:rsidRPr="00B83E1A">
              <w:rPr>
                <w:sz w:val="18"/>
                <w:szCs w:val="18"/>
                <w:lang w:val="es-ES" w:bidi="th-TH"/>
              </w:rPr>
              <w:t>a 3</w:t>
            </w:r>
            <w:r w:rsidRPr="00B83E1A">
              <w:rPr>
                <w:sz w:val="18"/>
                <w:szCs w:val="18"/>
                <w:lang w:val="es-ES" w:bidi="th-TH"/>
              </w:rPr>
              <w:t>0, se organizó en Ginebra un programa adaptado de formación sobre cómo negociar licencias tecnológicas los día</w:t>
            </w:r>
            <w:r w:rsidR="00D23810" w:rsidRPr="00B83E1A">
              <w:rPr>
                <w:sz w:val="18"/>
                <w:szCs w:val="18"/>
                <w:lang w:val="es-ES" w:bidi="th-TH"/>
              </w:rPr>
              <w:t>s 1</w:t>
            </w:r>
            <w:r w:rsidRPr="00B83E1A">
              <w:rPr>
                <w:sz w:val="18"/>
                <w:szCs w:val="18"/>
                <w:lang w:val="es-ES" w:bidi="th-TH"/>
              </w:rPr>
              <w:t xml:space="preserve"> </w:t>
            </w:r>
            <w:r w:rsidR="00D23810" w:rsidRPr="00B83E1A">
              <w:rPr>
                <w:sz w:val="18"/>
                <w:szCs w:val="18"/>
                <w:lang w:val="es-ES" w:bidi="th-TH"/>
              </w:rPr>
              <w:t>y 2</w:t>
            </w:r>
            <w:r w:rsidRPr="00B83E1A">
              <w:rPr>
                <w:sz w:val="18"/>
                <w:szCs w:val="18"/>
                <w:lang w:val="es-ES" w:bidi="th-TH"/>
              </w:rPr>
              <w:t xml:space="preserve"> de noviembre d</w:t>
            </w:r>
            <w:r w:rsidR="00D23810" w:rsidRPr="00B83E1A">
              <w:rPr>
                <w:sz w:val="18"/>
                <w:szCs w:val="18"/>
                <w:lang w:val="es-ES" w:bidi="th-TH"/>
              </w:rPr>
              <w:t>e 2</w:t>
            </w:r>
            <w:r w:rsidRPr="00B83E1A">
              <w:rPr>
                <w:sz w:val="18"/>
                <w:szCs w:val="18"/>
                <w:lang w:val="es-ES" w:bidi="th-TH"/>
              </w:rPr>
              <w:t>012.</w:t>
            </w:r>
          </w:p>
        </w:tc>
      </w:tr>
      <w:tr w:rsidR="00067534" w:rsidRPr="00B83E1A" w14:paraId="1229055E" w14:textId="77777777" w:rsidTr="004E65E7">
        <w:trPr>
          <w:jc w:val="center"/>
        </w:trPr>
        <w:tc>
          <w:tcPr>
            <w:tcW w:w="9228" w:type="dxa"/>
            <w:gridSpan w:val="8"/>
            <w:shd w:val="clear" w:color="auto" w:fill="C4BC96" w:themeFill="background2" w:themeFillShade="BF"/>
            <w:vAlign w:val="center"/>
          </w:tcPr>
          <w:p w14:paraId="29066E20" w14:textId="4DB9B4B4" w:rsidR="00067534" w:rsidRPr="00B83E1A" w:rsidRDefault="00067534" w:rsidP="0010740F">
            <w:pPr>
              <w:keepNext/>
              <w:spacing w:before="240"/>
              <w:rPr>
                <w:b/>
                <w:bCs/>
                <w:sz w:val="18"/>
                <w:szCs w:val="18"/>
                <w:lang w:val="es-ES"/>
              </w:rPr>
            </w:pPr>
            <w:r w:rsidRPr="00B83E1A">
              <w:rPr>
                <w:b/>
                <w:bCs/>
                <w:sz w:val="18"/>
                <w:szCs w:val="18"/>
                <w:lang w:val="es-ES"/>
              </w:rPr>
              <w:lastRenderedPageBreak/>
              <w:t>ODM - Objetiv</w:t>
            </w:r>
            <w:r w:rsidR="00D23810" w:rsidRPr="00B83E1A">
              <w:rPr>
                <w:b/>
                <w:bCs/>
                <w:sz w:val="18"/>
                <w:szCs w:val="18"/>
                <w:lang w:val="es-ES"/>
              </w:rPr>
              <w:t>o 8</w:t>
            </w:r>
            <w:r w:rsidRPr="00B83E1A">
              <w:rPr>
                <w:b/>
                <w:bCs/>
                <w:sz w:val="18"/>
                <w:szCs w:val="18"/>
                <w:lang w:val="es-ES"/>
              </w:rPr>
              <w:t>:  Fomentar una asociación mundial para el desarrollo</w:t>
            </w:r>
          </w:p>
          <w:p w14:paraId="76BB7FF6" w14:textId="77777777" w:rsidR="00067534" w:rsidRPr="00B83E1A" w:rsidRDefault="00067534" w:rsidP="0010740F">
            <w:pPr>
              <w:keepNext/>
              <w:spacing w:before="240"/>
              <w:rPr>
                <w:sz w:val="18"/>
                <w:szCs w:val="18"/>
                <w:lang w:val="es-ES"/>
              </w:rPr>
            </w:pPr>
          </w:p>
        </w:tc>
      </w:tr>
      <w:tr w:rsidR="00067534" w:rsidRPr="00B83E1A" w14:paraId="35FD2261" w14:textId="77777777" w:rsidTr="004E65E7">
        <w:trPr>
          <w:jc w:val="center"/>
        </w:trPr>
        <w:tc>
          <w:tcPr>
            <w:tcW w:w="9228" w:type="dxa"/>
            <w:gridSpan w:val="8"/>
            <w:shd w:val="clear" w:color="auto" w:fill="DDD9C3" w:themeFill="background2" w:themeFillShade="E6"/>
            <w:vAlign w:val="center"/>
          </w:tcPr>
          <w:p w14:paraId="4ABFAA82" w14:textId="262176B8" w:rsidR="00067534" w:rsidRPr="00B83E1A" w:rsidRDefault="00067534" w:rsidP="0010740F">
            <w:pPr>
              <w:keepNext/>
              <w:spacing w:before="240"/>
              <w:rPr>
                <w:b/>
                <w:sz w:val="18"/>
                <w:szCs w:val="18"/>
                <w:lang w:val="es-ES"/>
              </w:rPr>
            </w:pPr>
            <w:r w:rsidRPr="00B83E1A">
              <w:rPr>
                <w:b/>
                <w:sz w:val="18"/>
                <w:szCs w:val="18"/>
                <w:lang w:val="es-ES"/>
              </w:rPr>
              <w:t>Met</w:t>
            </w:r>
            <w:r w:rsidR="00D23810" w:rsidRPr="00B83E1A">
              <w:rPr>
                <w:b/>
                <w:sz w:val="18"/>
                <w:szCs w:val="18"/>
                <w:lang w:val="es-ES"/>
              </w:rPr>
              <w:t>a 8</w:t>
            </w:r>
            <w:r w:rsidRPr="00B83E1A">
              <w:rPr>
                <w:b/>
                <w:sz w:val="18"/>
                <w:szCs w:val="18"/>
                <w:lang w:val="es-ES"/>
              </w:rPr>
              <w:t>.F:  En colaboración con el sector privado, velar por que se puedan aprovechar los beneficios de las nuevas tecnologías, en particular de las tecnologías de la información y de las comunicaciones</w:t>
            </w:r>
          </w:p>
        </w:tc>
      </w:tr>
      <w:tr w:rsidR="00067534" w:rsidRPr="00B83E1A" w14:paraId="355A704E" w14:textId="77777777" w:rsidTr="004E65E7">
        <w:trPr>
          <w:jc w:val="center"/>
        </w:trPr>
        <w:tc>
          <w:tcPr>
            <w:tcW w:w="1681" w:type="dxa"/>
            <w:gridSpan w:val="2"/>
            <w:shd w:val="clear" w:color="auto" w:fill="C6D9F1" w:themeFill="text2" w:themeFillTint="33"/>
            <w:vAlign w:val="center"/>
          </w:tcPr>
          <w:p w14:paraId="4B1CC552" w14:textId="77777777" w:rsidR="00067534" w:rsidRPr="00B83E1A" w:rsidRDefault="00067534" w:rsidP="0010740F">
            <w:pPr>
              <w:keepNext/>
              <w:spacing w:before="240"/>
              <w:rPr>
                <w:b/>
                <w:bCs/>
                <w:sz w:val="18"/>
                <w:szCs w:val="18"/>
                <w:lang w:val="es-ES"/>
              </w:rPr>
            </w:pPr>
            <w:r w:rsidRPr="00B83E1A">
              <w:rPr>
                <w:b/>
                <w:bCs/>
                <w:sz w:val="18"/>
                <w:szCs w:val="18"/>
                <w:lang w:val="es-ES"/>
              </w:rPr>
              <w:t>Meta estratégica de la OMPI</w:t>
            </w:r>
          </w:p>
          <w:p w14:paraId="29CAABB7" w14:textId="77777777" w:rsidR="00067534" w:rsidRPr="00B83E1A" w:rsidRDefault="00067534" w:rsidP="0010740F">
            <w:pPr>
              <w:keepNext/>
              <w:spacing w:before="240"/>
              <w:rPr>
                <w:b/>
                <w:bCs/>
                <w:sz w:val="18"/>
                <w:szCs w:val="18"/>
                <w:lang w:val="es-ES"/>
              </w:rPr>
            </w:pPr>
          </w:p>
        </w:tc>
        <w:tc>
          <w:tcPr>
            <w:tcW w:w="2410" w:type="dxa"/>
            <w:shd w:val="clear" w:color="auto" w:fill="C6D9F1" w:themeFill="text2" w:themeFillTint="33"/>
            <w:vAlign w:val="center"/>
          </w:tcPr>
          <w:p w14:paraId="5F2A458C" w14:textId="77777777" w:rsidR="00067534" w:rsidRPr="00B83E1A" w:rsidRDefault="00067534" w:rsidP="0010740F">
            <w:pPr>
              <w:keepNext/>
              <w:spacing w:before="240"/>
              <w:rPr>
                <w:b/>
                <w:bCs/>
                <w:sz w:val="18"/>
                <w:szCs w:val="18"/>
                <w:lang w:val="es-ES"/>
              </w:rPr>
            </w:pPr>
            <w:r w:rsidRPr="00B83E1A">
              <w:rPr>
                <w:b/>
                <w:bCs/>
                <w:sz w:val="18"/>
                <w:szCs w:val="18"/>
                <w:lang w:val="es-ES"/>
              </w:rPr>
              <w:t>Resultado previsto de la OMPI pertinente - 2012/13</w:t>
            </w:r>
          </w:p>
        </w:tc>
        <w:tc>
          <w:tcPr>
            <w:tcW w:w="2268" w:type="dxa"/>
            <w:gridSpan w:val="3"/>
            <w:shd w:val="clear" w:color="auto" w:fill="C6D9F1" w:themeFill="text2" w:themeFillTint="33"/>
            <w:vAlign w:val="center"/>
          </w:tcPr>
          <w:p w14:paraId="73BB034B" w14:textId="77777777" w:rsidR="00067534" w:rsidRPr="00B83E1A" w:rsidRDefault="00067534" w:rsidP="0010740F">
            <w:pPr>
              <w:keepNext/>
              <w:spacing w:before="240"/>
              <w:rPr>
                <w:b/>
                <w:bCs/>
                <w:sz w:val="18"/>
                <w:szCs w:val="18"/>
                <w:lang w:val="es-ES"/>
              </w:rPr>
            </w:pPr>
            <w:r w:rsidRPr="00B83E1A">
              <w:rPr>
                <w:b/>
                <w:bCs/>
                <w:sz w:val="18"/>
                <w:szCs w:val="18"/>
                <w:lang w:val="es-ES"/>
              </w:rPr>
              <w:t>Indicadores de rendimiento</w:t>
            </w:r>
          </w:p>
        </w:tc>
        <w:tc>
          <w:tcPr>
            <w:tcW w:w="2869" w:type="dxa"/>
            <w:gridSpan w:val="2"/>
            <w:shd w:val="clear" w:color="auto" w:fill="C6D9F1" w:themeFill="text2" w:themeFillTint="33"/>
            <w:vAlign w:val="center"/>
          </w:tcPr>
          <w:p w14:paraId="687A429D" w14:textId="77777777" w:rsidR="00067534" w:rsidRPr="00B83E1A" w:rsidRDefault="00067534" w:rsidP="0010740F">
            <w:pPr>
              <w:keepNext/>
              <w:spacing w:before="240"/>
              <w:rPr>
                <w:sz w:val="18"/>
                <w:szCs w:val="18"/>
                <w:lang w:val="es-ES"/>
              </w:rPr>
            </w:pPr>
            <w:r w:rsidRPr="00B83E1A">
              <w:rPr>
                <w:b/>
                <w:bCs/>
                <w:sz w:val="18"/>
                <w:szCs w:val="18"/>
                <w:lang w:val="es-ES"/>
              </w:rPr>
              <w:t>Datos sobre el rendimiento</w:t>
            </w:r>
          </w:p>
        </w:tc>
      </w:tr>
      <w:tr w:rsidR="00067534" w:rsidRPr="00B83E1A" w14:paraId="030A944D" w14:textId="77777777" w:rsidTr="004E65E7">
        <w:trPr>
          <w:jc w:val="center"/>
        </w:trPr>
        <w:tc>
          <w:tcPr>
            <w:tcW w:w="1681" w:type="dxa"/>
            <w:gridSpan w:val="2"/>
            <w:vMerge w:val="restart"/>
          </w:tcPr>
          <w:p w14:paraId="6993300F" w14:textId="77777777" w:rsidR="00067534" w:rsidRPr="00B83E1A" w:rsidRDefault="00067534" w:rsidP="0010740F">
            <w:pPr>
              <w:keepNext/>
              <w:rPr>
                <w:i/>
                <w:sz w:val="18"/>
                <w:szCs w:val="18"/>
                <w:lang w:val="es-ES"/>
              </w:rPr>
            </w:pPr>
            <w:r w:rsidRPr="00B83E1A">
              <w:rPr>
                <w:i/>
                <w:sz w:val="18"/>
                <w:szCs w:val="18"/>
                <w:lang w:val="es-ES"/>
              </w:rPr>
              <w:t xml:space="preserve">Meta estratégica: </w:t>
            </w:r>
          </w:p>
          <w:p w14:paraId="4EA7937A" w14:textId="77777777" w:rsidR="00067534" w:rsidRPr="00B83E1A" w:rsidRDefault="00067534" w:rsidP="0010740F">
            <w:pPr>
              <w:keepNext/>
              <w:rPr>
                <w:sz w:val="18"/>
                <w:szCs w:val="18"/>
                <w:lang w:val="es-ES"/>
              </w:rPr>
            </w:pPr>
            <w:r w:rsidRPr="00B83E1A">
              <w:rPr>
                <w:i/>
                <w:sz w:val="18"/>
                <w:szCs w:val="18"/>
                <w:lang w:val="es-ES"/>
              </w:rPr>
              <w:t>Evolución equilibrada del marco normativo internacional de P.I.</w:t>
            </w:r>
          </w:p>
        </w:tc>
        <w:tc>
          <w:tcPr>
            <w:tcW w:w="2410" w:type="dxa"/>
            <w:vMerge w:val="restart"/>
          </w:tcPr>
          <w:p w14:paraId="0DD19BF8" w14:textId="77777777" w:rsidR="00067534" w:rsidRPr="00B83E1A" w:rsidRDefault="00067534" w:rsidP="0010740F">
            <w:pPr>
              <w:keepNext/>
              <w:rPr>
                <w:sz w:val="18"/>
                <w:szCs w:val="18"/>
                <w:lang w:val="es-ES"/>
              </w:rPr>
            </w:pPr>
            <w:r w:rsidRPr="00B83E1A">
              <w:rPr>
                <w:sz w:val="18"/>
                <w:szCs w:val="18"/>
                <w:lang w:val="es-ES"/>
              </w:rPr>
              <w:t>Resultado i)  Mejor cooperación/mayor consenso entre los Estados miembros en lo que atañe a seguir elaborando marcos normativos y de política equilibrados para el sistema internacional de patentes, marcas, dibujos y modelos industriales, indicaciones geográficas, derechos de autor y derechos conexos CC.TT., ECT y RR.GG.</w:t>
            </w:r>
          </w:p>
        </w:tc>
        <w:tc>
          <w:tcPr>
            <w:tcW w:w="2268" w:type="dxa"/>
            <w:gridSpan w:val="3"/>
          </w:tcPr>
          <w:p w14:paraId="3D593B1B" w14:textId="77777777" w:rsidR="00067534" w:rsidRPr="00B83E1A" w:rsidRDefault="00067534" w:rsidP="0010740F">
            <w:pPr>
              <w:keepNext/>
              <w:spacing w:after="120"/>
              <w:rPr>
                <w:i/>
                <w:sz w:val="18"/>
                <w:szCs w:val="18"/>
                <w:lang w:val="es-ES"/>
              </w:rPr>
            </w:pPr>
            <w:r w:rsidRPr="00B83E1A">
              <w:rPr>
                <w:sz w:val="18"/>
                <w:szCs w:val="18"/>
                <w:lang w:val="es-ES" w:bidi="th-TH"/>
              </w:rPr>
              <w:t>Avances en la aplicación de medidas/planes acordados por el SCP.</w:t>
            </w:r>
          </w:p>
        </w:tc>
        <w:tc>
          <w:tcPr>
            <w:tcW w:w="2869" w:type="dxa"/>
            <w:gridSpan w:val="2"/>
          </w:tcPr>
          <w:p w14:paraId="233D55A0" w14:textId="77777777" w:rsidR="00067534" w:rsidRPr="00B83E1A" w:rsidRDefault="00067534" w:rsidP="0010740F">
            <w:pPr>
              <w:keepNext/>
              <w:rPr>
                <w:sz w:val="18"/>
                <w:szCs w:val="18"/>
                <w:lang w:val="es-ES"/>
              </w:rPr>
            </w:pPr>
            <w:r w:rsidRPr="00B83E1A">
              <w:rPr>
                <w:sz w:val="18"/>
                <w:szCs w:val="18"/>
                <w:lang w:val="es-ES" w:bidi="th-TH"/>
              </w:rPr>
              <w:t>El SCP/18 acordó proseguir los debates en el SCP/19 sobre la base del orden del día del SCP/18.</w:t>
            </w:r>
          </w:p>
        </w:tc>
      </w:tr>
      <w:tr w:rsidR="00067534" w:rsidRPr="00B83E1A" w14:paraId="3253EAE6" w14:textId="77777777" w:rsidTr="004E65E7">
        <w:trPr>
          <w:jc w:val="center"/>
        </w:trPr>
        <w:tc>
          <w:tcPr>
            <w:tcW w:w="1681" w:type="dxa"/>
            <w:gridSpan w:val="2"/>
            <w:vMerge/>
          </w:tcPr>
          <w:p w14:paraId="47E7F1CA" w14:textId="77777777" w:rsidR="00067534" w:rsidRPr="00B83E1A" w:rsidRDefault="00067534" w:rsidP="004E65E7">
            <w:pPr>
              <w:rPr>
                <w:sz w:val="18"/>
                <w:szCs w:val="18"/>
                <w:lang w:val="es-ES"/>
              </w:rPr>
            </w:pPr>
          </w:p>
        </w:tc>
        <w:tc>
          <w:tcPr>
            <w:tcW w:w="2410" w:type="dxa"/>
            <w:vMerge/>
          </w:tcPr>
          <w:p w14:paraId="2833A57B" w14:textId="77777777" w:rsidR="00067534" w:rsidRPr="00B83E1A" w:rsidRDefault="00067534" w:rsidP="004E65E7">
            <w:pPr>
              <w:rPr>
                <w:i/>
                <w:sz w:val="18"/>
                <w:szCs w:val="18"/>
                <w:lang w:val="es-ES"/>
              </w:rPr>
            </w:pPr>
          </w:p>
        </w:tc>
        <w:tc>
          <w:tcPr>
            <w:tcW w:w="2268" w:type="dxa"/>
            <w:gridSpan w:val="3"/>
          </w:tcPr>
          <w:p w14:paraId="60603B05" w14:textId="77777777" w:rsidR="00067534" w:rsidRPr="00B83E1A" w:rsidRDefault="00067534" w:rsidP="004E65E7">
            <w:pPr>
              <w:rPr>
                <w:i/>
                <w:sz w:val="18"/>
                <w:szCs w:val="18"/>
                <w:lang w:val="es-ES"/>
              </w:rPr>
            </w:pPr>
            <w:r w:rsidRPr="00B83E1A">
              <w:rPr>
                <w:sz w:val="18"/>
                <w:szCs w:val="18"/>
                <w:lang w:val="es-ES"/>
              </w:rPr>
              <w:t>Acuerdo internacional sobre un marco normativo para los dibujos y modelos industriales.</w:t>
            </w:r>
          </w:p>
        </w:tc>
        <w:tc>
          <w:tcPr>
            <w:tcW w:w="2869" w:type="dxa"/>
            <w:gridSpan w:val="2"/>
          </w:tcPr>
          <w:p w14:paraId="66C518C3" w14:textId="1ABEDD4F" w:rsidR="00067534" w:rsidRPr="00B83E1A" w:rsidRDefault="00067534" w:rsidP="004E65E7">
            <w:pPr>
              <w:spacing w:after="120"/>
              <w:rPr>
                <w:sz w:val="18"/>
                <w:szCs w:val="18"/>
                <w:lang w:val="es-ES"/>
              </w:rPr>
            </w:pPr>
            <w:r w:rsidRPr="00B83E1A">
              <w:rPr>
                <w:sz w:val="18"/>
                <w:szCs w:val="18"/>
                <w:lang w:val="es-ES" w:bidi="th-TH"/>
              </w:rPr>
              <w:t>Decisión de la Asamblea General de la OMOI “se insta al SCT a acelerar resueltamente la labor con el propósito de hacer avanzar sustancialmente las propuestas básicas de un Tratado sobre el Derecho de los Diseños Industriales” (párraf</w:t>
            </w:r>
            <w:r w:rsidR="00D23810" w:rsidRPr="00B83E1A">
              <w:rPr>
                <w:sz w:val="18"/>
                <w:szCs w:val="18"/>
                <w:lang w:val="es-ES" w:bidi="th-TH"/>
              </w:rPr>
              <w:t>o 2</w:t>
            </w:r>
            <w:r w:rsidRPr="00B83E1A">
              <w:rPr>
                <w:sz w:val="18"/>
                <w:szCs w:val="18"/>
                <w:lang w:val="es-ES" w:bidi="th-TH"/>
              </w:rPr>
              <w:t>31 del documento WO/GA/41/18).</w:t>
            </w:r>
          </w:p>
        </w:tc>
      </w:tr>
      <w:tr w:rsidR="00067534" w:rsidRPr="00B83E1A" w14:paraId="1BF416D9" w14:textId="77777777" w:rsidTr="004E65E7">
        <w:trPr>
          <w:jc w:val="center"/>
        </w:trPr>
        <w:tc>
          <w:tcPr>
            <w:tcW w:w="1681" w:type="dxa"/>
            <w:gridSpan w:val="2"/>
            <w:vMerge/>
          </w:tcPr>
          <w:p w14:paraId="58674F46" w14:textId="77777777" w:rsidR="00067534" w:rsidRPr="00B83E1A" w:rsidRDefault="00067534" w:rsidP="004E65E7">
            <w:pPr>
              <w:rPr>
                <w:sz w:val="18"/>
                <w:szCs w:val="18"/>
                <w:lang w:val="es-ES"/>
              </w:rPr>
            </w:pPr>
          </w:p>
        </w:tc>
        <w:tc>
          <w:tcPr>
            <w:tcW w:w="2410" w:type="dxa"/>
            <w:vMerge/>
          </w:tcPr>
          <w:p w14:paraId="0E59027B" w14:textId="77777777" w:rsidR="00067534" w:rsidRPr="00B83E1A" w:rsidRDefault="00067534" w:rsidP="004E65E7">
            <w:pPr>
              <w:rPr>
                <w:i/>
                <w:sz w:val="18"/>
                <w:szCs w:val="18"/>
                <w:lang w:val="es-ES"/>
              </w:rPr>
            </w:pPr>
          </w:p>
        </w:tc>
        <w:tc>
          <w:tcPr>
            <w:tcW w:w="2268" w:type="dxa"/>
            <w:gridSpan w:val="3"/>
          </w:tcPr>
          <w:p w14:paraId="07C0D831" w14:textId="77777777" w:rsidR="00067534" w:rsidRPr="00B83E1A" w:rsidRDefault="00067534" w:rsidP="004E65E7">
            <w:pPr>
              <w:rPr>
                <w:sz w:val="18"/>
                <w:szCs w:val="18"/>
                <w:lang w:val="es-ES"/>
              </w:rPr>
            </w:pPr>
            <w:r w:rsidRPr="00B83E1A">
              <w:rPr>
                <w:sz w:val="18"/>
                <w:szCs w:val="18"/>
                <w:lang w:val="es-ES"/>
              </w:rPr>
              <w:t>Avances para llegar a un acuerdo sobre las cuestiones que figuran en el orden del día del SCT.</w:t>
            </w:r>
          </w:p>
        </w:tc>
        <w:tc>
          <w:tcPr>
            <w:tcW w:w="2869" w:type="dxa"/>
            <w:gridSpan w:val="2"/>
          </w:tcPr>
          <w:p w14:paraId="0C32896D" w14:textId="77777777" w:rsidR="00067534" w:rsidRPr="00B83E1A" w:rsidRDefault="00067534" w:rsidP="004E65E7">
            <w:pPr>
              <w:rPr>
                <w:sz w:val="18"/>
                <w:szCs w:val="18"/>
                <w:lang w:val="es-ES" w:bidi="th-TH"/>
              </w:rPr>
            </w:pPr>
            <w:r w:rsidRPr="00B83E1A">
              <w:rPr>
                <w:sz w:val="18"/>
                <w:szCs w:val="18"/>
                <w:lang w:val="es-ES" w:bidi="th-TH"/>
              </w:rPr>
              <w:t>Progreso logrado respecto de la normativa y la práctica en materia de diseños industriales:  proyecto de artículos y proyecto de Reglamento.</w:t>
            </w:r>
          </w:p>
          <w:p w14:paraId="5BEFF5A7" w14:textId="77777777" w:rsidR="00067534" w:rsidRPr="00B83E1A" w:rsidRDefault="00067534" w:rsidP="004E65E7">
            <w:pPr>
              <w:rPr>
                <w:sz w:val="18"/>
                <w:szCs w:val="18"/>
                <w:lang w:val="es-ES" w:bidi="th-TH"/>
              </w:rPr>
            </w:pPr>
            <w:r w:rsidRPr="00B83E1A">
              <w:rPr>
                <w:sz w:val="18"/>
                <w:szCs w:val="18"/>
                <w:lang w:val="es-ES" w:bidi="th-TH"/>
              </w:rPr>
              <w:t>Continuación de la labor sobre la protección de los nombres de país.</w:t>
            </w:r>
          </w:p>
          <w:p w14:paraId="3C4808EC" w14:textId="77777777" w:rsidR="00067534" w:rsidRPr="00B83E1A" w:rsidRDefault="00067534" w:rsidP="004E65E7">
            <w:pPr>
              <w:autoSpaceDE w:val="0"/>
              <w:autoSpaceDN w:val="0"/>
              <w:adjustRightInd w:val="0"/>
              <w:rPr>
                <w:sz w:val="18"/>
                <w:szCs w:val="18"/>
                <w:lang w:val="es-ES"/>
              </w:rPr>
            </w:pPr>
            <w:r w:rsidRPr="00B83E1A">
              <w:rPr>
                <w:sz w:val="18"/>
                <w:szCs w:val="18"/>
                <w:lang w:val="es-ES"/>
              </w:rPr>
              <w:t>El SCT celebró una reunión informativa sobre el papel y la responsabilidad de los intermediarios de Internet en el ámbito de las marcas pero posteriormente decidió no proseguir la labor en esa esfera.</w:t>
            </w:r>
          </w:p>
          <w:p w14:paraId="328B1010" w14:textId="77777777" w:rsidR="00067534" w:rsidRPr="00B83E1A" w:rsidRDefault="00067534" w:rsidP="004E65E7">
            <w:pPr>
              <w:rPr>
                <w:sz w:val="18"/>
                <w:szCs w:val="18"/>
                <w:lang w:val="es-ES"/>
              </w:rPr>
            </w:pPr>
          </w:p>
        </w:tc>
      </w:tr>
      <w:tr w:rsidR="00067534" w:rsidRPr="00B83E1A" w14:paraId="14379E96" w14:textId="77777777" w:rsidTr="004E65E7">
        <w:trPr>
          <w:jc w:val="center"/>
        </w:trPr>
        <w:tc>
          <w:tcPr>
            <w:tcW w:w="1681" w:type="dxa"/>
            <w:gridSpan w:val="2"/>
            <w:vMerge/>
          </w:tcPr>
          <w:p w14:paraId="7E1D3EEC" w14:textId="77777777" w:rsidR="00067534" w:rsidRPr="00B83E1A" w:rsidRDefault="00067534" w:rsidP="004E65E7">
            <w:pPr>
              <w:rPr>
                <w:sz w:val="18"/>
                <w:szCs w:val="18"/>
                <w:lang w:val="es-ES"/>
              </w:rPr>
            </w:pPr>
          </w:p>
        </w:tc>
        <w:tc>
          <w:tcPr>
            <w:tcW w:w="2410" w:type="dxa"/>
            <w:vMerge/>
          </w:tcPr>
          <w:p w14:paraId="4303D780" w14:textId="77777777" w:rsidR="00067534" w:rsidRPr="00B83E1A" w:rsidRDefault="00067534" w:rsidP="004E65E7">
            <w:pPr>
              <w:rPr>
                <w:i/>
                <w:sz w:val="18"/>
                <w:szCs w:val="18"/>
                <w:lang w:val="es-ES"/>
              </w:rPr>
            </w:pPr>
          </w:p>
        </w:tc>
        <w:tc>
          <w:tcPr>
            <w:tcW w:w="2268" w:type="dxa"/>
            <w:gridSpan w:val="3"/>
          </w:tcPr>
          <w:p w14:paraId="056F1568" w14:textId="77777777" w:rsidR="00067534" w:rsidRPr="00B83E1A" w:rsidRDefault="00067534" w:rsidP="004E65E7">
            <w:pPr>
              <w:rPr>
                <w:sz w:val="18"/>
                <w:szCs w:val="18"/>
                <w:lang w:val="es-ES"/>
              </w:rPr>
            </w:pPr>
            <w:r w:rsidRPr="00B83E1A">
              <w:rPr>
                <w:sz w:val="18"/>
                <w:szCs w:val="18"/>
                <w:lang w:val="es-ES"/>
              </w:rPr>
              <w:t>Número de ratificaciones y adhesiones al Tratado de Singapur</w:t>
            </w:r>
          </w:p>
        </w:tc>
        <w:tc>
          <w:tcPr>
            <w:tcW w:w="2869" w:type="dxa"/>
            <w:gridSpan w:val="2"/>
          </w:tcPr>
          <w:p w14:paraId="1194EA56" w14:textId="77833ABE" w:rsidR="00067534" w:rsidRPr="00B83E1A" w:rsidRDefault="00067534" w:rsidP="004E65E7">
            <w:pPr>
              <w:rPr>
                <w:sz w:val="18"/>
                <w:szCs w:val="18"/>
                <w:lang w:val="es-ES" w:bidi="th-TH"/>
              </w:rPr>
            </w:pPr>
            <w:r w:rsidRPr="00B83E1A">
              <w:rPr>
                <w:sz w:val="18"/>
                <w:szCs w:val="18"/>
                <w:lang w:val="es-ES" w:bidi="th-TH"/>
              </w:rPr>
              <w:t>4 ratificaciones adicionales e</w:t>
            </w:r>
            <w:r w:rsidR="00D23810" w:rsidRPr="00B83E1A">
              <w:rPr>
                <w:sz w:val="18"/>
                <w:szCs w:val="18"/>
                <w:lang w:val="es-ES" w:bidi="th-TH"/>
              </w:rPr>
              <w:t>n 2</w:t>
            </w:r>
            <w:r w:rsidRPr="00B83E1A">
              <w:rPr>
                <w:sz w:val="18"/>
                <w:szCs w:val="18"/>
                <w:lang w:val="es-ES" w:bidi="th-TH"/>
              </w:rPr>
              <w:t>012 (Reino Unido, Kazajstán, Nueva Zelandia e Islandia).</w:t>
            </w:r>
          </w:p>
          <w:p w14:paraId="18EE9786" w14:textId="77777777" w:rsidR="00067534" w:rsidRPr="00B83E1A" w:rsidRDefault="00067534" w:rsidP="004E65E7">
            <w:pPr>
              <w:rPr>
                <w:sz w:val="18"/>
                <w:szCs w:val="18"/>
                <w:lang w:val="es-ES"/>
              </w:rPr>
            </w:pPr>
          </w:p>
        </w:tc>
      </w:tr>
      <w:tr w:rsidR="00067534" w:rsidRPr="00B83E1A" w14:paraId="471DB361" w14:textId="77777777" w:rsidTr="004E65E7">
        <w:trPr>
          <w:jc w:val="center"/>
        </w:trPr>
        <w:tc>
          <w:tcPr>
            <w:tcW w:w="1681" w:type="dxa"/>
            <w:gridSpan w:val="2"/>
            <w:vMerge/>
          </w:tcPr>
          <w:p w14:paraId="34CBAF18" w14:textId="77777777" w:rsidR="00067534" w:rsidRPr="00B83E1A" w:rsidRDefault="00067534" w:rsidP="004E65E7">
            <w:pPr>
              <w:rPr>
                <w:sz w:val="18"/>
                <w:szCs w:val="18"/>
                <w:lang w:val="es-ES"/>
              </w:rPr>
            </w:pPr>
          </w:p>
        </w:tc>
        <w:tc>
          <w:tcPr>
            <w:tcW w:w="2410" w:type="dxa"/>
            <w:vMerge/>
          </w:tcPr>
          <w:p w14:paraId="0508F3F4" w14:textId="77777777" w:rsidR="00067534" w:rsidRPr="00B83E1A" w:rsidRDefault="00067534" w:rsidP="004E65E7">
            <w:pPr>
              <w:rPr>
                <w:i/>
                <w:sz w:val="18"/>
                <w:szCs w:val="18"/>
                <w:lang w:val="es-ES"/>
              </w:rPr>
            </w:pPr>
          </w:p>
        </w:tc>
        <w:tc>
          <w:tcPr>
            <w:tcW w:w="2268" w:type="dxa"/>
            <w:gridSpan w:val="3"/>
          </w:tcPr>
          <w:p w14:paraId="43838F03" w14:textId="77777777" w:rsidR="00067534" w:rsidRPr="00B83E1A" w:rsidRDefault="00067534" w:rsidP="004E65E7">
            <w:pPr>
              <w:rPr>
                <w:sz w:val="18"/>
                <w:szCs w:val="18"/>
                <w:lang w:val="es-ES"/>
              </w:rPr>
            </w:pPr>
            <w:r w:rsidRPr="00B83E1A">
              <w:rPr>
                <w:sz w:val="18"/>
                <w:szCs w:val="18"/>
                <w:lang w:val="es-ES"/>
              </w:rPr>
              <w:t xml:space="preserve">Labor iniciada por el SCT sobre las indicaciones geográficas.  </w:t>
            </w:r>
          </w:p>
        </w:tc>
        <w:tc>
          <w:tcPr>
            <w:tcW w:w="2869" w:type="dxa"/>
            <w:gridSpan w:val="2"/>
          </w:tcPr>
          <w:p w14:paraId="291248D9" w14:textId="32EFC95C" w:rsidR="00067534" w:rsidRPr="00B83E1A" w:rsidRDefault="00067534" w:rsidP="004E65E7">
            <w:pPr>
              <w:rPr>
                <w:sz w:val="18"/>
                <w:szCs w:val="18"/>
                <w:lang w:val="es-ES" w:bidi="th-TH"/>
              </w:rPr>
            </w:pPr>
            <w:r w:rsidRPr="00B83E1A">
              <w:rPr>
                <w:sz w:val="18"/>
                <w:szCs w:val="18"/>
                <w:lang w:val="es-ES" w:bidi="th-TH"/>
              </w:rPr>
              <w:t>El SCT no inició labor alguna en relación con las indicaciones geográficas a finales d</w:t>
            </w:r>
            <w:r w:rsidR="00D23810" w:rsidRPr="00B83E1A">
              <w:rPr>
                <w:sz w:val="18"/>
                <w:szCs w:val="18"/>
                <w:lang w:val="es-ES" w:bidi="th-TH"/>
              </w:rPr>
              <w:t>e 2</w:t>
            </w:r>
            <w:r w:rsidRPr="00B83E1A">
              <w:rPr>
                <w:sz w:val="18"/>
                <w:szCs w:val="18"/>
                <w:lang w:val="es-ES" w:bidi="th-TH"/>
              </w:rPr>
              <w:t>012.</w:t>
            </w:r>
          </w:p>
          <w:p w14:paraId="29A8ADBB" w14:textId="77777777" w:rsidR="00067534" w:rsidRPr="00B83E1A" w:rsidRDefault="00067534" w:rsidP="004E65E7">
            <w:pPr>
              <w:rPr>
                <w:sz w:val="18"/>
                <w:szCs w:val="18"/>
                <w:lang w:val="es-ES"/>
              </w:rPr>
            </w:pPr>
          </w:p>
        </w:tc>
      </w:tr>
      <w:tr w:rsidR="00067534" w:rsidRPr="00B83E1A" w14:paraId="57FCCD2F" w14:textId="77777777" w:rsidTr="0010740F">
        <w:trPr>
          <w:trHeight w:val="1781"/>
          <w:jc w:val="center"/>
        </w:trPr>
        <w:tc>
          <w:tcPr>
            <w:tcW w:w="1681" w:type="dxa"/>
            <w:gridSpan w:val="2"/>
            <w:vMerge/>
          </w:tcPr>
          <w:p w14:paraId="59775EE9" w14:textId="77777777" w:rsidR="00067534" w:rsidRPr="00B83E1A" w:rsidRDefault="00067534" w:rsidP="004E65E7">
            <w:pPr>
              <w:rPr>
                <w:sz w:val="18"/>
                <w:szCs w:val="18"/>
                <w:lang w:val="es-ES"/>
              </w:rPr>
            </w:pPr>
          </w:p>
        </w:tc>
        <w:tc>
          <w:tcPr>
            <w:tcW w:w="2410" w:type="dxa"/>
            <w:vMerge/>
          </w:tcPr>
          <w:p w14:paraId="53810635" w14:textId="77777777" w:rsidR="00067534" w:rsidRPr="00B83E1A" w:rsidRDefault="00067534" w:rsidP="004E65E7">
            <w:pPr>
              <w:rPr>
                <w:i/>
                <w:sz w:val="18"/>
                <w:szCs w:val="18"/>
                <w:lang w:val="es-ES"/>
              </w:rPr>
            </w:pPr>
          </w:p>
        </w:tc>
        <w:tc>
          <w:tcPr>
            <w:tcW w:w="2268" w:type="dxa"/>
            <w:gridSpan w:val="3"/>
          </w:tcPr>
          <w:p w14:paraId="17D7F8DF" w14:textId="77777777" w:rsidR="00067534" w:rsidRPr="00B83E1A" w:rsidRDefault="00067534" w:rsidP="004E65E7">
            <w:pPr>
              <w:rPr>
                <w:sz w:val="18"/>
                <w:szCs w:val="18"/>
                <w:lang w:val="es-ES" w:bidi="th-TH"/>
              </w:rPr>
            </w:pPr>
            <w:r w:rsidRPr="00B83E1A">
              <w:rPr>
                <w:sz w:val="18"/>
                <w:szCs w:val="18"/>
                <w:lang w:val="es-ES" w:bidi="th-TH"/>
              </w:rPr>
              <w:t>Conclusiones de los Estados miembros en cada sesión del SCCR</w:t>
            </w:r>
          </w:p>
          <w:p w14:paraId="53733FC7" w14:textId="77777777" w:rsidR="00067534" w:rsidRPr="00B83E1A" w:rsidRDefault="00067534" w:rsidP="004E65E7">
            <w:pPr>
              <w:rPr>
                <w:i/>
                <w:sz w:val="18"/>
                <w:szCs w:val="18"/>
                <w:lang w:val="es-ES"/>
              </w:rPr>
            </w:pPr>
          </w:p>
        </w:tc>
        <w:tc>
          <w:tcPr>
            <w:tcW w:w="2869" w:type="dxa"/>
            <w:gridSpan w:val="2"/>
          </w:tcPr>
          <w:p w14:paraId="6CE2E875" w14:textId="16CAE74D" w:rsidR="00067534" w:rsidRPr="00B83E1A" w:rsidRDefault="00067534" w:rsidP="0010740F">
            <w:pPr>
              <w:rPr>
                <w:sz w:val="18"/>
                <w:szCs w:val="18"/>
                <w:lang w:val="es-ES"/>
              </w:rPr>
            </w:pPr>
            <w:r w:rsidRPr="00B83E1A">
              <w:rPr>
                <w:sz w:val="18"/>
                <w:szCs w:val="18"/>
                <w:lang w:val="es-ES" w:bidi="th-TH"/>
              </w:rPr>
              <w:t xml:space="preserve">En ambas sesiones del SCCR los Estados miembros acordaron proseguir la labor relativa a todos los aspectos sustantivos del orden del día, en particular, respecto a las limitaciones y excepciones para las personas con discapacidad visual y </w:t>
            </w:r>
            <w:r w:rsidRPr="00B83E1A">
              <w:rPr>
                <w:sz w:val="18"/>
                <w:szCs w:val="18"/>
                <w:lang w:val="es-ES" w:bidi="th-TH"/>
              </w:rPr>
              <w:lastRenderedPageBreak/>
              <w:t>personas con dificultades para acceder al texto impreso;  la protección de los organismos de radiodifusión;  las limitaciones y excepciones para las bibliotecas y archivos;  y las limitaciones y excepciones en favor de las instituciones educativas y de investigación.</w:t>
            </w:r>
            <w:r w:rsidRPr="00B83E1A">
              <w:rPr>
                <w:rStyle w:val="FootnoteReference"/>
                <w:sz w:val="18"/>
                <w:szCs w:val="18"/>
                <w:lang w:val="es-ES" w:bidi="th-TH"/>
              </w:rPr>
              <w:footnoteReference w:id="13"/>
            </w:r>
          </w:p>
        </w:tc>
      </w:tr>
      <w:tr w:rsidR="00067534" w:rsidRPr="00B83E1A" w14:paraId="00EDCFF9" w14:textId="77777777" w:rsidTr="004E65E7">
        <w:trPr>
          <w:jc w:val="center"/>
        </w:trPr>
        <w:tc>
          <w:tcPr>
            <w:tcW w:w="1681" w:type="dxa"/>
            <w:gridSpan w:val="2"/>
            <w:vMerge/>
          </w:tcPr>
          <w:p w14:paraId="18586782" w14:textId="77777777" w:rsidR="00067534" w:rsidRPr="00B83E1A" w:rsidRDefault="00067534" w:rsidP="004E65E7">
            <w:pPr>
              <w:rPr>
                <w:sz w:val="18"/>
                <w:szCs w:val="18"/>
                <w:lang w:val="es-ES"/>
              </w:rPr>
            </w:pPr>
          </w:p>
        </w:tc>
        <w:tc>
          <w:tcPr>
            <w:tcW w:w="2410" w:type="dxa"/>
            <w:vMerge/>
          </w:tcPr>
          <w:p w14:paraId="12879B21" w14:textId="77777777" w:rsidR="00067534" w:rsidRPr="00B83E1A" w:rsidRDefault="00067534" w:rsidP="004E65E7">
            <w:pPr>
              <w:rPr>
                <w:i/>
                <w:sz w:val="18"/>
                <w:szCs w:val="18"/>
                <w:lang w:val="es-ES"/>
              </w:rPr>
            </w:pPr>
          </w:p>
        </w:tc>
        <w:tc>
          <w:tcPr>
            <w:tcW w:w="2268" w:type="dxa"/>
            <w:gridSpan w:val="3"/>
          </w:tcPr>
          <w:p w14:paraId="7756FD9A" w14:textId="77777777" w:rsidR="00067534" w:rsidRPr="00B83E1A" w:rsidRDefault="00067534" w:rsidP="004E65E7">
            <w:pPr>
              <w:rPr>
                <w:sz w:val="18"/>
                <w:szCs w:val="18"/>
                <w:lang w:val="es-ES"/>
              </w:rPr>
            </w:pPr>
            <w:r w:rsidRPr="00B83E1A">
              <w:rPr>
                <w:sz w:val="18"/>
                <w:szCs w:val="18"/>
                <w:lang w:val="es-ES" w:bidi="th-TH"/>
              </w:rPr>
              <w:t>Avances para llegar a un acuerdo sobre las cuestiones que figuran en el orden del día del SCCR.</w:t>
            </w:r>
          </w:p>
        </w:tc>
        <w:tc>
          <w:tcPr>
            <w:tcW w:w="2869" w:type="dxa"/>
            <w:gridSpan w:val="2"/>
          </w:tcPr>
          <w:p w14:paraId="5F4BFB1F" w14:textId="2222CB67" w:rsidR="00067534" w:rsidRPr="00B83E1A" w:rsidRDefault="00067534" w:rsidP="004E65E7">
            <w:pPr>
              <w:spacing w:after="120"/>
              <w:rPr>
                <w:sz w:val="18"/>
                <w:szCs w:val="18"/>
                <w:lang w:val="es-ES"/>
              </w:rPr>
            </w:pPr>
            <w:r w:rsidRPr="00B83E1A">
              <w:rPr>
                <w:sz w:val="18"/>
                <w:szCs w:val="18"/>
                <w:lang w:val="es-ES"/>
              </w:rPr>
              <w:t>Se adoptó el texto del Tratado de Beijing en junio d</w:t>
            </w:r>
            <w:r w:rsidR="00D23810" w:rsidRPr="00B83E1A">
              <w:rPr>
                <w:sz w:val="18"/>
                <w:szCs w:val="18"/>
                <w:lang w:val="es-ES"/>
              </w:rPr>
              <w:t>e 2</w:t>
            </w:r>
            <w:r w:rsidRPr="00B83E1A">
              <w:rPr>
                <w:sz w:val="18"/>
                <w:szCs w:val="18"/>
                <w:lang w:val="es-ES"/>
              </w:rPr>
              <w:t>012</w:t>
            </w:r>
            <w:r w:rsidR="00D23810" w:rsidRPr="00B83E1A">
              <w:rPr>
                <w:sz w:val="18"/>
                <w:szCs w:val="18"/>
                <w:lang w:val="es-ES"/>
              </w:rPr>
              <w:t>.  S</w:t>
            </w:r>
            <w:r w:rsidRPr="00B83E1A">
              <w:rPr>
                <w:sz w:val="18"/>
                <w:szCs w:val="18"/>
                <w:lang w:val="es-ES"/>
              </w:rPr>
              <w:t>e tomó la decisión de convocar una conferencia diplomática en Marrakech en diciembre d</w:t>
            </w:r>
            <w:r w:rsidR="00D23810" w:rsidRPr="00B83E1A">
              <w:rPr>
                <w:sz w:val="18"/>
                <w:szCs w:val="18"/>
                <w:lang w:val="es-ES"/>
              </w:rPr>
              <w:t>e 2</w:t>
            </w:r>
            <w:r w:rsidRPr="00B83E1A">
              <w:rPr>
                <w:sz w:val="18"/>
                <w:szCs w:val="18"/>
                <w:lang w:val="es-ES"/>
              </w:rPr>
              <w:t>012</w:t>
            </w:r>
            <w:r w:rsidR="00D23810" w:rsidRPr="00B83E1A">
              <w:rPr>
                <w:sz w:val="18"/>
                <w:szCs w:val="18"/>
                <w:lang w:val="es-ES"/>
              </w:rPr>
              <w:t>.  L</w:t>
            </w:r>
            <w:r w:rsidRPr="00B83E1A">
              <w:rPr>
                <w:sz w:val="18"/>
                <w:szCs w:val="18"/>
                <w:lang w:val="es-ES"/>
              </w:rPr>
              <w:t>os progresos están en sintonía con el plan de trabajo del SCCR sobre todos los puntos que figuran en el orden del día.</w:t>
            </w:r>
          </w:p>
        </w:tc>
      </w:tr>
      <w:tr w:rsidR="00067534" w:rsidRPr="00B83E1A" w14:paraId="7190A60E" w14:textId="77777777" w:rsidTr="004E65E7">
        <w:trPr>
          <w:jc w:val="center"/>
        </w:trPr>
        <w:tc>
          <w:tcPr>
            <w:tcW w:w="1681" w:type="dxa"/>
            <w:gridSpan w:val="2"/>
            <w:vMerge/>
          </w:tcPr>
          <w:p w14:paraId="3E5032AA" w14:textId="77777777" w:rsidR="00067534" w:rsidRPr="00B83E1A" w:rsidRDefault="00067534" w:rsidP="004E65E7">
            <w:pPr>
              <w:rPr>
                <w:sz w:val="18"/>
                <w:szCs w:val="18"/>
                <w:lang w:val="es-ES"/>
              </w:rPr>
            </w:pPr>
          </w:p>
        </w:tc>
        <w:tc>
          <w:tcPr>
            <w:tcW w:w="2410" w:type="dxa"/>
            <w:vMerge/>
          </w:tcPr>
          <w:p w14:paraId="25B467DF" w14:textId="77777777" w:rsidR="00067534" w:rsidRPr="00B83E1A" w:rsidRDefault="00067534" w:rsidP="004E65E7">
            <w:pPr>
              <w:rPr>
                <w:i/>
                <w:sz w:val="18"/>
                <w:szCs w:val="18"/>
                <w:lang w:val="es-ES"/>
              </w:rPr>
            </w:pPr>
          </w:p>
        </w:tc>
        <w:tc>
          <w:tcPr>
            <w:tcW w:w="2268" w:type="dxa"/>
            <w:gridSpan w:val="3"/>
          </w:tcPr>
          <w:p w14:paraId="1501993A" w14:textId="77777777" w:rsidR="00067534" w:rsidRPr="00B83E1A" w:rsidRDefault="00067534" w:rsidP="004E65E7">
            <w:pPr>
              <w:spacing w:after="120"/>
              <w:rPr>
                <w:i/>
                <w:sz w:val="18"/>
                <w:szCs w:val="18"/>
                <w:lang w:val="es-ES"/>
              </w:rPr>
            </w:pPr>
            <w:r w:rsidRPr="00B83E1A">
              <w:rPr>
                <w:sz w:val="18"/>
                <w:szCs w:val="18"/>
                <w:lang w:val="es-ES"/>
              </w:rPr>
              <w:t>Progreso en las negociaciones del CIG para la elaboración de uno o varios instrumentos jurídicos internacionales.</w:t>
            </w:r>
          </w:p>
        </w:tc>
        <w:tc>
          <w:tcPr>
            <w:tcW w:w="2869" w:type="dxa"/>
            <w:gridSpan w:val="2"/>
          </w:tcPr>
          <w:p w14:paraId="795FF6EC" w14:textId="77777777" w:rsidR="00067534" w:rsidRPr="00B83E1A" w:rsidRDefault="00067534" w:rsidP="004E65E7">
            <w:pPr>
              <w:rPr>
                <w:sz w:val="18"/>
                <w:szCs w:val="18"/>
                <w:lang w:val="es-ES"/>
              </w:rPr>
            </w:pPr>
            <w:r w:rsidRPr="00B83E1A">
              <w:rPr>
                <w:sz w:val="18"/>
                <w:szCs w:val="18"/>
                <w:lang w:val="es-ES" w:bidi="th-TH"/>
              </w:rPr>
              <w:t>Progresos continuos en las negociaciones</w:t>
            </w:r>
          </w:p>
        </w:tc>
      </w:tr>
      <w:tr w:rsidR="00067534" w:rsidRPr="00B83E1A" w14:paraId="07440396" w14:textId="77777777" w:rsidTr="004E65E7">
        <w:trPr>
          <w:jc w:val="center"/>
        </w:trPr>
        <w:tc>
          <w:tcPr>
            <w:tcW w:w="1681" w:type="dxa"/>
            <w:gridSpan w:val="2"/>
            <w:vMerge/>
          </w:tcPr>
          <w:p w14:paraId="553F5DB2" w14:textId="77777777" w:rsidR="00067534" w:rsidRPr="00B83E1A" w:rsidRDefault="00067534" w:rsidP="004E65E7">
            <w:pPr>
              <w:rPr>
                <w:sz w:val="18"/>
                <w:szCs w:val="18"/>
                <w:lang w:val="es-ES"/>
              </w:rPr>
            </w:pPr>
          </w:p>
        </w:tc>
        <w:tc>
          <w:tcPr>
            <w:tcW w:w="2410" w:type="dxa"/>
            <w:vMerge w:val="restart"/>
          </w:tcPr>
          <w:p w14:paraId="7AFA642E" w14:textId="1CB329F1" w:rsidR="00067534" w:rsidRPr="00B83E1A" w:rsidRDefault="00067534" w:rsidP="004E65E7">
            <w:pPr>
              <w:rPr>
                <w:sz w:val="18"/>
                <w:szCs w:val="18"/>
                <w:lang w:val="es-ES"/>
              </w:rPr>
            </w:pPr>
            <w:r w:rsidRPr="00B83E1A">
              <w:rPr>
                <w:sz w:val="18"/>
                <w:szCs w:val="18"/>
                <w:lang w:val="es-ES"/>
              </w:rPr>
              <w:t>Resultado ii)</w:t>
            </w:r>
            <w:r w:rsidR="00D23810" w:rsidRPr="00B83E1A">
              <w:rPr>
                <w:sz w:val="18"/>
                <w:szCs w:val="18"/>
                <w:lang w:val="es-ES"/>
              </w:rPr>
              <w:t>:  M</w:t>
            </w:r>
            <w:r w:rsidRPr="00B83E1A">
              <w:rPr>
                <w:sz w:val="18"/>
                <w:szCs w:val="18"/>
                <w:lang w:val="es-ES"/>
              </w:rPr>
              <w:t>arcos de P.I. adaptados y equilibrados en el ámbito legislativo, regulador y de política.</w:t>
            </w:r>
          </w:p>
          <w:p w14:paraId="72E235D7" w14:textId="77777777" w:rsidR="00067534" w:rsidRPr="00B83E1A" w:rsidRDefault="00067534" w:rsidP="004E65E7">
            <w:pPr>
              <w:rPr>
                <w:sz w:val="18"/>
                <w:szCs w:val="18"/>
                <w:lang w:val="es-ES"/>
              </w:rPr>
            </w:pPr>
          </w:p>
        </w:tc>
        <w:tc>
          <w:tcPr>
            <w:tcW w:w="2268" w:type="dxa"/>
            <w:gridSpan w:val="3"/>
          </w:tcPr>
          <w:p w14:paraId="6B386021" w14:textId="77777777" w:rsidR="00067534" w:rsidRPr="00B83E1A" w:rsidRDefault="00067534" w:rsidP="004E65E7">
            <w:pPr>
              <w:spacing w:after="120"/>
              <w:rPr>
                <w:sz w:val="18"/>
                <w:szCs w:val="18"/>
                <w:lang w:val="es-ES" w:bidi="th-TH"/>
              </w:rPr>
            </w:pPr>
            <w:r w:rsidRPr="00B83E1A">
              <w:rPr>
                <w:sz w:val="18"/>
                <w:szCs w:val="18"/>
                <w:lang w:val="es-ES" w:bidi="th-TH"/>
              </w:rPr>
              <w:t>Índole y número de veces que se prestó asesoramiento en el ámbito legislativo a los Estados miembros en relación con las patentes, los modelos de utilidad, los secretos comerciales y los circuitos integrados.</w:t>
            </w:r>
          </w:p>
        </w:tc>
        <w:tc>
          <w:tcPr>
            <w:tcW w:w="2869" w:type="dxa"/>
            <w:gridSpan w:val="2"/>
          </w:tcPr>
          <w:p w14:paraId="6CCCC8E6" w14:textId="7722A862" w:rsidR="00067534" w:rsidRPr="00B83E1A" w:rsidRDefault="00067534" w:rsidP="004E65E7">
            <w:pPr>
              <w:rPr>
                <w:sz w:val="18"/>
                <w:szCs w:val="18"/>
                <w:lang w:val="es-ES"/>
              </w:rPr>
            </w:pPr>
            <w:r w:rsidRPr="00B83E1A">
              <w:rPr>
                <w:sz w:val="18"/>
                <w:szCs w:val="18"/>
                <w:lang w:val="es-ES" w:bidi="th-TH"/>
              </w:rPr>
              <w:t>E</w:t>
            </w:r>
            <w:r w:rsidR="00D23810" w:rsidRPr="00B83E1A">
              <w:rPr>
                <w:sz w:val="18"/>
                <w:szCs w:val="18"/>
                <w:lang w:val="es-ES" w:bidi="th-TH"/>
              </w:rPr>
              <w:t>n 2</w:t>
            </w:r>
            <w:r w:rsidRPr="00B83E1A">
              <w:rPr>
                <w:sz w:val="18"/>
                <w:szCs w:val="18"/>
                <w:lang w:val="es-ES" w:bidi="th-TH"/>
              </w:rPr>
              <w:t>012, se proporcionaron 11 comentarios por escrito a los Estados miembros</w:t>
            </w:r>
            <w:r w:rsidR="00D23810" w:rsidRPr="00B83E1A">
              <w:rPr>
                <w:sz w:val="18"/>
                <w:szCs w:val="18"/>
                <w:lang w:val="es-ES" w:bidi="th-TH"/>
              </w:rPr>
              <w:t>.  A</w:t>
            </w:r>
            <w:r w:rsidRPr="00B83E1A">
              <w:rPr>
                <w:sz w:val="18"/>
                <w:szCs w:val="18"/>
                <w:lang w:val="es-ES" w:bidi="th-TH"/>
              </w:rPr>
              <w:t>demás, se organizaro</w:t>
            </w:r>
            <w:r w:rsidR="00D23810" w:rsidRPr="00B83E1A">
              <w:rPr>
                <w:sz w:val="18"/>
                <w:szCs w:val="18"/>
                <w:lang w:val="es-ES" w:bidi="th-TH"/>
              </w:rPr>
              <w:t>n 7</w:t>
            </w:r>
            <w:r w:rsidRPr="00B83E1A">
              <w:rPr>
                <w:sz w:val="18"/>
                <w:szCs w:val="18"/>
                <w:lang w:val="es-ES" w:bidi="th-TH"/>
              </w:rPr>
              <w:t xml:space="preserve"> actividades con el fin de debatir, revisar y redactar textos jurídicos o analizar opciones de política.</w:t>
            </w:r>
          </w:p>
        </w:tc>
      </w:tr>
      <w:tr w:rsidR="00067534" w:rsidRPr="00B83E1A" w14:paraId="270A6628" w14:textId="77777777" w:rsidTr="004E65E7">
        <w:trPr>
          <w:jc w:val="center"/>
        </w:trPr>
        <w:tc>
          <w:tcPr>
            <w:tcW w:w="1681" w:type="dxa"/>
            <w:gridSpan w:val="2"/>
            <w:vMerge/>
          </w:tcPr>
          <w:p w14:paraId="574A57D9" w14:textId="77777777" w:rsidR="00067534" w:rsidRPr="00B83E1A" w:rsidRDefault="00067534" w:rsidP="004E65E7">
            <w:pPr>
              <w:rPr>
                <w:sz w:val="18"/>
                <w:szCs w:val="18"/>
                <w:lang w:val="es-ES"/>
              </w:rPr>
            </w:pPr>
          </w:p>
        </w:tc>
        <w:tc>
          <w:tcPr>
            <w:tcW w:w="2410" w:type="dxa"/>
            <w:vMerge/>
          </w:tcPr>
          <w:p w14:paraId="5A190F2D" w14:textId="77777777" w:rsidR="00067534" w:rsidRPr="00B83E1A" w:rsidRDefault="00067534" w:rsidP="004E65E7">
            <w:pPr>
              <w:rPr>
                <w:sz w:val="18"/>
                <w:szCs w:val="18"/>
                <w:lang w:val="es-ES"/>
              </w:rPr>
            </w:pPr>
          </w:p>
        </w:tc>
        <w:tc>
          <w:tcPr>
            <w:tcW w:w="2268" w:type="dxa"/>
            <w:gridSpan w:val="3"/>
          </w:tcPr>
          <w:p w14:paraId="0E68080B" w14:textId="77777777" w:rsidR="00067534" w:rsidRPr="00B83E1A" w:rsidRDefault="00067534" w:rsidP="004E65E7">
            <w:pPr>
              <w:spacing w:after="120"/>
              <w:rPr>
                <w:sz w:val="18"/>
                <w:szCs w:val="18"/>
                <w:lang w:val="es-ES" w:bidi="th-TH"/>
              </w:rPr>
            </w:pPr>
            <w:r w:rsidRPr="00B83E1A">
              <w:rPr>
                <w:sz w:val="18"/>
                <w:szCs w:val="18"/>
                <w:lang w:val="es-ES" w:bidi="th-TH"/>
              </w:rPr>
              <w:t>Porcentaje de países que consideraron útil el asesoramiento en materia legislativa relacionado con las patentes, los modelos de utilidad, los secretos comerciales y los circuitos integrados.</w:t>
            </w:r>
          </w:p>
        </w:tc>
        <w:tc>
          <w:tcPr>
            <w:tcW w:w="2869" w:type="dxa"/>
            <w:gridSpan w:val="2"/>
          </w:tcPr>
          <w:p w14:paraId="4809478A" w14:textId="5005A1F4" w:rsidR="00067534" w:rsidRPr="00B83E1A" w:rsidRDefault="00067534" w:rsidP="004E65E7">
            <w:pPr>
              <w:rPr>
                <w:sz w:val="18"/>
                <w:szCs w:val="18"/>
                <w:lang w:val="es-ES"/>
              </w:rPr>
            </w:pPr>
            <w:r w:rsidRPr="00B83E1A">
              <w:rPr>
                <w:sz w:val="18"/>
                <w:szCs w:val="18"/>
                <w:lang w:val="es-ES" w:bidi="th-TH"/>
              </w:rPr>
              <w:t>La encuesta correspondiente al añ</w:t>
            </w:r>
            <w:r w:rsidR="00D23810" w:rsidRPr="00B83E1A">
              <w:rPr>
                <w:sz w:val="18"/>
                <w:szCs w:val="18"/>
                <w:lang w:val="es-ES" w:bidi="th-TH"/>
              </w:rPr>
              <w:t>o 2</w:t>
            </w:r>
            <w:r w:rsidRPr="00B83E1A">
              <w:rPr>
                <w:sz w:val="18"/>
                <w:szCs w:val="18"/>
                <w:lang w:val="es-ES" w:bidi="th-TH"/>
              </w:rPr>
              <w:t>012 está en curso</w:t>
            </w:r>
          </w:p>
        </w:tc>
      </w:tr>
      <w:tr w:rsidR="00067534" w:rsidRPr="00B83E1A" w14:paraId="1B5A8993" w14:textId="77777777" w:rsidTr="004E65E7">
        <w:trPr>
          <w:trHeight w:val="2030"/>
          <w:jc w:val="center"/>
        </w:trPr>
        <w:tc>
          <w:tcPr>
            <w:tcW w:w="1681" w:type="dxa"/>
            <w:gridSpan w:val="2"/>
            <w:vMerge/>
          </w:tcPr>
          <w:p w14:paraId="54FDCB05" w14:textId="77777777" w:rsidR="00067534" w:rsidRPr="00B83E1A" w:rsidRDefault="00067534" w:rsidP="004E65E7">
            <w:pPr>
              <w:rPr>
                <w:sz w:val="18"/>
                <w:szCs w:val="18"/>
                <w:lang w:val="es-ES"/>
              </w:rPr>
            </w:pPr>
          </w:p>
        </w:tc>
        <w:tc>
          <w:tcPr>
            <w:tcW w:w="2410" w:type="dxa"/>
            <w:vMerge/>
          </w:tcPr>
          <w:p w14:paraId="27626B64" w14:textId="77777777" w:rsidR="00067534" w:rsidRPr="00B83E1A" w:rsidRDefault="00067534" w:rsidP="004E65E7">
            <w:pPr>
              <w:rPr>
                <w:sz w:val="18"/>
                <w:szCs w:val="18"/>
                <w:lang w:val="es-ES"/>
              </w:rPr>
            </w:pPr>
          </w:p>
        </w:tc>
        <w:tc>
          <w:tcPr>
            <w:tcW w:w="2268" w:type="dxa"/>
            <w:gridSpan w:val="3"/>
          </w:tcPr>
          <w:p w14:paraId="05BE9660" w14:textId="77777777" w:rsidR="00067534" w:rsidRPr="00B83E1A" w:rsidRDefault="00067534" w:rsidP="004E65E7">
            <w:pPr>
              <w:spacing w:after="120"/>
              <w:rPr>
                <w:sz w:val="18"/>
                <w:szCs w:val="18"/>
                <w:lang w:val="es-ES" w:bidi="th-TH"/>
              </w:rPr>
            </w:pPr>
            <w:r w:rsidRPr="00B83E1A">
              <w:rPr>
                <w:sz w:val="18"/>
                <w:szCs w:val="18"/>
                <w:lang w:val="es-ES" w:bidi="th-TH"/>
              </w:rPr>
              <w:t>Número y porcentaje de Estados miembros que consideran útil la información proporcionada en relación con los principios y prácticas jurídicos del sistema de patentes, como, por ejemplo, las flexibilidades que ofrece el sistema y los desafíos que se plantean en la materia.</w:t>
            </w:r>
          </w:p>
        </w:tc>
        <w:tc>
          <w:tcPr>
            <w:tcW w:w="2869" w:type="dxa"/>
            <w:gridSpan w:val="2"/>
          </w:tcPr>
          <w:p w14:paraId="7B9B9971" w14:textId="77777777" w:rsidR="00067534" w:rsidRPr="00B83E1A" w:rsidRDefault="00067534" w:rsidP="004E65E7">
            <w:pPr>
              <w:rPr>
                <w:sz w:val="18"/>
                <w:szCs w:val="18"/>
                <w:lang w:val="es-ES"/>
              </w:rPr>
            </w:pPr>
            <w:r w:rsidRPr="00B83E1A">
              <w:rPr>
                <w:sz w:val="18"/>
                <w:szCs w:val="18"/>
                <w:lang w:val="es-ES" w:bidi="th-TH"/>
              </w:rPr>
              <w:t>La mayoría de Estados miembros expresó satisfacción por la calidad de la información proporcionada.</w:t>
            </w:r>
          </w:p>
        </w:tc>
      </w:tr>
      <w:tr w:rsidR="00067534" w:rsidRPr="00B83E1A" w14:paraId="0CA1320F" w14:textId="77777777" w:rsidTr="004E65E7">
        <w:trPr>
          <w:jc w:val="center"/>
        </w:trPr>
        <w:tc>
          <w:tcPr>
            <w:tcW w:w="1681" w:type="dxa"/>
            <w:gridSpan w:val="2"/>
            <w:vMerge/>
          </w:tcPr>
          <w:p w14:paraId="7B5C9A40" w14:textId="77777777" w:rsidR="00067534" w:rsidRPr="00B83E1A" w:rsidRDefault="00067534" w:rsidP="004E65E7">
            <w:pPr>
              <w:rPr>
                <w:sz w:val="18"/>
                <w:szCs w:val="18"/>
                <w:lang w:val="es-ES"/>
              </w:rPr>
            </w:pPr>
          </w:p>
        </w:tc>
        <w:tc>
          <w:tcPr>
            <w:tcW w:w="2410" w:type="dxa"/>
            <w:vMerge/>
          </w:tcPr>
          <w:p w14:paraId="2A967EE4" w14:textId="77777777" w:rsidR="00067534" w:rsidRPr="00B83E1A" w:rsidRDefault="00067534" w:rsidP="004E65E7">
            <w:pPr>
              <w:rPr>
                <w:sz w:val="18"/>
                <w:szCs w:val="18"/>
                <w:lang w:val="es-ES"/>
              </w:rPr>
            </w:pPr>
          </w:p>
        </w:tc>
        <w:tc>
          <w:tcPr>
            <w:tcW w:w="2268" w:type="dxa"/>
            <w:gridSpan w:val="3"/>
          </w:tcPr>
          <w:p w14:paraId="6A8EAB32" w14:textId="77777777" w:rsidR="00067534" w:rsidRPr="00B83E1A" w:rsidRDefault="00067534" w:rsidP="004E65E7">
            <w:pPr>
              <w:spacing w:after="120"/>
              <w:rPr>
                <w:sz w:val="18"/>
                <w:szCs w:val="18"/>
                <w:lang w:val="es-ES" w:bidi="th-TH"/>
              </w:rPr>
            </w:pPr>
            <w:r w:rsidRPr="00B83E1A">
              <w:rPr>
                <w:sz w:val="18"/>
                <w:szCs w:val="18"/>
                <w:lang w:val="es-ES"/>
              </w:rPr>
              <w:t>Número de países que presentaron comentarios positivos sobre la utilidad del asesoramiento proporcionado en materia legislativa en la esfera de las marcas, los dibujos y modelos industriales y las indicaciones geográficas.</w:t>
            </w:r>
          </w:p>
        </w:tc>
        <w:tc>
          <w:tcPr>
            <w:tcW w:w="2869" w:type="dxa"/>
            <w:gridSpan w:val="2"/>
          </w:tcPr>
          <w:p w14:paraId="7E4A8A1B" w14:textId="77777777" w:rsidR="00067534" w:rsidRPr="00B83E1A" w:rsidRDefault="00067534" w:rsidP="004E65E7">
            <w:pPr>
              <w:rPr>
                <w:sz w:val="18"/>
                <w:szCs w:val="18"/>
                <w:lang w:val="es-ES"/>
              </w:rPr>
            </w:pPr>
            <w:r w:rsidRPr="00B83E1A">
              <w:rPr>
                <w:sz w:val="18"/>
                <w:szCs w:val="18"/>
                <w:lang w:val="es-ES" w:bidi="th-TH"/>
              </w:rPr>
              <w:t>Comentarios positivos recibidos de tres países (de los tres encuestados).</w:t>
            </w:r>
          </w:p>
        </w:tc>
      </w:tr>
      <w:tr w:rsidR="00067534" w:rsidRPr="00B83E1A" w14:paraId="6748C1C9" w14:textId="77777777" w:rsidTr="0010740F">
        <w:trPr>
          <w:trHeight w:val="1729"/>
          <w:jc w:val="center"/>
        </w:trPr>
        <w:tc>
          <w:tcPr>
            <w:tcW w:w="1681" w:type="dxa"/>
            <w:gridSpan w:val="2"/>
            <w:vMerge/>
          </w:tcPr>
          <w:p w14:paraId="1F0A33DB" w14:textId="77777777" w:rsidR="00067534" w:rsidRPr="00B83E1A" w:rsidRDefault="00067534" w:rsidP="004E65E7">
            <w:pPr>
              <w:rPr>
                <w:sz w:val="18"/>
                <w:szCs w:val="18"/>
                <w:lang w:val="es-ES"/>
              </w:rPr>
            </w:pPr>
          </w:p>
        </w:tc>
        <w:tc>
          <w:tcPr>
            <w:tcW w:w="2410" w:type="dxa"/>
            <w:vMerge/>
          </w:tcPr>
          <w:p w14:paraId="65741A32" w14:textId="77777777" w:rsidR="00067534" w:rsidRPr="00B83E1A" w:rsidRDefault="00067534" w:rsidP="004E65E7">
            <w:pPr>
              <w:rPr>
                <w:sz w:val="18"/>
                <w:szCs w:val="18"/>
                <w:lang w:val="es-ES"/>
              </w:rPr>
            </w:pPr>
          </w:p>
        </w:tc>
        <w:tc>
          <w:tcPr>
            <w:tcW w:w="2268" w:type="dxa"/>
            <w:gridSpan w:val="3"/>
          </w:tcPr>
          <w:p w14:paraId="321DCE80" w14:textId="77777777" w:rsidR="00067534" w:rsidRPr="00B83E1A" w:rsidRDefault="00067534" w:rsidP="004E65E7">
            <w:pPr>
              <w:spacing w:after="120"/>
              <w:rPr>
                <w:sz w:val="18"/>
                <w:szCs w:val="18"/>
                <w:lang w:val="es-ES"/>
              </w:rPr>
            </w:pPr>
            <w:r w:rsidRPr="00B83E1A">
              <w:rPr>
                <w:sz w:val="18"/>
                <w:szCs w:val="18"/>
                <w:lang w:val="es-ES" w:bidi="th-TH"/>
              </w:rPr>
              <w:t>Número de países que han iniciado reformas legislativas en la esfera del derecho de autor y los derechos conexos.</w:t>
            </w:r>
          </w:p>
        </w:tc>
        <w:tc>
          <w:tcPr>
            <w:tcW w:w="2869" w:type="dxa"/>
            <w:gridSpan w:val="2"/>
          </w:tcPr>
          <w:p w14:paraId="419AB619" w14:textId="09713CD3" w:rsidR="00067534" w:rsidRPr="00B83E1A" w:rsidRDefault="00067534" w:rsidP="0010740F">
            <w:pPr>
              <w:rPr>
                <w:sz w:val="18"/>
                <w:szCs w:val="18"/>
                <w:lang w:val="es-ES"/>
              </w:rPr>
            </w:pPr>
            <w:r w:rsidRPr="00B83E1A">
              <w:rPr>
                <w:sz w:val="18"/>
                <w:szCs w:val="18"/>
                <w:lang w:val="es-ES" w:bidi="th-TH"/>
              </w:rPr>
              <w:t>Nueve países de las siguientes regiones recibieron asesoramiento en el ámbito legislativo e</w:t>
            </w:r>
            <w:r w:rsidR="00D23810" w:rsidRPr="00B83E1A">
              <w:rPr>
                <w:sz w:val="18"/>
                <w:szCs w:val="18"/>
                <w:lang w:val="es-ES" w:bidi="th-TH"/>
              </w:rPr>
              <w:t>n 2</w:t>
            </w:r>
            <w:r w:rsidRPr="00B83E1A">
              <w:rPr>
                <w:sz w:val="18"/>
                <w:szCs w:val="18"/>
                <w:lang w:val="es-ES" w:bidi="th-TH"/>
              </w:rPr>
              <w:t>012:  África (3);  Países Árabes (4);  Asia y el Pacífico (1);  América Latina y el Caribe (1).</w:t>
            </w:r>
          </w:p>
        </w:tc>
      </w:tr>
      <w:tr w:rsidR="00067534" w:rsidRPr="00B83E1A" w14:paraId="167CA35B" w14:textId="77777777" w:rsidTr="004E65E7">
        <w:trPr>
          <w:jc w:val="center"/>
        </w:trPr>
        <w:tc>
          <w:tcPr>
            <w:tcW w:w="1681" w:type="dxa"/>
            <w:gridSpan w:val="2"/>
            <w:vMerge/>
          </w:tcPr>
          <w:p w14:paraId="6D3F1AA7" w14:textId="77777777" w:rsidR="00067534" w:rsidRPr="00B83E1A" w:rsidRDefault="00067534" w:rsidP="004E65E7">
            <w:pPr>
              <w:rPr>
                <w:sz w:val="18"/>
                <w:szCs w:val="18"/>
                <w:lang w:val="es-ES"/>
              </w:rPr>
            </w:pPr>
          </w:p>
        </w:tc>
        <w:tc>
          <w:tcPr>
            <w:tcW w:w="2410" w:type="dxa"/>
            <w:vMerge/>
          </w:tcPr>
          <w:p w14:paraId="28EE6252" w14:textId="77777777" w:rsidR="00067534" w:rsidRPr="00B83E1A" w:rsidRDefault="00067534" w:rsidP="004E65E7">
            <w:pPr>
              <w:rPr>
                <w:sz w:val="18"/>
                <w:szCs w:val="18"/>
                <w:lang w:val="es-ES"/>
              </w:rPr>
            </w:pPr>
          </w:p>
        </w:tc>
        <w:tc>
          <w:tcPr>
            <w:tcW w:w="2268" w:type="dxa"/>
            <w:gridSpan w:val="3"/>
          </w:tcPr>
          <w:p w14:paraId="5C3E9BC2" w14:textId="77777777" w:rsidR="00067534" w:rsidRPr="00B83E1A" w:rsidRDefault="00067534" w:rsidP="004E65E7">
            <w:pPr>
              <w:spacing w:after="120"/>
              <w:rPr>
                <w:sz w:val="18"/>
                <w:szCs w:val="18"/>
                <w:lang w:val="es-ES" w:bidi="th-TH"/>
              </w:rPr>
            </w:pPr>
            <w:r w:rsidRPr="00B83E1A">
              <w:rPr>
                <w:sz w:val="18"/>
                <w:szCs w:val="18"/>
                <w:lang w:val="es-ES" w:bidi="th-TH"/>
              </w:rPr>
              <w:t>Porcentaje de participantes en talleres de creación de capacidad sobre cuestiones de derecho de autor que expresaron satisfacción al respecto.</w:t>
            </w:r>
          </w:p>
        </w:tc>
        <w:tc>
          <w:tcPr>
            <w:tcW w:w="2869" w:type="dxa"/>
            <w:gridSpan w:val="2"/>
          </w:tcPr>
          <w:p w14:paraId="68EA559D" w14:textId="77777777" w:rsidR="00067534" w:rsidRPr="00B83E1A" w:rsidRDefault="00067534" w:rsidP="004E65E7">
            <w:pPr>
              <w:rPr>
                <w:sz w:val="18"/>
                <w:szCs w:val="18"/>
                <w:lang w:val="es-ES" w:bidi="th-TH"/>
              </w:rPr>
            </w:pPr>
            <w:r w:rsidRPr="00B83E1A">
              <w:rPr>
                <w:sz w:val="18"/>
                <w:szCs w:val="18"/>
                <w:lang w:val="es-ES" w:bidi="th-TH"/>
              </w:rPr>
              <w:t>Más del 80% de participantes reconocieron la utilidad de los talleres.</w:t>
            </w:r>
          </w:p>
          <w:p w14:paraId="00E356B5" w14:textId="77777777" w:rsidR="00067534" w:rsidRPr="00B83E1A" w:rsidRDefault="00067534" w:rsidP="004E65E7">
            <w:pPr>
              <w:rPr>
                <w:sz w:val="18"/>
                <w:szCs w:val="18"/>
                <w:lang w:val="es-ES" w:bidi="th-TH"/>
              </w:rPr>
            </w:pPr>
          </w:p>
          <w:p w14:paraId="2C821C19" w14:textId="77777777" w:rsidR="00067534" w:rsidRPr="00B83E1A" w:rsidRDefault="00067534" w:rsidP="004E65E7">
            <w:pPr>
              <w:rPr>
                <w:sz w:val="18"/>
                <w:szCs w:val="18"/>
                <w:lang w:val="es-ES"/>
              </w:rPr>
            </w:pPr>
          </w:p>
        </w:tc>
      </w:tr>
      <w:tr w:rsidR="00067534" w:rsidRPr="00B83E1A" w14:paraId="580A9880" w14:textId="77777777" w:rsidTr="004E65E7">
        <w:trPr>
          <w:jc w:val="center"/>
        </w:trPr>
        <w:tc>
          <w:tcPr>
            <w:tcW w:w="1681" w:type="dxa"/>
            <w:gridSpan w:val="2"/>
            <w:vMerge/>
          </w:tcPr>
          <w:p w14:paraId="4693A8D8" w14:textId="77777777" w:rsidR="00067534" w:rsidRPr="00B83E1A" w:rsidRDefault="00067534" w:rsidP="004E65E7">
            <w:pPr>
              <w:rPr>
                <w:sz w:val="18"/>
                <w:szCs w:val="18"/>
                <w:lang w:val="es-ES"/>
              </w:rPr>
            </w:pPr>
          </w:p>
        </w:tc>
        <w:tc>
          <w:tcPr>
            <w:tcW w:w="2410" w:type="dxa"/>
            <w:vMerge/>
          </w:tcPr>
          <w:p w14:paraId="29C1534E" w14:textId="77777777" w:rsidR="00067534" w:rsidRPr="00B83E1A" w:rsidRDefault="00067534" w:rsidP="004E65E7">
            <w:pPr>
              <w:rPr>
                <w:sz w:val="18"/>
                <w:szCs w:val="18"/>
                <w:lang w:val="es-ES"/>
              </w:rPr>
            </w:pPr>
          </w:p>
        </w:tc>
        <w:tc>
          <w:tcPr>
            <w:tcW w:w="2268" w:type="dxa"/>
            <w:gridSpan w:val="3"/>
          </w:tcPr>
          <w:p w14:paraId="78A5979F" w14:textId="77777777" w:rsidR="00067534" w:rsidRPr="00B83E1A" w:rsidRDefault="00067534" w:rsidP="004E65E7">
            <w:pPr>
              <w:spacing w:after="120"/>
              <w:rPr>
                <w:sz w:val="18"/>
                <w:szCs w:val="18"/>
                <w:lang w:val="es-ES" w:bidi="th-TH"/>
              </w:rPr>
            </w:pPr>
            <w:r w:rsidRPr="00B83E1A">
              <w:rPr>
                <w:sz w:val="18"/>
                <w:szCs w:val="18"/>
                <w:lang w:val="es-ES" w:bidi="th-TH"/>
              </w:rPr>
              <w:t>Porcentaje de participantes en talleres sobre derecho de autor que manifestaron satisfacción al respecto además de la utilidad práctica de los conocimientos adquiridos seis meses después del taller.</w:t>
            </w:r>
          </w:p>
        </w:tc>
        <w:tc>
          <w:tcPr>
            <w:tcW w:w="2869" w:type="dxa"/>
            <w:gridSpan w:val="2"/>
          </w:tcPr>
          <w:p w14:paraId="03B6A920" w14:textId="77777777" w:rsidR="00067534" w:rsidRPr="00B83E1A" w:rsidRDefault="00067534" w:rsidP="004E65E7">
            <w:pPr>
              <w:rPr>
                <w:sz w:val="18"/>
                <w:szCs w:val="18"/>
                <w:lang w:val="es-ES" w:bidi="th-TH"/>
              </w:rPr>
            </w:pPr>
            <w:r w:rsidRPr="00B83E1A">
              <w:rPr>
                <w:sz w:val="18"/>
                <w:szCs w:val="18"/>
                <w:lang w:val="es-ES" w:bidi="th-TH"/>
              </w:rPr>
              <w:t>Aproximadamente el 80% manifestaron satisfacción respecto a la utilidad práctica de la información.</w:t>
            </w:r>
          </w:p>
          <w:p w14:paraId="1182D591" w14:textId="77777777" w:rsidR="00067534" w:rsidRPr="00B83E1A" w:rsidRDefault="00067534" w:rsidP="004E65E7">
            <w:pPr>
              <w:rPr>
                <w:sz w:val="18"/>
                <w:szCs w:val="18"/>
                <w:lang w:val="es-ES" w:bidi="th-TH"/>
              </w:rPr>
            </w:pPr>
          </w:p>
          <w:p w14:paraId="6347E434" w14:textId="77777777" w:rsidR="00067534" w:rsidRPr="00B83E1A" w:rsidRDefault="00067534" w:rsidP="004E65E7">
            <w:pPr>
              <w:rPr>
                <w:sz w:val="18"/>
                <w:szCs w:val="18"/>
                <w:lang w:val="es-ES"/>
              </w:rPr>
            </w:pPr>
          </w:p>
        </w:tc>
      </w:tr>
      <w:tr w:rsidR="00067534" w:rsidRPr="00B83E1A" w14:paraId="032FDE89" w14:textId="77777777" w:rsidTr="004E65E7">
        <w:trPr>
          <w:jc w:val="center"/>
        </w:trPr>
        <w:tc>
          <w:tcPr>
            <w:tcW w:w="1681" w:type="dxa"/>
            <w:gridSpan w:val="2"/>
            <w:vMerge/>
          </w:tcPr>
          <w:p w14:paraId="298938C6" w14:textId="77777777" w:rsidR="00067534" w:rsidRPr="00B83E1A" w:rsidRDefault="00067534" w:rsidP="004E65E7">
            <w:pPr>
              <w:rPr>
                <w:sz w:val="18"/>
                <w:szCs w:val="18"/>
                <w:lang w:val="es-ES"/>
              </w:rPr>
            </w:pPr>
          </w:p>
        </w:tc>
        <w:tc>
          <w:tcPr>
            <w:tcW w:w="2410" w:type="dxa"/>
            <w:vMerge/>
          </w:tcPr>
          <w:p w14:paraId="1053C858" w14:textId="77777777" w:rsidR="00067534" w:rsidRPr="00B83E1A" w:rsidRDefault="00067534" w:rsidP="004E65E7">
            <w:pPr>
              <w:rPr>
                <w:sz w:val="18"/>
                <w:szCs w:val="18"/>
                <w:lang w:val="es-ES"/>
              </w:rPr>
            </w:pPr>
          </w:p>
        </w:tc>
        <w:tc>
          <w:tcPr>
            <w:tcW w:w="2268" w:type="dxa"/>
            <w:gridSpan w:val="3"/>
          </w:tcPr>
          <w:p w14:paraId="79398539" w14:textId="77777777" w:rsidR="00067534" w:rsidRPr="00B83E1A" w:rsidRDefault="00067534" w:rsidP="004E65E7">
            <w:pPr>
              <w:spacing w:after="120"/>
              <w:rPr>
                <w:sz w:val="18"/>
                <w:szCs w:val="18"/>
                <w:lang w:val="es-ES" w:bidi="th-TH"/>
              </w:rPr>
            </w:pPr>
            <w:r w:rsidRPr="00B83E1A">
              <w:rPr>
                <w:sz w:val="18"/>
                <w:szCs w:val="18"/>
                <w:lang w:val="es-ES" w:bidi="th-TH"/>
              </w:rPr>
              <w:t>Número de iniciativas nacionales en el ámbito del derecho de autor y los derechos conexos emprendidas y directamente relacionadas con los temas objeto de los talleres.</w:t>
            </w:r>
          </w:p>
        </w:tc>
        <w:tc>
          <w:tcPr>
            <w:tcW w:w="2869" w:type="dxa"/>
            <w:gridSpan w:val="2"/>
          </w:tcPr>
          <w:p w14:paraId="2EB8D0D2" w14:textId="7FD1E380" w:rsidR="00067534" w:rsidRPr="00B83E1A" w:rsidRDefault="00067534" w:rsidP="004E65E7">
            <w:pPr>
              <w:spacing w:after="120"/>
              <w:rPr>
                <w:sz w:val="18"/>
                <w:szCs w:val="18"/>
                <w:lang w:val="es-ES"/>
              </w:rPr>
            </w:pPr>
            <w:r w:rsidRPr="00B83E1A">
              <w:rPr>
                <w:sz w:val="18"/>
                <w:szCs w:val="18"/>
                <w:lang w:val="es-ES" w:bidi="th-TH"/>
              </w:rPr>
              <w:t>Más de</w:t>
            </w:r>
            <w:r w:rsidR="00D23810" w:rsidRPr="00B83E1A">
              <w:rPr>
                <w:sz w:val="18"/>
                <w:szCs w:val="18"/>
                <w:lang w:val="es-ES" w:bidi="th-TH"/>
              </w:rPr>
              <w:t>l 5</w:t>
            </w:r>
            <w:r w:rsidRPr="00B83E1A">
              <w:rPr>
                <w:sz w:val="18"/>
                <w:szCs w:val="18"/>
                <w:lang w:val="es-ES" w:bidi="th-TH"/>
              </w:rPr>
              <w:t xml:space="preserve">0% de los países llevaron adelante iniciativas a raíz de los talleres sobre programas de sensibilización, mejora de las capacidades institucionales y humanas, y mejora de los sistemas de derechos de autor. </w:t>
            </w:r>
          </w:p>
        </w:tc>
      </w:tr>
      <w:tr w:rsidR="00067534" w:rsidRPr="00B83E1A" w14:paraId="33A3F929" w14:textId="77777777" w:rsidTr="004E65E7">
        <w:trPr>
          <w:jc w:val="center"/>
        </w:trPr>
        <w:tc>
          <w:tcPr>
            <w:tcW w:w="1681" w:type="dxa"/>
            <w:gridSpan w:val="2"/>
            <w:vMerge/>
          </w:tcPr>
          <w:p w14:paraId="5E78E3DE" w14:textId="77777777" w:rsidR="00067534" w:rsidRPr="00B83E1A" w:rsidRDefault="00067534" w:rsidP="004E65E7">
            <w:pPr>
              <w:rPr>
                <w:sz w:val="18"/>
                <w:szCs w:val="18"/>
                <w:lang w:val="es-ES"/>
              </w:rPr>
            </w:pPr>
          </w:p>
        </w:tc>
        <w:tc>
          <w:tcPr>
            <w:tcW w:w="2410" w:type="dxa"/>
            <w:vMerge/>
          </w:tcPr>
          <w:p w14:paraId="5ECA9B08" w14:textId="77777777" w:rsidR="00067534" w:rsidRPr="00B83E1A" w:rsidRDefault="00067534" w:rsidP="004E65E7">
            <w:pPr>
              <w:rPr>
                <w:sz w:val="18"/>
                <w:szCs w:val="18"/>
                <w:lang w:val="es-ES"/>
              </w:rPr>
            </w:pPr>
          </w:p>
        </w:tc>
        <w:tc>
          <w:tcPr>
            <w:tcW w:w="2268" w:type="dxa"/>
            <w:gridSpan w:val="3"/>
          </w:tcPr>
          <w:p w14:paraId="1DAA7B84" w14:textId="77777777" w:rsidR="00067534" w:rsidRPr="00B83E1A" w:rsidRDefault="00067534" w:rsidP="004E65E7">
            <w:pPr>
              <w:rPr>
                <w:sz w:val="18"/>
                <w:szCs w:val="18"/>
                <w:lang w:val="es-ES" w:bidi="th-TH"/>
              </w:rPr>
            </w:pPr>
            <w:r w:rsidRPr="00B83E1A">
              <w:rPr>
                <w:sz w:val="18"/>
                <w:szCs w:val="18"/>
                <w:lang w:val="es-ES" w:bidi="th-TH"/>
              </w:rPr>
              <w:t>Número de peticiones de asesoramiento en materia legislativa, y tipos de asesoramiento brindado en relación con las patentes, los modelos de utilidad, los secretos comerciales y los circuitos integrados, incluidas las flexibilidades pertinentes en materia de P.I.</w:t>
            </w:r>
          </w:p>
        </w:tc>
        <w:tc>
          <w:tcPr>
            <w:tcW w:w="2869" w:type="dxa"/>
            <w:gridSpan w:val="2"/>
          </w:tcPr>
          <w:p w14:paraId="3051493A" w14:textId="77777777" w:rsidR="00067534" w:rsidRPr="00B83E1A" w:rsidRDefault="00067534" w:rsidP="004E65E7">
            <w:pPr>
              <w:rPr>
                <w:sz w:val="18"/>
                <w:szCs w:val="18"/>
                <w:lang w:val="es-ES" w:bidi="th-TH"/>
              </w:rPr>
            </w:pPr>
            <w:r w:rsidRPr="00B83E1A">
              <w:rPr>
                <w:sz w:val="18"/>
                <w:szCs w:val="18"/>
                <w:lang w:val="es-ES" w:bidi="th-TH"/>
              </w:rPr>
              <w:t>Se proporcionó asesoramiento en materia legislativa a cuatro expertos jurídicos de Liberia durante su visita de estudio a la sede de la OMPI.</w:t>
            </w:r>
          </w:p>
          <w:p w14:paraId="0B00144F" w14:textId="37AE7ECD" w:rsidR="00067534" w:rsidRPr="00B83E1A" w:rsidRDefault="00067534" w:rsidP="004E65E7">
            <w:pPr>
              <w:rPr>
                <w:sz w:val="18"/>
                <w:szCs w:val="18"/>
                <w:lang w:val="es-ES" w:bidi="th-TH"/>
              </w:rPr>
            </w:pPr>
            <w:r w:rsidRPr="00B83E1A">
              <w:rPr>
                <w:sz w:val="18"/>
                <w:szCs w:val="18"/>
                <w:lang w:val="es-ES" w:bidi="th-TH"/>
              </w:rPr>
              <w:t>E</w:t>
            </w:r>
            <w:r w:rsidR="00D23810" w:rsidRPr="00B83E1A">
              <w:rPr>
                <w:sz w:val="18"/>
                <w:szCs w:val="18"/>
                <w:lang w:val="es-ES" w:bidi="th-TH"/>
              </w:rPr>
              <w:t>n 2</w:t>
            </w:r>
            <w:r w:rsidRPr="00B83E1A">
              <w:rPr>
                <w:sz w:val="18"/>
                <w:szCs w:val="18"/>
                <w:lang w:val="es-ES" w:bidi="th-TH"/>
              </w:rPr>
              <w:t>012 se proporcionaro</w:t>
            </w:r>
            <w:r w:rsidR="00D23810" w:rsidRPr="00B83E1A">
              <w:rPr>
                <w:sz w:val="18"/>
                <w:szCs w:val="18"/>
                <w:lang w:val="es-ES" w:bidi="th-TH"/>
              </w:rPr>
              <w:t>n 1</w:t>
            </w:r>
            <w:r w:rsidRPr="00B83E1A">
              <w:rPr>
                <w:sz w:val="18"/>
                <w:szCs w:val="18"/>
                <w:lang w:val="es-ES" w:bidi="th-TH"/>
              </w:rPr>
              <w:t>1 comentarios por escrito a Estados miembros;  se organizaro</w:t>
            </w:r>
            <w:r w:rsidR="00D23810" w:rsidRPr="00B83E1A">
              <w:rPr>
                <w:sz w:val="18"/>
                <w:szCs w:val="18"/>
                <w:lang w:val="es-ES" w:bidi="th-TH"/>
              </w:rPr>
              <w:t>n 3</w:t>
            </w:r>
            <w:r w:rsidRPr="00B83E1A">
              <w:rPr>
                <w:sz w:val="18"/>
                <w:szCs w:val="18"/>
                <w:lang w:val="es-ES" w:bidi="th-TH"/>
              </w:rPr>
              <w:t xml:space="preserve"> misiones breves a las capitales </w:t>
            </w:r>
            <w:r w:rsidR="00D23810" w:rsidRPr="00B83E1A">
              <w:rPr>
                <w:sz w:val="18"/>
                <w:szCs w:val="18"/>
                <w:lang w:val="es-ES" w:bidi="th-TH"/>
              </w:rPr>
              <w:t>y 4</w:t>
            </w:r>
            <w:r w:rsidRPr="00B83E1A">
              <w:rPr>
                <w:sz w:val="18"/>
                <w:szCs w:val="18"/>
                <w:lang w:val="es-ES" w:bidi="th-TH"/>
              </w:rPr>
              <w:t xml:space="preserve"> reuniones de consulta en la sede de la OMPI a fin de examinar, revisar y redactar textos jurídicos o analizar las opciones en materia de políticas.</w:t>
            </w:r>
          </w:p>
          <w:p w14:paraId="1D17C317" w14:textId="77777777" w:rsidR="00067534" w:rsidRPr="00B83E1A" w:rsidRDefault="00067534" w:rsidP="004E65E7">
            <w:pPr>
              <w:rPr>
                <w:sz w:val="18"/>
                <w:szCs w:val="18"/>
                <w:lang w:val="es-ES"/>
              </w:rPr>
            </w:pPr>
          </w:p>
        </w:tc>
      </w:tr>
      <w:tr w:rsidR="00067534" w:rsidRPr="00B83E1A" w14:paraId="5AEC6C84" w14:textId="77777777" w:rsidTr="004E65E7">
        <w:trPr>
          <w:trHeight w:val="1242"/>
          <w:jc w:val="center"/>
        </w:trPr>
        <w:tc>
          <w:tcPr>
            <w:tcW w:w="1681" w:type="dxa"/>
            <w:gridSpan w:val="2"/>
            <w:vMerge/>
          </w:tcPr>
          <w:p w14:paraId="349A6F64" w14:textId="77777777" w:rsidR="00067534" w:rsidRPr="00B83E1A" w:rsidRDefault="00067534" w:rsidP="004E65E7">
            <w:pPr>
              <w:rPr>
                <w:sz w:val="18"/>
                <w:szCs w:val="18"/>
                <w:lang w:val="es-ES"/>
              </w:rPr>
            </w:pPr>
          </w:p>
        </w:tc>
        <w:tc>
          <w:tcPr>
            <w:tcW w:w="2410" w:type="dxa"/>
            <w:vMerge/>
          </w:tcPr>
          <w:p w14:paraId="23B00C79" w14:textId="77777777" w:rsidR="00067534" w:rsidRPr="00B83E1A" w:rsidRDefault="00067534" w:rsidP="004E65E7">
            <w:pPr>
              <w:rPr>
                <w:sz w:val="18"/>
                <w:szCs w:val="18"/>
                <w:lang w:val="es-ES"/>
              </w:rPr>
            </w:pPr>
          </w:p>
        </w:tc>
        <w:tc>
          <w:tcPr>
            <w:tcW w:w="2268" w:type="dxa"/>
            <w:gridSpan w:val="3"/>
          </w:tcPr>
          <w:p w14:paraId="33DB39D3" w14:textId="77777777" w:rsidR="00067534" w:rsidRPr="00B83E1A" w:rsidRDefault="00067534" w:rsidP="004E65E7">
            <w:pPr>
              <w:spacing w:after="120"/>
              <w:rPr>
                <w:sz w:val="18"/>
                <w:szCs w:val="18"/>
                <w:lang w:val="es-ES" w:bidi="th-TH"/>
              </w:rPr>
            </w:pPr>
            <w:r w:rsidRPr="00B83E1A">
              <w:rPr>
                <w:sz w:val="18"/>
                <w:szCs w:val="18"/>
                <w:lang w:val="es-ES" w:bidi="th-TH"/>
              </w:rPr>
              <w:t>Número de países que consideraron útil el asesoramiento en materia legislativa relacionado con las patentes, los modelos de utilidad, los secretos comerciales y los circuitos integrados.</w:t>
            </w:r>
          </w:p>
          <w:p w14:paraId="7C463282" w14:textId="77777777" w:rsidR="00067534" w:rsidRPr="00B83E1A" w:rsidRDefault="00067534" w:rsidP="004E65E7">
            <w:pPr>
              <w:spacing w:after="120"/>
              <w:rPr>
                <w:sz w:val="18"/>
                <w:szCs w:val="18"/>
                <w:lang w:val="es-ES" w:bidi="th-TH"/>
              </w:rPr>
            </w:pPr>
          </w:p>
        </w:tc>
        <w:tc>
          <w:tcPr>
            <w:tcW w:w="2869" w:type="dxa"/>
            <w:gridSpan w:val="2"/>
          </w:tcPr>
          <w:p w14:paraId="2C0CA3C8" w14:textId="71EBD228" w:rsidR="00067534" w:rsidRPr="00B83E1A" w:rsidRDefault="00067534" w:rsidP="004E65E7">
            <w:pPr>
              <w:rPr>
                <w:sz w:val="18"/>
                <w:szCs w:val="18"/>
                <w:lang w:val="es-ES" w:bidi="th-TH"/>
              </w:rPr>
            </w:pPr>
            <w:r w:rsidRPr="00B83E1A">
              <w:rPr>
                <w:sz w:val="18"/>
                <w:szCs w:val="18"/>
                <w:lang w:val="es-ES" w:bidi="th-TH"/>
              </w:rPr>
              <w:t>La encuesta correspondiente al añ</w:t>
            </w:r>
            <w:r w:rsidR="00D23810" w:rsidRPr="00B83E1A">
              <w:rPr>
                <w:sz w:val="18"/>
                <w:szCs w:val="18"/>
                <w:lang w:val="es-ES" w:bidi="th-TH"/>
              </w:rPr>
              <w:t>o 2</w:t>
            </w:r>
            <w:r w:rsidRPr="00B83E1A">
              <w:rPr>
                <w:sz w:val="18"/>
                <w:szCs w:val="18"/>
                <w:lang w:val="es-ES" w:bidi="th-TH"/>
              </w:rPr>
              <w:t>012 está en curso</w:t>
            </w:r>
            <w:r w:rsidRPr="00B83E1A" w:rsidDel="00EC3CB1">
              <w:rPr>
                <w:sz w:val="18"/>
                <w:szCs w:val="18"/>
                <w:lang w:val="es-ES" w:bidi="th-TH"/>
              </w:rPr>
              <w:t xml:space="preserve"> </w:t>
            </w:r>
          </w:p>
          <w:p w14:paraId="7BF4018D" w14:textId="77777777" w:rsidR="00067534" w:rsidRPr="00B83E1A" w:rsidRDefault="00067534" w:rsidP="004E65E7">
            <w:pPr>
              <w:rPr>
                <w:sz w:val="18"/>
                <w:szCs w:val="18"/>
                <w:lang w:val="es-ES"/>
              </w:rPr>
            </w:pPr>
          </w:p>
        </w:tc>
      </w:tr>
      <w:tr w:rsidR="00067534" w:rsidRPr="00B83E1A" w14:paraId="027AFCD9" w14:textId="77777777" w:rsidTr="004E65E7">
        <w:trPr>
          <w:jc w:val="center"/>
        </w:trPr>
        <w:tc>
          <w:tcPr>
            <w:tcW w:w="1681" w:type="dxa"/>
            <w:gridSpan w:val="2"/>
            <w:vMerge/>
          </w:tcPr>
          <w:p w14:paraId="3B0BEC2E" w14:textId="77777777" w:rsidR="00067534" w:rsidRPr="00B83E1A" w:rsidRDefault="00067534" w:rsidP="004E65E7">
            <w:pPr>
              <w:rPr>
                <w:sz w:val="18"/>
                <w:szCs w:val="18"/>
                <w:lang w:val="es-ES"/>
              </w:rPr>
            </w:pPr>
          </w:p>
        </w:tc>
        <w:tc>
          <w:tcPr>
            <w:tcW w:w="2410" w:type="dxa"/>
            <w:vMerge/>
          </w:tcPr>
          <w:p w14:paraId="53706D96" w14:textId="77777777" w:rsidR="00067534" w:rsidRPr="00B83E1A" w:rsidRDefault="00067534" w:rsidP="004E65E7">
            <w:pPr>
              <w:rPr>
                <w:sz w:val="18"/>
                <w:szCs w:val="18"/>
                <w:lang w:val="es-ES"/>
              </w:rPr>
            </w:pPr>
          </w:p>
        </w:tc>
        <w:tc>
          <w:tcPr>
            <w:tcW w:w="2268" w:type="dxa"/>
            <w:gridSpan w:val="3"/>
          </w:tcPr>
          <w:p w14:paraId="1B28FB45" w14:textId="77777777" w:rsidR="00067534" w:rsidRPr="00B83E1A" w:rsidRDefault="00067534" w:rsidP="004E65E7">
            <w:pPr>
              <w:rPr>
                <w:sz w:val="18"/>
                <w:szCs w:val="18"/>
                <w:lang w:val="es-ES" w:bidi="th-TH"/>
              </w:rPr>
            </w:pPr>
            <w:r w:rsidRPr="00B83E1A">
              <w:rPr>
                <w:sz w:val="18"/>
                <w:szCs w:val="18"/>
                <w:lang w:val="es-ES" w:bidi="th-TH"/>
              </w:rPr>
              <w:t xml:space="preserve">Porcentaje de participantes en talleres/seminarios sobre cuestiones específicas relacionadas con las patentes que expresaron satisfacción al respecto. </w:t>
            </w:r>
          </w:p>
        </w:tc>
        <w:tc>
          <w:tcPr>
            <w:tcW w:w="2869" w:type="dxa"/>
            <w:gridSpan w:val="2"/>
          </w:tcPr>
          <w:p w14:paraId="0E3C4F80" w14:textId="4B948D2F" w:rsidR="00067534" w:rsidRPr="00B83E1A" w:rsidRDefault="00067534" w:rsidP="004E65E7">
            <w:pPr>
              <w:spacing w:after="80"/>
              <w:rPr>
                <w:sz w:val="18"/>
                <w:szCs w:val="18"/>
                <w:lang w:val="es-ES" w:bidi="th-TH"/>
              </w:rPr>
            </w:pPr>
            <w:r w:rsidRPr="00B83E1A">
              <w:rPr>
                <w:sz w:val="18"/>
                <w:szCs w:val="18"/>
                <w:lang w:val="es-ES" w:bidi="th-TH"/>
              </w:rPr>
              <w:t>Taller nacional sobre la política de patentes y su aplicación legislativa (Costa Rica, septiembre d</w:t>
            </w:r>
            <w:r w:rsidR="00D23810" w:rsidRPr="00B83E1A">
              <w:rPr>
                <w:sz w:val="18"/>
                <w:szCs w:val="18"/>
                <w:lang w:val="es-ES" w:bidi="th-TH"/>
              </w:rPr>
              <w:t>e 2</w:t>
            </w:r>
            <w:r w:rsidRPr="00B83E1A">
              <w:rPr>
                <w:sz w:val="18"/>
                <w:szCs w:val="18"/>
                <w:lang w:val="es-ES" w:bidi="th-TH"/>
              </w:rPr>
              <w:t>012) (92,5%).</w:t>
            </w:r>
          </w:p>
          <w:p w14:paraId="3AC29547" w14:textId="7701301A" w:rsidR="00067534" w:rsidRPr="00B83E1A" w:rsidRDefault="00067534" w:rsidP="004E65E7">
            <w:pPr>
              <w:spacing w:after="80"/>
              <w:rPr>
                <w:sz w:val="18"/>
                <w:szCs w:val="18"/>
                <w:lang w:val="es-ES" w:bidi="th-TH"/>
              </w:rPr>
            </w:pPr>
            <w:r w:rsidRPr="00B83E1A">
              <w:rPr>
                <w:sz w:val="18"/>
                <w:szCs w:val="18"/>
                <w:lang w:val="es-ES" w:bidi="th-TH"/>
              </w:rPr>
              <w:t>Taller subregional sobre la protección de la invención en el sector farmacéutico:  patentes, información no divulgada y políticas de salud (Riad (Arabia Saudita), octubre d</w:t>
            </w:r>
            <w:r w:rsidR="00D23810" w:rsidRPr="00B83E1A">
              <w:rPr>
                <w:sz w:val="18"/>
                <w:szCs w:val="18"/>
                <w:lang w:val="es-ES" w:bidi="th-TH"/>
              </w:rPr>
              <w:t>e 2</w:t>
            </w:r>
            <w:r w:rsidRPr="00B83E1A">
              <w:rPr>
                <w:sz w:val="18"/>
                <w:szCs w:val="18"/>
                <w:lang w:val="es-ES" w:bidi="th-TH"/>
              </w:rPr>
              <w:t>012) (96,7%).</w:t>
            </w:r>
          </w:p>
          <w:p w14:paraId="55E58BF9" w14:textId="53360D95" w:rsidR="00067534" w:rsidRPr="00B83E1A" w:rsidRDefault="00067534" w:rsidP="004E65E7">
            <w:pPr>
              <w:rPr>
                <w:sz w:val="18"/>
                <w:szCs w:val="18"/>
                <w:lang w:val="es-ES" w:bidi="th-TH"/>
              </w:rPr>
            </w:pPr>
            <w:r w:rsidRPr="00B83E1A">
              <w:rPr>
                <w:sz w:val="18"/>
                <w:szCs w:val="18"/>
                <w:lang w:val="es-ES" w:bidi="th-TH"/>
              </w:rPr>
              <w:t>Seminario regional sobre los aspectos legislativos, económicos y de política del sistema de protección de los modelos de utilidad (Kuala Lumpur (Malasia), septiembre d</w:t>
            </w:r>
            <w:r w:rsidR="00D23810" w:rsidRPr="00B83E1A">
              <w:rPr>
                <w:sz w:val="18"/>
                <w:szCs w:val="18"/>
                <w:lang w:val="es-ES" w:bidi="th-TH"/>
              </w:rPr>
              <w:t>e 2</w:t>
            </w:r>
            <w:r w:rsidRPr="00B83E1A">
              <w:rPr>
                <w:sz w:val="18"/>
                <w:szCs w:val="18"/>
                <w:lang w:val="es-ES" w:bidi="th-TH"/>
              </w:rPr>
              <w:t>012) (100%)</w:t>
            </w:r>
          </w:p>
          <w:p w14:paraId="5E90E0B4" w14:textId="77777777" w:rsidR="009A700A" w:rsidRPr="00B83E1A" w:rsidRDefault="00067534" w:rsidP="004E65E7">
            <w:pPr>
              <w:rPr>
                <w:sz w:val="18"/>
                <w:szCs w:val="18"/>
                <w:lang w:val="es-ES" w:bidi="th-TH"/>
              </w:rPr>
            </w:pPr>
            <w:r w:rsidRPr="00B83E1A">
              <w:rPr>
                <w:sz w:val="18"/>
                <w:szCs w:val="18"/>
                <w:lang w:val="es-ES" w:bidi="th-TH"/>
              </w:rPr>
              <w:t>Curso de formación sobre Derecho y examen de patentes (República de Corea);  coloquio OMPI-OMC para enseñantes de propiedad intelectual (Ginebra);  seminario interregional de nivel intermedio sobre propiedad industrial (Ginebra)</w:t>
            </w:r>
            <w:r w:rsidR="009A700A" w:rsidRPr="00B83E1A">
              <w:rPr>
                <w:sz w:val="18"/>
                <w:szCs w:val="18"/>
                <w:lang w:val="es-ES" w:bidi="th-TH"/>
              </w:rPr>
              <w:t>.</w:t>
            </w:r>
          </w:p>
          <w:p w14:paraId="066C8414" w14:textId="4A4F482E" w:rsidR="00067534" w:rsidRPr="00B83E1A" w:rsidRDefault="00067534" w:rsidP="004E65E7">
            <w:pPr>
              <w:rPr>
                <w:sz w:val="18"/>
                <w:szCs w:val="18"/>
                <w:lang w:val="es-ES" w:bidi="th-TH"/>
              </w:rPr>
            </w:pPr>
            <w:r w:rsidRPr="00B83E1A">
              <w:rPr>
                <w:sz w:val="18"/>
                <w:szCs w:val="18"/>
                <w:lang w:val="es-ES" w:bidi="th-TH"/>
              </w:rPr>
              <w:t>Todos los participantes expresaron su satisfacción con los talleres y seminarios a los que habían asistido (100%).</w:t>
            </w:r>
          </w:p>
          <w:p w14:paraId="6B1E3F9B" w14:textId="77777777" w:rsidR="00067534" w:rsidRPr="00B83E1A" w:rsidRDefault="00067534" w:rsidP="004E65E7">
            <w:pPr>
              <w:rPr>
                <w:sz w:val="18"/>
                <w:szCs w:val="18"/>
                <w:lang w:val="es-ES"/>
              </w:rPr>
            </w:pPr>
          </w:p>
        </w:tc>
      </w:tr>
      <w:tr w:rsidR="00067534" w:rsidRPr="00B83E1A" w14:paraId="38F40EE5" w14:textId="77777777" w:rsidTr="004E65E7">
        <w:trPr>
          <w:trHeight w:val="1706"/>
          <w:jc w:val="center"/>
        </w:trPr>
        <w:tc>
          <w:tcPr>
            <w:tcW w:w="1681" w:type="dxa"/>
            <w:gridSpan w:val="2"/>
            <w:vMerge/>
          </w:tcPr>
          <w:p w14:paraId="4342B4B9" w14:textId="77777777" w:rsidR="00067534" w:rsidRPr="00B83E1A" w:rsidRDefault="00067534" w:rsidP="004E65E7">
            <w:pPr>
              <w:rPr>
                <w:sz w:val="18"/>
                <w:szCs w:val="18"/>
                <w:lang w:val="es-ES"/>
              </w:rPr>
            </w:pPr>
          </w:p>
        </w:tc>
        <w:tc>
          <w:tcPr>
            <w:tcW w:w="2410" w:type="dxa"/>
            <w:vMerge/>
          </w:tcPr>
          <w:p w14:paraId="711BF745" w14:textId="77777777" w:rsidR="00067534" w:rsidRPr="00B83E1A" w:rsidRDefault="00067534" w:rsidP="004E65E7">
            <w:pPr>
              <w:rPr>
                <w:sz w:val="18"/>
                <w:szCs w:val="18"/>
                <w:lang w:val="es-ES"/>
              </w:rPr>
            </w:pPr>
          </w:p>
        </w:tc>
        <w:tc>
          <w:tcPr>
            <w:tcW w:w="2268" w:type="dxa"/>
            <w:gridSpan w:val="3"/>
          </w:tcPr>
          <w:p w14:paraId="58EA0FA5" w14:textId="77777777" w:rsidR="00067534" w:rsidRPr="00B83E1A" w:rsidRDefault="00067534" w:rsidP="004E65E7">
            <w:pPr>
              <w:rPr>
                <w:sz w:val="18"/>
                <w:szCs w:val="18"/>
                <w:lang w:val="es-ES" w:bidi="th-TH"/>
              </w:rPr>
            </w:pPr>
            <w:r w:rsidRPr="00B83E1A">
              <w:rPr>
                <w:sz w:val="18"/>
                <w:szCs w:val="18"/>
                <w:lang w:val="es-ES" w:bidi="th-TH"/>
              </w:rPr>
              <w:t xml:space="preserve">Número de Estados miembros que recibieron asesoramiento en materia legislativa en la esfera de las marcas, los dibujos y modelos industriales y las indicaciones geográficas. </w:t>
            </w:r>
          </w:p>
        </w:tc>
        <w:tc>
          <w:tcPr>
            <w:tcW w:w="2869" w:type="dxa"/>
            <w:gridSpan w:val="2"/>
          </w:tcPr>
          <w:p w14:paraId="26671744" w14:textId="7F7FBB7E" w:rsidR="00067534" w:rsidRPr="00B83E1A" w:rsidRDefault="00067534" w:rsidP="004E65E7">
            <w:pPr>
              <w:spacing w:after="40"/>
              <w:rPr>
                <w:sz w:val="18"/>
                <w:szCs w:val="18"/>
                <w:lang w:val="es-ES" w:bidi="th-TH"/>
              </w:rPr>
            </w:pPr>
            <w:r w:rsidRPr="00B83E1A">
              <w:rPr>
                <w:sz w:val="18"/>
                <w:szCs w:val="18"/>
                <w:lang w:val="es-ES" w:bidi="th-TH"/>
              </w:rPr>
              <w:t xml:space="preserve">Asesoramiento proporcionado </w:t>
            </w:r>
            <w:r w:rsidR="00D23810" w:rsidRPr="00B83E1A">
              <w:rPr>
                <w:sz w:val="18"/>
                <w:szCs w:val="18"/>
                <w:lang w:val="es-ES" w:bidi="th-TH"/>
              </w:rPr>
              <w:t>a 1</w:t>
            </w:r>
            <w:r w:rsidRPr="00B83E1A">
              <w:rPr>
                <w:sz w:val="18"/>
                <w:szCs w:val="18"/>
                <w:lang w:val="es-ES" w:bidi="th-TH"/>
              </w:rPr>
              <w:t>1 Estados miembros sobr</w:t>
            </w:r>
            <w:r w:rsidR="00D23810" w:rsidRPr="00B83E1A">
              <w:rPr>
                <w:sz w:val="18"/>
                <w:szCs w:val="18"/>
                <w:lang w:val="es-ES" w:bidi="th-TH"/>
              </w:rPr>
              <w:t>e 1</w:t>
            </w:r>
            <w:r w:rsidRPr="00B83E1A">
              <w:rPr>
                <w:sz w:val="18"/>
                <w:szCs w:val="18"/>
                <w:lang w:val="es-ES" w:bidi="th-TH"/>
              </w:rPr>
              <w:t>8 proyectos de legislación distintos:</w:t>
            </w:r>
          </w:p>
          <w:p w14:paraId="5BF45BE0" w14:textId="77777777" w:rsidR="00067534" w:rsidRPr="00B83E1A" w:rsidRDefault="00067534" w:rsidP="00067534">
            <w:pPr>
              <w:numPr>
                <w:ilvl w:val="0"/>
                <w:numId w:val="14"/>
              </w:numPr>
              <w:rPr>
                <w:sz w:val="18"/>
                <w:szCs w:val="18"/>
                <w:lang w:val="es-ES" w:bidi="th-TH"/>
              </w:rPr>
            </w:pPr>
            <w:r w:rsidRPr="00B83E1A">
              <w:rPr>
                <w:sz w:val="18"/>
                <w:szCs w:val="18"/>
                <w:lang w:val="es-ES" w:bidi="th-TH"/>
              </w:rPr>
              <w:t>África (2).</w:t>
            </w:r>
          </w:p>
          <w:p w14:paraId="487587DA" w14:textId="77777777" w:rsidR="00067534" w:rsidRPr="00B83E1A" w:rsidRDefault="00067534" w:rsidP="00067534">
            <w:pPr>
              <w:numPr>
                <w:ilvl w:val="0"/>
                <w:numId w:val="14"/>
              </w:numPr>
              <w:rPr>
                <w:sz w:val="18"/>
                <w:szCs w:val="18"/>
                <w:lang w:val="es-ES" w:bidi="th-TH"/>
              </w:rPr>
            </w:pPr>
            <w:r w:rsidRPr="00B83E1A">
              <w:rPr>
                <w:sz w:val="18"/>
                <w:szCs w:val="18"/>
                <w:lang w:val="es-ES" w:bidi="th-TH"/>
              </w:rPr>
              <w:t>Región de los países árabes (1).</w:t>
            </w:r>
          </w:p>
          <w:p w14:paraId="5FE98A1D" w14:textId="77777777" w:rsidR="00067534" w:rsidRPr="00B83E1A" w:rsidRDefault="00067534" w:rsidP="00067534">
            <w:pPr>
              <w:numPr>
                <w:ilvl w:val="0"/>
                <w:numId w:val="14"/>
              </w:numPr>
              <w:rPr>
                <w:sz w:val="18"/>
                <w:szCs w:val="18"/>
                <w:lang w:val="es-ES" w:bidi="th-TH"/>
              </w:rPr>
            </w:pPr>
            <w:r w:rsidRPr="00B83E1A">
              <w:rPr>
                <w:sz w:val="18"/>
                <w:szCs w:val="18"/>
                <w:lang w:val="es-ES" w:bidi="th-TH"/>
              </w:rPr>
              <w:t>Asia y el Pacífico (1).</w:t>
            </w:r>
          </w:p>
          <w:p w14:paraId="1D646529" w14:textId="77777777" w:rsidR="00067534" w:rsidRPr="00B83E1A" w:rsidRDefault="00067534" w:rsidP="00067534">
            <w:pPr>
              <w:numPr>
                <w:ilvl w:val="0"/>
                <w:numId w:val="14"/>
              </w:numPr>
              <w:ind w:right="268"/>
              <w:rPr>
                <w:sz w:val="18"/>
                <w:szCs w:val="18"/>
                <w:lang w:val="es-ES"/>
              </w:rPr>
            </w:pPr>
            <w:r w:rsidRPr="00B83E1A">
              <w:rPr>
                <w:sz w:val="18"/>
                <w:szCs w:val="18"/>
                <w:lang w:val="es-ES" w:bidi="th-TH"/>
              </w:rPr>
              <w:t>América Latina y el Caribe (7).</w:t>
            </w:r>
          </w:p>
          <w:p w14:paraId="4D2253C2" w14:textId="77777777" w:rsidR="00067534" w:rsidRPr="00B83E1A" w:rsidRDefault="00067534" w:rsidP="004E65E7">
            <w:pPr>
              <w:ind w:right="268"/>
              <w:rPr>
                <w:sz w:val="18"/>
                <w:szCs w:val="18"/>
                <w:lang w:val="es-ES"/>
              </w:rPr>
            </w:pPr>
          </w:p>
        </w:tc>
      </w:tr>
      <w:tr w:rsidR="00067534" w:rsidRPr="00B83E1A" w14:paraId="06DDB630" w14:textId="77777777" w:rsidTr="0010740F">
        <w:trPr>
          <w:trHeight w:val="2631"/>
          <w:jc w:val="center"/>
        </w:trPr>
        <w:tc>
          <w:tcPr>
            <w:tcW w:w="1681" w:type="dxa"/>
            <w:gridSpan w:val="2"/>
            <w:vMerge/>
          </w:tcPr>
          <w:p w14:paraId="05EC43BB" w14:textId="77777777" w:rsidR="00067534" w:rsidRPr="00B83E1A" w:rsidRDefault="00067534" w:rsidP="004E65E7">
            <w:pPr>
              <w:rPr>
                <w:sz w:val="18"/>
                <w:szCs w:val="18"/>
                <w:lang w:val="es-ES"/>
              </w:rPr>
            </w:pPr>
          </w:p>
        </w:tc>
        <w:tc>
          <w:tcPr>
            <w:tcW w:w="2410" w:type="dxa"/>
            <w:vMerge/>
          </w:tcPr>
          <w:p w14:paraId="53EF1CEC" w14:textId="77777777" w:rsidR="00067534" w:rsidRPr="00B83E1A" w:rsidRDefault="00067534" w:rsidP="004E65E7">
            <w:pPr>
              <w:rPr>
                <w:sz w:val="18"/>
                <w:szCs w:val="18"/>
                <w:lang w:val="es-ES"/>
              </w:rPr>
            </w:pPr>
          </w:p>
        </w:tc>
        <w:tc>
          <w:tcPr>
            <w:tcW w:w="2268" w:type="dxa"/>
            <w:gridSpan w:val="3"/>
          </w:tcPr>
          <w:p w14:paraId="57FDE783" w14:textId="180DE75B" w:rsidR="00067534" w:rsidRPr="00B83E1A" w:rsidRDefault="00067534" w:rsidP="004E65E7">
            <w:pPr>
              <w:rPr>
                <w:sz w:val="18"/>
                <w:szCs w:val="18"/>
                <w:lang w:val="es-ES" w:bidi="th-TH"/>
              </w:rPr>
            </w:pPr>
            <w:r w:rsidRPr="00B83E1A">
              <w:rPr>
                <w:sz w:val="18"/>
                <w:szCs w:val="18"/>
                <w:lang w:val="es-ES" w:bidi="th-TH"/>
              </w:rPr>
              <w:t>Número de países que han recibido asistencia técnica sobre marcos legislativos nuevos o actualizados de observancia de los derechos en los que se tienen en cuenta las flexibilidades previstas en la Parte III del Acuerdo sobre los ADPIC.</w:t>
            </w:r>
          </w:p>
        </w:tc>
        <w:tc>
          <w:tcPr>
            <w:tcW w:w="2869" w:type="dxa"/>
            <w:gridSpan w:val="2"/>
          </w:tcPr>
          <w:p w14:paraId="42A7721E" w14:textId="753081A3" w:rsidR="00067534" w:rsidRPr="00B83E1A" w:rsidRDefault="00067534" w:rsidP="004E65E7">
            <w:pPr>
              <w:ind w:right="49"/>
              <w:rPr>
                <w:sz w:val="18"/>
                <w:szCs w:val="18"/>
                <w:lang w:val="es-ES" w:bidi="th-TH"/>
              </w:rPr>
            </w:pPr>
            <w:r w:rsidRPr="00B83E1A">
              <w:rPr>
                <w:sz w:val="18"/>
                <w:szCs w:val="18"/>
                <w:lang w:val="es-ES" w:bidi="th-TH"/>
              </w:rPr>
              <w:t>E</w:t>
            </w:r>
            <w:r w:rsidR="00D23810" w:rsidRPr="00B83E1A">
              <w:rPr>
                <w:sz w:val="18"/>
                <w:szCs w:val="18"/>
                <w:lang w:val="es-ES" w:bidi="th-TH"/>
              </w:rPr>
              <w:t>n 2</w:t>
            </w:r>
            <w:r w:rsidRPr="00B83E1A">
              <w:rPr>
                <w:sz w:val="18"/>
                <w:szCs w:val="18"/>
                <w:lang w:val="es-ES" w:bidi="th-TH"/>
              </w:rPr>
              <w:t xml:space="preserve">012 se prestó asistencia en materia legislativa a un grupo regional y a cuatro países (2 en África </w:t>
            </w:r>
            <w:r w:rsidR="00D23810" w:rsidRPr="00B83E1A">
              <w:rPr>
                <w:sz w:val="18"/>
                <w:szCs w:val="18"/>
                <w:lang w:val="es-ES" w:bidi="th-TH"/>
              </w:rPr>
              <w:t>y 2</w:t>
            </w:r>
            <w:r w:rsidRPr="00B83E1A">
              <w:rPr>
                <w:sz w:val="18"/>
                <w:szCs w:val="18"/>
                <w:lang w:val="es-ES" w:bidi="th-TH"/>
              </w:rPr>
              <w:t xml:space="preserve"> en Asia).</w:t>
            </w:r>
          </w:p>
          <w:p w14:paraId="2CD1C776" w14:textId="77777777" w:rsidR="00067534" w:rsidRPr="00B83E1A" w:rsidRDefault="00067534" w:rsidP="004E65E7">
            <w:pPr>
              <w:rPr>
                <w:sz w:val="18"/>
                <w:szCs w:val="18"/>
                <w:lang w:val="es-ES"/>
              </w:rPr>
            </w:pPr>
          </w:p>
        </w:tc>
      </w:tr>
      <w:tr w:rsidR="00067534" w:rsidRPr="00B83E1A" w14:paraId="63033B31" w14:textId="77777777" w:rsidTr="004E65E7">
        <w:trPr>
          <w:jc w:val="center"/>
        </w:trPr>
        <w:tc>
          <w:tcPr>
            <w:tcW w:w="1681" w:type="dxa"/>
            <w:gridSpan w:val="2"/>
            <w:vMerge/>
          </w:tcPr>
          <w:p w14:paraId="02A30B62" w14:textId="77777777" w:rsidR="00067534" w:rsidRPr="00B83E1A" w:rsidRDefault="00067534" w:rsidP="004E65E7">
            <w:pPr>
              <w:rPr>
                <w:sz w:val="18"/>
                <w:szCs w:val="18"/>
                <w:lang w:val="es-ES"/>
              </w:rPr>
            </w:pPr>
          </w:p>
        </w:tc>
        <w:tc>
          <w:tcPr>
            <w:tcW w:w="2410" w:type="dxa"/>
            <w:vMerge/>
          </w:tcPr>
          <w:p w14:paraId="43F86E11" w14:textId="77777777" w:rsidR="00067534" w:rsidRPr="00B83E1A" w:rsidRDefault="00067534" w:rsidP="004E65E7">
            <w:pPr>
              <w:rPr>
                <w:sz w:val="18"/>
                <w:szCs w:val="18"/>
                <w:lang w:val="es-ES"/>
              </w:rPr>
            </w:pPr>
          </w:p>
        </w:tc>
        <w:tc>
          <w:tcPr>
            <w:tcW w:w="2268" w:type="dxa"/>
            <w:gridSpan w:val="3"/>
          </w:tcPr>
          <w:p w14:paraId="2CA35640" w14:textId="77777777" w:rsidR="00067534" w:rsidRPr="00B83E1A" w:rsidRDefault="00067534" w:rsidP="004E65E7">
            <w:pPr>
              <w:rPr>
                <w:sz w:val="18"/>
                <w:szCs w:val="18"/>
                <w:lang w:val="es-ES" w:bidi="th-TH"/>
              </w:rPr>
            </w:pPr>
            <w:r w:rsidRPr="00B83E1A">
              <w:rPr>
                <w:sz w:val="18"/>
                <w:szCs w:val="18"/>
                <w:lang w:val="es-ES" w:bidi="th-TH"/>
              </w:rPr>
              <w:t xml:space="preserve">Número de países que cuentan con legislación y/o reglamentos sobre P.I. actualizados. </w:t>
            </w:r>
          </w:p>
        </w:tc>
        <w:tc>
          <w:tcPr>
            <w:tcW w:w="2869" w:type="dxa"/>
            <w:gridSpan w:val="2"/>
          </w:tcPr>
          <w:p w14:paraId="11309817" w14:textId="77777777" w:rsidR="00067534" w:rsidRPr="00B83E1A" w:rsidRDefault="00067534" w:rsidP="004E65E7">
            <w:pPr>
              <w:spacing w:after="80"/>
              <w:rPr>
                <w:bCs/>
                <w:sz w:val="18"/>
                <w:szCs w:val="18"/>
                <w:lang w:val="es-ES" w:bidi="th-TH"/>
              </w:rPr>
            </w:pPr>
            <w:r w:rsidRPr="00B83E1A">
              <w:rPr>
                <w:bCs/>
                <w:sz w:val="18"/>
                <w:szCs w:val="18"/>
                <w:lang w:val="es-ES" w:bidi="th-TH"/>
              </w:rPr>
              <w:t>Cuatro países modificaron su legislación nacional para armonizarla con los tratados internacionales en materia de P.I. y los planes nacionales de desarrollo:  Albania, Belarús, Bosnia y Herzegovina y Rumania.</w:t>
            </w:r>
          </w:p>
          <w:p w14:paraId="10475EBC" w14:textId="77777777" w:rsidR="00067534" w:rsidRPr="00B83E1A" w:rsidRDefault="00067534" w:rsidP="004E65E7">
            <w:pPr>
              <w:spacing w:after="80"/>
              <w:rPr>
                <w:bCs/>
                <w:sz w:val="18"/>
                <w:szCs w:val="18"/>
                <w:lang w:val="es-ES" w:bidi="th-TH"/>
              </w:rPr>
            </w:pPr>
            <w:r w:rsidRPr="00B83E1A">
              <w:rPr>
                <w:bCs/>
                <w:sz w:val="18"/>
                <w:szCs w:val="18"/>
                <w:lang w:val="es-ES" w:bidi="th-TH"/>
              </w:rPr>
              <w:t>Seis países tenían previsto efectuar modificaciones:  Eslovenia, Estonia, la Federación de Rusia, Letonia, Moldova y Serbia.</w:t>
            </w:r>
          </w:p>
          <w:p w14:paraId="245B70CD" w14:textId="77777777" w:rsidR="00067534" w:rsidRPr="00B83E1A" w:rsidRDefault="00067534" w:rsidP="004E65E7">
            <w:pPr>
              <w:rPr>
                <w:sz w:val="18"/>
                <w:szCs w:val="18"/>
                <w:lang w:val="es-ES"/>
              </w:rPr>
            </w:pPr>
          </w:p>
        </w:tc>
      </w:tr>
      <w:tr w:rsidR="00067534" w:rsidRPr="00B83E1A" w14:paraId="6B631A82" w14:textId="77777777" w:rsidTr="004E65E7">
        <w:trPr>
          <w:trHeight w:val="1408"/>
          <w:jc w:val="center"/>
        </w:trPr>
        <w:tc>
          <w:tcPr>
            <w:tcW w:w="1681" w:type="dxa"/>
            <w:gridSpan w:val="2"/>
            <w:vMerge/>
          </w:tcPr>
          <w:p w14:paraId="0E02B506" w14:textId="77777777" w:rsidR="00067534" w:rsidRPr="00B83E1A" w:rsidRDefault="00067534" w:rsidP="004E65E7">
            <w:pPr>
              <w:rPr>
                <w:sz w:val="18"/>
                <w:szCs w:val="18"/>
                <w:lang w:val="es-ES"/>
              </w:rPr>
            </w:pPr>
          </w:p>
        </w:tc>
        <w:tc>
          <w:tcPr>
            <w:tcW w:w="2410" w:type="dxa"/>
            <w:vMerge/>
          </w:tcPr>
          <w:p w14:paraId="18E76213" w14:textId="77777777" w:rsidR="00067534" w:rsidRPr="00B83E1A" w:rsidRDefault="00067534" w:rsidP="004E65E7">
            <w:pPr>
              <w:rPr>
                <w:sz w:val="18"/>
                <w:szCs w:val="18"/>
                <w:lang w:val="es-ES"/>
              </w:rPr>
            </w:pPr>
          </w:p>
        </w:tc>
        <w:tc>
          <w:tcPr>
            <w:tcW w:w="2268" w:type="dxa"/>
            <w:gridSpan w:val="3"/>
          </w:tcPr>
          <w:p w14:paraId="7FAA43E5" w14:textId="77777777" w:rsidR="00067534" w:rsidRPr="00B83E1A" w:rsidRDefault="00067534" w:rsidP="004E65E7">
            <w:pPr>
              <w:rPr>
                <w:sz w:val="18"/>
                <w:szCs w:val="18"/>
                <w:lang w:val="es-ES" w:bidi="th-TH"/>
              </w:rPr>
            </w:pPr>
            <w:r w:rsidRPr="00B83E1A">
              <w:rPr>
                <w:sz w:val="18"/>
                <w:szCs w:val="18"/>
                <w:lang w:val="es-ES" w:bidi="th-TH"/>
              </w:rPr>
              <w:t>Índole y número de veces que se prestó asesoramiento en el ámbito legislativo a los Estados miembros en relación con las patentes, los modelos de utilidad, los secretos comerciales y los circuitos integrados.</w:t>
            </w:r>
          </w:p>
          <w:p w14:paraId="41FBB5F5" w14:textId="77777777" w:rsidR="00067534" w:rsidRPr="00B83E1A" w:rsidRDefault="00067534" w:rsidP="004E65E7">
            <w:pPr>
              <w:rPr>
                <w:sz w:val="18"/>
                <w:szCs w:val="18"/>
                <w:lang w:val="es-ES" w:bidi="th-TH"/>
              </w:rPr>
            </w:pPr>
          </w:p>
          <w:p w14:paraId="266771B0" w14:textId="77777777" w:rsidR="00067534" w:rsidRPr="00B83E1A" w:rsidRDefault="00067534" w:rsidP="004E65E7">
            <w:pPr>
              <w:rPr>
                <w:sz w:val="18"/>
                <w:szCs w:val="18"/>
                <w:lang w:val="es-ES" w:bidi="th-TH"/>
              </w:rPr>
            </w:pPr>
          </w:p>
        </w:tc>
        <w:tc>
          <w:tcPr>
            <w:tcW w:w="2869" w:type="dxa"/>
            <w:gridSpan w:val="2"/>
          </w:tcPr>
          <w:p w14:paraId="6981285A" w14:textId="77777777" w:rsidR="00067534" w:rsidRPr="00B83E1A" w:rsidRDefault="00067534" w:rsidP="004E65E7">
            <w:pPr>
              <w:rPr>
                <w:sz w:val="18"/>
                <w:szCs w:val="18"/>
                <w:lang w:val="es-ES"/>
              </w:rPr>
            </w:pPr>
            <w:r w:rsidRPr="00B83E1A">
              <w:rPr>
                <w:sz w:val="18"/>
                <w:szCs w:val="18"/>
                <w:lang w:val="es-ES" w:bidi="th-TH"/>
              </w:rPr>
              <w:t>Ninguno.</w:t>
            </w:r>
          </w:p>
          <w:p w14:paraId="1AF60679" w14:textId="77777777" w:rsidR="00067534" w:rsidRPr="00B83E1A" w:rsidRDefault="00067534" w:rsidP="004E65E7">
            <w:pPr>
              <w:rPr>
                <w:sz w:val="18"/>
                <w:szCs w:val="18"/>
                <w:lang w:val="es-ES"/>
              </w:rPr>
            </w:pPr>
          </w:p>
        </w:tc>
      </w:tr>
      <w:tr w:rsidR="00067534" w:rsidRPr="00B83E1A" w14:paraId="4A1E42F6" w14:textId="77777777" w:rsidTr="004E65E7">
        <w:trPr>
          <w:jc w:val="center"/>
        </w:trPr>
        <w:tc>
          <w:tcPr>
            <w:tcW w:w="9228" w:type="dxa"/>
            <w:gridSpan w:val="8"/>
            <w:shd w:val="clear" w:color="auto" w:fill="C4BC96" w:themeFill="background2" w:themeFillShade="BF"/>
            <w:vAlign w:val="center"/>
          </w:tcPr>
          <w:p w14:paraId="53FCE32A" w14:textId="6A03F7A8" w:rsidR="00067534" w:rsidRPr="00B83E1A" w:rsidRDefault="00067534" w:rsidP="004E65E7">
            <w:pPr>
              <w:spacing w:before="240"/>
              <w:rPr>
                <w:b/>
                <w:bCs/>
                <w:sz w:val="18"/>
                <w:szCs w:val="18"/>
                <w:lang w:val="es-ES"/>
              </w:rPr>
            </w:pPr>
            <w:r w:rsidRPr="00B83E1A">
              <w:rPr>
                <w:b/>
                <w:bCs/>
                <w:sz w:val="18"/>
                <w:szCs w:val="18"/>
                <w:lang w:val="es-ES"/>
              </w:rPr>
              <w:t>ODM - Objetiv</w:t>
            </w:r>
            <w:r w:rsidR="00D23810" w:rsidRPr="00B83E1A">
              <w:rPr>
                <w:b/>
                <w:bCs/>
                <w:sz w:val="18"/>
                <w:szCs w:val="18"/>
                <w:lang w:val="es-ES"/>
              </w:rPr>
              <w:t>o 8</w:t>
            </w:r>
            <w:r w:rsidRPr="00B83E1A">
              <w:rPr>
                <w:b/>
                <w:bCs/>
                <w:sz w:val="18"/>
                <w:szCs w:val="18"/>
                <w:lang w:val="es-ES"/>
              </w:rPr>
              <w:t>:  Fomentar una asociación mundial para el desarrollo</w:t>
            </w:r>
          </w:p>
          <w:p w14:paraId="27A39881" w14:textId="77777777" w:rsidR="00067534" w:rsidRPr="00B83E1A" w:rsidRDefault="00067534" w:rsidP="004E65E7">
            <w:pPr>
              <w:spacing w:before="240"/>
              <w:rPr>
                <w:sz w:val="18"/>
                <w:szCs w:val="18"/>
                <w:lang w:val="es-ES"/>
              </w:rPr>
            </w:pPr>
          </w:p>
        </w:tc>
      </w:tr>
      <w:tr w:rsidR="00067534" w:rsidRPr="00B83E1A" w14:paraId="249EC65C" w14:textId="77777777" w:rsidTr="004E65E7">
        <w:trPr>
          <w:trHeight w:val="827"/>
          <w:jc w:val="center"/>
        </w:trPr>
        <w:tc>
          <w:tcPr>
            <w:tcW w:w="9228" w:type="dxa"/>
            <w:gridSpan w:val="8"/>
            <w:shd w:val="clear" w:color="auto" w:fill="DDD9C3" w:themeFill="background2" w:themeFillShade="E6"/>
            <w:vAlign w:val="center"/>
          </w:tcPr>
          <w:p w14:paraId="05FBB6C1" w14:textId="01983713" w:rsidR="00067534" w:rsidRPr="00B83E1A" w:rsidRDefault="00067534" w:rsidP="004E65E7">
            <w:pPr>
              <w:spacing w:before="240"/>
              <w:rPr>
                <w:b/>
                <w:sz w:val="18"/>
                <w:szCs w:val="18"/>
                <w:lang w:val="es-ES"/>
              </w:rPr>
            </w:pPr>
            <w:r w:rsidRPr="00B83E1A">
              <w:rPr>
                <w:b/>
                <w:sz w:val="18"/>
                <w:szCs w:val="18"/>
                <w:lang w:val="es-ES"/>
              </w:rPr>
              <w:t>Met</w:t>
            </w:r>
            <w:r w:rsidR="00D23810" w:rsidRPr="00B83E1A">
              <w:rPr>
                <w:b/>
                <w:sz w:val="18"/>
                <w:szCs w:val="18"/>
                <w:lang w:val="es-ES"/>
              </w:rPr>
              <w:t>a 8</w:t>
            </w:r>
            <w:r w:rsidRPr="00B83E1A">
              <w:rPr>
                <w:b/>
                <w:sz w:val="18"/>
                <w:szCs w:val="18"/>
                <w:lang w:val="es-ES"/>
              </w:rPr>
              <w:t xml:space="preserve">.F:  En colaboración con el sector privado, velar por que se puedan aprovechar los beneficios de las nuevas tecnologías, en particular de las tecnologías de la información y de las comunicaciones </w:t>
            </w:r>
          </w:p>
        </w:tc>
      </w:tr>
      <w:tr w:rsidR="00067534" w:rsidRPr="00B83E1A" w14:paraId="7E77C5A1" w14:textId="77777777" w:rsidTr="004E65E7">
        <w:trPr>
          <w:trHeight w:val="980"/>
          <w:jc w:val="center"/>
        </w:trPr>
        <w:tc>
          <w:tcPr>
            <w:tcW w:w="1681" w:type="dxa"/>
            <w:gridSpan w:val="2"/>
            <w:shd w:val="clear" w:color="auto" w:fill="C6D9F1" w:themeFill="text2" w:themeFillTint="33"/>
            <w:vAlign w:val="center"/>
          </w:tcPr>
          <w:p w14:paraId="7A2C6C65" w14:textId="77777777" w:rsidR="00067534" w:rsidRPr="00B83E1A" w:rsidRDefault="00067534" w:rsidP="004E65E7">
            <w:pPr>
              <w:spacing w:before="240"/>
              <w:rPr>
                <w:b/>
                <w:bCs/>
                <w:sz w:val="18"/>
                <w:szCs w:val="18"/>
                <w:lang w:val="es-ES"/>
              </w:rPr>
            </w:pPr>
            <w:r w:rsidRPr="00B83E1A">
              <w:rPr>
                <w:b/>
                <w:bCs/>
                <w:sz w:val="18"/>
                <w:szCs w:val="18"/>
                <w:lang w:val="es-ES"/>
              </w:rPr>
              <w:t>Meta estratégica de la OMPI</w:t>
            </w:r>
          </w:p>
        </w:tc>
        <w:tc>
          <w:tcPr>
            <w:tcW w:w="2410" w:type="dxa"/>
            <w:shd w:val="clear" w:color="auto" w:fill="C6D9F1" w:themeFill="text2" w:themeFillTint="33"/>
            <w:vAlign w:val="center"/>
          </w:tcPr>
          <w:p w14:paraId="154748A5" w14:textId="77777777" w:rsidR="00067534" w:rsidRPr="00B83E1A" w:rsidRDefault="00067534" w:rsidP="004E65E7">
            <w:pPr>
              <w:spacing w:before="240"/>
              <w:rPr>
                <w:b/>
                <w:bCs/>
                <w:sz w:val="18"/>
                <w:szCs w:val="18"/>
                <w:lang w:val="es-ES"/>
              </w:rPr>
            </w:pPr>
            <w:r w:rsidRPr="00B83E1A">
              <w:rPr>
                <w:b/>
                <w:bCs/>
                <w:sz w:val="18"/>
                <w:szCs w:val="18"/>
                <w:lang w:val="es-ES"/>
              </w:rPr>
              <w:t>Resultado previsto de la OMPI pertinente - 2012/13</w:t>
            </w:r>
          </w:p>
        </w:tc>
        <w:tc>
          <w:tcPr>
            <w:tcW w:w="2551" w:type="dxa"/>
            <w:gridSpan w:val="4"/>
            <w:shd w:val="clear" w:color="auto" w:fill="C6D9F1" w:themeFill="text2" w:themeFillTint="33"/>
            <w:vAlign w:val="center"/>
          </w:tcPr>
          <w:p w14:paraId="6ABA8F6C" w14:textId="77777777" w:rsidR="00067534" w:rsidRPr="00B83E1A" w:rsidRDefault="00067534" w:rsidP="004E65E7">
            <w:pPr>
              <w:spacing w:before="240"/>
              <w:rPr>
                <w:b/>
                <w:bCs/>
                <w:sz w:val="18"/>
                <w:szCs w:val="18"/>
                <w:lang w:val="es-ES"/>
              </w:rPr>
            </w:pPr>
            <w:r w:rsidRPr="00B83E1A">
              <w:rPr>
                <w:b/>
                <w:bCs/>
                <w:sz w:val="18"/>
                <w:szCs w:val="18"/>
                <w:lang w:val="es-ES"/>
              </w:rPr>
              <w:t>Indicadores de rendimiento</w:t>
            </w:r>
          </w:p>
        </w:tc>
        <w:tc>
          <w:tcPr>
            <w:tcW w:w="2586" w:type="dxa"/>
            <w:shd w:val="clear" w:color="auto" w:fill="C6D9F1" w:themeFill="text2" w:themeFillTint="33"/>
            <w:vAlign w:val="center"/>
          </w:tcPr>
          <w:p w14:paraId="121D05E4" w14:textId="77777777" w:rsidR="00067534" w:rsidRPr="00B83E1A" w:rsidRDefault="00067534" w:rsidP="004E65E7">
            <w:pPr>
              <w:spacing w:before="240"/>
              <w:rPr>
                <w:sz w:val="18"/>
                <w:szCs w:val="18"/>
                <w:lang w:val="es-ES"/>
              </w:rPr>
            </w:pPr>
            <w:r w:rsidRPr="00B83E1A">
              <w:rPr>
                <w:b/>
                <w:bCs/>
                <w:sz w:val="18"/>
                <w:szCs w:val="18"/>
                <w:lang w:val="es-ES"/>
              </w:rPr>
              <w:t>Datos sobre el rendimiento</w:t>
            </w:r>
          </w:p>
        </w:tc>
      </w:tr>
      <w:tr w:rsidR="00067534" w:rsidRPr="00B83E1A" w14:paraId="74FF1420" w14:textId="77777777" w:rsidTr="0068425B">
        <w:trPr>
          <w:trHeight w:val="1214"/>
          <w:jc w:val="center"/>
        </w:trPr>
        <w:tc>
          <w:tcPr>
            <w:tcW w:w="1681" w:type="dxa"/>
            <w:gridSpan w:val="2"/>
            <w:vMerge w:val="restart"/>
          </w:tcPr>
          <w:p w14:paraId="53E5AE78" w14:textId="1DD954E3" w:rsidR="00067534" w:rsidRPr="00B83E1A" w:rsidRDefault="00067534" w:rsidP="004E65E7">
            <w:pPr>
              <w:rPr>
                <w:i/>
                <w:sz w:val="18"/>
                <w:szCs w:val="18"/>
                <w:lang w:val="es-ES"/>
              </w:rPr>
            </w:pPr>
            <w:r w:rsidRPr="00B83E1A">
              <w:rPr>
                <w:i/>
                <w:sz w:val="18"/>
                <w:szCs w:val="18"/>
                <w:lang w:val="es-ES"/>
              </w:rPr>
              <w:t>Meta estratégica III</w:t>
            </w:r>
            <w:r w:rsidR="00D23810" w:rsidRPr="00B83E1A">
              <w:rPr>
                <w:i/>
                <w:sz w:val="18"/>
                <w:szCs w:val="18"/>
                <w:lang w:val="es-ES"/>
              </w:rPr>
              <w:t>:  F</w:t>
            </w:r>
            <w:r w:rsidRPr="00B83E1A">
              <w:rPr>
                <w:i/>
                <w:sz w:val="18"/>
                <w:szCs w:val="18"/>
                <w:lang w:val="es-ES"/>
              </w:rPr>
              <w:t>acilitar el uso de la P.I. en aras del desarrollo</w:t>
            </w:r>
          </w:p>
          <w:p w14:paraId="2D630A89" w14:textId="77777777" w:rsidR="00067534" w:rsidRPr="00B83E1A" w:rsidRDefault="00067534" w:rsidP="004E65E7">
            <w:pPr>
              <w:rPr>
                <w:sz w:val="18"/>
                <w:szCs w:val="18"/>
                <w:lang w:val="es-ES"/>
              </w:rPr>
            </w:pPr>
          </w:p>
        </w:tc>
        <w:tc>
          <w:tcPr>
            <w:tcW w:w="2410" w:type="dxa"/>
            <w:vMerge w:val="restart"/>
          </w:tcPr>
          <w:p w14:paraId="4B97F48C" w14:textId="77777777" w:rsidR="00067534" w:rsidRPr="00B83E1A" w:rsidRDefault="00067534" w:rsidP="004E65E7">
            <w:pPr>
              <w:rPr>
                <w:sz w:val="18"/>
                <w:szCs w:val="18"/>
                <w:lang w:val="es-ES"/>
              </w:rPr>
            </w:pPr>
            <w:r w:rsidRPr="00B83E1A">
              <w:rPr>
                <w:sz w:val="18"/>
                <w:szCs w:val="18"/>
                <w:lang w:val="es-ES"/>
              </w:rPr>
              <w:t>Resultado i) Políticas nacionales de innovación y de P.I. claramente definidas y coherentes, estrategias y planes de desarrollo que estén en sintonía con las metas y los objetivos nacionales de desarrollo.</w:t>
            </w:r>
          </w:p>
          <w:p w14:paraId="1F8D8357" w14:textId="77777777" w:rsidR="00067534" w:rsidRPr="00B83E1A" w:rsidRDefault="00067534" w:rsidP="004E65E7">
            <w:pPr>
              <w:rPr>
                <w:sz w:val="18"/>
                <w:szCs w:val="18"/>
                <w:lang w:val="es-ES"/>
              </w:rPr>
            </w:pPr>
          </w:p>
        </w:tc>
        <w:tc>
          <w:tcPr>
            <w:tcW w:w="2551" w:type="dxa"/>
            <w:gridSpan w:val="4"/>
            <w:vMerge w:val="restart"/>
          </w:tcPr>
          <w:p w14:paraId="12F46A57" w14:textId="77777777" w:rsidR="00067534" w:rsidRPr="00B83E1A" w:rsidRDefault="00067534" w:rsidP="004E65E7">
            <w:pPr>
              <w:rPr>
                <w:sz w:val="18"/>
                <w:szCs w:val="18"/>
                <w:lang w:val="es-ES" w:bidi="th-TH"/>
              </w:rPr>
            </w:pPr>
            <w:r w:rsidRPr="00B83E1A">
              <w:rPr>
                <w:sz w:val="18"/>
                <w:szCs w:val="18"/>
                <w:lang w:val="es-ES" w:bidi="th-TH"/>
              </w:rPr>
              <w:t>Número de países que cada año han formulado políticas, estrategias y/o planes de P.I., o los están aplicando (África).</w:t>
            </w:r>
          </w:p>
          <w:p w14:paraId="45A034E4" w14:textId="77777777" w:rsidR="00067534" w:rsidRPr="00B83E1A" w:rsidRDefault="00067534" w:rsidP="004E65E7">
            <w:pPr>
              <w:rPr>
                <w:i/>
                <w:sz w:val="18"/>
                <w:szCs w:val="18"/>
                <w:lang w:val="es-ES"/>
              </w:rPr>
            </w:pPr>
          </w:p>
        </w:tc>
        <w:tc>
          <w:tcPr>
            <w:tcW w:w="2586" w:type="dxa"/>
          </w:tcPr>
          <w:p w14:paraId="2E19EBE4" w14:textId="77777777" w:rsidR="00067534" w:rsidRPr="00B83E1A" w:rsidRDefault="00067534" w:rsidP="00067534">
            <w:pPr>
              <w:numPr>
                <w:ilvl w:val="0"/>
                <w:numId w:val="12"/>
              </w:numPr>
              <w:rPr>
                <w:bCs/>
                <w:sz w:val="18"/>
                <w:szCs w:val="18"/>
                <w:lang w:val="es-ES" w:bidi="th-TH"/>
              </w:rPr>
            </w:pPr>
            <w:r w:rsidRPr="00B83E1A">
              <w:rPr>
                <w:sz w:val="18"/>
                <w:szCs w:val="18"/>
                <w:lang w:val="es-ES" w:bidi="th-TH"/>
              </w:rPr>
              <w:t>Mauricio (pendiente de su aprobación por el Parlamento)</w:t>
            </w:r>
          </w:p>
          <w:p w14:paraId="337B543C" w14:textId="57D866D2" w:rsidR="00067534" w:rsidRPr="00B83E1A" w:rsidRDefault="00067534" w:rsidP="00067534">
            <w:pPr>
              <w:numPr>
                <w:ilvl w:val="0"/>
                <w:numId w:val="12"/>
              </w:numPr>
              <w:rPr>
                <w:bCs/>
                <w:sz w:val="18"/>
                <w:szCs w:val="18"/>
                <w:lang w:val="es-ES" w:bidi="th-TH"/>
              </w:rPr>
            </w:pPr>
            <w:r w:rsidRPr="00B83E1A">
              <w:rPr>
                <w:bCs/>
                <w:sz w:val="18"/>
                <w:szCs w:val="18"/>
                <w:lang w:val="es-ES" w:bidi="th-TH"/>
              </w:rPr>
              <w:t>el Senegal (memorando de entendimiento firmado e</w:t>
            </w:r>
            <w:r w:rsidR="00D23810" w:rsidRPr="00B83E1A">
              <w:rPr>
                <w:bCs/>
                <w:sz w:val="18"/>
                <w:szCs w:val="18"/>
                <w:lang w:val="es-ES" w:bidi="th-TH"/>
              </w:rPr>
              <w:t>n 2</w:t>
            </w:r>
            <w:r w:rsidRPr="00B83E1A">
              <w:rPr>
                <w:bCs/>
                <w:sz w:val="18"/>
                <w:szCs w:val="18"/>
                <w:lang w:val="es-ES" w:bidi="th-TH"/>
              </w:rPr>
              <w:t>011;  aplicación en curso)</w:t>
            </w:r>
          </w:p>
          <w:p w14:paraId="1D5B4370" w14:textId="77777777" w:rsidR="00067534" w:rsidRPr="00B83E1A" w:rsidRDefault="00067534" w:rsidP="00067534">
            <w:pPr>
              <w:numPr>
                <w:ilvl w:val="0"/>
                <w:numId w:val="12"/>
              </w:numPr>
              <w:rPr>
                <w:bCs/>
                <w:sz w:val="18"/>
                <w:szCs w:val="18"/>
                <w:lang w:val="es-ES" w:bidi="th-TH"/>
              </w:rPr>
            </w:pPr>
            <w:r w:rsidRPr="00B83E1A">
              <w:rPr>
                <w:bCs/>
                <w:sz w:val="18"/>
                <w:szCs w:val="18"/>
                <w:lang w:val="es-ES" w:bidi="th-TH"/>
              </w:rPr>
              <w:t>Seychelles (se está revisando el memorando de entendimiento)</w:t>
            </w:r>
          </w:p>
          <w:p w14:paraId="5136D7A9" w14:textId="77777777" w:rsidR="00067534" w:rsidRPr="00B83E1A" w:rsidRDefault="00067534" w:rsidP="00067534">
            <w:pPr>
              <w:numPr>
                <w:ilvl w:val="0"/>
                <w:numId w:val="12"/>
              </w:numPr>
              <w:rPr>
                <w:bCs/>
                <w:sz w:val="18"/>
                <w:szCs w:val="18"/>
                <w:lang w:val="es-ES" w:bidi="th-TH"/>
              </w:rPr>
            </w:pPr>
            <w:r w:rsidRPr="00B83E1A">
              <w:rPr>
                <w:bCs/>
                <w:sz w:val="18"/>
                <w:szCs w:val="18"/>
                <w:lang w:val="es-ES" w:bidi="th-TH"/>
              </w:rPr>
              <w:lastRenderedPageBreak/>
              <w:t>República Unida de Tanzanía (aplicación en curso)</w:t>
            </w:r>
          </w:p>
          <w:p w14:paraId="0AB8F797" w14:textId="69068861" w:rsidR="00067534" w:rsidRPr="00B83E1A" w:rsidRDefault="00067534" w:rsidP="0068425B">
            <w:pPr>
              <w:numPr>
                <w:ilvl w:val="0"/>
                <w:numId w:val="12"/>
              </w:numPr>
              <w:rPr>
                <w:sz w:val="18"/>
                <w:szCs w:val="18"/>
                <w:lang w:val="es-ES"/>
              </w:rPr>
            </w:pPr>
            <w:r w:rsidRPr="00B83E1A">
              <w:rPr>
                <w:bCs/>
                <w:sz w:val="18"/>
                <w:szCs w:val="18"/>
                <w:lang w:val="es-ES" w:bidi="th-TH"/>
              </w:rPr>
              <w:t>Ghana (en curso)</w:t>
            </w:r>
          </w:p>
        </w:tc>
      </w:tr>
      <w:tr w:rsidR="00067534" w:rsidRPr="00B83E1A" w14:paraId="0BF55702" w14:textId="77777777" w:rsidTr="004E65E7">
        <w:trPr>
          <w:jc w:val="center"/>
        </w:trPr>
        <w:tc>
          <w:tcPr>
            <w:tcW w:w="1681" w:type="dxa"/>
            <w:gridSpan w:val="2"/>
            <w:vMerge/>
          </w:tcPr>
          <w:p w14:paraId="78B3F945" w14:textId="77777777" w:rsidR="00067534" w:rsidRPr="00B83E1A" w:rsidRDefault="00067534" w:rsidP="004E65E7">
            <w:pPr>
              <w:rPr>
                <w:sz w:val="18"/>
                <w:szCs w:val="18"/>
                <w:lang w:val="es-ES"/>
              </w:rPr>
            </w:pPr>
          </w:p>
        </w:tc>
        <w:tc>
          <w:tcPr>
            <w:tcW w:w="2410" w:type="dxa"/>
            <w:vMerge/>
          </w:tcPr>
          <w:p w14:paraId="2B6ED0C4" w14:textId="77777777" w:rsidR="00067534" w:rsidRPr="00B83E1A" w:rsidRDefault="00067534" w:rsidP="004E65E7">
            <w:pPr>
              <w:rPr>
                <w:sz w:val="18"/>
                <w:szCs w:val="18"/>
                <w:lang w:val="es-ES"/>
              </w:rPr>
            </w:pPr>
          </w:p>
        </w:tc>
        <w:tc>
          <w:tcPr>
            <w:tcW w:w="2551" w:type="dxa"/>
            <w:gridSpan w:val="4"/>
            <w:vMerge/>
          </w:tcPr>
          <w:p w14:paraId="554BBD0D" w14:textId="77777777" w:rsidR="00067534" w:rsidRPr="00B83E1A" w:rsidRDefault="00067534" w:rsidP="004E65E7">
            <w:pPr>
              <w:rPr>
                <w:i/>
                <w:sz w:val="18"/>
                <w:szCs w:val="18"/>
                <w:lang w:val="es-ES"/>
              </w:rPr>
            </w:pPr>
          </w:p>
        </w:tc>
        <w:tc>
          <w:tcPr>
            <w:tcW w:w="2586" w:type="dxa"/>
          </w:tcPr>
          <w:p w14:paraId="55A0915C" w14:textId="77777777" w:rsidR="00067534" w:rsidRPr="00B83E1A" w:rsidRDefault="00067534" w:rsidP="004E65E7">
            <w:pPr>
              <w:spacing w:after="120"/>
              <w:rPr>
                <w:sz w:val="18"/>
                <w:szCs w:val="18"/>
                <w:lang w:val="es-ES"/>
              </w:rPr>
            </w:pPr>
            <w:r w:rsidRPr="00B83E1A">
              <w:rPr>
                <w:sz w:val="18"/>
                <w:szCs w:val="18"/>
                <w:lang w:val="es-ES"/>
              </w:rPr>
              <w:t>Consultas en curso con ocho países (Botswana, Burundi, Chad, Congo, Gambia, Mauricio, Seychelles y República Unida de Tanzanía)</w:t>
            </w:r>
          </w:p>
        </w:tc>
      </w:tr>
      <w:tr w:rsidR="00067534" w:rsidRPr="00B83E1A" w14:paraId="57F5302D" w14:textId="77777777" w:rsidTr="004E65E7">
        <w:trPr>
          <w:jc w:val="center"/>
        </w:trPr>
        <w:tc>
          <w:tcPr>
            <w:tcW w:w="1681" w:type="dxa"/>
            <w:gridSpan w:val="2"/>
            <w:vMerge/>
          </w:tcPr>
          <w:p w14:paraId="5E17A05F" w14:textId="77777777" w:rsidR="00067534" w:rsidRPr="00B83E1A" w:rsidRDefault="00067534" w:rsidP="004E65E7">
            <w:pPr>
              <w:rPr>
                <w:sz w:val="18"/>
                <w:szCs w:val="18"/>
                <w:lang w:val="es-ES"/>
              </w:rPr>
            </w:pPr>
          </w:p>
        </w:tc>
        <w:tc>
          <w:tcPr>
            <w:tcW w:w="2410" w:type="dxa"/>
            <w:vMerge/>
          </w:tcPr>
          <w:p w14:paraId="4B7042A3" w14:textId="77777777" w:rsidR="00067534" w:rsidRPr="00B83E1A" w:rsidRDefault="00067534" w:rsidP="004E65E7">
            <w:pPr>
              <w:rPr>
                <w:sz w:val="18"/>
                <w:szCs w:val="18"/>
                <w:lang w:val="es-ES"/>
              </w:rPr>
            </w:pPr>
          </w:p>
        </w:tc>
        <w:tc>
          <w:tcPr>
            <w:tcW w:w="2551" w:type="dxa"/>
            <w:gridSpan w:val="4"/>
            <w:vMerge/>
          </w:tcPr>
          <w:p w14:paraId="2CB95729" w14:textId="77777777" w:rsidR="00067534" w:rsidRPr="00B83E1A" w:rsidRDefault="00067534" w:rsidP="004E65E7">
            <w:pPr>
              <w:rPr>
                <w:i/>
                <w:sz w:val="18"/>
                <w:szCs w:val="18"/>
                <w:lang w:val="es-ES"/>
              </w:rPr>
            </w:pPr>
          </w:p>
        </w:tc>
        <w:tc>
          <w:tcPr>
            <w:tcW w:w="2586" w:type="dxa"/>
          </w:tcPr>
          <w:p w14:paraId="5D51819B" w14:textId="77777777" w:rsidR="00067534" w:rsidRPr="00B83E1A" w:rsidRDefault="00067534" w:rsidP="00067534">
            <w:pPr>
              <w:numPr>
                <w:ilvl w:val="0"/>
                <w:numId w:val="13"/>
              </w:numPr>
              <w:rPr>
                <w:sz w:val="18"/>
                <w:szCs w:val="18"/>
                <w:lang w:val="es-ES" w:bidi="th-TH"/>
              </w:rPr>
            </w:pPr>
            <w:r w:rsidRPr="00B83E1A">
              <w:rPr>
                <w:sz w:val="18"/>
                <w:szCs w:val="18"/>
                <w:lang w:val="es-ES" w:bidi="th-TH"/>
              </w:rPr>
              <w:t>Botswana (estrategia de P.I.)</w:t>
            </w:r>
          </w:p>
          <w:p w14:paraId="1AE5FC9D" w14:textId="77777777" w:rsidR="00067534" w:rsidRPr="00B83E1A" w:rsidRDefault="00067534" w:rsidP="00067534">
            <w:pPr>
              <w:numPr>
                <w:ilvl w:val="0"/>
                <w:numId w:val="13"/>
              </w:numPr>
              <w:rPr>
                <w:sz w:val="18"/>
                <w:szCs w:val="18"/>
                <w:lang w:val="es-ES" w:bidi="th-TH"/>
              </w:rPr>
            </w:pPr>
            <w:r w:rsidRPr="00B83E1A">
              <w:rPr>
                <w:sz w:val="18"/>
                <w:szCs w:val="18"/>
                <w:lang w:val="es-ES" w:bidi="th-TH"/>
              </w:rPr>
              <w:t>Gambia (estrategia y política de P.I.)</w:t>
            </w:r>
          </w:p>
          <w:p w14:paraId="0418DCB2" w14:textId="77777777" w:rsidR="00067534" w:rsidRPr="00B83E1A" w:rsidRDefault="00067534" w:rsidP="00067534">
            <w:pPr>
              <w:numPr>
                <w:ilvl w:val="0"/>
                <w:numId w:val="13"/>
              </w:numPr>
              <w:rPr>
                <w:sz w:val="18"/>
                <w:szCs w:val="18"/>
                <w:lang w:val="es-ES" w:bidi="th-TH"/>
              </w:rPr>
            </w:pPr>
            <w:r w:rsidRPr="00B83E1A">
              <w:rPr>
                <w:sz w:val="18"/>
                <w:szCs w:val="18"/>
                <w:lang w:val="es-ES" w:bidi="th-TH"/>
              </w:rPr>
              <w:t>Seychelles (política de P.I.)</w:t>
            </w:r>
          </w:p>
          <w:p w14:paraId="48D73AFB" w14:textId="77777777" w:rsidR="00067534" w:rsidRPr="00B83E1A" w:rsidRDefault="00067534" w:rsidP="00067534">
            <w:pPr>
              <w:numPr>
                <w:ilvl w:val="0"/>
                <w:numId w:val="13"/>
              </w:numPr>
              <w:rPr>
                <w:sz w:val="18"/>
                <w:szCs w:val="18"/>
                <w:lang w:val="es-ES" w:bidi="th-TH"/>
              </w:rPr>
            </w:pPr>
            <w:r w:rsidRPr="00B83E1A">
              <w:rPr>
                <w:sz w:val="18"/>
                <w:szCs w:val="18"/>
                <w:lang w:val="es-ES" w:bidi="th-TH"/>
              </w:rPr>
              <w:t>Mauricio (política de P.I.)</w:t>
            </w:r>
          </w:p>
          <w:p w14:paraId="03FE905F" w14:textId="77777777" w:rsidR="00067534" w:rsidRPr="00B83E1A" w:rsidRDefault="00067534" w:rsidP="004E65E7">
            <w:pPr>
              <w:spacing w:after="120"/>
              <w:rPr>
                <w:sz w:val="18"/>
                <w:szCs w:val="18"/>
                <w:lang w:val="es-ES"/>
              </w:rPr>
            </w:pPr>
            <w:r w:rsidRPr="00B83E1A">
              <w:rPr>
                <w:sz w:val="18"/>
                <w:szCs w:val="18"/>
                <w:lang w:val="es-ES" w:bidi="th-TH"/>
              </w:rPr>
              <w:t xml:space="preserve">República Unida de Tanzanía (estrategia y política de P.I.)  </w:t>
            </w:r>
          </w:p>
        </w:tc>
      </w:tr>
      <w:tr w:rsidR="00067534" w:rsidRPr="00B83E1A" w14:paraId="519FACC0" w14:textId="77777777" w:rsidTr="004E65E7">
        <w:trPr>
          <w:jc w:val="center"/>
        </w:trPr>
        <w:tc>
          <w:tcPr>
            <w:tcW w:w="1681" w:type="dxa"/>
            <w:gridSpan w:val="2"/>
            <w:vMerge/>
          </w:tcPr>
          <w:p w14:paraId="744619DE" w14:textId="77777777" w:rsidR="00067534" w:rsidRPr="00B83E1A" w:rsidRDefault="00067534" w:rsidP="004E65E7">
            <w:pPr>
              <w:rPr>
                <w:sz w:val="18"/>
                <w:szCs w:val="18"/>
                <w:lang w:val="es-ES"/>
              </w:rPr>
            </w:pPr>
          </w:p>
        </w:tc>
        <w:tc>
          <w:tcPr>
            <w:tcW w:w="2410" w:type="dxa"/>
            <w:vMerge/>
          </w:tcPr>
          <w:p w14:paraId="405B4C97" w14:textId="77777777" w:rsidR="00067534" w:rsidRPr="00B83E1A" w:rsidRDefault="00067534" w:rsidP="004E65E7">
            <w:pPr>
              <w:rPr>
                <w:sz w:val="18"/>
                <w:szCs w:val="18"/>
                <w:lang w:val="es-ES"/>
              </w:rPr>
            </w:pPr>
          </w:p>
        </w:tc>
        <w:tc>
          <w:tcPr>
            <w:tcW w:w="2551" w:type="dxa"/>
            <w:gridSpan w:val="4"/>
          </w:tcPr>
          <w:p w14:paraId="099608E9" w14:textId="32438AE2" w:rsidR="00067534" w:rsidRPr="00B83E1A" w:rsidRDefault="00067534" w:rsidP="004E65E7">
            <w:pPr>
              <w:spacing w:after="120"/>
              <w:rPr>
                <w:sz w:val="18"/>
                <w:szCs w:val="18"/>
                <w:lang w:val="es-ES"/>
              </w:rPr>
            </w:pPr>
            <w:r w:rsidRPr="00B83E1A">
              <w:rPr>
                <w:sz w:val="18"/>
                <w:szCs w:val="18"/>
                <w:lang w:val="es-ES" w:bidi="th-TH"/>
              </w:rPr>
              <w:t>Número de países con mecanismos adecuados para el desarrollo y la aplicación de estrategias de P.I</w:t>
            </w:r>
            <w:r w:rsidR="004E65E7" w:rsidRPr="00B83E1A">
              <w:rPr>
                <w:sz w:val="18"/>
                <w:szCs w:val="18"/>
                <w:lang w:val="es-ES" w:bidi="th-TH"/>
              </w:rPr>
              <w:t>.</w:t>
            </w:r>
            <w:r w:rsidR="00D23810" w:rsidRPr="00B83E1A">
              <w:rPr>
                <w:sz w:val="18"/>
                <w:szCs w:val="18"/>
                <w:lang w:val="es-ES" w:bidi="th-TH"/>
              </w:rPr>
              <w:t xml:space="preserve"> (</w:t>
            </w:r>
            <w:r w:rsidRPr="00B83E1A">
              <w:rPr>
                <w:sz w:val="18"/>
                <w:szCs w:val="18"/>
                <w:lang w:val="es-ES" w:bidi="th-TH"/>
              </w:rPr>
              <w:t>región de los países árabes)</w:t>
            </w:r>
          </w:p>
        </w:tc>
        <w:tc>
          <w:tcPr>
            <w:tcW w:w="2586" w:type="dxa"/>
          </w:tcPr>
          <w:p w14:paraId="5BE09421" w14:textId="77777777" w:rsidR="00067534" w:rsidRPr="00B83E1A" w:rsidRDefault="00067534" w:rsidP="004E65E7">
            <w:pPr>
              <w:rPr>
                <w:sz w:val="18"/>
                <w:szCs w:val="18"/>
                <w:lang w:val="es-ES"/>
              </w:rPr>
            </w:pPr>
            <w:r w:rsidRPr="00B83E1A">
              <w:rPr>
                <w:sz w:val="18"/>
                <w:szCs w:val="18"/>
                <w:lang w:val="es-ES"/>
              </w:rPr>
              <w:t>Tres países (Argelia, Omán y Qatar).</w:t>
            </w:r>
          </w:p>
        </w:tc>
      </w:tr>
      <w:tr w:rsidR="00067534" w:rsidRPr="00B83E1A" w14:paraId="7944C9A9" w14:textId="77777777" w:rsidTr="004E65E7">
        <w:trPr>
          <w:jc w:val="center"/>
        </w:trPr>
        <w:tc>
          <w:tcPr>
            <w:tcW w:w="1681" w:type="dxa"/>
            <w:gridSpan w:val="2"/>
            <w:vMerge/>
          </w:tcPr>
          <w:p w14:paraId="75B317C4" w14:textId="77777777" w:rsidR="00067534" w:rsidRPr="00B83E1A" w:rsidRDefault="00067534" w:rsidP="004E65E7">
            <w:pPr>
              <w:rPr>
                <w:sz w:val="18"/>
                <w:szCs w:val="18"/>
                <w:lang w:val="es-ES"/>
              </w:rPr>
            </w:pPr>
          </w:p>
        </w:tc>
        <w:tc>
          <w:tcPr>
            <w:tcW w:w="2410" w:type="dxa"/>
            <w:vMerge/>
          </w:tcPr>
          <w:p w14:paraId="72A3A81F" w14:textId="77777777" w:rsidR="00067534" w:rsidRPr="00B83E1A" w:rsidRDefault="00067534" w:rsidP="004E65E7">
            <w:pPr>
              <w:rPr>
                <w:sz w:val="18"/>
                <w:szCs w:val="18"/>
                <w:lang w:val="es-ES"/>
              </w:rPr>
            </w:pPr>
          </w:p>
        </w:tc>
        <w:tc>
          <w:tcPr>
            <w:tcW w:w="2551" w:type="dxa"/>
            <w:gridSpan w:val="4"/>
          </w:tcPr>
          <w:p w14:paraId="0B759916" w14:textId="35003B6E" w:rsidR="00067534" w:rsidRPr="00B83E1A" w:rsidRDefault="00067534" w:rsidP="004E65E7">
            <w:pPr>
              <w:spacing w:after="120"/>
              <w:rPr>
                <w:sz w:val="18"/>
                <w:szCs w:val="18"/>
                <w:lang w:val="es-ES"/>
              </w:rPr>
            </w:pPr>
            <w:r w:rsidRPr="00B83E1A">
              <w:rPr>
                <w:sz w:val="18"/>
                <w:szCs w:val="18"/>
                <w:lang w:val="es-ES" w:bidi="th-TH"/>
              </w:rPr>
              <w:t>Número de países con iniciativas vinculadas a los planes nacionales de P.I</w:t>
            </w:r>
            <w:r w:rsidR="004E65E7" w:rsidRPr="00B83E1A">
              <w:rPr>
                <w:sz w:val="18"/>
                <w:szCs w:val="18"/>
                <w:lang w:val="es-ES" w:bidi="th-TH"/>
              </w:rPr>
              <w:t xml:space="preserve">. </w:t>
            </w:r>
            <w:r w:rsidR="00D23810" w:rsidRPr="00B83E1A">
              <w:rPr>
                <w:sz w:val="18"/>
                <w:szCs w:val="18"/>
                <w:lang w:val="es-ES" w:bidi="th-TH"/>
              </w:rPr>
              <w:t>(</w:t>
            </w:r>
            <w:r w:rsidRPr="00B83E1A">
              <w:rPr>
                <w:sz w:val="18"/>
                <w:szCs w:val="18"/>
                <w:lang w:val="es-ES" w:bidi="th-TH"/>
              </w:rPr>
              <w:t>región de los países árabes)</w:t>
            </w:r>
          </w:p>
        </w:tc>
        <w:tc>
          <w:tcPr>
            <w:tcW w:w="2586" w:type="dxa"/>
          </w:tcPr>
          <w:p w14:paraId="3A8E671C" w14:textId="77777777" w:rsidR="009A700A" w:rsidRPr="00B83E1A" w:rsidRDefault="00067534" w:rsidP="004E65E7">
            <w:pPr>
              <w:rPr>
                <w:sz w:val="18"/>
                <w:szCs w:val="18"/>
                <w:lang w:val="es-ES"/>
              </w:rPr>
            </w:pPr>
            <w:r w:rsidRPr="00B83E1A">
              <w:rPr>
                <w:sz w:val="18"/>
                <w:szCs w:val="18"/>
                <w:lang w:val="es-ES"/>
              </w:rPr>
              <w:t>Tres países (Argelia, Egipto y el Yemen)</w:t>
            </w:r>
            <w:r w:rsidR="009A700A" w:rsidRPr="00B83E1A">
              <w:rPr>
                <w:sz w:val="18"/>
                <w:szCs w:val="18"/>
                <w:lang w:val="es-ES"/>
              </w:rPr>
              <w:t>.</w:t>
            </w:r>
          </w:p>
          <w:p w14:paraId="4A45F7EB" w14:textId="77094AFB" w:rsidR="00067534" w:rsidRPr="00B83E1A" w:rsidRDefault="00067534" w:rsidP="004E65E7">
            <w:pPr>
              <w:rPr>
                <w:sz w:val="18"/>
                <w:szCs w:val="18"/>
                <w:lang w:val="es-ES"/>
              </w:rPr>
            </w:pPr>
          </w:p>
        </w:tc>
      </w:tr>
      <w:tr w:rsidR="00067534" w:rsidRPr="00B83E1A" w14:paraId="30C35445" w14:textId="77777777" w:rsidTr="004E65E7">
        <w:trPr>
          <w:jc w:val="center"/>
        </w:trPr>
        <w:tc>
          <w:tcPr>
            <w:tcW w:w="1681" w:type="dxa"/>
            <w:gridSpan w:val="2"/>
            <w:vMerge/>
          </w:tcPr>
          <w:p w14:paraId="5EF949AF" w14:textId="77777777" w:rsidR="00067534" w:rsidRPr="00B83E1A" w:rsidRDefault="00067534" w:rsidP="004E65E7">
            <w:pPr>
              <w:rPr>
                <w:sz w:val="18"/>
                <w:szCs w:val="18"/>
                <w:lang w:val="es-ES"/>
              </w:rPr>
            </w:pPr>
          </w:p>
        </w:tc>
        <w:tc>
          <w:tcPr>
            <w:tcW w:w="2410" w:type="dxa"/>
            <w:vMerge/>
          </w:tcPr>
          <w:p w14:paraId="1C8CB0FE" w14:textId="77777777" w:rsidR="00067534" w:rsidRPr="00B83E1A" w:rsidRDefault="00067534" w:rsidP="004E65E7">
            <w:pPr>
              <w:rPr>
                <w:sz w:val="18"/>
                <w:szCs w:val="18"/>
                <w:lang w:val="es-ES"/>
              </w:rPr>
            </w:pPr>
          </w:p>
        </w:tc>
        <w:tc>
          <w:tcPr>
            <w:tcW w:w="2551" w:type="dxa"/>
            <w:gridSpan w:val="4"/>
          </w:tcPr>
          <w:p w14:paraId="5C6EC1C2" w14:textId="77777777" w:rsidR="00067534" w:rsidRPr="00B83E1A" w:rsidRDefault="00067534" w:rsidP="004E65E7">
            <w:pPr>
              <w:spacing w:after="120"/>
              <w:rPr>
                <w:sz w:val="18"/>
                <w:szCs w:val="18"/>
                <w:lang w:val="es-ES"/>
              </w:rPr>
            </w:pPr>
            <w:r w:rsidRPr="00B83E1A">
              <w:rPr>
                <w:sz w:val="18"/>
                <w:szCs w:val="18"/>
                <w:lang w:val="es-ES" w:bidi="th-TH"/>
              </w:rPr>
              <w:t>Número de países con políticas y estrategias de P.I. en curso de aprobación (Asia y el Pacífico).</w:t>
            </w:r>
          </w:p>
        </w:tc>
        <w:tc>
          <w:tcPr>
            <w:tcW w:w="2586" w:type="dxa"/>
          </w:tcPr>
          <w:p w14:paraId="0D23C82E" w14:textId="3AAAE7B3" w:rsidR="00067534" w:rsidRPr="00B83E1A" w:rsidRDefault="00067534" w:rsidP="0068425B">
            <w:pPr>
              <w:rPr>
                <w:sz w:val="18"/>
                <w:szCs w:val="18"/>
                <w:lang w:val="es-ES"/>
              </w:rPr>
            </w:pPr>
            <w:r w:rsidRPr="00B83E1A">
              <w:rPr>
                <w:sz w:val="18"/>
                <w:szCs w:val="18"/>
                <w:lang w:val="es-ES" w:bidi="th-TH"/>
              </w:rPr>
              <w:t>Esta labor está en curso en seis países:  Camboya, Nepal, las Islas Salomón, Tonga, Vanuatu y Viet Nam.</w:t>
            </w:r>
          </w:p>
        </w:tc>
      </w:tr>
      <w:tr w:rsidR="00067534" w:rsidRPr="00B83E1A" w14:paraId="00EFAC73" w14:textId="77777777" w:rsidTr="004E65E7">
        <w:trPr>
          <w:jc w:val="center"/>
        </w:trPr>
        <w:tc>
          <w:tcPr>
            <w:tcW w:w="1681" w:type="dxa"/>
            <w:gridSpan w:val="2"/>
            <w:vMerge/>
          </w:tcPr>
          <w:p w14:paraId="5084A073" w14:textId="77777777" w:rsidR="00067534" w:rsidRPr="00B83E1A" w:rsidRDefault="00067534" w:rsidP="004E65E7">
            <w:pPr>
              <w:rPr>
                <w:sz w:val="18"/>
                <w:szCs w:val="18"/>
                <w:lang w:val="es-ES"/>
              </w:rPr>
            </w:pPr>
          </w:p>
        </w:tc>
        <w:tc>
          <w:tcPr>
            <w:tcW w:w="2410" w:type="dxa"/>
            <w:vMerge/>
          </w:tcPr>
          <w:p w14:paraId="0B0C3D43" w14:textId="77777777" w:rsidR="00067534" w:rsidRPr="00B83E1A" w:rsidRDefault="00067534" w:rsidP="004E65E7">
            <w:pPr>
              <w:rPr>
                <w:sz w:val="18"/>
                <w:szCs w:val="18"/>
                <w:lang w:val="es-ES"/>
              </w:rPr>
            </w:pPr>
          </w:p>
        </w:tc>
        <w:tc>
          <w:tcPr>
            <w:tcW w:w="2551" w:type="dxa"/>
            <w:gridSpan w:val="4"/>
          </w:tcPr>
          <w:p w14:paraId="6F96F2E0" w14:textId="1B5D1319" w:rsidR="00067534" w:rsidRPr="00B83E1A" w:rsidRDefault="00067534" w:rsidP="004E65E7">
            <w:pPr>
              <w:spacing w:after="120"/>
              <w:rPr>
                <w:i/>
                <w:sz w:val="18"/>
                <w:szCs w:val="18"/>
                <w:lang w:val="es-ES"/>
              </w:rPr>
            </w:pPr>
            <w:r w:rsidRPr="00B83E1A">
              <w:rPr>
                <w:sz w:val="18"/>
                <w:szCs w:val="18"/>
                <w:lang w:val="es-ES" w:bidi="th-TH"/>
              </w:rPr>
              <w:t>Número de países que han adoptado políticas y estrategias de P.I</w:t>
            </w:r>
            <w:r w:rsidR="004E65E7" w:rsidRPr="00B83E1A">
              <w:rPr>
                <w:sz w:val="18"/>
                <w:szCs w:val="18"/>
                <w:lang w:val="es-ES" w:bidi="th-TH"/>
              </w:rPr>
              <w:t>.</w:t>
            </w:r>
            <w:r w:rsidR="00D23810" w:rsidRPr="00B83E1A">
              <w:rPr>
                <w:sz w:val="18"/>
                <w:szCs w:val="18"/>
                <w:lang w:val="es-ES" w:bidi="th-TH"/>
              </w:rPr>
              <w:t xml:space="preserve"> (</w:t>
            </w:r>
            <w:r w:rsidRPr="00B83E1A">
              <w:rPr>
                <w:sz w:val="18"/>
                <w:szCs w:val="18"/>
                <w:lang w:val="es-ES" w:bidi="th-TH"/>
              </w:rPr>
              <w:t>Asia y el Pacífico).</w:t>
            </w:r>
          </w:p>
        </w:tc>
        <w:tc>
          <w:tcPr>
            <w:tcW w:w="2586" w:type="dxa"/>
          </w:tcPr>
          <w:p w14:paraId="0CF07CC8" w14:textId="77777777" w:rsidR="00067534" w:rsidRPr="00B83E1A" w:rsidRDefault="00067534" w:rsidP="004E65E7">
            <w:pPr>
              <w:rPr>
                <w:sz w:val="18"/>
                <w:szCs w:val="18"/>
                <w:lang w:val="es-ES"/>
              </w:rPr>
            </w:pPr>
            <w:r w:rsidRPr="00B83E1A">
              <w:rPr>
                <w:sz w:val="18"/>
                <w:szCs w:val="18"/>
                <w:lang w:val="es-ES" w:bidi="th-TH"/>
              </w:rPr>
              <w:t>Tres países han iniciado los procesos de adopción:  Bhután, Mongolia y Samoa.</w:t>
            </w:r>
          </w:p>
        </w:tc>
      </w:tr>
      <w:tr w:rsidR="00067534" w:rsidRPr="00B83E1A" w14:paraId="3E62BE8B" w14:textId="77777777" w:rsidTr="004E65E7">
        <w:trPr>
          <w:jc w:val="center"/>
        </w:trPr>
        <w:tc>
          <w:tcPr>
            <w:tcW w:w="1681" w:type="dxa"/>
            <w:gridSpan w:val="2"/>
            <w:vMerge/>
          </w:tcPr>
          <w:p w14:paraId="05B75634" w14:textId="77777777" w:rsidR="00067534" w:rsidRPr="00B83E1A" w:rsidRDefault="00067534" w:rsidP="004E65E7">
            <w:pPr>
              <w:rPr>
                <w:sz w:val="18"/>
                <w:szCs w:val="18"/>
                <w:lang w:val="es-ES"/>
              </w:rPr>
            </w:pPr>
          </w:p>
        </w:tc>
        <w:tc>
          <w:tcPr>
            <w:tcW w:w="2410" w:type="dxa"/>
            <w:vMerge/>
          </w:tcPr>
          <w:p w14:paraId="6572B2A0" w14:textId="77777777" w:rsidR="00067534" w:rsidRPr="00B83E1A" w:rsidRDefault="00067534" w:rsidP="004E65E7">
            <w:pPr>
              <w:rPr>
                <w:sz w:val="18"/>
                <w:szCs w:val="18"/>
                <w:lang w:val="es-ES"/>
              </w:rPr>
            </w:pPr>
          </w:p>
        </w:tc>
        <w:tc>
          <w:tcPr>
            <w:tcW w:w="2551" w:type="dxa"/>
            <w:gridSpan w:val="4"/>
          </w:tcPr>
          <w:p w14:paraId="7C3B9020" w14:textId="43617AC2" w:rsidR="00067534" w:rsidRPr="00B83E1A" w:rsidRDefault="00067534" w:rsidP="004E65E7">
            <w:pPr>
              <w:spacing w:after="120"/>
              <w:rPr>
                <w:sz w:val="18"/>
                <w:szCs w:val="18"/>
                <w:lang w:val="es-ES"/>
              </w:rPr>
            </w:pPr>
            <w:r w:rsidRPr="00B83E1A">
              <w:rPr>
                <w:sz w:val="18"/>
                <w:szCs w:val="18"/>
                <w:lang w:val="es-ES" w:bidi="th-TH"/>
              </w:rPr>
              <w:t>Número de países en los que se han realizado actividades/proyectos que hayan contribuido a la formulación de leyes/políticas de P.I</w:t>
            </w:r>
            <w:r w:rsidR="004E65E7" w:rsidRPr="00B83E1A">
              <w:rPr>
                <w:sz w:val="18"/>
                <w:szCs w:val="18"/>
                <w:lang w:val="es-ES" w:bidi="th-TH"/>
              </w:rPr>
              <w:t xml:space="preserve">. </w:t>
            </w:r>
            <w:r w:rsidR="00D23810" w:rsidRPr="00B83E1A">
              <w:rPr>
                <w:sz w:val="18"/>
                <w:szCs w:val="18"/>
                <w:lang w:val="es-ES" w:bidi="th-TH"/>
              </w:rPr>
              <w:t>(</w:t>
            </w:r>
            <w:r w:rsidRPr="00B83E1A">
              <w:rPr>
                <w:sz w:val="18"/>
                <w:szCs w:val="18"/>
                <w:lang w:val="es-ES" w:bidi="th-TH"/>
              </w:rPr>
              <w:t xml:space="preserve">América Latina y el Caribe). </w:t>
            </w:r>
          </w:p>
        </w:tc>
        <w:tc>
          <w:tcPr>
            <w:tcW w:w="2586" w:type="dxa"/>
          </w:tcPr>
          <w:p w14:paraId="14152113" w14:textId="77777777" w:rsidR="00067534" w:rsidRPr="00B83E1A" w:rsidRDefault="00067534" w:rsidP="004E65E7">
            <w:pPr>
              <w:rPr>
                <w:sz w:val="18"/>
                <w:szCs w:val="18"/>
                <w:lang w:val="es-ES" w:bidi="th-TH"/>
              </w:rPr>
            </w:pPr>
            <w:r w:rsidRPr="00B83E1A">
              <w:rPr>
                <w:sz w:val="18"/>
                <w:szCs w:val="18"/>
                <w:lang w:val="es-ES"/>
              </w:rPr>
              <w:t>Ocho países (el Ecuador, El Salvador, Guatemala, Honduras, Nicaragua, Panamá, la República Dominicana y Trinidad y Tabago).</w:t>
            </w:r>
          </w:p>
          <w:p w14:paraId="09A29CB7" w14:textId="77777777" w:rsidR="00067534" w:rsidRPr="00B83E1A" w:rsidRDefault="00067534" w:rsidP="004E65E7">
            <w:pPr>
              <w:rPr>
                <w:sz w:val="18"/>
                <w:szCs w:val="18"/>
                <w:lang w:val="es-ES"/>
              </w:rPr>
            </w:pPr>
          </w:p>
        </w:tc>
      </w:tr>
      <w:tr w:rsidR="00067534" w:rsidRPr="00B83E1A" w14:paraId="3DC74902" w14:textId="77777777" w:rsidTr="004E65E7">
        <w:trPr>
          <w:jc w:val="center"/>
        </w:trPr>
        <w:tc>
          <w:tcPr>
            <w:tcW w:w="1681" w:type="dxa"/>
            <w:gridSpan w:val="2"/>
            <w:vMerge/>
          </w:tcPr>
          <w:p w14:paraId="6D34BED3" w14:textId="77777777" w:rsidR="00067534" w:rsidRPr="00B83E1A" w:rsidRDefault="00067534" w:rsidP="004E65E7">
            <w:pPr>
              <w:rPr>
                <w:sz w:val="18"/>
                <w:szCs w:val="18"/>
                <w:lang w:val="es-ES"/>
              </w:rPr>
            </w:pPr>
          </w:p>
        </w:tc>
        <w:tc>
          <w:tcPr>
            <w:tcW w:w="2410" w:type="dxa"/>
            <w:vMerge/>
          </w:tcPr>
          <w:p w14:paraId="1B8986D0" w14:textId="77777777" w:rsidR="00067534" w:rsidRPr="00B83E1A" w:rsidRDefault="00067534" w:rsidP="004E65E7">
            <w:pPr>
              <w:rPr>
                <w:sz w:val="18"/>
                <w:szCs w:val="18"/>
                <w:lang w:val="es-ES"/>
              </w:rPr>
            </w:pPr>
          </w:p>
        </w:tc>
        <w:tc>
          <w:tcPr>
            <w:tcW w:w="2551" w:type="dxa"/>
            <w:gridSpan w:val="4"/>
          </w:tcPr>
          <w:p w14:paraId="06058B3E" w14:textId="141C5BF3" w:rsidR="00067534" w:rsidRPr="00B83E1A" w:rsidRDefault="00067534" w:rsidP="004E65E7">
            <w:pPr>
              <w:rPr>
                <w:sz w:val="18"/>
                <w:szCs w:val="18"/>
                <w:lang w:val="es-ES" w:bidi="th-TH"/>
              </w:rPr>
            </w:pPr>
            <w:r w:rsidRPr="00B83E1A">
              <w:rPr>
                <w:sz w:val="18"/>
                <w:szCs w:val="18"/>
                <w:lang w:val="es-ES" w:bidi="th-TH"/>
              </w:rPr>
              <w:t>Número de países en los que se han realizado actividades/proyectos que hayan contribuido a la aplicación de estrategias/políticas de P.I</w:t>
            </w:r>
            <w:r w:rsidR="004E65E7" w:rsidRPr="00B83E1A">
              <w:rPr>
                <w:sz w:val="18"/>
                <w:szCs w:val="18"/>
                <w:lang w:val="es-ES" w:bidi="th-TH"/>
              </w:rPr>
              <w:t>.</w:t>
            </w:r>
            <w:r w:rsidR="00D23810" w:rsidRPr="00B83E1A">
              <w:rPr>
                <w:sz w:val="18"/>
                <w:szCs w:val="18"/>
                <w:lang w:val="es-ES" w:bidi="th-TH"/>
              </w:rPr>
              <w:t xml:space="preserve"> (</w:t>
            </w:r>
            <w:r w:rsidRPr="00B83E1A">
              <w:rPr>
                <w:sz w:val="18"/>
                <w:szCs w:val="18"/>
                <w:lang w:val="es-ES" w:bidi="th-TH"/>
              </w:rPr>
              <w:t>América Latina y el Caribe).</w:t>
            </w:r>
          </w:p>
          <w:p w14:paraId="1DBB8D69" w14:textId="77777777" w:rsidR="00067534" w:rsidRPr="00B83E1A" w:rsidRDefault="00067534" w:rsidP="004E65E7">
            <w:pPr>
              <w:rPr>
                <w:i/>
                <w:sz w:val="18"/>
                <w:szCs w:val="18"/>
                <w:lang w:val="es-ES"/>
              </w:rPr>
            </w:pPr>
          </w:p>
        </w:tc>
        <w:tc>
          <w:tcPr>
            <w:tcW w:w="2586" w:type="dxa"/>
          </w:tcPr>
          <w:p w14:paraId="3F2CBE5A" w14:textId="77777777" w:rsidR="00067534" w:rsidRPr="00B83E1A" w:rsidRDefault="00067534" w:rsidP="004E65E7">
            <w:pPr>
              <w:rPr>
                <w:sz w:val="18"/>
                <w:szCs w:val="18"/>
                <w:lang w:val="es-ES" w:bidi="th-TH"/>
              </w:rPr>
            </w:pPr>
            <w:r w:rsidRPr="00B83E1A">
              <w:rPr>
                <w:sz w:val="18"/>
                <w:szCs w:val="18"/>
                <w:lang w:val="es-ES"/>
              </w:rPr>
              <w:t>Cinco países (la Argentina, Barbados, Colombia, Costa Rica y el Uruguay)</w:t>
            </w:r>
          </w:p>
          <w:p w14:paraId="328F47EE" w14:textId="77777777" w:rsidR="00067534" w:rsidRPr="00B83E1A" w:rsidRDefault="00067534" w:rsidP="004E65E7">
            <w:pPr>
              <w:rPr>
                <w:sz w:val="18"/>
                <w:szCs w:val="18"/>
                <w:lang w:val="es-ES"/>
              </w:rPr>
            </w:pPr>
          </w:p>
        </w:tc>
      </w:tr>
      <w:tr w:rsidR="00067534" w:rsidRPr="00B83E1A" w14:paraId="50EA49CA" w14:textId="77777777" w:rsidTr="004E65E7">
        <w:trPr>
          <w:jc w:val="center"/>
        </w:trPr>
        <w:tc>
          <w:tcPr>
            <w:tcW w:w="1681" w:type="dxa"/>
            <w:gridSpan w:val="2"/>
            <w:vMerge/>
          </w:tcPr>
          <w:p w14:paraId="21489983" w14:textId="77777777" w:rsidR="00067534" w:rsidRPr="00B83E1A" w:rsidRDefault="00067534" w:rsidP="004E65E7">
            <w:pPr>
              <w:rPr>
                <w:sz w:val="18"/>
                <w:szCs w:val="18"/>
                <w:lang w:val="es-ES"/>
              </w:rPr>
            </w:pPr>
          </w:p>
        </w:tc>
        <w:tc>
          <w:tcPr>
            <w:tcW w:w="2410" w:type="dxa"/>
            <w:vMerge/>
          </w:tcPr>
          <w:p w14:paraId="7935EA83" w14:textId="77777777" w:rsidR="00067534" w:rsidRPr="00B83E1A" w:rsidRDefault="00067534" w:rsidP="004E65E7">
            <w:pPr>
              <w:rPr>
                <w:sz w:val="18"/>
                <w:szCs w:val="18"/>
                <w:lang w:val="es-ES"/>
              </w:rPr>
            </w:pPr>
          </w:p>
        </w:tc>
        <w:tc>
          <w:tcPr>
            <w:tcW w:w="2551" w:type="dxa"/>
            <w:gridSpan w:val="4"/>
          </w:tcPr>
          <w:p w14:paraId="24729F13" w14:textId="665427AD" w:rsidR="00067534" w:rsidRPr="00B83E1A" w:rsidRDefault="00067534" w:rsidP="004E65E7">
            <w:pPr>
              <w:spacing w:after="120"/>
              <w:rPr>
                <w:i/>
                <w:sz w:val="18"/>
                <w:szCs w:val="18"/>
                <w:lang w:val="es-ES"/>
              </w:rPr>
            </w:pPr>
            <w:r w:rsidRPr="00B83E1A">
              <w:rPr>
                <w:sz w:val="18"/>
                <w:szCs w:val="18"/>
                <w:lang w:val="es-ES" w:bidi="th-TH"/>
              </w:rPr>
              <w:t>Número de PMA que han incluido consideraciones de P.I. propias de los PMA en sus estrategias y/o políticas nacionales de P.I</w:t>
            </w:r>
            <w:r w:rsidR="004E65E7" w:rsidRPr="00B83E1A">
              <w:rPr>
                <w:sz w:val="18"/>
                <w:szCs w:val="18"/>
                <w:lang w:val="es-ES" w:bidi="th-TH"/>
              </w:rPr>
              <w:t>.</w:t>
            </w:r>
            <w:r w:rsidR="00D23810" w:rsidRPr="00B83E1A">
              <w:rPr>
                <w:sz w:val="18"/>
                <w:szCs w:val="18"/>
                <w:lang w:val="es-ES" w:bidi="th-TH"/>
              </w:rPr>
              <w:t xml:space="preserve"> (</w:t>
            </w:r>
            <w:r w:rsidRPr="00B83E1A">
              <w:rPr>
                <w:sz w:val="18"/>
                <w:szCs w:val="18"/>
                <w:lang w:val="es-ES" w:bidi="th-TH"/>
              </w:rPr>
              <w:t>PMA).</w:t>
            </w:r>
          </w:p>
        </w:tc>
        <w:tc>
          <w:tcPr>
            <w:tcW w:w="2586" w:type="dxa"/>
          </w:tcPr>
          <w:p w14:paraId="5C4D5C90" w14:textId="77777777" w:rsidR="00067534" w:rsidRPr="00B83E1A" w:rsidRDefault="00067534" w:rsidP="004E65E7">
            <w:pPr>
              <w:rPr>
                <w:sz w:val="18"/>
                <w:szCs w:val="18"/>
                <w:lang w:val="es-ES" w:bidi="th-TH"/>
              </w:rPr>
            </w:pPr>
            <w:r w:rsidRPr="00B83E1A">
              <w:rPr>
                <w:sz w:val="18"/>
                <w:szCs w:val="18"/>
                <w:lang w:val="es-ES"/>
              </w:rPr>
              <w:t>Tres PMA (Bangladesh, Etiopía y Madagascar)</w:t>
            </w:r>
          </w:p>
          <w:p w14:paraId="1EE4F727" w14:textId="77777777" w:rsidR="00067534" w:rsidRPr="00B83E1A" w:rsidRDefault="00067534" w:rsidP="004E65E7">
            <w:pPr>
              <w:rPr>
                <w:sz w:val="18"/>
                <w:szCs w:val="18"/>
                <w:lang w:val="es-ES"/>
              </w:rPr>
            </w:pPr>
          </w:p>
        </w:tc>
      </w:tr>
      <w:tr w:rsidR="00067534" w:rsidRPr="00B83E1A" w14:paraId="1C0D81E8" w14:textId="77777777" w:rsidTr="004E65E7">
        <w:trPr>
          <w:jc w:val="center"/>
        </w:trPr>
        <w:tc>
          <w:tcPr>
            <w:tcW w:w="1681" w:type="dxa"/>
            <w:gridSpan w:val="2"/>
            <w:vMerge/>
          </w:tcPr>
          <w:p w14:paraId="471DB42E" w14:textId="77777777" w:rsidR="00067534" w:rsidRPr="00B83E1A" w:rsidRDefault="00067534" w:rsidP="004E65E7">
            <w:pPr>
              <w:rPr>
                <w:sz w:val="18"/>
                <w:szCs w:val="18"/>
                <w:lang w:val="es-ES"/>
              </w:rPr>
            </w:pPr>
          </w:p>
        </w:tc>
        <w:tc>
          <w:tcPr>
            <w:tcW w:w="2410" w:type="dxa"/>
            <w:vMerge/>
          </w:tcPr>
          <w:p w14:paraId="599634D5" w14:textId="77777777" w:rsidR="00067534" w:rsidRPr="00B83E1A" w:rsidRDefault="00067534" w:rsidP="004E65E7">
            <w:pPr>
              <w:rPr>
                <w:sz w:val="18"/>
                <w:szCs w:val="18"/>
                <w:lang w:val="es-ES"/>
              </w:rPr>
            </w:pPr>
          </w:p>
        </w:tc>
        <w:tc>
          <w:tcPr>
            <w:tcW w:w="2551" w:type="dxa"/>
            <w:gridSpan w:val="4"/>
          </w:tcPr>
          <w:p w14:paraId="7275AD56" w14:textId="77777777" w:rsidR="00067534" w:rsidRPr="00B83E1A" w:rsidRDefault="00067534" w:rsidP="004E65E7">
            <w:pPr>
              <w:rPr>
                <w:i/>
                <w:sz w:val="18"/>
                <w:szCs w:val="18"/>
                <w:lang w:val="es-ES"/>
              </w:rPr>
            </w:pPr>
            <w:r w:rsidRPr="00B83E1A">
              <w:rPr>
                <w:sz w:val="18"/>
                <w:szCs w:val="18"/>
                <w:lang w:val="es-ES" w:bidi="th-TH"/>
              </w:rPr>
              <w:t>Número de países que han elaborado estrategias o planes nacionales combinados con metas nacionales de desarrollo.</w:t>
            </w:r>
          </w:p>
        </w:tc>
        <w:tc>
          <w:tcPr>
            <w:tcW w:w="2586" w:type="dxa"/>
          </w:tcPr>
          <w:p w14:paraId="2787B3E8" w14:textId="77777777" w:rsidR="00067534" w:rsidRPr="00B83E1A" w:rsidRDefault="00067534" w:rsidP="004E65E7">
            <w:pPr>
              <w:spacing w:after="120"/>
              <w:rPr>
                <w:sz w:val="18"/>
                <w:szCs w:val="18"/>
                <w:lang w:val="es-ES"/>
              </w:rPr>
            </w:pPr>
            <w:r w:rsidRPr="00B83E1A">
              <w:rPr>
                <w:bCs/>
                <w:sz w:val="18"/>
                <w:szCs w:val="18"/>
                <w:lang w:val="es-ES" w:bidi="th-TH"/>
              </w:rPr>
              <w:t>Cinco países (Belarús, Montenegro, la ex República Yugoslava de Macedonia, la República de Moldova y Rumania) disponen de estrategias nacionales de P.I. aprobadas o en proceso de aprobación.  En Eslovaquia, la República Checa, Tayikistán y Ucrania ha comenzado la formulación o la actualización de esas estrategias.</w:t>
            </w:r>
          </w:p>
        </w:tc>
      </w:tr>
      <w:tr w:rsidR="00067534" w:rsidRPr="00B83E1A" w14:paraId="04538FAF" w14:textId="77777777" w:rsidTr="004E65E7">
        <w:trPr>
          <w:jc w:val="center"/>
        </w:trPr>
        <w:tc>
          <w:tcPr>
            <w:tcW w:w="1681" w:type="dxa"/>
            <w:gridSpan w:val="2"/>
            <w:vMerge/>
          </w:tcPr>
          <w:p w14:paraId="4D3D64B7" w14:textId="77777777" w:rsidR="00067534" w:rsidRPr="00B83E1A" w:rsidRDefault="00067534" w:rsidP="004E65E7">
            <w:pPr>
              <w:rPr>
                <w:sz w:val="18"/>
                <w:szCs w:val="18"/>
                <w:lang w:val="es-ES"/>
              </w:rPr>
            </w:pPr>
          </w:p>
        </w:tc>
        <w:tc>
          <w:tcPr>
            <w:tcW w:w="2410" w:type="dxa"/>
            <w:vMerge/>
          </w:tcPr>
          <w:p w14:paraId="474DAC9A" w14:textId="77777777" w:rsidR="00067534" w:rsidRPr="00B83E1A" w:rsidRDefault="00067534" w:rsidP="004E65E7">
            <w:pPr>
              <w:rPr>
                <w:sz w:val="18"/>
                <w:szCs w:val="18"/>
                <w:lang w:val="es-ES"/>
              </w:rPr>
            </w:pPr>
          </w:p>
        </w:tc>
        <w:tc>
          <w:tcPr>
            <w:tcW w:w="2551" w:type="dxa"/>
            <w:gridSpan w:val="4"/>
          </w:tcPr>
          <w:p w14:paraId="09E36DE9" w14:textId="77777777" w:rsidR="00067534" w:rsidRPr="00B83E1A" w:rsidRDefault="00067534" w:rsidP="004E65E7">
            <w:pPr>
              <w:rPr>
                <w:sz w:val="18"/>
                <w:szCs w:val="18"/>
                <w:lang w:val="es-ES" w:bidi="th-TH"/>
              </w:rPr>
            </w:pPr>
            <w:r w:rsidRPr="00B83E1A">
              <w:rPr>
                <w:sz w:val="18"/>
                <w:szCs w:val="18"/>
                <w:lang w:val="es-ES" w:bidi="th-TH"/>
              </w:rPr>
              <w:t>Porcentaje de funcionarios de oficinas de P.I. formados que utilizan en su trabajo las nuevas aptitudes adquiridas.</w:t>
            </w:r>
          </w:p>
          <w:p w14:paraId="74FC2E93" w14:textId="77777777" w:rsidR="00067534" w:rsidRPr="00B83E1A" w:rsidRDefault="00067534" w:rsidP="004E65E7">
            <w:pPr>
              <w:rPr>
                <w:sz w:val="18"/>
                <w:szCs w:val="18"/>
                <w:lang w:val="es-ES"/>
              </w:rPr>
            </w:pPr>
          </w:p>
        </w:tc>
        <w:tc>
          <w:tcPr>
            <w:tcW w:w="2586" w:type="dxa"/>
          </w:tcPr>
          <w:p w14:paraId="0993C0AE" w14:textId="787A80B3" w:rsidR="00067534" w:rsidRPr="00B83E1A" w:rsidRDefault="00067534" w:rsidP="004E65E7">
            <w:pPr>
              <w:rPr>
                <w:sz w:val="18"/>
                <w:szCs w:val="18"/>
                <w:lang w:val="es-ES"/>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tc>
      </w:tr>
      <w:tr w:rsidR="00067534" w:rsidRPr="00B83E1A" w14:paraId="609721D6" w14:textId="77777777" w:rsidTr="004E65E7">
        <w:trPr>
          <w:jc w:val="center"/>
        </w:trPr>
        <w:tc>
          <w:tcPr>
            <w:tcW w:w="1681" w:type="dxa"/>
            <w:gridSpan w:val="2"/>
            <w:vMerge/>
          </w:tcPr>
          <w:p w14:paraId="14BBD018" w14:textId="77777777" w:rsidR="00067534" w:rsidRPr="00B83E1A" w:rsidRDefault="00067534" w:rsidP="004E65E7">
            <w:pPr>
              <w:rPr>
                <w:sz w:val="18"/>
                <w:szCs w:val="18"/>
                <w:lang w:val="es-ES"/>
              </w:rPr>
            </w:pPr>
          </w:p>
        </w:tc>
        <w:tc>
          <w:tcPr>
            <w:tcW w:w="2410" w:type="dxa"/>
            <w:vMerge/>
          </w:tcPr>
          <w:p w14:paraId="042ADFF2" w14:textId="77777777" w:rsidR="00067534" w:rsidRPr="00B83E1A" w:rsidRDefault="00067534" w:rsidP="004E65E7">
            <w:pPr>
              <w:rPr>
                <w:sz w:val="18"/>
                <w:szCs w:val="18"/>
                <w:lang w:val="es-ES"/>
              </w:rPr>
            </w:pPr>
          </w:p>
        </w:tc>
        <w:tc>
          <w:tcPr>
            <w:tcW w:w="2551" w:type="dxa"/>
            <w:gridSpan w:val="4"/>
          </w:tcPr>
          <w:p w14:paraId="7BDDF55E" w14:textId="77777777" w:rsidR="00067534" w:rsidRPr="00B83E1A" w:rsidRDefault="00067534" w:rsidP="004E65E7">
            <w:pPr>
              <w:spacing w:after="120"/>
              <w:rPr>
                <w:sz w:val="18"/>
                <w:szCs w:val="18"/>
                <w:lang w:val="es-ES" w:bidi="th-TH"/>
              </w:rPr>
            </w:pPr>
            <w:r w:rsidRPr="00B83E1A">
              <w:rPr>
                <w:sz w:val="18"/>
                <w:szCs w:val="18"/>
                <w:lang w:val="es-ES" w:bidi="th-TH"/>
              </w:rPr>
              <w:t>Porcentaje de profesionales de la P.I. que afirman entender mejor las cuestiones de P.I.</w:t>
            </w:r>
          </w:p>
        </w:tc>
        <w:tc>
          <w:tcPr>
            <w:tcW w:w="2586" w:type="dxa"/>
          </w:tcPr>
          <w:p w14:paraId="0D1B08AB" w14:textId="10E2CB4C" w:rsidR="00067534" w:rsidRPr="00B83E1A" w:rsidRDefault="00067534" w:rsidP="004E65E7">
            <w:pPr>
              <w:rPr>
                <w:bCs/>
                <w:sz w:val="18"/>
                <w:szCs w:val="18"/>
                <w:lang w:val="es-ES" w:bidi="th-TH"/>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p w14:paraId="612842CA" w14:textId="77777777" w:rsidR="00067534" w:rsidRPr="00B83E1A" w:rsidRDefault="00067534" w:rsidP="004E65E7">
            <w:pPr>
              <w:rPr>
                <w:sz w:val="18"/>
                <w:szCs w:val="18"/>
                <w:lang w:val="es-ES"/>
              </w:rPr>
            </w:pPr>
          </w:p>
        </w:tc>
      </w:tr>
      <w:tr w:rsidR="00067534" w:rsidRPr="00B83E1A" w14:paraId="63723903" w14:textId="77777777" w:rsidTr="004E65E7">
        <w:trPr>
          <w:jc w:val="center"/>
        </w:trPr>
        <w:tc>
          <w:tcPr>
            <w:tcW w:w="1681" w:type="dxa"/>
            <w:gridSpan w:val="2"/>
            <w:vMerge/>
          </w:tcPr>
          <w:p w14:paraId="20FA0282" w14:textId="77777777" w:rsidR="00067534" w:rsidRPr="00B83E1A" w:rsidRDefault="00067534" w:rsidP="004E65E7">
            <w:pPr>
              <w:rPr>
                <w:sz w:val="18"/>
                <w:szCs w:val="18"/>
                <w:lang w:val="es-ES"/>
              </w:rPr>
            </w:pPr>
          </w:p>
        </w:tc>
        <w:tc>
          <w:tcPr>
            <w:tcW w:w="2410" w:type="dxa"/>
            <w:vMerge/>
          </w:tcPr>
          <w:p w14:paraId="323F010E" w14:textId="77777777" w:rsidR="00067534" w:rsidRPr="00B83E1A" w:rsidRDefault="00067534" w:rsidP="004E65E7">
            <w:pPr>
              <w:rPr>
                <w:sz w:val="18"/>
                <w:szCs w:val="18"/>
                <w:lang w:val="es-ES"/>
              </w:rPr>
            </w:pPr>
          </w:p>
        </w:tc>
        <w:tc>
          <w:tcPr>
            <w:tcW w:w="2551" w:type="dxa"/>
            <w:gridSpan w:val="4"/>
          </w:tcPr>
          <w:p w14:paraId="36184908" w14:textId="77777777" w:rsidR="00067534" w:rsidRPr="00B83E1A" w:rsidRDefault="00067534" w:rsidP="004E65E7">
            <w:pPr>
              <w:spacing w:after="120"/>
              <w:rPr>
                <w:sz w:val="18"/>
                <w:szCs w:val="18"/>
                <w:lang w:val="es-ES" w:bidi="th-TH"/>
              </w:rPr>
            </w:pPr>
            <w:r w:rsidRPr="00B83E1A">
              <w:rPr>
                <w:sz w:val="18"/>
                <w:szCs w:val="18"/>
                <w:lang w:val="es-ES" w:bidi="th-TH"/>
              </w:rPr>
              <w:t>Porcentaje de participantes satisfechos con la calidad de los talleres y seminarios sobre la innovación y su comercialización.</w:t>
            </w:r>
          </w:p>
        </w:tc>
        <w:tc>
          <w:tcPr>
            <w:tcW w:w="2586" w:type="dxa"/>
          </w:tcPr>
          <w:p w14:paraId="5CB694AB" w14:textId="537F9E23" w:rsidR="00067534" w:rsidRPr="00B83E1A" w:rsidRDefault="00067534" w:rsidP="004E65E7">
            <w:pPr>
              <w:rPr>
                <w:sz w:val="18"/>
                <w:szCs w:val="18"/>
                <w:lang w:val="es-ES"/>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tc>
      </w:tr>
      <w:tr w:rsidR="00067534" w:rsidRPr="00B83E1A" w14:paraId="3C76B9EC" w14:textId="77777777" w:rsidTr="004E65E7">
        <w:trPr>
          <w:jc w:val="center"/>
        </w:trPr>
        <w:tc>
          <w:tcPr>
            <w:tcW w:w="1681" w:type="dxa"/>
            <w:gridSpan w:val="2"/>
            <w:vMerge/>
          </w:tcPr>
          <w:p w14:paraId="30022093" w14:textId="77777777" w:rsidR="00067534" w:rsidRPr="00B83E1A" w:rsidRDefault="00067534" w:rsidP="004E65E7">
            <w:pPr>
              <w:rPr>
                <w:sz w:val="18"/>
                <w:szCs w:val="18"/>
                <w:lang w:val="es-ES"/>
              </w:rPr>
            </w:pPr>
          </w:p>
        </w:tc>
        <w:tc>
          <w:tcPr>
            <w:tcW w:w="2410" w:type="dxa"/>
            <w:vMerge/>
          </w:tcPr>
          <w:p w14:paraId="5CA8843D" w14:textId="77777777" w:rsidR="00067534" w:rsidRPr="00B83E1A" w:rsidRDefault="00067534" w:rsidP="004E65E7">
            <w:pPr>
              <w:rPr>
                <w:sz w:val="18"/>
                <w:szCs w:val="18"/>
                <w:lang w:val="es-ES"/>
              </w:rPr>
            </w:pPr>
          </w:p>
        </w:tc>
        <w:tc>
          <w:tcPr>
            <w:tcW w:w="2551" w:type="dxa"/>
            <w:gridSpan w:val="4"/>
          </w:tcPr>
          <w:p w14:paraId="47E5F406" w14:textId="77777777" w:rsidR="00067534" w:rsidRPr="00B83E1A" w:rsidRDefault="00067534" w:rsidP="004E65E7">
            <w:pPr>
              <w:spacing w:after="120"/>
              <w:rPr>
                <w:i/>
                <w:sz w:val="18"/>
                <w:szCs w:val="18"/>
                <w:lang w:val="es-ES"/>
              </w:rPr>
            </w:pPr>
            <w:r w:rsidRPr="00B83E1A">
              <w:rPr>
                <w:sz w:val="18"/>
                <w:szCs w:val="18"/>
                <w:lang w:val="es-ES" w:bidi="th-TH"/>
              </w:rPr>
              <w:t xml:space="preserve">Número de estrategias nacionales de P.I. que tienen un componente dedicado a la innovación y a la tecnología. </w:t>
            </w:r>
          </w:p>
        </w:tc>
        <w:tc>
          <w:tcPr>
            <w:tcW w:w="2586" w:type="dxa"/>
          </w:tcPr>
          <w:p w14:paraId="5BCF582E" w14:textId="77777777" w:rsidR="00067534" w:rsidRPr="00B83E1A" w:rsidRDefault="00067534" w:rsidP="004E65E7">
            <w:pPr>
              <w:rPr>
                <w:sz w:val="18"/>
                <w:szCs w:val="18"/>
                <w:lang w:val="es-ES"/>
              </w:rPr>
            </w:pPr>
            <w:r w:rsidRPr="00B83E1A">
              <w:rPr>
                <w:bCs/>
                <w:sz w:val="18"/>
                <w:szCs w:val="18"/>
                <w:lang w:val="es-ES" w:bidi="th-TH"/>
              </w:rPr>
              <w:t>Ninguno.</w:t>
            </w:r>
          </w:p>
        </w:tc>
      </w:tr>
      <w:tr w:rsidR="00067534" w:rsidRPr="00B83E1A" w14:paraId="7F440F82" w14:textId="77777777" w:rsidTr="004E65E7">
        <w:trPr>
          <w:jc w:val="center"/>
        </w:trPr>
        <w:tc>
          <w:tcPr>
            <w:tcW w:w="1681" w:type="dxa"/>
            <w:gridSpan w:val="2"/>
            <w:vMerge/>
          </w:tcPr>
          <w:p w14:paraId="31C76B13" w14:textId="77777777" w:rsidR="00067534" w:rsidRPr="00B83E1A" w:rsidRDefault="00067534" w:rsidP="004E65E7">
            <w:pPr>
              <w:rPr>
                <w:sz w:val="18"/>
                <w:szCs w:val="18"/>
                <w:lang w:val="es-ES"/>
              </w:rPr>
            </w:pPr>
          </w:p>
        </w:tc>
        <w:tc>
          <w:tcPr>
            <w:tcW w:w="2410" w:type="dxa"/>
            <w:vMerge w:val="restart"/>
          </w:tcPr>
          <w:p w14:paraId="4A6397A9" w14:textId="11338974" w:rsidR="00067534" w:rsidRPr="00B83E1A" w:rsidRDefault="00067534" w:rsidP="004E65E7">
            <w:pPr>
              <w:rPr>
                <w:sz w:val="18"/>
                <w:szCs w:val="18"/>
                <w:lang w:val="es-ES"/>
              </w:rPr>
            </w:pPr>
            <w:r w:rsidRPr="00B83E1A">
              <w:rPr>
                <w:sz w:val="18"/>
                <w:szCs w:val="18"/>
                <w:lang w:val="es-ES"/>
              </w:rPr>
              <w:t>Resultado ii)</w:t>
            </w:r>
            <w:r w:rsidR="00D23810" w:rsidRPr="00B83E1A">
              <w:rPr>
                <w:sz w:val="18"/>
                <w:szCs w:val="18"/>
                <w:lang w:val="es-ES"/>
              </w:rPr>
              <w:t>:  M</w:t>
            </w:r>
            <w:r w:rsidRPr="00B83E1A">
              <w:rPr>
                <w:sz w:val="18"/>
                <w:szCs w:val="18"/>
                <w:lang w:val="es-ES"/>
              </w:rPr>
              <w:t>ejora de las capacidades en el ámbito de los recursos humanos para hacer frente al amplio espectro de exigencias que supone la utilización eficaz de la P.I. en aras del desarrollo en los países en desarrollo, PMA y países con economías en transición.</w:t>
            </w:r>
          </w:p>
        </w:tc>
        <w:tc>
          <w:tcPr>
            <w:tcW w:w="2551" w:type="dxa"/>
            <w:gridSpan w:val="4"/>
          </w:tcPr>
          <w:p w14:paraId="69BE0D7A" w14:textId="77777777" w:rsidR="00067534" w:rsidRPr="00B83E1A" w:rsidRDefault="00067534" w:rsidP="004E65E7">
            <w:pPr>
              <w:spacing w:after="120"/>
              <w:rPr>
                <w:sz w:val="18"/>
                <w:szCs w:val="18"/>
                <w:lang w:val="es-ES" w:bidi="th-TH"/>
              </w:rPr>
            </w:pPr>
            <w:r w:rsidRPr="00B83E1A">
              <w:rPr>
                <w:sz w:val="18"/>
                <w:szCs w:val="18"/>
                <w:lang w:val="es-ES" w:bidi="th-TH"/>
              </w:rPr>
              <w:t>Porcentaje de participantes en talleres de creación de capacidad sobre cuestiones de derecho de autor que expresaron satisfacción al respecto.</w:t>
            </w:r>
          </w:p>
        </w:tc>
        <w:tc>
          <w:tcPr>
            <w:tcW w:w="2586" w:type="dxa"/>
          </w:tcPr>
          <w:p w14:paraId="3B17EE6B" w14:textId="77777777" w:rsidR="00067534" w:rsidRPr="00B83E1A" w:rsidRDefault="00067534" w:rsidP="004E65E7">
            <w:pPr>
              <w:rPr>
                <w:sz w:val="18"/>
                <w:szCs w:val="18"/>
                <w:lang w:val="es-ES" w:bidi="th-TH"/>
              </w:rPr>
            </w:pPr>
            <w:r w:rsidRPr="00B83E1A">
              <w:rPr>
                <w:sz w:val="18"/>
                <w:szCs w:val="18"/>
                <w:lang w:val="es-ES" w:bidi="th-TH"/>
              </w:rPr>
              <w:t>Más del 80% de participantes reconocieron la utilidad de los talleres.</w:t>
            </w:r>
          </w:p>
          <w:p w14:paraId="20224455" w14:textId="77777777" w:rsidR="00067534" w:rsidRPr="00B83E1A" w:rsidRDefault="00067534" w:rsidP="004E65E7">
            <w:pPr>
              <w:rPr>
                <w:sz w:val="18"/>
                <w:szCs w:val="18"/>
                <w:lang w:val="es-ES" w:bidi="th-TH"/>
              </w:rPr>
            </w:pPr>
          </w:p>
          <w:p w14:paraId="5DA432F7" w14:textId="77777777" w:rsidR="00067534" w:rsidRPr="00B83E1A" w:rsidRDefault="00067534" w:rsidP="004E65E7">
            <w:pPr>
              <w:rPr>
                <w:sz w:val="18"/>
                <w:szCs w:val="18"/>
                <w:lang w:val="es-ES"/>
              </w:rPr>
            </w:pPr>
          </w:p>
        </w:tc>
      </w:tr>
      <w:tr w:rsidR="00067534" w:rsidRPr="00B83E1A" w14:paraId="6B861F61" w14:textId="77777777" w:rsidTr="004E65E7">
        <w:trPr>
          <w:jc w:val="center"/>
        </w:trPr>
        <w:tc>
          <w:tcPr>
            <w:tcW w:w="1681" w:type="dxa"/>
            <w:gridSpan w:val="2"/>
            <w:vMerge/>
          </w:tcPr>
          <w:p w14:paraId="7113F000" w14:textId="77777777" w:rsidR="00067534" w:rsidRPr="00B83E1A" w:rsidRDefault="00067534" w:rsidP="004E65E7">
            <w:pPr>
              <w:rPr>
                <w:sz w:val="18"/>
                <w:szCs w:val="18"/>
                <w:lang w:val="es-ES"/>
              </w:rPr>
            </w:pPr>
          </w:p>
        </w:tc>
        <w:tc>
          <w:tcPr>
            <w:tcW w:w="2410" w:type="dxa"/>
            <w:vMerge/>
          </w:tcPr>
          <w:p w14:paraId="24EB20EB" w14:textId="77777777" w:rsidR="00067534" w:rsidRPr="00B83E1A" w:rsidRDefault="00067534" w:rsidP="004E65E7">
            <w:pPr>
              <w:rPr>
                <w:sz w:val="18"/>
                <w:szCs w:val="18"/>
                <w:lang w:val="es-ES"/>
              </w:rPr>
            </w:pPr>
          </w:p>
        </w:tc>
        <w:tc>
          <w:tcPr>
            <w:tcW w:w="2551" w:type="dxa"/>
            <w:gridSpan w:val="4"/>
          </w:tcPr>
          <w:p w14:paraId="6B5AA704" w14:textId="77777777" w:rsidR="00067534" w:rsidRPr="00B83E1A" w:rsidRDefault="00067534" w:rsidP="004E65E7">
            <w:pPr>
              <w:spacing w:after="120"/>
              <w:rPr>
                <w:sz w:val="18"/>
                <w:szCs w:val="18"/>
                <w:lang w:val="es-ES" w:bidi="th-TH"/>
              </w:rPr>
            </w:pPr>
            <w:r w:rsidRPr="00B83E1A">
              <w:rPr>
                <w:sz w:val="18"/>
                <w:szCs w:val="18"/>
                <w:lang w:val="es-ES" w:bidi="th-TH"/>
              </w:rPr>
              <w:t>Porcentaje de participantes en talleres sobre derecho de autor que manifestaron satisfacción al respecto además de la utilidad práctica de los conocimientos adquiridos seis meses después del taller.</w:t>
            </w:r>
          </w:p>
        </w:tc>
        <w:tc>
          <w:tcPr>
            <w:tcW w:w="2586" w:type="dxa"/>
          </w:tcPr>
          <w:p w14:paraId="0FC647E1" w14:textId="77777777" w:rsidR="00067534" w:rsidRPr="00B83E1A" w:rsidRDefault="00067534" w:rsidP="004E65E7">
            <w:pPr>
              <w:rPr>
                <w:sz w:val="18"/>
                <w:szCs w:val="18"/>
                <w:lang w:val="es-ES" w:bidi="th-TH"/>
              </w:rPr>
            </w:pPr>
            <w:r w:rsidRPr="00B83E1A">
              <w:rPr>
                <w:sz w:val="18"/>
                <w:szCs w:val="18"/>
                <w:lang w:val="es-ES" w:bidi="th-TH"/>
              </w:rPr>
              <w:t>Aproximadamente el 80% manifestaron satisfacción respecto a la utilidad práctica de la información.</w:t>
            </w:r>
          </w:p>
          <w:p w14:paraId="44C04D4B" w14:textId="77777777" w:rsidR="00067534" w:rsidRPr="00B83E1A" w:rsidRDefault="00067534" w:rsidP="004E65E7">
            <w:pPr>
              <w:rPr>
                <w:sz w:val="18"/>
                <w:szCs w:val="18"/>
                <w:lang w:val="es-ES" w:bidi="th-TH"/>
              </w:rPr>
            </w:pPr>
          </w:p>
          <w:p w14:paraId="206205D2" w14:textId="77777777" w:rsidR="00067534" w:rsidRPr="00B83E1A" w:rsidRDefault="00067534" w:rsidP="004E65E7">
            <w:pPr>
              <w:rPr>
                <w:sz w:val="18"/>
                <w:szCs w:val="18"/>
                <w:lang w:val="es-ES"/>
              </w:rPr>
            </w:pPr>
          </w:p>
        </w:tc>
      </w:tr>
      <w:tr w:rsidR="00067534" w:rsidRPr="00B83E1A" w14:paraId="07CBA53D" w14:textId="77777777" w:rsidTr="004E65E7">
        <w:trPr>
          <w:jc w:val="center"/>
        </w:trPr>
        <w:tc>
          <w:tcPr>
            <w:tcW w:w="1681" w:type="dxa"/>
            <w:gridSpan w:val="2"/>
            <w:vMerge/>
          </w:tcPr>
          <w:p w14:paraId="136EC121" w14:textId="77777777" w:rsidR="00067534" w:rsidRPr="00B83E1A" w:rsidRDefault="00067534" w:rsidP="004E65E7">
            <w:pPr>
              <w:rPr>
                <w:sz w:val="18"/>
                <w:szCs w:val="18"/>
                <w:lang w:val="es-ES"/>
              </w:rPr>
            </w:pPr>
          </w:p>
        </w:tc>
        <w:tc>
          <w:tcPr>
            <w:tcW w:w="2410" w:type="dxa"/>
            <w:vMerge/>
          </w:tcPr>
          <w:p w14:paraId="1AF3D041" w14:textId="77777777" w:rsidR="00067534" w:rsidRPr="00B83E1A" w:rsidRDefault="00067534" w:rsidP="004E65E7">
            <w:pPr>
              <w:rPr>
                <w:sz w:val="18"/>
                <w:szCs w:val="18"/>
                <w:lang w:val="es-ES"/>
              </w:rPr>
            </w:pPr>
          </w:p>
        </w:tc>
        <w:tc>
          <w:tcPr>
            <w:tcW w:w="2551" w:type="dxa"/>
            <w:gridSpan w:val="4"/>
          </w:tcPr>
          <w:p w14:paraId="1689091C" w14:textId="77777777" w:rsidR="00067534" w:rsidRPr="00B83E1A" w:rsidRDefault="00067534" w:rsidP="004E65E7">
            <w:pPr>
              <w:rPr>
                <w:sz w:val="18"/>
                <w:szCs w:val="18"/>
                <w:lang w:val="es-ES" w:bidi="th-TH"/>
              </w:rPr>
            </w:pPr>
            <w:r w:rsidRPr="00B83E1A">
              <w:rPr>
                <w:sz w:val="18"/>
                <w:szCs w:val="18"/>
                <w:lang w:val="es-ES" w:bidi="th-TH"/>
              </w:rPr>
              <w:t xml:space="preserve">Número de iniciativas nacionales en el ámbito del derecho de autor y los </w:t>
            </w:r>
            <w:r w:rsidRPr="00B83E1A">
              <w:rPr>
                <w:sz w:val="18"/>
                <w:szCs w:val="18"/>
                <w:lang w:val="es-ES" w:bidi="th-TH"/>
              </w:rPr>
              <w:lastRenderedPageBreak/>
              <w:t>derechos conexos emprendidas y directamente relacionadas con los temas objeto de los talleres.</w:t>
            </w:r>
          </w:p>
        </w:tc>
        <w:tc>
          <w:tcPr>
            <w:tcW w:w="2586" w:type="dxa"/>
          </w:tcPr>
          <w:p w14:paraId="222F3331" w14:textId="1EA92C1B" w:rsidR="00067534" w:rsidRPr="00B83E1A" w:rsidRDefault="00067534" w:rsidP="004E65E7">
            <w:pPr>
              <w:spacing w:after="120"/>
              <w:rPr>
                <w:sz w:val="18"/>
                <w:szCs w:val="18"/>
                <w:lang w:val="es-ES"/>
              </w:rPr>
            </w:pPr>
            <w:r w:rsidRPr="00B83E1A">
              <w:rPr>
                <w:sz w:val="18"/>
                <w:szCs w:val="18"/>
                <w:lang w:val="es-ES" w:bidi="th-TH"/>
              </w:rPr>
              <w:lastRenderedPageBreak/>
              <w:t>Más de</w:t>
            </w:r>
            <w:r w:rsidR="00D23810" w:rsidRPr="00B83E1A">
              <w:rPr>
                <w:sz w:val="18"/>
                <w:szCs w:val="18"/>
                <w:lang w:val="es-ES" w:bidi="th-TH"/>
              </w:rPr>
              <w:t>l 5</w:t>
            </w:r>
            <w:r w:rsidRPr="00B83E1A">
              <w:rPr>
                <w:sz w:val="18"/>
                <w:szCs w:val="18"/>
                <w:lang w:val="es-ES" w:bidi="th-TH"/>
              </w:rPr>
              <w:t xml:space="preserve">0% de los países llevaron adelante iniciativas a raíz de los talleres sobre </w:t>
            </w:r>
            <w:r w:rsidRPr="00B83E1A">
              <w:rPr>
                <w:sz w:val="18"/>
                <w:szCs w:val="18"/>
                <w:lang w:val="es-ES" w:bidi="th-TH"/>
              </w:rPr>
              <w:lastRenderedPageBreak/>
              <w:t xml:space="preserve">programas de sensibilización, mejora de las capacidades institucionales y humanas, y mejora de los sistemas de derechos de autor. </w:t>
            </w:r>
          </w:p>
        </w:tc>
      </w:tr>
      <w:tr w:rsidR="00067534" w:rsidRPr="00B83E1A" w14:paraId="0BF2E843" w14:textId="77777777" w:rsidTr="004E65E7">
        <w:trPr>
          <w:jc w:val="center"/>
        </w:trPr>
        <w:tc>
          <w:tcPr>
            <w:tcW w:w="1681" w:type="dxa"/>
            <w:gridSpan w:val="2"/>
            <w:vMerge/>
          </w:tcPr>
          <w:p w14:paraId="2A8EBEBF" w14:textId="77777777" w:rsidR="00067534" w:rsidRPr="00B83E1A" w:rsidRDefault="00067534" w:rsidP="004E65E7">
            <w:pPr>
              <w:rPr>
                <w:sz w:val="18"/>
                <w:szCs w:val="18"/>
                <w:lang w:val="es-ES"/>
              </w:rPr>
            </w:pPr>
          </w:p>
        </w:tc>
        <w:tc>
          <w:tcPr>
            <w:tcW w:w="2410" w:type="dxa"/>
            <w:vMerge/>
          </w:tcPr>
          <w:p w14:paraId="413877F5" w14:textId="77777777" w:rsidR="00067534" w:rsidRPr="00B83E1A" w:rsidRDefault="00067534" w:rsidP="004E65E7">
            <w:pPr>
              <w:rPr>
                <w:sz w:val="18"/>
                <w:szCs w:val="18"/>
                <w:lang w:val="es-ES"/>
              </w:rPr>
            </w:pPr>
          </w:p>
        </w:tc>
        <w:tc>
          <w:tcPr>
            <w:tcW w:w="2551" w:type="dxa"/>
            <w:gridSpan w:val="4"/>
          </w:tcPr>
          <w:p w14:paraId="2E5ED24A" w14:textId="77777777" w:rsidR="00067534" w:rsidRPr="00B83E1A" w:rsidRDefault="00067534" w:rsidP="004E65E7">
            <w:pPr>
              <w:spacing w:after="120"/>
              <w:rPr>
                <w:sz w:val="18"/>
                <w:szCs w:val="18"/>
                <w:lang w:val="es-ES"/>
              </w:rPr>
            </w:pPr>
            <w:r w:rsidRPr="00B83E1A">
              <w:rPr>
                <w:sz w:val="18"/>
                <w:szCs w:val="18"/>
                <w:lang w:val="es-ES"/>
              </w:rPr>
              <w:t>Porcentaje de participantes en actividades de la OMPI que afirman haber fomentado la capacidad de comprender y utilizar principios, sistemas y herramientas de P.I. para la protección de los CC.TT. y las ECT, y para la gestión de la relación existente entre la P.I. y los RR.GG.</w:t>
            </w:r>
          </w:p>
        </w:tc>
        <w:tc>
          <w:tcPr>
            <w:tcW w:w="2586" w:type="dxa"/>
          </w:tcPr>
          <w:p w14:paraId="06B62406" w14:textId="77777777" w:rsidR="00067534" w:rsidRPr="00B83E1A" w:rsidRDefault="00067534" w:rsidP="004E65E7">
            <w:pPr>
              <w:rPr>
                <w:sz w:val="18"/>
                <w:szCs w:val="18"/>
                <w:lang w:val="es-ES" w:bidi="th-TH"/>
              </w:rPr>
            </w:pPr>
            <w:r w:rsidRPr="00B83E1A">
              <w:rPr>
                <w:sz w:val="18"/>
                <w:szCs w:val="18"/>
                <w:lang w:val="es-ES" w:bidi="th-TH"/>
              </w:rPr>
              <w:t>80% (cuestionario de evaluación utilizado en relación con las tres actividades organizadas por la División de Conocimientos Tradicionales).</w:t>
            </w:r>
          </w:p>
          <w:p w14:paraId="1490A411" w14:textId="77777777" w:rsidR="00067534" w:rsidRPr="00B83E1A" w:rsidRDefault="00067534" w:rsidP="004E65E7">
            <w:pPr>
              <w:rPr>
                <w:sz w:val="18"/>
                <w:szCs w:val="18"/>
                <w:lang w:val="es-ES"/>
              </w:rPr>
            </w:pPr>
          </w:p>
        </w:tc>
      </w:tr>
      <w:tr w:rsidR="00067534" w:rsidRPr="00B83E1A" w14:paraId="05363A56" w14:textId="77777777" w:rsidTr="004E65E7">
        <w:trPr>
          <w:jc w:val="center"/>
        </w:trPr>
        <w:tc>
          <w:tcPr>
            <w:tcW w:w="1681" w:type="dxa"/>
            <w:gridSpan w:val="2"/>
            <w:vMerge/>
          </w:tcPr>
          <w:p w14:paraId="00C4FBC8" w14:textId="77777777" w:rsidR="00067534" w:rsidRPr="00B83E1A" w:rsidRDefault="00067534" w:rsidP="004E65E7">
            <w:pPr>
              <w:rPr>
                <w:sz w:val="18"/>
                <w:szCs w:val="18"/>
                <w:lang w:val="es-ES"/>
              </w:rPr>
            </w:pPr>
          </w:p>
        </w:tc>
        <w:tc>
          <w:tcPr>
            <w:tcW w:w="2410" w:type="dxa"/>
            <w:vMerge/>
          </w:tcPr>
          <w:p w14:paraId="1FFBC5EE" w14:textId="77777777" w:rsidR="00067534" w:rsidRPr="00B83E1A" w:rsidRDefault="00067534" w:rsidP="004E65E7">
            <w:pPr>
              <w:rPr>
                <w:sz w:val="18"/>
                <w:szCs w:val="18"/>
                <w:lang w:val="es-ES"/>
              </w:rPr>
            </w:pPr>
          </w:p>
        </w:tc>
        <w:tc>
          <w:tcPr>
            <w:tcW w:w="2551" w:type="dxa"/>
            <w:gridSpan w:val="4"/>
          </w:tcPr>
          <w:p w14:paraId="18E4FDA0" w14:textId="77777777" w:rsidR="00067534" w:rsidRPr="00B83E1A" w:rsidRDefault="00067534" w:rsidP="004E65E7">
            <w:pPr>
              <w:rPr>
                <w:sz w:val="18"/>
                <w:szCs w:val="18"/>
                <w:lang w:val="es-ES" w:bidi="th-TH"/>
              </w:rPr>
            </w:pPr>
            <w:r w:rsidRPr="00B83E1A">
              <w:rPr>
                <w:sz w:val="18"/>
                <w:szCs w:val="18"/>
                <w:lang w:val="es-ES" w:bidi="th-TH"/>
              </w:rPr>
              <w:t>Porcentaje de encargados de la formulación de políticas, funcionarios gubernamentales, profesionales de la P.I. y examinadores, funcionarios encargados de hacer cumplir la ley y usuarios de la P.I. que entienden mejor las cuestiones de P.I. y cómo utilizarla en aras del desarrollo.</w:t>
            </w:r>
          </w:p>
          <w:p w14:paraId="23E2B104" w14:textId="77777777" w:rsidR="00067534" w:rsidRPr="00B83E1A" w:rsidRDefault="00067534" w:rsidP="004E65E7">
            <w:pPr>
              <w:rPr>
                <w:sz w:val="18"/>
                <w:szCs w:val="18"/>
                <w:lang w:val="es-ES" w:bidi="th-TH"/>
              </w:rPr>
            </w:pPr>
          </w:p>
        </w:tc>
        <w:tc>
          <w:tcPr>
            <w:tcW w:w="2586" w:type="dxa"/>
          </w:tcPr>
          <w:p w14:paraId="4AADA608" w14:textId="4D97A9C6" w:rsidR="00067534" w:rsidRPr="00B83E1A" w:rsidRDefault="00067534" w:rsidP="004E65E7">
            <w:pPr>
              <w:rPr>
                <w:sz w:val="18"/>
                <w:szCs w:val="18"/>
                <w:lang w:val="es-ES" w:bidi="th-TH"/>
              </w:rPr>
            </w:pPr>
            <w:r w:rsidRPr="00B83E1A">
              <w:rPr>
                <w:b/>
                <w:sz w:val="18"/>
                <w:szCs w:val="18"/>
                <w:lang w:val="es-ES" w:bidi="th-TH"/>
              </w:rPr>
              <w:t>África</w:t>
            </w:r>
            <w:r w:rsidRPr="00B83E1A">
              <w:rPr>
                <w:sz w:val="18"/>
                <w:szCs w:val="18"/>
                <w:lang w:val="es-ES" w:bidi="th-TH"/>
              </w:rPr>
              <w:t>:  Alrededor d</w:t>
            </w:r>
            <w:r w:rsidR="00D23810" w:rsidRPr="00B83E1A">
              <w:rPr>
                <w:sz w:val="18"/>
                <w:szCs w:val="18"/>
                <w:lang w:val="es-ES" w:bidi="th-TH"/>
              </w:rPr>
              <w:t>e 8</w:t>
            </w:r>
            <w:r w:rsidRPr="00B83E1A">
              <w:rPr>
                <w:sz w:val="18"/>
                <w:szCs w:val="18"/>
                <w:lang w:val="es-ES" w:bidi="th-TH"/>
              </w:rPr>
              <w:t xml:space="preserve">00 participantes, comprendidos encargados de la formulación de políticas, funcionarios gubernamentales, profesionales de la P.I. y examinadores, funcionarios encargados de hacer cumplir la ley, pymes, el sector privado, las instituciones de investigación, los círculos académicos, </w:t>
            </w:r>
            <w:r w:rsidR="00D23810" w:rsidRPr="00B83E1A">
              <w:rPr>
                <w:sz w:val="18"/>
                <w:szCs w:val="18"/>
                <w:lang w:val="es-ES" w:bidi="th-TH"/>
              </w:rPr>
              <w:t>etc., a</w:t>
            </w:r>
            <w:r w:rsidRPr="00B83E1A">
              <w:rPr>
                <w:sz w:val="18"/>
                <w:szCs w:val="18"/>
                <w:lang w:val="es-ES" w:bidi="th-TH"/>
              </w:rPr>
              <w:t>sistieron a actividades relacionadas con la observancia y seminarios sobre el uso de la P.I. en aras del desarrollo, especialmente en el marco de la formulación de estrategias o políticas de P.I., y participaron en los proyectos de desarrollo de la imagen de marca mediante estrategias relacionadas con la P.I. organizados por la Oficina.</w:t>
            </w:r>
          </w:p>
          <w:p w14:paraId="32C4EC0C" w14:textId="32CBF3EA" w:rsidR="00067534" w:rsidRPr="00B83E1A" w:rsidRDefault="00067534" w:rsidP="004E65E7">
            <w:pPr>
              <w:rPr>
                <w:sz w:val="18"/>
                <w:szCs w:val="18"/>
                <w:lang w:val="es-ES" w:bidi="th-TH"/>
              </w:rPr>
            </w:pPr>
            <w:r w:rsidRPr="00B83E1A">
              <w:rPr>
                <w:b/>
                <w:sz w:val="18"/>
                <w:szCs w:val="18"/>
                <w:lang w:val="es-ES" w:bidi="th-TH"/>
              </w:rPr>
              <w:t>Países árabes:</w:t>
            </w:r>
            <w:r w:rsidRPr="00B83E1A">
              <w:rPr>
                <w:sz w:val="18"/>
                <w:szCs w:val="18"/>
                <w:lang w:val="es-ES" w:bidi="th-TH"/>
              </w:rPr>
              <w:t xml:space="preserve">  Se espera que estén disponibles antes de finales d</w:t>
            </w:r>
            <w:r w:rsidR="00D23810" w:rsidRPr="00B83E1A">
              <w:rPr>
                <w:sz w:val="18"/>
                <w:szCs w:val="18"/>
                <w:lang w:val="es-ES" w:bidi="th-TH"/>
              </w:rPr>
              <w:t>e 2</w:t>
            </w:r>
            <w:r w:rsidRPr="00B83E1A">
              <w:rPr>
                <w:sz w:val="18"/>
                <w:szCs w:val="18"/>
                <w:lang w:val="es-ES" w:bidi="th-TH"/>
              </w:rPr>
              <w:t>013.</w:t>
            </w:r>
          </w:p>
          <w:p w14:paraId="7931C3EC" w14:textId="77777777" w:rsidR="00067534" w:rsidRPr="00B83E1A" w:rsidRDefault="00067534" w:rsidP="004E65E7">
            <w:pPr>
              <w:rPr>
                <w:sz w:val="18"/>
                <w:szCs w:val="18"/>
                <w:lang w:val="es-ES"/>
              </w:rPr>
            </w:pPr>
          </w:p>
        </w:tc>
      </w:tr>
      <w:tr w:rsidR="00067534" w:rsidRPr="00B83E1A" w14:paraId="600D81B5" w14:textId="77777777" w:rsidTr="004E65E7">
        <w:trPr>
          <w:jc w:val="center"/>
        </w:trPr>
        <w:tc>
          <w:tcPr>
            <w:tcW w:w="1681" w:type="dxa"/>
            <w:gridSpan w:val="2"/>
            <w:vMerge/>
          </w:tcPr>
          <w:p w14:paraId="0C68A3A0" w14:textId="77777777" w:rsidR="00067534" w:rsidRPr="00B83E1A" w:rsidRDefault="00067534" w:rsidP="004E65E7">
            <w:pPr>
              <w:rPr>
                <w:sz w:val="18"/>
                <w:szCs w:val="18"/>
                <w:lang w:val="es-ES"/>
              </w:rPr>
            </w:pPr>
          </w:p>
        </w:tc>
        <w:tc>
          <w:tcPr>
            <w:tcW w:w="2410" w:type="dxa"/>
            <w:vMerge/>
          </w:tcPr>
          <w:p w14:paraId="2559F550" w14:textId="77777777" w:rsidR="00067534" w:rsidRPr="00B83E1A" w:rsidRDefault="00067534" w:rsidP="004E65E7">
            <w:pPr>
              <w:rPr>
                <w:sz w:val="18"/>
                <w:szCs w:val="18"/>
                <w:lang w:val="es-ES"/>
              </w:rPr>
            </w:pPr>
          </w:p>
        </w:tc>
        <w:tc>
          <w:tcPr>
            <w:tcW w:w="2551" w:type="dxa"/>
            <w:gridSpan w:val="4"/>
          </w:tcPr>
          <w:p w14:paraId="0724BCC8" w14:textId="50F3BFC2" w:rsidR="00067534" w:rsidRPr="00B83E1A" w:rsidRDefault="00067534" w:rsidP="004E65E7">
            <w:pPr>
              <w:spacing w:after="120"/>
              <w:rPr>
                <w:sz w:val="18"/>
                <w:szCs w:val="18"/>
                <w:lang w:val="es-ES" w:bidi="th-TH"/>
              </w:rPr>
            </w:pPr>
            <w:r w:rsidRPr="00B83E1A">
              <w:rPr>
                <w:sz w:val="18"/>
                <w:szCs w:val="18"/>
                <w:lang w:val="es-ES" w:bidi="th-TH"/>
              </w:rPr>
              <w:t>Número de países que cuentan con programas de formación en P.I. y oportunidades laborales relacionadas con la P.I</w:t>
            </w:r>
            <w:r w:rsidR="004E65E7" w:rsidRPr="00B83E1A">
              <w:rPr>
                <w:sz w:val="18"/>
                <w:szCs w:val="18"/>
                <w:lang w:val="es-ES" w:bidi="th-TH"/>
              </w:rPr>
              <w:t xml:space="preserve">. </w:t>
            </w:r>
            <w:r w:rsidR="00D23810" w:rsidRPr="00B83E1A">
              <w:rPr>
                <w:sz w:val="18"/>
                <w:szCs w:val="18"/>
                <w:lang w:val="es-ES" w:bidi="th-TH"/>
              </w:rPr>
              <w:t>(</w:t>
            </w:r>
            <w:r w:rsidRPr="00B83E1A">
              <w:rPr>
                <w:sz w:val="18"/>
                <w:szCs w:val="18"/>
                <w:lang w:val="es-ES" w:bidi="th-TH"/>
              </w:rPr>
              <w:t>región de los países árabes).</w:t>
            </w:r>
          </w:p>
        </w:tc>
        <w:tc>
          <w:tcPr>
            <w:tcW w:w="2586" w:type="dxa"/>
          </w:tcPr>
          <w:p w14:paraId="276AF968" w14:textId="357DB695" w:rsidR="00067534" w:rsidRPr="00B83E1A" w:rsidRDefault="00067534" w:rsidP="004E65E7">
            <w:pPr>
              <w:rPr>
                <w:sz w:val="18"/>
                <w:szCs w:val="18"/>
                <w:lang w:val="es-ES" w:bidi="th-TH"/>
              </w:rPr>
            </w:pPr>
            <w:r w:rsidRPr="00B83E1A">
              <w:rPr>
                <w:sz w:val="18"/>
                <w:szCs w:val="18"/>
                <w:lang w:val="es-ES" w:bidi="th-TH"/>
              </w:rPr>
              <w:t>Dos países han establecido academias nacionales de P.I</w:t>
            </w:r>
            <w:r w:rsidR="004E65E7" w:rsidRPr="00B83E1A">
              <w:rPr>
                <w:sz w:val="18"/>
                <w:szCs w:val="18"/>
                <w:lang w:val="es-ES" w:bidi="th-TH"/>
              </w:rPr>
              <w:t>.</w:t>
            </w:r>
            <w:r w:rsidR="00D23810" w:rsidRPr="00B83E1A">
              <w:rPr>
                <w:sz w:val="18"/>
                <w:szCs w:val="18"/>
                <w:lang w:val="es-ES" w:bidi="th-TH"/>
              </w:rPr>
              <w:t xml:space="preserve"> (</w:t>
            </w:r>
            <w:r w:rsidRPr="00B83E1A">
              <w:rPr>
                <w:sz w:val="18"/>
                <w:szCs w:val="18"/>
                <w:lang w:val="es-ES" w:bidi="th-TH"/>
              </w:rPr>
              <w:t>Egipto y Túnez)</w:t>
            </w:r>
            <w:r w:rsidRPr="00B83E1A" w:rsidDel="00634075">
              <w:rPr>
                <w:sz w:val="18"/>
                <w:szCs w:val="18"/>
                <w:lang w:val="es-ES" w:bidi="th-TH"/>
              </w:rPr>
              <w:t xml:space="preserve"> </w:t>
            </w:r>
          </w:p>
          <w:p w14:paraId="4DEEDFD3" w14:textId="77777777" w:rsidR="00067534" w:rsidRPr="00B83E1A" w:rsidRDefault="00067534" w:rsidP="004E65E7">
            <w:pPr>
              <w:rPr>
                <w:sz w:val="18"/>
                <w:szCs w:val="18"/>
                <w:lang w:val="es-ES"/>
              </w:rPr>
            </w:pPr>
          </w:p>
        </w:tc>
      </w:tr>
      <w:tr w:rsidR="00067534" w:rsidRPr="00B83E1A" w14:paraId="18E34E17" w14:textId="77777777" w:rsidTr="004E65E7">
        <w:trPr>
          <w:jc w:val="center"/>
        </w:trPr>
        <w:tc>
          <w:tcPr>
            <w:tcW w:w="1681" w:type="dxa"/>
            <w:gridSpan w:val="2"/>
            <w:vMerge/>
          </w:tcPr>
          <w:p w14:paraId="0135F7B7" w14:textId="77777777" w:rsidR="00067534" w:rsidRPr="00B83E1A" w:rsidRDefault="00067534" w:rsidP="004E65E7">
            <w:pPr>
              <w:rPr>
                <w:sz w:val="18"/>
                <w:szCs w:val="18"/>
                <w:lang w:val="es-ES"/>
              </w:rPr>
            </w:pPr>
          </w:p>
        </w:tc>
        <w:tc>
          <w:tcPr>
            <w:tcW w:w="2410" w:type="dxa"/>
            <w:vMerge/>
          </w:tcPr>
          <w:p w14:paraId="0E6CDDBB" w14:textId="77777777" w:rsidR="00067534" w:rsidRPr="00B83E1A" w:rsidRDefault="00067534" w:rsidP="004E65E7">
            <w:pPr>
              <w:rPr>
                <w:sz w:val="18"/>
                <w:szCs w:val="18"/>
                <w:lang w:val="es-ES"/>
              </w:rPr>
            </w:pPr>
          </w:p>
        </w:tc>
        <w:tc>
          <w:tcPr>
            <w:tcW w:w="2551" w:type="dxa"/>
            <w:gridSpan w:val="4"/>
          </w:tcPr>
          <w:p w14:paraId="018315E5" w14:textId="77777777" w:rsidR="00067534" w:rsidRPr="00B83E1A" w:rsidRDefault="00067534" w:rsidP="004E65E7">
            <w:pPr>
              <w:spacing w:after="120"/>
              <w:rPr>
                <w:sz w:val="18"/>
                <w:szCs w:val="18"/>
                <w:lang w:val="es-ES" w:bidi="th-TH"/>
              </w:rPr>
            </w:pPr>
            <w:r w:rsidRPr="00B83E1A">
              <w:rPr>
                <w:sz w:val="18"/>
                <w:szCs w:val="18"/>
                <w:lang w:val="es-ES" w:bidi="th-TH"/>
              </w:rPr>
              <w:t>Porcentaje de examinadores que recibieron formación y que utilizan en su trabajo las nuevas aptitudes adquiridas (Asia y el Pacífico).</w:t>
            </w:r>
          </w:p>
        </w:tc>
        <w:tc>
          <w:tcPr>
            <w:tcW w:w="2586" w:type="dxa"/>
          </w:tcPr>
          <w:p w14:paraId="1CEBB1B2" w14:textId="1BD6FA8B" w:rsidR="00067534" w:rsidRPr="00B83E1A" w:rsidRDefault="00067534" w:rsidP="004E65E7">
            <w:pPr>
              <w:rPr>
                <w:sz w:val="18"/>
                <w:szCs w:val="18"/>
                <w:lang w:val="es-ES" w:bidi="th-TH"/>
              </w:rPr>
            </w:pPr>
            <w:r w:rsidRPr="00B83E1A">
              <w:rPr>
                <w:sz w:val="18"/>
                <w:szCs w:val="18"/>
                <w:lang w:val="es-ES" w:bidi="th-TH"/>
              </w:rPr>
              <w:t xml:space="preserve"> Se espera que estén disponibles antes de finales d</w:t>
            </w:r>
            <w:r w:rsidR="00D23810" w:rsidRPr="00B83E1A">
              <w:rPr>
                <w:sz w:val="18"/>
                <w:szCs w:val="18"/>
                <w:lang w:val="es-ES" w:bidi="th-TH"/>
              </w:rPr>
              <w:t>e 2</w:t>
            </w:r>
            <w:r w:rsidRPr="00B83E1A">
              <w:rPr>
                <w:sz w:val="18"/>
                <w:szCs w:val="18"/>
                <w:lang w:val="es-ES" w:bidi="th-TH"/>
              </w:rPr>
              <w:t>013.</w:t>
            </w:r>
          </w:p>
          <w:p w14:paraId="190CBE0A" w14:textId="77777777" w:rsidR="00067534" w:rsidRPr="00B83E1A" w:rsidRDefault="00067534" w:rsidP="004E65E7">
            <w:pPr>
              <w:rPr>
                <w:sz w:val="18"/>
                <w:szCs w:val="18"/>
                <w:lang w:val="es-ES"/>
              </w:rPr>
            </w:pPr>
          </w:p>
        </w:tc>
      </w:tr>
      <w:tr w:rsidR="00067534" w:rsidRPr="00B83E1A" w14:paraId="265E62EA" w14:textId="77777777" w:rsidTr="004E65E7">
        <w:trPr>
          <w:jc w:val="center"/>
        </w:trPr>
        <w:tc>
          <w:tcPr>
            <w:tcW w:w="1681" w:type="dxa"/>
            <w:gridSpan w:val="2"/>
            <w:vMerge/>
          </w:tcPr>
          <w:p w14:paraId="633794A1" w14:textId="77777777" w:rsidR="00067534" w:rsidRPr="00B83E1A" w:rsidRDefault="00067534" w:rsidP="004E65E7">
            <w:pPr>
              <w:rPr>
                <w:sz w:val="18"/>
                <w:szCs w:val="18"/>
                <w:lang w:val="es-ES"/>
              </w:rPr>
            </w:pPr>
          </w:p>
        </w:tc>
        <w:tc>
          <w:tcPr>
            <w:tcW w:w="2410" w:type="dxa"/>
            <w:vMerge/>
          </w:tcPr>
          <w:p w14:paraId="664DE13E" w14:textId="77777777" w:rsidR="00067534" w:rsidRPr="00B83E1A" w:rsidRDefault="00067534" w:rsidP="004E65E7">
            <w:pPr>
              <w:rPr>
                <w:sz w:val="18"/>
                <w:szCs w:val="18"/>
                <w:lang w:val="es-ES"/>
              </w:rPr>
            </w:pPr>
          </w:p>
        </w:tc>
        <w:tc>
          <w:tcPr>
            <w:tcW w:w="2551" w:type="dxa"/>
            <w:gridSpan w:val="4"/>
          </w:tcPr>
          <w:p w14:paraId="54C6F1EC" w14:textId="77777777" w:rsidR="00067534" w:rsidRPr="00B83E1A" w:rsidRDefault="00067534" w:rsidP="004E65E7">
            <w:pPr>
              <w:rPr>
                <w:sz w:val="18"/>
                <w:szCs w:val="18"/>
                <w:lang w:val="es-ES" w:bidi="th-TH"/>
              </w:rPr>
            </w:pPr>
            <w:r w:rsidRPr="00B83E1A">
              <w:rPr>
                <w:sz w:val="18"/>
                <w:szCs w:val="18"/>
                <w:lang w:val="es-ES" w:bidi="th-TH"/>
              </w:rPr>
              <w:t xml:space="preserve">Porcentaje de encargados de la formulación de </w:t>
            </w:r>
            <w:r w:rsidRPr="00B83E1A">
              <w:rPr>
                <w:sz w:val="18"/>
                <w:szCs w:val="18"/>
                <w:lang w:val="es-ES" w:bidi="th-TH"/>
              </w:rPr>
              <w:lastRenderedPageBreak/>
              <w:t>políticas, funcionarios gubernamentales y profesionales de la P.I. que entienden mejor las cuestiones de P.I., entre otras cosas, cómo utilizarla con eficacia en aras del desarrollo (Asia y el Pacífico).</w:t>
            </w:r>
          </w:p>
        </w:tc>
        <w:tc>
          <w:tcPr>
            <w:tcW w:w="2586" w:type="dxa"/>
          </w:tcPr>
          <w:p w14:paraId="6F3BC1E0" w14:textId="196ECB39" w:rsidR="00067534" w:rsidRPr="00B83E1A" w:rsidRDefault="00067534" w:rsidP="004E65E7">
            <w:pPr>
              <w:rPr>
                <w:sz w:val="18"/>
                <w:szCs w:val="18"/>
                <w:lang w:val="es-ES" w:bidi="th-TH"/>
              </w:rPr>
            </w:pPr>
            <w:r w:rsidRPr="00B83E1A">
              <w:rPr>
                <w:sz w:val="18"/>
                <w:szCs w:val="18"/>
                <w:lang w:val="es-ES" w:bidi="th-TH"/>
              </w:rPr>
              <w:lastRenderedPageBreak/>
              <w:t xml:space="preserve">Se espera que estén disponibles antes de finales </w:t>
            </w:r>
            <w:r w:rsidRPr="00B83E1A">
              <w:rPr>
                <w:sz w:val="18"/>
                <w:szCs w:val="18"/>
                <w:lang w:val="es-ES" w:bidi="th-TH"/>
              </w:rPr>
              <w:lastRenderedPageBreak/>
              <w:t>d</w:t>
            </w:r>
            <w:r w:rsidR="00D23810" w:rsidRPr="00B83E1A">
              <w:rPr>
                <w:sz w:val="18"/>
                <w:szCs w:val="18"/>
                <w:lang w:val="es-ES" w:bidi="th-TH"/>
              </w:rPr>
              <w:t>e 2</w:t>
            </w:r>
            <w:r w:rsidRPr="00B83E1A">
              <w:rPr>
                <w:sz w:val="18"/>
                <w:szCs w:val="18"/>
                <w:lang w:val="es-ES" w:bidi="th-TH"/>
              </w:rPr>
              <w:t>013.</w:t>
            </w:r>
          </w:p>
          <w:p w14:paraId="52A88761" w14:textId="3464DD84" w:rsidR="00067534" w:rsidRPr="00B83E1A" w:rsidRDefault="00067534" w:rsidP="004E65E7">
            <w:pPr>
              <w:spacing w:after="120"/>
              <w:rPr>
                <w:sz w:val="18"/>
                <w:szCs w:val="18"/>
                <w:lang w:val="es-ES"/>
              </w:rPr>
            </w:pPr>
            <w:r w:rsidRPr="00B83E1A">
              <w:rPr>
                <w:sz w:val="18"/>
                <w:szCs w:val="18"/>
                <w:lang w:val="es-ES" w:bidi="th-TH"/>
              </w:rPr>
              <w:t>(Los datos obtenidos se basan principalmente en cuestionarios de evaluación a los que se respondió al final de varios seminarios;  se están modificando estos cuestionarios a fin de permitir la extracción de datos más específicos e</w:t>
            </w:r>
            <w:r w:rsidR="00D23810" w:rsidRPr="00B83E1A">
              <w:rPr>
                <w:sz w:val="18"/>
                <w:szCs w:val="18"/>
                <w:lang w:val="es-ES" w:bidi="th-TH"/>
              </w:rPr>
              <w:t>n 2</w:t>
            </w:r>
            <w:r w:rsidRPr="00B83E1A">
              <w:rPr>
                <w:sz w:val="18"/>
                <w:szCs w:val="18"/>
                <w:lang w:val="es-ES" w:bidi="th-TH"/>
              </w:rPr>
              <w:t>013.)</w:t>
            </w:r>
          </w:p>
        </w:tc>
      </w:tr>
      <w:tr w:rsidR="00067534" w:rsidRPr="00B83E1A" w14:paraId="253EA97C" w14:textId="77777777" w:rsidTr="004E65E7">
        <w:trPr>
          <w:jc w:val="center"/>
        </w:trPr>
        <w:tc>
          <w:tcPr>
            <w:tcW w:w="1681" w:type="dxa"/>
            <w:gridSpan w:val="2"/>
            <w:vMerge/>
          </w:tcPr>
          <w:p w14:paraId="0E057A36" w14:textId="77777777" w:rsidR="00067534" w:rsidRPr="00B83E1A" w:rsidRDefault="00067534" w:rsidP="004E65E7">
            <w:pPr>
              <w:rPr>
                <w:sz w:val="18"/>
                <w:szCs w:val="18"/>
                <w:lang w:val="es-ES"/>
              </w:rPr>
            </w:pPr>
          </w:p>
        </w:tc>
        <w:tc>
          <w:tcPr>
            <w:tcW w:w="2410" w:type="dxa"/>
            <w:vMerge/>
          </w:tcPr>
          <w:p w14:paraId="032E1CDF" w14:textId="77777777" w:rsidR="00067534" w:rsidRPr="00B83E1A" w:rsidRDefault="00067534" w:rsidP="004E65E7">
            <w:pPr>
              <w:rPr>
                <w:sz w:val="18"/>
                <w:szCs w:val="18"/>
                <w:lang w:val="es-ES"/>
              </w:rPr>
            </w:pPr>
          </w:p>
        </w:tc>
        <w:tc>
          <w:tcPr>
            <w:tcW w:w="2551" w:type="dxa"/>
            <w:gridSpan w:val="4"/>
          </w:tcPr>
          <w:p w14:paraId="1B1653C8" w14:textId="77777777" w:rsidR="00067534" w:rsidRPr="00B83E1A" w:rsidRDefault="00067534" w:rsidP="004E65E7">
            <w:pPr>
              <w:spacing w:after="120"/>
              <w:rPr>
                <w:sz w:val="18"/>
                <w:szCs w:val="18"/>
                <w:lang w:val="es-ES" w:bidi="th-TH"/>
              </w:rPr>
            </w:pPr>
            <w:r w:rsidRPr="00B83E1A">
              <w:rPr>
                <w:sz w:val="18"/>
                <w:szCs w:val="18"/>
                <w:lang w:val="es-ES" w:bidi="th-TH"/>
              </w:rPr>
              <w:t>Número de formadores en P.I./expertos nacionales (América Latina y el Caribe).</w:t>
            </w:r>
          </w:p>
        </w:tc>
        <w:tc>
          <w:tcPr>
            <w:tcW w:w="2586" w:type="dxa"/>
          </w:tcPr>
          <w:p w14:paraId="4298DF0C" w14:textId="77777777" w:rsidR="00067534" w:rsidRPr="00B83E1A" w:rsidRDefault="00067534" w:rsidP="004E65E7">
            <w:pPr>
              <w:rPr>
                <w:sz w:val="18"/>
                <w:szCs w:val="18"/>
                <w:lang w:val="es-ES" w:bidi="th-TH"/>
              </w:rPr>
            </w:pPr>
            <w:r w:rsidRPr="00B83E1A">
              <w:rPr>
                <w:sz w:val="18"/>
                <w:szCs w:val="18"/>
                <w:lang w:val="es-ES" w:bidi="th-TH"/>
              </w:rPr>
              <w:t>80 nuevos expertos/formadores (131 expertos/formadores en total)</w:t>
            </w:r>
          </w:p>
          <w:p w14:paraId="7DB1B376" w14:textId="77777777" w:rsidR="00067534" w:rsidRPr="00B83E1A" w:rsidRDefault="00067534" w:rsidP="004E65E7">
            <w:pPr>
              <w:rPr>
                <w:sz w:val="18"/>
                <w:szCs w:val="18"/>
                <w:lang w:val="es-ES"/>
              </w:rPr>
            </w:pPr>
          </w:p>
        </w:tc>
      </w:tr>
      <w:tr w:rsidR="00067534" w:rsidRPr="00B83E1A" w14:paraId="73519EB1" w14:textId="77777777" w:rsidTr="004E65E7">
        <w:trPr>
          <w:jc w:val="center"/>
        </w:trPr>
        <w:tc>
          <w:tcPr>
            <w:tcW w:w="1681" w:type="dxa"/>
            <w:gridSpan w:val="2"/>
            <w:vMerge/>
          </w:tcPr>
          <w:p w14:paraId="6FF8B803" w14:textId="77777777" w:rsidR="00067534" w:rsidRPr="00B83E1A" w:rsidRDefault="00067534" w:rsidP="004E65E7">
            <w:pPr>
              <w:rPr>
                <w:sz w:val="18"/>
                <w:szCs w:val="18"/>
                <w:lang w:val="es-ES"/>
              </w:rPr>
            </w:pPr>
          </w:p>
        </w:tc>
        <w:tc>
          <w:tcPr>
            <w:tcW w:w="2410" w:type="dxa"/>
            <w:vMerge/>
          </w:tcPr>
          <w:p w14:paraId="33B82D3F" w14:textId="77777777" w:rsidR="00067534" w:rsidRPr="00B83E1A" w:rsidRDefault="00067534" w:rsidP="004E65E7">
            <w:pPr>
              <w:rPr>
                <w:sz w:val="18"/>
                <w:szCs w:val="18"/>
                <w:lang w:val="es-ES"/>
              </w:rPr>
            </w:pPr>
          </w:p>
        </w:tc>
        <w:tc>
          <w:tcPr>
            <w:tcW w:w="2551" w:type="dxa"/>
            <w:gridSpan w:val="4"/>
          </w:tcPr>
          <w:p w14:paraId="3BACA1EE" w14:textId="77777777" w:rsidR="00067534" w:rsidRPr="00B83E1A" w:rsidRDefault="00067534" w:rsidP="004E65E7">
            <w:pPr>
              <w:spacing w:after="120"/>
              <w:rPr>
                <w:sz w:val="18"/>
                <w:szCs w:val="18"/>
                <w:lang w:val="es-ES" w:bidi="th-TH"/>
              </w:rPr>
            </w:pPr>
            <w:r w:rsidRPr="00B83E1A">
              <w:rPr>
                <w:sz w:val="18"/>
                <w:szCs w:val="18"/>
                <w:lang w:val="es-ES" w:bidi="th-TH"/>
              </w:rPr>
              <w:t>Número de programas nacionales de formación estructurados (América Latina y el Caribe).</w:t>
            </w:r>
          </w:p>
        </w:tc>
        <w:tc>
          <w:tcPr>
            <w:tcW w:w="2586" w:type="dxa"/>
          </w:tcPr>
          <w:p w14:paraId="68CCEB58" w14:textId="77777777" w:rsidR="00067534" w:rsidRPr="00B83E1A" w:rsidRDefault="00067534" w:rsidP="004E65E7">
            <w:pPr>
              <w:rPr>
                <w:sz w:val="18"/>
                <w:szCs w:val="18"/>
                <w:lang w:val="es-ES" w:bidi="th-TH"/>
              </w:rPr>
            </w:pPr>
            <w:r w:rsidRPr="00B83E1A">
              <w:rPr>
                <w:sz w:val="18"/>
                <w:szCs w:val="18"/>
                <w:lang w:val="es-ES" w:bidi="th-TH"/>
              </w:rPr>
              <w:t>45 actividades nacionales</w:t>
            </w:r>
          </w:p>
          <w:p w14:paraId="186D7E8A" w14:textId="77777777" w:rsidR="00067534" w:rsidRPr="00B83E1A" w:rsidRDefault="00067534" w:rsidP="004E65E7">
            <w:pPr>
              <w:rPr>
                <w:sz w:val="18"/>
                <w:szCs w:val="18"/>
                <w:lang w:val="es-ES" w:bidi="th-TH"/>
              </w:rPr>
            </w:pPr>
          </w:p>
          <w:p w14:paraId="3B9C395E" w14:textId="77777777" w:rsidR="00067534" w:rsidRPr="00B83E1A" w:rsidRDefault="00067534" w:rsidP="004E65E7">
            <w:pPr>
              <w:rPr>
                <w:sz w:val="18"/>
                <w:szCs w:val="18"/>
                <w:lang w:val="es-ES"/>
              </w:rPr>
            </w:pPr>
          </w:p>
        </w:tc>
      </w:tr>
      <w:tr w:rsidR="00067534" w:rsidRPr="00B83E1A" w14:paraId="6573A467" w14:textId="77777777" w:rsidTr="004E65E7">
        <w:trPr>
          <w:jc w:val="center"/>
        </w:trPr>
        <w:tc>
          <w:tcPr>
            <w:tcW w:w="1681" w:type="dxa"/>
            <w:gridSpan w:val="2"/>
            <w:vMerge/>
          </w:tcPr>
          <w:p w14:paraId="1D41DA73" w14:textId="77777777" w:rsidR="00067534" w:rsidRPr="00B83E1A" w:rsidRDefault="00067534" w:rsidP="004E65E7">
            <w:pPr>
              <w:rPr>
                <w:sz w:val="18"/>
                <w:szCs w:val="18"/>
                <w:lang w:val="es-ES"/>
              </w:rPr>
            </w:pPr>
          </w:p>
        </w:tc>
        <w:tc>
          <w:tcPr>
            <w:tcW w:w="2410" w:type="dxa"/>
            <w:vMerge/>
          </w:tcPr>
          <w:p w14:paraId="026621DB" w14:textId="77777777" w:rsidR="00067534" w:rsidRPr="00B83E1A" w:rsidRDefault="00067534" w:rsidP="004E65E7">
            <w:pPr>
              <w:rPr>
                <w:sz w:val="18"/>
                <w:szCs w:val="18"/>
                <w:lang w:val="es-ES"/>
              </w:rPr>
            </w:pPr>
          </w:p>
        </w:tc>
        <w:tc>
          <w:tcPr>
            <w:tcW w:w="2551" w:type="dxa"/>
            <w:gridSpan w:val="4"/>
          </w:tcPr>
          <w:p w14:paraId="232D8B41" w14:textId="77777777" w:rsidR="00067534" w:rsidRPr="00B83E1A" w:rsidRDefault="00067534" w:rsidP="004E65E7">
            <w:pPr>
              <w:rPr>
                <w:sz w:val="18"/>
                <w:szCs w:val="18"/>
                <w:lang w:val="es-ES" w:bidi="th-TH"/>
              </w:rPr>
            </w:pPr>
            <w:r w:rsidRPr="00B83E1A">
              <w:rPr>
                <w:sz w:val="18"/>
                <w:szCs w:val="18"/>
                <w:lang w:val="es-ES" w:bidi="th-TH"/>
              </w:rPr>
              <w:t>Número de países en los que se han evaluado las necesidades de asistencia técnica y fortalecimiento de las capacidades (PMA).</w:t>
            </w:r>
          </w:p>
        </w:tc>
        <w:tc>
          <w:tcPr>
            <w:tcW w:w="2586" w:type="dxa"/>
          </w:tcPr>
          <w:p w14:paraId="2543F50A" w14:textId="77777777" w:rsidR="00067534" w:rsidRPr="00B83E1A" w:rsidRDefault="00067534" w:rsidP="004E65E7">
            <w:pPr>
              <w:rPr>
                <w:sz w:val="18"/>
                <w:szCs w:val="18"/>
                <w:lang w:val="es-ES" w:bidi="th-TH"/>
              </w:rPr>
            </w:pPr>
            <w:r w:rsidRPr="00B83E1A">
              <w:rPr>
                <w:sz w:val="18"/>
                <w:szCs w:val="18"/>
                <w:lang w:val="es-ES" w:bidi="th-TH"/>
              </w:rPr>
              <w:t xml:space="preserve">25 PMA </w:t>
            </w:r>
          </w:p>
          <w:p w14:paraId="6C8483E6" w14:textId="7E091F99" w:rsidR="009A700A" w:rsidRPr="00B83E1A" w:rsidRDefault="00067534" w:rsidP="004E65E7">
            <w:pPr>
              <w:rPr>
                <w:sz w:val="18"/>
                <w:szCs w:val="18"/>
                <w:lang w:val="es-ES" w:bidi="th-TH"/>
              </w:rPr>
            </w:pPr>
            <w:r w:rsidRPr="00B83E1A">
              <w:rPr>
                <w:sz w:val="18"/>
                <w:szCs w:val="18"/>
                <w:lang w:val="es-ES" w:bidi="th-TH"/>
              </w:rPr>
              <w:t>África:  Gambia</w:t>
            </w:r>
            <w:r w:rsidR="00D23810" w:rsidRPr="00B83E1A">
              <w:rPr>
                <w:sz w:val="18"/>
                <w:szCs w:val="18"/>
                <w:lang w:val="es-ES" w:bidi="th-TH"/>
              </w:rPr>
              <w:t>, L</w:t>
            </w:r>
            <w:r w:rsidRPr="00B83E1A">
              <w:rPr>
                <w:sz w:val="18"/>
                <w:szCs w:val="18"/>
                <w:lang w:val="es-ES" w:bidi="th-TH"/>
              </w:rPr>
              <w:t>esotho, Malawi, Mozambique, República Unida de Tanzanía, Rwanda, Sierra Leona, Sudán, Uganda, Zambia, Etiopía, Benin, Burkina Faso, Burundi, Guinea, Madagascar, Malí, Mauritania, Níger, República Centroafricana, Senegal, Chad y Togo</w:t>
            </w:r>
            <w:r w:rsidR="009A700A" w:rsidRPr="00B83E1A">
              <w:rPr>
                <w:sz w:val="18"/>
                <w:szCs w:val="18"/>
                <w:lang w:val="es-ES" w:bidi="th-TH"/>
              </w:rPr>
              <w:t>.</w:t>
            </w:r>
          </w:p>
          <w:p w14:paraId="33258DDE" w14:textId="0416749E" w:rsidR="00067534" w:rsidRPr="00B83E1A" w:rsidRDefault="00067534" w:rsidP="004E65E7">
            <w:pPr>
              <w:rPr>
                <w:sz w:val="18"/>
                <w:szCs w:val="18"/>
                <w:lang w:val="es-ES" w:bidi="th-TH"/>
              </w:rPr>
            </w:pPr>
            <w:r w:rsidRPr="00B83E1A">
              <w:rPr>
                <w:sz w:val="18"/>
                <w:szCs w:val="18"/>
                <w:lang w:val="es-ES" w:bidi="th-TH"/>
              </w:rPr>
              <w:t>Asia y el Pacífico:  Bangladesh y Nepal</w:t>
            </w:r>
          </w:p>
          <w:p w14:paraId="42C04714" w14:textId="77777777" w:rsidR="00067534" w:rsidRPr="00B83E1A" w:rsidRDefault="00067534" w:rsidP="004E65E7">
            <w:pPr>
              <w:rPr>
                <w:sz w:val="18"/>
                <w:szCs w:val="18"/>
                <w:lang w:val="es-ES"/>
              </w:rPr>
            </w:pPr>
          </w:p>
        </w:tc>
      </w:tr>
      <w:tr w:rsidR="00067534" w:rsidRPr="00B83E1A" w14:paraId="3BCDFF80" w14:textId="77777777" w:rsidTr="004E65E7">
        <w:trPr>
          <w:trHeight w:val="1045"/>
          <w:jc w:val="center"/>
        </w:trPr>
        <w:tc>
          <w:tcPr>
            <w:tcW w:w="1681" w:type="dxa"/>
            <w:gridSpan w:val="2"/>
            <w:vMerge/>
          </w:tcPr>
          <w:p w14:paraId="2076F0F7" w14:textId="77777777" w:rsidR="00067534" w:rsidRPr="00B83E1A" w:rsidRDefault="00067534" w:rsidP="004E65E7">
            <w:pPr>
              <w:rPr>
                <w:sz w:val="18"/>
                <w:szCs w:val="18"/>
                <w:lang w:val="es-ES"/>
              </w:rPr>
            </w:pPr>
          </w:p>
        </w:tc>
        <w:tc>
          <w:tcPr>
            <w:tcW w:w="2410" w:type="dxa"/>
            <w:vMerge/>
          </w:tcPr>
          <w:p w14:paraId="0E06FCA4" w14:textId="77777777" w:rsidR="00067534" w:rsidRPr="00B83E1A" w:rsidRDefault="00067534" w:rsidP="004E65E7">
            <w:pPr>
              <w:rPr>
                <w:sz w:val="18"/>
                <w:szCs w:val="18"/>
                <w:lang w:val="es-ES"/>
              </w:rPr>
            </w:pPr>
          </w:p>
        </w:tc>
        <w:tc>
          <w:tcPr>
            <w:tcW w:w="2551" w:type="dxa"/>
            <w:gridSpan w:val="4"/>
          </w:tcPr>
          <w:p w14:paraId="3D16C8F0" w14:textId="77777777" w:rsidR="00067534" w:rsidRPr="00B83E1A" w:rsidRDefault="00067534" w:rsidP="004E65E7">
            <w:pPr>
              <w:rPr>
                <w:sz w:val="18"/>
                <w:szCs w:val="18"/>
                <w:lang w:val="es-ES" w:bidi="th-TH"/>
              </w:rPr>
            </w:pPr>
            <w:r w:rsidRPr="00B83E1A">
              <w:rPr>
                <w:sz w:val="18"/>
                <w:szCs w:val="18"/>
                <w:lang w:val="es-ES" w:bidi="th-TH"/>
              </w:rPr>
              <w:t>Número de estudiantes/participantes por año y distribución geográfica (PMA).</w:t>
            </w:r>
          </w:p>
        </w:tc>
        <w:tc>
          <w:tcPr>
            <w:tcW w:w="2586" w:type="dxa"/>
          </w:tcPr>
          <w:p w14:paraId="2E278338" w14:textId="110D3FAC" w:rsidR="00067534" w:rsidRPr="00B83E1A" w:rsidRDefault="00067534" w:rsidP="004E65E7">
            <w:pPr>
              <w:rPr>
                <w:sz w:val="18"/>
                <w:szCs w:val="18"/>
                <w:lang w:val="es-ES" w:bidi="th-TH"/>
              </w:rPr>
            </w:pPr>
            <w:r w:rsidRPr="00B83E1A">
              <w:rPr>
                <w:sz w:val="18"/>
                <w:szCs w:val="18"/>
                <w:lang w:val="es-ES" w:bidi="th-TH"/>
              </w:rPr>
              <w:t>Un total d</w:t>
            </w:r>
            <w:r w:rsidR="00D23810" w:rsidRPr="00B83E1A">
              <w:rPr>
                <w:sz w:val="18"/>
                <w:szCs w:val="18"/>
                <w:lang w:val="es-ES" w:bidi="th-TH"/>
              </w:rPr>
              <w:t>e 1</w:t>
            </w:r>
            <w:r w:rsidRPr="00B83E1A">
              <w:rPr>
                <w:sz w:val="18"/>
                <w:szCs w:val="18"/>
                <w:lang w:val="es-ES" w:bidi="th-TH"/>
              </w:rPr>
              <w:t xml:space="preserve">.065 estudiantes/participantes de todas las regiones (23 PMA de África </w:t>
            </w:r>
            <w:r w:rsidR="00D23810" w:rsidRPr="00B83E1A">
              <w:rPr>
                <w:sz w:val="18"/>
                <w:szCs w:val="18"/>
                <w:lang w:val="es-ES" w:bidi="th-TH"/>
              </w:rPr>
              <w:t>y 5</w:t>
            </w:r>
            <w:r w:rsidRPr="00B83E1A">
              <w:rPr>
                <w:sz w:val="18"/>
                <w:szCs w:val="18"/>
                <w:lang w:val="es-ES" w:bidi="th-TH"/>
              </w:rPr>
              <w:t xml:space="preserve"> PMA de Asia).</w:t>
            </w:r>
          </w:p>
          <w:p w14:paraId="3CE1C1A1" w14:textId="77777777" w:rsidR="00067534" w:rsidRPr="00B83E1A" w:rsidRDefault="00067534" w:rsidP="004E65E7">
            <w:pPr>
              <w:rPr>
                <w:sz w:val="18"/>
                <w:szCs w:val="18"/>
                <w:lang w:val="es-ES"/>
              </w:rPr>
            </w:pPr>
          </w:p>
        </w:tc>
      </w:tr>
      <w:tr w:rsidR="00067534" w:rsidRPr="00B83E1A" w14:paraId="67A90ACA" w14:textId="77777777" w:rsidTr="004E65E7">
        <w:trPr>
          <w:jc w:val="center"/>
        </w:trPr>
        <w:tc>
          <w:tcPr>
            <w:tcW w:w="1681" w:type="dxa"/>
            <w:gridSpan w:val="2"/>
            <w:vMerge/>
          </w:tcPr>
          <w:p w14:paraId="68CFAC50" w14:textId="77777777" w:rsidR="00067534" w:rsidRPr="00B83E1A" w:rsidRDefault="00067534" w:rsidP="004E65E7">
            <w:pPr>
              <w:rPr>
                <w:sz w:val="18"/>
                <w:szCs w:val="18"/>
                <w:lang w:val="es-ES"/>
              </w:rPr>
            </w:pPr>
          </w:p>
        </w:tc>
        <w:tc>
          <w:tcPr>
            <w:tcW w:w="2410" w:type="dxa"/>
            <w:vMerge/>
          </w:tcPr>
          <w:p w14:paraId="0212589A" w14:textId="77777777" w:rsidR="00067534" w:rsidRPr="00B83E1A" w:rsidRDefault="00067534" w:rsidP="004E65E7">
            <w:pPr>
              <w:rPr>
                <w:sz w:val="18"/>
                <w:szCs w:val="18"/>
                <w:lang w:val="es-ES"/>
              </w:rPr>
            </w:pPr>
          </w:p>
        </w:tc>
        <w:tc>
          <w:tcPr>
            <w:tcW w:w="2551" w:type="dxa"/>
            <w:gridSpan w:val="4"/>
          </w:tcPr>
          <w:p w14:paraId="17AC9EF1" w14:textId="49879E89" w:rsidR="00067534" w:rsidRPr="00B83E1A" w:rsidRDefault="00067534" w:rsidP="0068425B">
            <w:pPr>
              <w:spacing w:after="120"/>
              <w:rPr>
                <w:sz w:val="18"/>
                <w:szCs w:val="18"/>
                <w:lang w:val="es-ES" w:bidi="th-TH"/>
              </w:rPr>
            </w:pPr>
            <w:r w:rsidRPr="00B83E1A">
              <w:rPr>
                <w:sz w:val="18"/>
                <w:szCs w:val="18"/>
                <w:lang w:val="es-ES" w:bidi="th-TH"/>
              </w:rPr>
              <w:t xml:space="preserve">Porcentaje de funcionarios de observancia que recibieron formación y que están satisfechos con la formación recibida y su utilidad en la vida profesional. </w:t>
            </w:r>
          </w:p>
        </w:tc>
        <w:tc>
          <w:tcPr>
            <w:tcW w:w="2586" w:type="dxa"/>
          </w:tcPr>
          <w:p w14:paraId="545A3886" w14:textId="099CC6DA" w:rsidR="00067534" w:rsidRPr="00B83E1A" w:rsidRDefault="00067534" w:rsidP="004E65E7">
            <w:pPr>
              <w:rPr>
                <w:sz w:val="18"/>
                <w:szCs w:val="18"/>
                <w:lang w:val="es-ES"/>
              </w:rPr>
            </w:pPr>
            <w:r w:rsidRPr="00B83E1A">
              <w:rPr>
                <w:sz w:val="18"/>
                <w:szCs w:val="18"/>
                <w:lang w:val="es-ES"/>
              </w:rPr>
              <w:t>Un índice de satisfacción de más de</w:t>
            </w:r>
            <w:r w:rsidR="00D23810" w:rsidRPr="00B83E1A">
              <w:rPr>
                <w:sz w:val="18"/>
                <w:szCs w:val="18"/>
                <w:lang w:val="es-ES"/>
              </w:rPr>
              <w:t>l 8</w:t>
            </w:r>
            <w:r w:rsidRPr="00B83E1A">
              <w:rPr>
                <w:sz w:val="18"/>
                <w:szCs w:val="18"/>
                <w:lang w:val="es-ES"/>
              </w:rPr>
              <w:t>0% respecto de la pertinencia de los temas, el interés de los participantes en la materia y la calidad de las exposiciones.</w:t>
            </w:r>
          </w:p>
          <w:p w14:paraId="7A03322E" w14:textId="77777777" w:rsidR="00067534" w:rsidRPr="00B83E1A" w:rsidRDefault="00067534" w:rsidP="004E65E7">
            <w:pPr>
              <w:rPr>
                <w:sz w:val="18"/>
                <w:szCs w:val="18"/>
                <w:lang w:val="es-ES"/>
              </w:rPr>
            </w:pPr>
          </w:p>
        </w:tc>
      </w:tr>
      <w:tr w:rsidR="00067534" w:rsidRPr="00B83E1A" w14:paraId="7AE63BC8" w14:textId="77777777" w:rsidTr="004E65E7">
        <w:trPr>
          <w:jc w:val="center"/>
        </w:trPr>
        <w:tc>
          <w:tcPr>
            <w:tcW w:w="1681" w:type="dxa"/>
            <w:gridSpan w:val="2"/>
            <w:vMerge/>
          </w:tcPr>
          <w:p w14:paraId="5B0FDFCB" w14:textId="77777777" w:rsidR="00067534" w:rsidRPr="00B83E1A" w:rsidRDefault="00067534" w:rsidP="004E65E7">
            <w:pPr>
              <w:rPr>
                <w:sz w:val="18"/>
                <w:szCs w:val="18"/>
                <w:lang w:val="es-ES"/>
              </w:rPr>
            </w:pPr>
          </w:p>
        </w:tc>
        <w:tc>
          <w:tcPr>
            <w:tcW w:w="2410" w:type="dxa"/>
            <w:vMerge/>
          </w:tcPr>
          <w:p w14:paraId="0B09449E" w14:textId="77777777" w:rsidR="00067534" w:rsidRPr="00B83E1A" w:rsidRDefault="00067534" w:rsidP="004E65E7">
            <w:pPr>
              <w:rPr>
                <w:sz w:val="18"/>
                <w:szCs w:val="18"/>
                <w:lang w:val="es-ES"/>
              </w:rPr>
            </w:pPr>
          </w:p>
        </w:tc>
        <w:tc>
          <w:tcPr>
            <w:tcW w:w="2551" w:type="dxa"/>
            <w:gridSpan w:val="4"/>
          </w:tcPr>
          <w:p w14:paraId="7D9A1B04" w14:textId="77777777" w:rsidR="00067534" w:rsidRPr="00B83E1A" w:rsidRDefault="00067534" w:rsidP="004E65E7">
            <w:pPr>
              <w:spacing w:after="120"/>
              <w:rPr>
                <w:sz w:val="18"/>
                <w:szCs w:val="18"/>
                <w:lang w:val="es-ES"/>
              </w:rPr>
            </w:pPr>
            <w:r w:rsidRPr="00B83E1A">
              <w:rPr>
                <w:sz w:val="18"/>
                <w:szCs w:val="18"/>
                <w:lang w:val="es-ES"/>
              </w:rPr>
              <w:t>Porcentaje de participantes satisfechos con la calidad de los talleres y seminarios sobre la innovación y su comercialización.</w:t>
            </w:r>
          </w:p>
        </w:tc>
        <w:tc>
          <w:tcPr>
            <w:tcW w:w="2586" w:type="dxa"/>
          </w:tcPr>
          <w:p w14:paraId="1C0B5C72" w14:textId="610703FB" w:rsidR="00067534" w:rsidRPr="00B83E1A" w:rsidRDefault="00067534" w:rsidP="004E65E7">
            <w:pPr>
              <w:rPr>
                <w:sz w:val="18"/>
                <w:szCs w:val="18"/>
                <w:lang w:val="es-ES" w:bidi="th-TH"/>
              </w:rPr>
            </w:pPr>
            <w:r w:rsidRPr="00B83E1A">
              <w:rPr>
                <w:sz w:val="18"/>
                <w:szCs w:val="18"/>
                <w:lang w:val="es-ES" w:bidi="th-TH"/>
              </w:rPr>
              <w:t>E</w:t>
            </w:r>
            <w:r w:rsidR="00D23810" w:rsidRPr="00B83E1A">
              <w:rPr>
                <w:sz w:val="18"/>
                <w:szCs w:val="18"/>
                <w:lang w:val="es-ES" w:bidi="th-TH"/>
              </w:rPr>
              <w:t>l 8</w:t>
            </w:r>
            <w:r w:rsidRPr="00B83E1A">
              <w:rPr>
                <w:sz w:val="18"/>
                <w:szCs w:val="18"/>
                <w:lang w:val="es-ES" w:bidi="th-TH"/>
              </w:rPr>
              <w:t>5% de los participantes encuestados estaba satisfecho con la calidad de los talleres y la formación.</w:t>
            </w:r>
            <w:r w:rsidRPr="00B83E1A" w:rsidDel="009B1FD9">
              <w:rPr>
                <w:sz w:val="18"/>
                <w:szCs w:val="18"/>
                <w:lang w:val="es-ES" w:bidi="th-TH"/>
              </w:rPr>
              <w:t xml:space="preserve"> </w:t>
            </w:r>
          </w:p>
        </w:tc>
      </w:tr>
      <w:tr w:rsidR="00067534" w:rsidRPr="00B83E1A" w14:paraId="2DBE7FAA" w14:textId="77777777" w:rsidTr="004E65E7">
        <w:trPr>
          <w:jc w:val="center"/>
        </w:trPr>
        <w:tc>
          <w:tcPr>
            <w:tcW w:w="1681" w:type="dxa"/>
            <w:gridSpan w:val="2"/>
            <w:vMerge/>
          </w:tcPr>
          <w:p w14:paraId="6D905499" w14:textId="77777777" w:rsidR="00067534" w:rsidRPr="00B83E1A" w:rsidRDefault="00067534" w:rsidP="004E65E7">
            <w:pPr>
              <w:rPr>
                <w:sz w:val="18"/>
                <w:szCs w:val="18"/>
                <w:lang w:val="es-ES"/>
              </w:rPr>
            </w:pPr>
          </w:p>
        </w:tc>
        <w:tc>
          <w:tcPr>
            <w:tcW w:w="2410" w:type="dxa"/>
            <w:vMerge/>
          </w:tcPr>
          <w:p w14:paraId="550A75FB" w14:textId="77777777" w:rsidR="00067534" w:rsidRPr="00B83E1A" w:rsidRDefault="00067534" w:rsidP="004E65E7">
            <w:pPr>
              <w:rPr>
                <w:sz w:val="18"/>
                <w:szCs w:val="18"/>
                <w:lang w:val="es-ES"/>
              </w:rPr>
            </w:pPr>
          </w:p>
        </w:tc>
        <w:tc>
          <w:tcPr>
            <w:tcW w:w="2551" w:type="dxa"/>
            <w:gridSpan w:val="4"/>
          </w:tcPr>
          <w:p w14:paraId="0D5CF687" w14:textId="77777777" w:rsidR="00067534" w:rsidRPr="00B83E1A" w:rsidRDefault="00067534" w:rsidP="004E65E7">
            <w:pPr>
              <w:spacing w:after="120"/>
              <w:rPr>
                <w:sz w:val="18"/>
                <w:szCs w:val="18"/>
                <w:lang w:val="es-ES"/>
              </w:rPr>
            </w:pPr>
            <w:r w:rsidRPr="00B83E1A">
              <w:rPr>
                <w:sz w:val="18"/>
                <w:szCs w:val="18"/>
                <w:lang w:val="es-ES" w:bidi="th-TH"/>
              </w:rPr>
              <w:t>Porcentaje de funcionarios de oficinas de P.I. formados que utilizan en su trabajo las nuevas aptitudes adquiridas.</w:t>
            </w:r>
          </w:p>
        </w:tc>
        <w:tc>
          <w:tcPr>
            <w:tcW w:w="2586" w:type="dxa"/>
          </w:tcPr>
          <w:p w14:paraId="426A5270" w14:textId="16E15859" w:rsidR="00067534" w:rsidRPr="00B83E1A" w:rsidRDefault="00067534" w:rsidP="004E65E7">
            <w:pPr>
              <w:rPr>
                <w:sz w:val="18"/>
                <w:szCs w:val="18"/>
                <w:lang w:val="es-ES" w:bidi="th-TH"/>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p w14:paraId="03E971C7" w14:textId="77777777" w:rsidR="00067534" w:rsidRPr="00B83E1A" w:rsidRDefault="00067534" w:rsidP="004E65E7">
            <w:pPr>
              <w:rPr>
                <w:sz w:val="18"/>
                <w:szCs w:val="18"/>
                <w:lang w:val="es-ES"/>
              </w:rPr>
            </w:pPr>
          </w:p>
        </w:tc>
      </w:tr>
      <w:tr w:rsidR="00067534" w:rsidRPr="00B83E1A" w14:paraId="4072DAFF" w14:textId="77777777" w:rsidTr="004E65E7">
        <w:trPr>
          <w:trHeight w:val="598"/>
          <w:jc w:val="center"/>
        </w:trPr>
        <w:tc>
          <w:tcPr>
            <w:tcW w:w="1681" w:type="dxa"/>
            <w:gridSpan w:val="2"/>
            <w:vMerge/>
          </w:tcPr>
          <w:p w14:paraId="00346238" w14:textId="77777777" w:rsidR="00067534" w:rsidRPr="00B83E1A" w:rsidRDefault="00067534" w:rsidP="004E65E7">
            <w:pPr>
              <w:rPr>
                <w:sz w:val="18"/>
                <w:szCs w:val="18"/>
                <w:lang w:val="es-ES"/>
              </w:rPr>
            </w:pPr>
          </w:p>
        </w:tc>
        <w:tc>
          <w:tcPr>
            <w:tcW w:w="2410" w:type="dxa"/>
            <w:vMerge/>
          </w:tcPr>
          <w:p w14:paraId="74A8C06D" w14:textId="77777777" w:rsidR="00067534" w:rsidRPr="00B83E1A" w:rsidRDefault="00067534" w:rsidP="004E65E7">
            <w:pPr>
              <w:rPr>
                <w:sz w:val="18"/>
                <w:szCs w:val="18"/>
                <w:lang w:val="es-ES"/>
              </w:rPr>
            </w:pPr>
          </w:p>
        </w:tc>
        <w:tc>
          <w:tcPr>
            <w:tcW w:w="2551" w:type="dxa"/>
            <w:gridSpan w:val="4"/>
          </w:tcPr>
          <w:p w14:paraId="08EB1DBF" w14:textId="77777777" w:rsidR="00067534" w:rsidRPr="00B83E1A" w:rsidRDefault="00067534" w:rsidP="004E65E7">
            <w:pPr>
              <w:spacing w:after="120"/>
              <w:rPr>
                <w:sz w:val="18"/>
                <w:szCs w:val="18"/>
                <w:lang w:val="es-ES" w:bidi="th-TH"/>
              </w:rPr>
            </w:pPr>
            <w:r w:rsidRPr="00B83E1A">
              <w:rPr>
                <w:sz w:val="18"/>
                <w:szCs w:val="18"/>
                <w:lang w:val="es-ES" w:bidi="th-TH"/>
              </w:rPr>
              <w:t>Porcentaje de profesionales de la P.I. que afirman entender mejor las cuestiones de P.I.</w:t>
            </w:r>
          </w:p>
        </w:tc>
        <w:tc>
          <w:tcPr>
            <w:tcW w:w="2586" w:type="dxa"/>
          </w:tcPr>
          <w:p w14:paraId="3EE0EBE6" w14:textId="2330CDFC" w:rsidR="00067534" w:rsidRPr="00B83E1A" w:rsidRDefault="00067534" w:rsidP="004E65E7">
            <w:pPr>
              <w:rPr>
                <w:bCs/>
                <w:sz w:val="18"/>
                <w:szCs w:val="18"/>
                <w:lang w:val="es-ES" w:bidi="th-TH"/>
              </w:rPr>
            </w:pPr>
            <w:r w:rsidRPr="00B83E1A">
              <w:rPr>
                <w:bCs/>
                <w:sz w:val="18"/>
                <w:szCs w:val="18"/>
                <w:lang w:val="es-ES" w:bidi="th-TH"/>
              </w:rPr>
              <w:t>Se dispondrá de datos a finales d</w:t>
            </w:r>
            <w:r w:rsidR="00D23810" w:rsidRPr="00B83E1A">
              <w:rPr>
                <w:bCs/>
                <w:sz w:val="18"/>
                <w:szCs w:val="18"/>
                <w:lang w:val="es-ES" w:bidi="th-TH"/>
              </w:rPr>
              <w:t>e 2</w:t>
            </w:r>
            <w:r w:rsidRPr="00B83E1A">
              <w:rPr>
                <w:bCs/>
                <w:sz w:val="18"/>
                <w:szCs w:val="18"/>
                <w:lang w:val="es-ES" w:bidi="th-TH"/>
              </w:rPr>
              <w:t>013 (formularios de evaluación de las actividades a las que se haya asistido).</w:t>
            </w:r>
          </w:p>
          <w:p w14:paraId="55C6A348" w14:textId="77777777" w:rsidR="00067534" w:rsidRPr="00B83E1A" w:rsidRDefault="00067534" w:rsidP="004E65E7">
            <w:pPr>
              <w:rPr>
                <w:sz w:val="18"/>
                <w:szCs w:val="18"/>
                <w:lang w:val="es-ES"/>
              </w:rPr>
            </w:pPr>
          </w:p>
        </w:tc>
      </w:tr>
      <w:tr w:rsidR="00067534" w:rsidRPr="00B83E1A" w14:paraId="6B70D565" w14:textId="77777777" w:rsidTr="004E65E7">
        <w:trPr>
          <w:trHeight w:val="681"/>
          <w:jc w:val="center"/>
        </w:trPr>
        <w:tc>
          <w:tcPr>
            <w:tcW w:w="1681" w:type="dxa"/>
            <w:gridSpan w:val="2"/>
            <w:vMerge/>
          </w:tcPr>
          <w:p w14:paraId="11483A50" w14:textId="77777777" w:rsidR="00067534" w:rsidRPr="00B83E1A" w:rsidRDefault="00067534" w:rsidP="004E65E7">
            <w:pPr>
              <w:rPr>
                <w:sz w:val="18"/>
                <w:szCs w:val="18"/>
                <w:lang w:val="es-ES"/>
              </w:rPr>
            </w:pPr>
          </w:p>
        </w:tc>
        <w:tc>
          <w:tcPr>
            <w:tcW w:w="2410" w:type="dxa"/>
            <w:vMerge/>
          </w:tcPr>
          <w:p w14:paraId="1AF1C217" w14:textId="77777777" w:rsidR="00067534" w:rsidRPr="00B83E1A" w:rsidRDefault="00067534" w:rsidP="004E65E7">
            <w:pPr>
              <w:rPr>
                <w:sz w:val="18"/>
                <w:szCs w:val="18"/>
                <w:lang w:val="es-ES"/>
              </w:rPr>
            </w:pPr>
          </w:p>
        </w:tc>
        <w:tc>
          <w:tcPr>
            <w:tcW w:w="2551" w:type="dxa"/>
            <w:gridSpan w:val="4"/>
          </w:tcPr>
          <w:p w14:paraId="47AFBA95" w14:textId="77777777" w:rsidR="00067534" w:rsidRPr="00B83E1A" w:rsidRDefault="00067534" w:rsidP="004E65E7">
            <w:pPr>
              <w:rPr>
                <w:sz w:val="18"/>
                <w:szCs w:val="18"/>
                <w:lang w:val="es-ES"/>
              </w:rPr>
            </w:pPr>
            <w:r w:rsidRPr="00B83E1A">
              <w:rPr>
                <w:sz w:val="18"/>
                <w:szCs w:val="18"/>
                <w:lang w:val="es-ES"/>
              </w:rPr>
              <w:t>Porcentaje de estudiantes procedentes de oficinas de P.I. que se muestran satisfechos con la formación proporcionada.</w:t>
            </w:r>
          </w:p>
          <w:p w14:paraId="3B95B1E2" w14:textId="77777777" w:rsidR="00067534" w:rsidRPr="00B83E1A" w:rsidRDefault="00067534" w:rsidP="004E65E7">
            <w:pPr>
              <w:rPr>
                <w:sz w:val="18"/>
                <w:szCs w:val="18"/>
                <w:lang w:val="es-ES"/>
              </w:rPr>
            </w:pPr>
          </w:p>
        </w:tc>
        <w:tc>
          <w:tcPr>
            <w:tcW w:w="2586" w:type="dxa"/>
          </w:tcPr>
          <w:p w14:paraId="78D5F713" w14:textId="77777777" w:rsidR="00067534" w:rsidRPr="00B83E1A" w:rsidRDefault="00067534" w:rsidP="004E65E7">
            <w:pPr>
              <w:rPr>
                <w:sz w:val="18"/>
                <w:szCs w:val="18"/>
                <w:lang w:val="es-ES" w:bidi="th-TH"/>
              </w:rPr>
            </w:pPr>
            <w:r w:rsidRPr="00B83E1A">
              <w:rPr>
                <w:sz w:val="18"/>
                <w:szCs w:val="18"/>
                <w:lang w:val="es-ES" w:bidi="th-TH"/>
              </w:rPr>
              <w:t xml:space="preserve">95% </w:t>
            </w:r>
          </w:p>
          <w:p w14:paraId="43749B26" w14:textId="77777777" w:rsidR="00067534" w:rsidRPr="00B83E1A" w:rsidRDefault="00067534" w:rsidP="004E65E7">
            <w:pPr>
              <w:rPr>
                <w:sz w:val="18"/>
                <w:szCs w:val="18"/>
                <w:lang w:val="es-ES"/>
              </w:rPr>
            </w:pPr>
          </w:p>
        </w:tc>
      </w:tr>
      <w:tr w:rsidR="00067534" w:rsidRPr="00B83E1A" w14:paraId="36E1BF53" w14:textId="77777777" w:rsidTr="004E65E7">
        <w:trPr>
          <w:jc w:val="center"/>
        </w:trPr>
        <w:tc>
          <w:tcPr>
            <w:tcW w:w="1681" w:type="dxa"/>
            <w:gridSpan w:val="2"/>
            <w:vMerge/>
          </w:tcPr>
          <w:p w14:paraId="62B786AA" w14:textId="77777777" w:rsidR="00067534" w:rsidRPr="00B83E1A" w:rsidRDefault="00067534" w:rsidP="004E65E7">
            <w:pPr>
              <w:rPr>
                <w:sz w:val="18"/>
                <w:szCs w:val="18"/>
                <w:lang w:val="es-ES"/>
              </w:rPr>
            </w:pPr>
          </w:p>
        </w:tc>
        <w:tc>
          <w:tcPr>
            <w:tcW w:w="2410" w:type="dxa"/>
            <w:vMerge/>
          </w:tcPr>
          <w:p w14:paraId="35B61514" w14:textId="77777777" w:rsidR="00067534" w:rsidRPr="00B83E1A" w:rsidRDefault="00067534" w:rsidP="004E65E7">
            <w:pPr>
              <w:rPr>
                <w:sz w:val="18"/>
                <w:szCs w:val="18"/>
                <w:lang w:val="es-ES"/>
              </w:rPr>
            </w:pPr>
          </w:p>
        </w:tc>
        <w:tc>
          <w:tcPr>
            <w:tcW w:w="2551" w:type="dxa"/>
            <w:gridSpan w:val="4"/>
          </w:tcPr>
          <w:p w14:paraId="25537AA2" w14:textId="77777777" w:rsidR="00067534" w:rsidRPr="00B83E1A" w:rsidRDefault="00067534" w:rsidP="004E65E7">
            <w:pPr>
              <w:spacing w:after="120"/>
              <w:ind w:firstLineChars="3" w:firstLine="5"/>
              <w:rPr>
                <w:sz w:val="18"/>
                <w:szCs w:val="18"/>
                <w:lang w:val="es-ES"/>
              </w:rPr>
            </w:pPr>
            <w:r w:rsidRPr="00B83E1A">
              <w:rPr>
                <w:sz w:val="18"/>
                <w:szCs w:val="18"/>
                <w:lang w:val="es-ES"/>
              </w:rPr>
              <w:t>Porcentaje de estudiantes que utilizan en la práctica las capacidades adquiridas en la formación.</w:t>
            </w:r>
          </w:p>
        </w:tc>
        <w:tc>
          <w:tcPr>
            <w:tcW w:w="2586" w:type="dxa"/>
          </w:tcPr>
          <w:p w14:paraId="0E944E94" w14:textId="77777777" w:rsidR="00067534" w:rsidRPr="00B83E1A" w:rsidRDefault="00067534" w:rsidP="004E65E7">
            <w:pPr>
              <w:rPr>
                <w:sz w:val="18"/>
                <w:szCs w:val="18"/>
                <w:lang w:val="es-ES" w:bidi="th-TH"/>
              </w:rPr>
            </w:pPr>
            <w:r w:rsidRPr="00B83E1A">
              <w:rPr>
                <w:sz w:val="18"/>
                <w:szCs w:val="18"/>
                <w:lang w:val="es-ES" w:bidi="th-TH"/>
              </w:rPr>
              <w:t>75%</w:t>
            </w:r>
          </w:p>
          <w:p w14:paraId="6A97404E" w14:textId="77777777" w:rsidR="00067534" w:rsidRPr="00B83E1A" w:rsidRDefault="00067534" w:rsidP="004E65E7">
            <w:pPr>
              <w:rPr>
                <w:sz w:val="18"/>
                <w:szCs w:val="18"/>
                <w:lang w:val="es-ES" w:bidi="th-TH"/>
              </w:rPr>
            </w:pPr>
          </w:p>
          <w:p w14:paraId="478AE78C" w14:textId="77777777" w:rsidR="00067534" w:rsidRPr="00B83E1A" w:rsidRDefault="00067534" w:rsidP="004E65E7">
            <w:pPr>
              <w:rPr>
                <w:sz w:val="18"/>
                <w:szCs w:val="18"/>
                <w:lang w:val="es-ES"/>
              </w:rPr>
            </w:pPr>
          </w:p>
        </w:tc>
      </w:tr>
      <w:tr w:rsidR="00067534" w:rsidRPr="00B83E1A" w14:paraId="4ACEB661" w14:textId="77777777" w:rsidTr="004E65E7">
        <w:trPr>
          <w:jc w:val="center"/>
        </w:trPr>
        <w:tc>
          <w:tcPr>
            <w:tcW w:w="1681" w:type="dxa"/>
            <w:gridSpan w:val="2"/>
            <w:vMerge/>
          </w:tcPr>
          <w:p w14:paraId="0D75A859" w14:textId="77777777" w:rsidR="00067534" w:rsidRPr="00B83E1A" w:rsidRDefault="00067534" w:rsidP="004E65E7">
            <w:pPr>
              <w:rPr>
                <w:sz w:val="18"/>
                <w:szCs w:val="18"/>
                <w:lang w:val="es-ES"/>
              </w:rPr>
            </w:pPr>
          </w:p>
        </w:tc>
        <w:tc>
          <w:tcPr>
            <w:tcW w:w="2410" w:type="dxa"/>
            <w:vMerge/>
          </w:tcPr>
          <w:p w14:paraId="75C825F6" w14:textId="77777777" w:rsidR="00067534" w:rsidRPr="00B83E1A" w:rsidRDefault="00067534" w:rsidP="004E65E7">
            <w:pPr>
              <w:rPr>
                <w:sz w:val="18"/>
                <w:szCs w:val="18"/>
                <w:lang w:val="es-ES"/>
              </w:rPr>
            </w:pPr>
          </w:p>
        </w:tc>
        <w:tc>
          <w:tcPr>
            <w:tcW w:w="2551" w:type="dxa"/>
            <w:gridSpan w:val="4"/>
          </w:tcPr>
          <w:p w14:paraId="1A654116" w14:textId="77777777" w:rsidR="00067534" w:rsidRPr="00B83E1A" w:rsidRDefault="00067534" w:rsidP="004E65E7">
            <w:pPr>
              <w:spacing w:after="120"/>
              <w:ind w:firstLineChars="3" w:firstLine="5"/>
              <w:rPr>
                <w:sz w:val="18"/>
                <w:szCs w:val="18"/>
                <w:lang w:val="es-ES"/>
              </w:rPr>
            </w:pPr>
            <w:r w:rsidRPr="00B83E1A">
              <w:rPr>
                <w:sz w:val="18"/>
                <w:szCs w:val="18"/>
                <w:lang w:val="es-ES"/>
              </w:rPr>
              <w:t>Porcentaje de supervisores que aplican satisfactoriamente las capacidades adquiridas un año después de la formación.</w:t>
            </w:r>
          </w:p>
        </w:tc>
        <w:tc>
          <w:tcPr>
            <w:tcW w:w="2586" w:type="dxa"/>
          </w:tcPr>
          <w:p w14:paraId="397EA011" w14:textId="77777777" w:rsidR="00067534" w:rsidRPr="00B83E1A" w:rsidRDefault="00067534" w:rsidP="004E65E7">
            <w:pPr>
              <w:rPr>
                <w:sz w:val="18"/>
                <w:szCs w:val="18"/>
                <w:lang w:val="es-ES" w:bidi="th-TH"/>
              </w:rPr>
            </w:pPr>
            <w:r w:rsidRPr="00B83E1A">
              <w:rPr>
                <w:sz w:val="18"/>
                <w:szCs w:val="18"/>
                <w:lang w:val="es-ES" w:bidi="th-TH"/>
              </w:rPr>
              <w:t>70%</w:t>
            </w:r>
          </w:p>
          <w:p w14:paraId="49CF730F" w14:textId="77777777" w:rsidR="00067534" w:rsidRPr="00B83E1A" w:rsidRDefault="00067534" w:rsidP="004E65E7">
            <w:pPr>
              <w:rPr>
                <w:sz w:val="18"/>
                <w:szCs w:val="18"/>
                <w:lang w:val="es-ES" w:bidi="th-TH"/>
              </w:rPr>
            </w:pPr>
          </w:p>
          <w:p w14:paraId="367DD9D8" w14:textId="77777777" w:rsidR="00067534" w:rsidRPr="00B83E1A" w:rsidRDefault="00067534" w:rsidP="004E65E7">
            <w:pPr>
              <w:rPr>
                <w:sz w:val="18"/>
                <w:szCs w:val="18"/>
                <w:lang w:val="es-ES" w:bidi="th-TH"/>
              </w:rPr>
            </w:pPr>
          </w:p>
          <w:p w14:paraId="151B13AE" w14:textId="77777777" w:rsidR="00067534" w:rsidRPr="00B83E1A" w:rsidRDefault="00067534" w:rsidP="004E65E7">
            <w:pPr>
              <w:rPr>
                <w:sz w:val="18"/>
                <w:szCs w:val="18"/>
                <w:lang w:val="es-ES"/>
              </w:rPr>
            </w:pPr>
          </w:p>
        </w:tc>
      </w:tr>
      <w:tr w:rsidR="00067534" w:rsidRPr="00B83E1A" w14:paraId="5638EF4B" w14:textId="77777777" w:rsidTr="004E65E7">
        <w:trPr>
          <w:jc w:val="center"/>
        </w:trPr>
        <w:tc>
          <w:tcPr>
            <w:tcW w:w="1681" w:type="dxa"/>
            <w:gridSpan w:val="2"/>
            <w:vMerge/>
          </w:tcPr>
          <w:p w14:paraId="77377B9B" w14:textId="77777777" w:rsidR="00067534" w:rsidRPr="00B83E1A" w:rsidRDefault="00067534" w:rsidP="004E65E7">
            <w:pPr>
              <w:rPr>
                <w:sz w:val="18"/>
                <w:szCs w:val="18"/>
                <w:lang w:val="es-ES"/>
              </w:rPr>
            </w:pPr>
          </w:p>
        </w:tc>
        <w:tc>
          <w:tcPr>
            <w:tcW w:w="2410" w:type="dxa"/>
            <w:vMerge/>
          </w:tcPr>
          <w:p w14:paraId="268DD761" w14:textId="77777777" w:rsidR="00067534" w:rsidRPr="00B83E1A" w:rsidRDefault="00067534" w:rsidP="004E65E7">
            <w:pPr>
              <w:rPr>
                <w:sz w:val="18"/>
                <w:szCs w:val="18"/>
                <w:lang w:val="es-ES"/>
              </w:rPr>
            </w:pPr>
          </w:p>
        </w:tc>
        <w:tc>
          <w:tcPr>
            <w:tcW w:w="2551" w:type="dxa"/>
            <w:gridSpan w:val="4"/>
          </w:tcPr>
          <w:p w14:paraId="2A8C77A3" w14:textId="77777777" w:rsidR="00067534" w:rsidRPr="00B83E1A" w:rsidRDefault="00067534" w:rsidP="004E65E7">
            <w:pPr>
              <w:spacing w:after="120"/>
              <w:ind w:firstLineChars="3" w:firstLine="5"/>
              <w:rPr>
                <w:sz w:val="18"/>
                <w:szCs w:val="18"/>
                <w:lang w:val="es-ES"/>
              </w:rPr>
            </w:pPr>
            <w:r w:rsidRPr="00B83E1A">
              <w:rPr>
                <w:sz w:val="18"/>
                <w:szCs w:val="18"/>
                <w:lang w:val="es-ES"/>
              </w:rPr>
              <w:t>Número de graduados de la Academia de la OMPI y de instituciones académicas asociadas (oferta conjunta).</w:t>
            </w:r>
          </w:p>
        </w:tc>
        <w:tc>
          <w:tcPr>
            <w:tcW w:w="2586" w:type="dxa"/>
          </w:tcPr>
          <w:p w14:paraId="69D6620F" w14:textId="77777777" w:rsidR="00067534" w:rsidRPr="00B83E1A" w:rsidRDefault="00067534" w:rsidP="004E65E7">
            <w:pPr>
              <w:rPr>
                <w:sz w:val="18"/>
                <w:szCs w:val="18"/>
                <w:lang w:val="es-ES" w:bidi="th-TH"/>
              </w:rPr>
            </w:pPr>
          </w:p>
          <w:p w14:paraId="607CBBFA" w14:textId="77777777" w:rsidR="00067534" w:rsidRPr="00B83E1A" w:rsidRDefault="00067534" w:rsidP="004E65E7">
            <w:pPr>
              <w:rPr>
                <w:sz w:val="18"/>
                <w:szCs w:val="18"/>
                <w:lang w:val="es-ES" w:bidi="th-TH"/>
              </w:rPr>
            </w:pPr>
            <w:r w:rsidRPr="00B83E1A">
              <w:rPr>
                <w:sz w:val="18"/>
                <w:szCs w:val="18"/>
                <w:lang w:val="es-ES" w:bidi="th-TH"/>
              </w:rPr>
              <w:t xml:space="preserve">72 </w:t>
            </w:r>
          </w:p>
          <w:p w14:paraId="2C44608E" w14:textId="77777777" w:rsidR="00067534" w:rsidRPr="00B83E1A" w:rsidRDefault="00067534" w:rsidP="004E65E7">
            <w:pPr>
              <w:rPr>
                <w:sz w:val="18"/>
                <w:szCs w:val="18"/>
                <w:lang w:val="es-ES"/>
              </w:rPr>
            </w:pPr>
          </w:p>
        </w:tc>
      </w:tr>
      <w:tr w:rsidR="00067534" w:rsidRPr="00B83E1A" w14:paraId="3ABC76F5" w14:textId="77777777" w:rsidTr="004E65E7">
        <w:trPr>
          <w:jc w:val="center"/>
        </w:trPr>
        <w:tc>
          <w:tcPr>
            <w:tcW w:w="1681" w:type="dxa"/>
            <w:gridSpan w:val="2"/>
            <w:vMerge/>
          </w:tcPr>
          <w:p w14:paraId="6140E391" w14:textId="77777777" w:rsidR="00067534" w:rsidRPr="00B83E1A" w:rsidRDefault="00067534" w:rsidP="004E65E7">
            <w:pPr>
              <w:rPr>
                <w:sz w:val="18"/>
                <w:szCs w:val="18"/>
                <w:lang w:val="es-ES"/>
              </w:rPr>
            </w:pPr>
          </w:p>
        </w:tc>
        <w:tc>
          <w:tcPr>
            <w:tcW w:w="2410" w:type="dxa"/>
            <w:vMerge/>
          </w:tcPr>
          <w:p w14:paraId="11670AEB" w14:textId="77777777" w:rsidR="00067534" w:rsidRPr="00B83E1A" w:rsidRDefault="00067534" w:rsidP="004E65E7">
            <w:pPr>
              <w:rPr>
                <w:sz w:val="18"/>
                <w:szCs w:val="18"/>
                <w:lang w:val="es-ES"/>
              </w:rPr>
            </w:pPr>
          </w:p>
        </w:tc>
        <w:tc>
          <w:tcPr>
            <w:tcW w:w="2551" w:type="dxa"/>
            <w:gridSpan w:val="4"/>
          </w:tcPr>
          <w:p w14:paraId="391A99A9" w14:textId="77777777" w:rsidR="00067534" w:rsidRPr="00B83E1A" w:rsidRDefault="00067534" w:rsidP="004E65E7">
            <w:pPr>
              <w:spacing w:after="120"/>
              <w:ind w:firstLineChars="3" w:firstLine="5"/>
              <w:rPr>
                <w:sz w:val="18"/>
                <w:szCs w:val="18"/>
                <w:lang w:val="es-ES"/>
              </w:rPr>
            </w:pPr>
            <w:r w:rsidRPr="00B83E1A">
              <w:rPr>
                <w:sz w:val="18"/>
                <w:szCs w:val="18"/>
                <w:lang w:val="es-ES"/>
              </w:rPr>
              <w:t>Número de participantes formados anualmente en los cursos de verano de la OMPI.</w:t>
            </w:r>
          </w:p>
        </w:tc>
        <w:tc>
          <w:tcPr>
            <w:tcW w:w="2586" w:type="dxa"/>
          </w:tcPr>
          <w:p w14:paraId="4C85BC64" w14:textId="5DCE6397" w:rsidR="00067534" w:rsidRPr="00B83E1A" w:rsidRDefault="00067534" w:rsidP="004E65E7">
            <w:pPr>
              <w:rPr>
                <w:sz w:val="18"/>
                <w:szCs w:val="18"/>
                <w:lang w:val="es-ES" w:bidi="th-TH"/>
              </w:rPr>
            </w:pPr>
            <w:r w:rsidRPr="00B83E1A">
              <w:rPr>
                <w:sz w:val="18"/>
                <w:szCs w:val="18"/>
                <w:lang w:val="es-ES" w:bidi="th-TH"/>
              </w:rPr>
              <w:t>301 participantes e</w:t>
            </w:r>
            <w:r w:rsidR="00D23810" w:rsidRPr="00B83E1A">
              <w:rPr>
                <w:sz w:val="18"/>
                <w:szCs w:val="18"/>
                <w:lang w:val="es-ES" w:bidi="th-TH"/>
              </w:rPr>
              <w:t>n 2</w:t>
            </w:r>
            <w:r w:rsidRPr="00B83E1A">
              <w:rPr>
                <w:sz w:val="18"/>
                <w:szCs w:val="18"/>
                <w:lang w:val="es-ES" w:bidi="th-TH"/>
              </w:rPr>
              <w:t>012.</w:t>
            </w:r>
          </w:p>
          <w:p w14:paraId="4199138E" w14:textId="77777777" w:rsidR="00067534" w:rsidRPr="00B83E1A" w:rsidRDefault="00067534" w:rsidP="004E65E7">
            <w:pPr>
              <w:rPr>
                <w:sz w:val="18"/>
                <w:szCs w:val="18"/>
                <w:lang w:val="es-ES" w:bidi="th-TH"/>
              </w:rPr>
            </w:pPr>
          </w:p>
          <w:p w14:paraId="28901683" w14:textId="77777777" w:rsidR="00067534" w:rsidRPr="00B83E1A" w:rsidRDefault="00067534" w:rsidP="004E65E7">
            <w:pPr>
              <w:rPr>
                <w:sz w:val="18"/>
                <w:szCs w:val="18"/>
                <w:lang w:val="es-ES"/>
              </w:rPr>
            </w:pPr>
          </w:p>
        </w:tc>
      </w:tr>
      <w:tr w:rsidR="00067534" w:rsidRPr="00B83E1A" w14:paraId="489A87EE" w14:textId="77777777" w:rsidTr="004E65E7">
        <w:trPr>
          <w:jc w:val="center"/>
        </w:trPr>
        <w:tc>
          <w:tcPr>
            <w:tcW w:w="1681" w:type="dxa"/>
            <w:gridSpan w:val="2"/>
            <w:vMerge/>
          </w:tcPr>
          <w:p w14:paraId="6B2C66E6" w14:textId="77777777" w:rsidR="00067534" w:rsidRPr="00B83E1A" w:rsidRDefault="00067534" w:rsidP="004E65E7">
            <w:pPr>
              <w:rPr>
                <w:sz w:val="18"/>
                <w:szCs w:val="18"/>
                <w:lang w:val="es-ES"/>
              </w:rPr>
            </w:pPr>
          </w:p>
        </w:tc>
        <w:tc>
          <w:tcPr>
            <w:tcW w:w="2410" w:type="dxa"/>
            <w:vMerge/>
          </w:tcPr>
          <w:p w14:paraId="217473DA" w14:textId="77777777" w:rsidR="00067534" w:rsidRPr="00B83E1A" w:rsidRDefault="00067534" w:rsidP="004E65E7">
            <w:pPr>
              <w:rPr>
                <w:sz w:val="18"/>
                <w:szCs w:val="18"/>
                <w:lang w:val="es-ES"/>
              </w:rPr>
            </w:pPr>
          </w:p>
        </w:tc>
        <w:tc>
          <w:tcPr>
            <w:tcW w:w="2551" w:type="dxa"/>
            <w:gridSpan w:val="4"/>
          </w:tcPr>
          <w:p w14:paraId="0B8D3410" w14:textId="77777777" w:rsidR="00067534" w:rsidRPr="00B83E1A" w:rsidRDefault="00067534" w:rsidP="004E65E7">
            <w:pPr>
              <w:rPr>
                <w:sz w:val="18"/>
                <w:szCs w:val="18"/>
                <w:lang w:val="es-ES"/>
              </w:rPr>
            </w:pPr>
            <w:r w:rsidRPr="00B83E1A">
              <w:rPr>
                <w:sz w:val="18"/>
                <w:szCs w:val="18"/>
                <w:lang w:val="es-ES"/>
              </w:rPr>
              <w:t xml:space="preserve">Número de profesores de P.I. que recibieron formación </w:t>
            </w:r>
          </w:p>
        </w:tc>
        <w:tc>
          <w:tcPr>
            <w:tcW w:w="2586" w:type="dxa"/>
          </w:tcPr>
          <w:p w14:paraId="4312F053" w14:textId="2465A758" w:rsidR="00067534" w:rsidRPr="00B83E1A" w:rsidRDefault="00067534" w:rsidP="004E65E7">
            <w:pPr>
              <w:spacing w:after="120"/>
              <w:rPr>
                <w:sz w:val="18"/>
                <w:szCs w:val="18"/>
                <w:lang w:val="es-ES"/>
              </w:rPr>
            </w:pPr>
            <w:r w:rsidRPr="00B83E1A">
              <w:rPr>
                <w:sz w:val="18"/>
                <w:szCs w:val="18"/>
                <w:lang w:val="es-ES" w:bidi="th-TH"/>
              </w:rPr>
              <w:t>2</w:t>
            </w:r>
            <w:r w:rsidR="00B35257" w:rsidRPr="00B83E1A">
              <w:rPr>
                <w:sz w:val="18"/>
                <w:szCs w:val="18"/>
                <w:lang w:val="es-ES" w:bidi="th-TH"/>
              </w:rPr>
              <w:t>7 p</w:t>
            </w:r>
            <w:r w:rsidRPr="00B83E1A">
              <w:rPr>
                <w:sz w:val="18"/>
                <w:szCs w:val="18"/>
                <w:lang w:val="es-ES" w:bidi="th-TH"/>
              </w:rPr>
              <w:t>rofesores de P.I. recibieron formación e</w:t>
            </w:r>
            <w:r w:rsidR="009A700A" w:rsidRPr="00B83E1A">
              <w:rPr>
                <w:sz w:val="18"/>
                <w:szCs w:val="18"/>
                <w:lang w:val="es-ES" w:bidi="th-TH"/>
              </w:rPr>
              <w:t>n 2</w:t>
            </w:r>
            <w:r w:rsidRPr="00B83E1A">
              <w:rPr>
                <w:sz w:val="18"/>
                <w:szCs w:val="18"/>
                <w:lang w:val="es-ES" w:bidi="th-TH"/>
              </w:rPr>
              <w:t>012 en el Coloquio OMPI-OMC para enseñantes de propiedad intelectual y el Congreso de la Asociación Internacional para el Progreso de la Enseñanza y de la Investigación de la Propiedad Intelectual (ATRIP), que se celebra anualmente.</w:t>
            </w:r>
          </w:p>
        </w:tc>
      </w:tr>
      <w:tr w:rsidR="00067534" w:rsidRPr="00B83E1A" w14:paraId="772F5382" w14:textId="77777777" w:rsidTr="004E65E7">
        <w:trPr>
          <w:jc w:val="center"/>
        </w:trPr>
        <w:tc>
          <w:tcPr>
            <w:tcW w:w="1681" w:type="dxa"/>
            <w:gridSpan w:val="2"/>
            <w:vMerge/>
          </w:tcPr>
          <w:p w14:paraId="6B5D7EE3" w14:textId="77777777" w:rsidR="00067534" w:rsidRPr="00B83E1A" w:rsidRDefault="00067534" w:rsidP="004E65E7">
            <w:pPr>
              <w:rPr>
                <w:sz w:val="18"/>
                <w:szCs w:val="18"/>
                <w:lang w:val="es-ES"/>
              </w:rPr>
            </w:pPr>
          </w:p>
        </w:tc>
        <w:tc>
          <w:tcPr>
            <w:tcW w:w="2410" w:type="dxa"/>
            <w:vMerge/>
          </w:tcPr>
          <w:p w14:paraId="7CD9CAF7" w14:textId="77777777" w:rsidR="00067534" w:rsidRPr="00B83E1A" w:rsidRDefault="00067534" w:rsidP="004E65E7">
            <w:pPr>
              <w:rPr>
                <w:sz w:val="18"/>
                <w:szCs w:val="18"/>
                <w:lang w:val="es-ES"/>
              </w:rPr>
            </w:pPr>
          </w:p>
        </w:tc>
        <w:tc>
          <w:tcPr>
            <w:tcW w:w="2551" w:type="dxa"/>
            <w:gridSpan w:val="4"/>
          </w:tcPr>
          <w:p w14:paraId="4A4C535A" w14:textId="081BA4D1" w:rsidR="00067534" w:rsidRPr="00B83E1A" w:rsidRDefault="00067534" w:rsidP="004E65E7">
            <w:pPr>
              <w:rPr>
                <w:sz w:val="18"/>
                <w:szCs w:val="18"/>
                <w:lang w:val="es-ES"/>
              </w:rPr>
            </w:pPr>
            <w:r w:rsidRPr="00B83E1A">
              <w:rPr>
                <w:sz w:val="18"/>
                <w:szCs w:val="18"/>
                <w:lang w:val="es-ES"/>
              </w:rPr>
              <w:t>Número de academias nacionales de P.I. establecidas</w:t>
            </w:r>
            <w:r w:rsidR="009A700A" w:rsidRPr="00B83E1A">
              <w:rPr>
                <w:sz w:val="18"/>
                <w:szCs w:val="18"/>
                <w:lang w:val="es-ES"/>
              </w:rPr>
              <w:t>.  (</w:t>
            </w:r>
            <w:r w:rsidRPr="00B83E1A">
              <w:rPr>
                <w:sz w:val="18"/>
                <w:szCs w:val="18"/>
                <w:lang w:val="es-ES"/>
              </w:rPr>
              <w:t xml:space="preserve">Proyecto de la Agenda para el Desarrollo) </w:t>
            </w:r>
          </w:p>
        </w:tc>
        <w:tc>
          <w:tcPr>
            <w:tcW w:w="2586" w:type="dxa"/>
          </w:tcPr>
          <w:p w14:paraId="6D2673A4" w14:textId="7190C1F0" w:rsidR="00067534" w:rsidRPr="00B83E1A" w:rsidRDefault="00067534" w:rsidP="004E65E7">
            <w:pPr>
              <w:spacing w:after="120"/>
              <w:rPr>
                <w:sz w:val="18"/>
                <w:szCs w:val="18"/>
                <w:lang w:val="es-ES"/>
              </w:rPr>
            </w:pPr>
            <w:r w:rsidRPr="00B83E1A">
              <w:rPr>
                <w:sz w:val="18"/>
                <w:szCs w:val="18"/>
                <w:lang w:val="es-ES" w:bidi="th-TH"/>
              </w:rPr>
              <w:t>La referencia “2” es el número de academias nacionales de P.I. que se habían establecido a la fecha de la preparación del proyecto de presupuesto por programas par</w:t>
            </w:r>
            <w:r w:rsidR="009A700A" w:rsidRPr="00B83E1A">
              <w:rPr>
                <w:sz w:val="18"/>
                <w:szCs w:val="18"/>
                <w:lang w:val="es-ES" w:bidi="th-TH"/>
              </w:rPr>
              <w:t>a 2</w:t>
            </w:r>
            <w:r w:rsidRPr="00B83E1A">
              <w:rPr>
                <w:sz w:val="18"/>
                <w:szCs w:val="18"/>
                <w:lang w:val="es-ES" w:bidi="th-TH"/>
              </w:rPr>
              <w:t>012/13.  A finales d</w:t>
            </w:r>
            <w:r w:rsidR="009A700A" w:rsidRPr="00B83E1A">
              <w:rPr>
                <w:sz w:val="18"/>
                <w:szCs w:val="18"/>
                <w:lang w:val="es-ES" w:bidi="th-TH"/>
              </w:rPr>
              <w:t>e 2</w:t>
            </w:r>
            <w:r w:rsidRPr="00B83E1A">
              <w:rPr>
                <w:sz w:val="18"/>
                <w:szCs w:val="18"/>
                <w:lang w:val="es-ES" w:bidi="th-TH"/>
              </w:rPr>
              <w:t>011, se habían iniciad</w:t>
            </w:r>
            <w:r w:rsidR="009A700A" w:rsidRPr="00B83E1A">
              <w:rPr>
                <w:sz w:val="18"/>
                <w:szCs w:val="18"/>
                <w:lang w:val="es-ES" w:bidi="th-TH"/>
              </w:rPr>
              <w:t>o 4</w:t>
            </w:r>
            <w:r w:rsidRPr="00B83E1A">
              <w:rPr>
                <w:sz w:val="18"/>
                <w:szCs w:val="18"/>
                <w:lang w:val="es-ES" w:bidi="th-TH"/>
              </w:rPr>
              <w:t xml:space="preserve"> de esos proyectos, aunque no se habían completado. </w:t>
            </w:r>
          </w:p>
        </w:tc>
      </w:tr>
      <w:tr w:rsidR="00AA4274" w:rsidRPr="00B83E1A" w14:paraId="06E2EF39" w14:textId="77777777" w:rsidTr="00AA4274">
        <w:trPr>
          <w:trHeight w:val="3057"/>
          <w:jc w:val="center"/>
        </w:trPr>
        <w:tc>
          <w:tcPr>
            <w:tcW w:w="1681" w:type="dxa"/>
            <w:gridSpan w:val="2"/>
            <w:vMerge/>
          </w:tcPr>
          <w:p w14:paraId="6DA3A905" w14:textId="77777777" w:rsidR="00067534" w:rsidRPr="00B83E1A" w:rsidRDefault="00067534" w:rsidP="004E65E7">
            <w:pPr>
              <w:rPr>
                <w:sz w:val="18"/>
                <w:szCs w:val="18"/>
                <w:lang w:val="es-ES"/>
              </w:rPr>
            </w:pPr>
          </w:p>
        </w:tc>
        <w:tc>
          <w:tcPr>
            <w:tcW w:w="2410" w:type="dxa"/>
            <w:vMerge/>
          </w:tcPr>
          <w:p w14:paraId="3A981C54" w14:textId="77777777" w:rsidR="00067534" w:rsidRPr="00B83E1A" w:rsidRDefault="00067534" w:rsidP="004E65E7">
            <w:pPr>
              <w:rPr>
                <w:sz w:val="18"/>
                <w:szCs w:val="18"/>
                <w:lang w:val="es-ES"/>
              </w:rPr>
            </w:pPr>
          </w:p>
        </w:tc>
        <w:tc>
          <w:tcPr>
            <w:tcW w:w="2551" w:type="dxa"/>
            <w:gridSpan w:val="4"/>
          </w:tcPr>
          <w:p w14:paraId="78839190" w14:textId="77777777" w:rsidR="00067534" w:rsidRPr="00B83E1A" w:rsidRDefault="00067534" w:rsidP="004E65E7">
            <w:pPr>
              <w:ind w:firstLineChars="3" w:firstLine="5"/>
              <w:rPr>
                <w:sz w:val="18"/>
                <w:szCs w:val="18"/>
                <w:lang w:val="es-ES"/>
              </w:rPr>
            </w:pPr>
            <w:r w:rsidRPr="00B83E1A">
              <w:rPr>
                <w:sz w:val="18"/>
                <w:szCs w:val="18"/>
                <w:lang w:val="es-ES"/>
              </w:rPr>
              <w:t>Número de nuevos acuerdos de cooperación interinstitucional.</w:t>
            </w:r>
          </w:p>
        </w:tc>
        <w:tc>
          <w:tcPr>
            <w:tcW w:w="2586" w:type="dxa"/>
          </w:tcPr>
          <w:p w14:paraId="6A74335A" w14:textId="1F61CE8E" w:rsidR="00067534" w:rsidRPr="00B83E1A" w:rsidRDefault="00067534" w:rsidP="004E65E7">
            <w:pPr>
              <w:spacing w:after="120"/>
              <w:rPr>
                <w:sz w:val="18"/>
                <w:szCs w:val="18"/>
                <w:lang w:val="es-ES"/>
              </w:rPr>
            </w:pPr>
            <w:r w:rsidRPr="00B83E1A">
              <w:rPr>
                <w:sz w:val="18"/>
                <w:szCs w:val="18"/>
                <w:lang w:val="es-ES"/>
              </w:rPr>
              <w:t>Tres acuerdos adicionales e</w:t>
            </w:r>
            <w:r w:rsidR="009A700A" w:rsidRPr="00B83E1A">
              <w:rPr>
                <w:sz w:val="18"/>
                <w:szCs w:val="18"/>
                <w:lang w:val="es-ES"/>
              </w:rPr>
              <w:t>n 2</w:t>
            </w:r>
            <w:r w:rsidRPr="00B83E1A">
              <w:rPr>
                <w:sz w:val="18"/>
                <w:szCs w:val="18"/>
                <w:lang w:val="es-ES"/>
              </w:rPr>
              <w:t>012:  el Centro de Observancia de la Propiedad Intelectual de Azerbaiyán, la Academia Marroquí de Propiedad Intelectual y Comercial y el Instituto de Investigación sobre Propiedad Intelectual de Viet Nam se adhirieron a la Red Mundial de Academias de Propiedad Intelectual (GNIPA).</w:t>
            </w:r>
          </w:p>
        </w:tc>
      </w:tr>
      <w:tr w:rsidR="00067534" w:rsidRPr="00B83E1A" w14:paraId="79CEC735" w14:textId="77777777" w:rsidTr="004E65E7">
        <w:trPr>
          <w:jc w:val="center"/>
        </w:trPr>
        <w:tc>
          <w:tcPr>
            <w:tcW w:w="1681" w:type="dxa"/>
            <w:gridSpan w:val="2"/>
            <w:vMerge/>
          </w:tcPr>
          <w:p w14:paraId="4B0003EC" w14:textId="77777777" w:rsidR="00067534" w:rsidRPr="00B83E1A" w:rsidRDefault="00067534" w:rsidP="004E65E7">
            <w:pPr>
              <w:rPr>
                <w:sz w:val="18"/>
                <w:szCs w:val="18"/>
                <w:lang w:val="es-ES"/>
              </w:rPr>
            </w:pPr>
          </w:p>
        </w:tc>
        <w:tc>
          <w:tcPr>
            <w:tcW w:w="2410" w:type="dxa"/>
            <w:vMerge/>
          </w:tcPr>
          <w:p w14:paraId="5AA340A3" w14:textId="77777777" w:rsidR="00067534" w:rsidRPr="00B83E1A" w:rsidRDefault="00067534" w:rsidP="004E65E7">
            <w:pPr>
              <w:rPr>
                <w:sz w:val="18"/>
                <w:szCs w:val="18"/>
                <w:lang w:val="es-ES"/>
              </w:rPr>
            </w:pPr>
          </w:p>
        </w:tc>
        <w:tc>
          <w:tcPr>
            <w:tcW w:w="2551" w:type="dxa"/>
            <w:gridSpan w:val="4"/>
          </w:tcPr>
          <w:p w14:paraId="43F38721" w14:textId="77777777" w:rsidR="00067534" w:rsidRPr="00B83E1A" w:rsidRDefault="00067534" w:rsidP="004E65E7">
            <w:pPr>
              <w:rPr>
                <w:sz w:val="18"/>
                <w:szCs w:val="18"/>
                <w:lang w:val="es-ES" w:bidi="th-TH"/>
              </w:rPr>
            </w:pPr>
            <w:r w:rsidRPr="00B83E1A">
              <w:rPr>
                <w:sz w:val="18"/>
                <w:szCs w:val="18"/>
                <w:lang w:val="es-ES" w:bidi="th-TH"/>
              </w:rPr>
              <w:t>Número de usuarios de países en desarrollo de herramientas, modelos y material elaborado por la OMPI en materia de innovación y su comercialización.</w:t>
            </w:r>
          </w:p>
        </w:tc>
        <w:tc>
          <w:tcPr>
            <w:tcW w:w="2586" w:type="dxa"/>
          </w:tcPr>
          <w:p w14:paraId="7093D5A0" w14:textId="7143EEBC" w:rsidR="00067534" w:rsidRPr="00B83E1A" w:rsidRDefault="00067534" w:rsidP="00067534">
            <w:pPr>
              <w:numPr>
                <w:ilvl w:val="0"/>
                <w:numId w:val="16"/>
              </w:numPr>
              <w:rPr>
                <w:sz w:val="18"/>
                <w:szCs w:val="18"/>
                <w:lang w:val="es-ES" w:bidi="th-TH"/>
              </w:rPr>
            </w:pPr>
            <w:r w:rsidRPr="00B83E1A">
              <w:rPr>
                <w:sz w:val="18"/>
                <w:szCs w:val="18"/>
                <w:lang w:val="es-ES" w:bidi="th-TH"/>
              </w:rPr>
              <w:t>12 talleres de redacción de patentes, seguidos d</w:t>
            </w:r>
            <w:r w:rsidR="009A700A" w:rsidRPr="00B83E1A">
              <w:rPr>
                <w:sz w:val="18"/>
                <w:szCs w:val="18"/>
                <w:lang w:val="es-ES" w:bidi="th-TH"/>
              </w:rPr>
              <w:t>e 8</w:t>
            </w:r>
            <w:r w:rsidRPr="00B83E1A">
              <w:rPr>
                <w:sz w:val="18"/>
                <w:szCs w:val="18"/>
                <w:lang w:val="es-ES" w:bidi="th-TH"/>
              </w:rPr>
              <w:t xml:space="preserve"> sesiones prácticas de formación a distancia;</w:t>
            </w:r>
          </w:p>
          <w:p w14:paraId="727756C1" w14:textId="77777777" w:rsidR="00067534" w:rsidRPr="00B83E1A" w:rsidRDefault="00067534" w:rsidP="00067534">
            <w:pPr>
              <w:numPr>
                <w:ilvl w:val="0"/>
                <w:numId w:val="15"/>
              </w:numPr>
              <w:rPr>
                <w:sz w:val="18"/>
                <w:szCs w:val="18"/>
                <w:lang w:val="es-ES" w:bidi="th-TH"/>
              </w:rPr>
            </w:pPr>
            <w:r w:rsidRPr="00B83E1A">
              <w:rPr>
                <w:sz w:val="18"/>
                <w:szCs w:val="18"/>
                <w:lang w:val="es-ES" w:bidi="th-TH"/>
              </w:rPr>
              <w:t>13 talleres sobre fomento de la innovación y la transferencia de tecnología;</w:t>
            </w:r>
          </w:p>
          <w:p w14:paraId="67481F39" w14:textId="4551A01C" w:rsidR="00067534" w:rsidRPr="00B83E1A" w:rsidRDefault="00067534" w:rsidP="00067534">
            <w:pPr>
              <w:numPr>
                <w:ilvl w:val="0"/>
                <w:numId w:val="15"/>
              </w:numPr>
              <w:rPr>
                <w:sz w:val="18"/>
                <w:szCs w:val="18"/>
                <w:lang w:val="es-ES" w:bidi="th-TH"/>
              </w:rPr>
            </w:pPr>
            <w:r w:rsidRPr="00B83E1A">
              <w:rPr>
                <w:sz w:val="18"/>
                <w:szCs w:val="18"/>
                <w:lang w:val="es-ES" w:bidi="th-TH"/>
              </w:rPr>
              <w:t>6 programas de formación sobre negociación de licencias tecnológicas que tuvieron una gran acogida</w:t>
            </w:r>
            <w:r w:rsidR="009A700A" w:rsidRPr="00B83E1A">
              <w:rPr>
                <w:sz w:val="18"/>
                <w:szCs w:val="18"/>
                <w:lang w:val="es-ES" w:bidi="th-TH"/>
              </w:rPr>
              <w:t>;  y</w:t>
            </w:r>
            <w:r w:rsidRPr="00B83E1A">
              <w:rPr>
                <w:sz w:val="18"/>
                <w:szCs w:val="18"/>
                <w:lang w:val="es-ES" w:bidi="th-TH"/>
              </w:rPr>
              <w:t xml:space="preserve"> </w:t>
            </w:r>
          </w:p>
          <w:p w14:paraId="54E2CA50" w14:textId="77777777" w:rsidR="00067534" w:rsidRPr="00B83E1A" w:rsidRDefault="00067534" w:rsidP="00067534">
            <w:pPr>
              <w:numPr>
                <w:ilvl w:val="0"/>
                <w:numId w:val="15"/>
              </w:numPr>
              <w:rPr>
                <w:sz w:val="18"/>
                <w:szCs w:val="18"/>
                <w:lang w:val="es-ES" w:bidi="th-TH"/>
              </w:rPr>
            </w:pPr>
            <w:r w:rsidRPr="00B83E1A">
              <w:rPr>
                <w:sz w:val="18"/>
                <w:szCs w:val="18"/>
                <w:lang w:val="es-ES" w:bidi="th-TH"/>
              </w:rPr>
              <w:t>2 cursos sobre valoración de la P.I.</w:t>
            </w:r>
          </w:p>
          <w:p w14:paraId="1B783B87" w14:textId="77777777" w:rsidR="00067534" w:rsidRPr="00B83E1A" w:rsidRDefault="00067534" w:rsidP="004E65E7">
            <w:pPr>
              <w:rPr>
                <w:sz w:val="18"/>
                <w:szCs w:val="18"/>
                <w:lang w:val="es-ES" w:bidi="th-TH"/>
              </w:rPr>
            </w:pPr>
            <w:r w:rsidRPr="00B83E1A">
              <w:rPr>
                <w:sz w:val="18"/>
                <w:szCs w:val="18"/>
                <w:lang w:val="es-ES" w:bidi="th-TH"/>
              </w:rPr>
              <w:t>1.167 participantes aproximadamente.</w:t>
            </w:r>
          </w:p>
          <w:p w14:paraId="34353F6B" w14:textId="2DEC0345" w:rsidR="00067534" w:rsidRPr="00B83E1A" w:rsidRDefault="00067534" w:rsidP="004E65E7">
            <w:pPr>
              <w:spacing w:after="120"/>
              <w:rPr>
                <w:sz w:val="18"/>
                <w:szCs w:val="18"/>
                <w:lang w:val="es-ES"/>
              </w:rPr>
            </w:pPr>
            <w:r w:rsidRPr="00B83E1A">
              <w:rPr>
                <w:sz w:val="18"/>
                <w:szCs w:val="18"/>
                <w:lang w:val="es-ES" w:bidi="th-TH"/>
              </w:rPr>
              <w:t>Nota:  E</w:t>
            </w:r>
            <w:r w:rsidR="009A700A" w:rsidRPr="00B83E1A">
              <w:rPr>
                <w:sz w:val="18"/>
                <w:szCs w:val="18"/>
                <w:lang w:val="es-ES" w:bidi="th-TH"/>
              </w:rPr>
              <w:t>n 2</w:t>
            </w:r>
            <w:r w:rsidRPr="00B83E1A">
              <w:rPr>
                <w:sz w:val="18"/>
                <w:szCs w:val="18"/>
                <w:lang w:val="es-ES" w:bidi="th-TH"/>
              </w:rPr>
              <w:t xml:space="preserve">012 no se había preparado la encuesta necesaria para determinar el número de usuarios y, en consecuencia, se dispone de información insuficiente para evaluar el número de usuarios ese año.  Ya se ha terminado su elaboración y se cuenta con un cuestionario para la encuesta relativa </w:t>
            </w:r>
            <w:r w:rsidR="009A700A" w:rsidRPr="00B83E1A">
              <w:rPr>
                <w:sz w:val="18"/>
                <w:szCs w:val="18"/>
                <w:lang w:val="es-ES" w:bidi="th-TH"/>
              </w:rPr>
              <w:t>a 2</w:t>
            </w:r>
            <w:r w:rsidRPr="00B83E1A">
              <w:rPr>
                <w:sz w:val="18"/>
                <w:szCs w:val="18"/>
                <w:lang w:val="es-ES" w:bidi="th-TH"/>
              </w:rPr>
              <w:t>013.</w:t>
            </w:r>
          </w:p>
        </w:tc>
      </w:tr>
      <w:tr w:rsidR="00067534" w:rsidRPr="00B83E1A" w14:paraId="41448108" w14:textId="77777777" w:rsidTr="004E65E7">
        <w:trPr>
          <w:trHeight w:val="1873"/>
          <w:jc w:val="center"/>
        </w:trPr>
        <w:tc>
          <w:tcPr>
            <w:tcW w:w="1681" w:type="dxa"/>
            <w:gridSpan w:val="2"/>
            <w:vMerge/>
          </w:tcPr>
          <w:p w14:paraId="0CBD2635" w14:textId="77777777" w:rsidR="00067534" w:rsidRPr="00B83E1A" w:rsidRDefault="00067534" w:rsidP="004E65E7">
            <w:pPr>
              <w:rPr>
                <w:sz w:val="18"/>
                <w:szCs w:val="18"/>
                <w:lang w:val="es-ES"/>
              </w:rPr>
            </w:pPr>
          </w:p>
        </w:tc>
        <w:tc>
          <w:tcPr>
            <w:tcW w:w="2410" w:type="dxa"/>
            <w:vMerge/>
          </w:tcPr>
          <w:p w14:paraId="4F6F6CBC" w14:textId="77777777" w:rsidR="00067534" w:rsidRPr="00B83E1A" w:rsidRDefault="00067534" w:rsidP="004E65E7">
            <w:pPr>
              <w:rPr>
                <w:sz w:val="18"/>
                <w:szCs w:val="18"/>
                <w:lang w:val="es-ES"/>
              </w:rPr>
            </w:pPr>
          </w:p>
        </w:tc>
        <w:tc>
          <w:tcPr>
            <w:tcW w:w="2551" w:type="dxa"/>
            <w:gridSpan w:val="4"/>
          </w:tcPr>
          <w:p w14:paraId="00AB4BF5" w14:textId="77777777" w:rsidR="00067534" w:rsidRPr="00B83E1A" w:rsidRDefault="00067534" w:rsidP="004E65E7">
            <w:pPr>
              <w:rPr>
                <w:sz w:val="18"/>
                <w:szCs w:val="18"/>
                <w:lang w:val="es-ES"/>
              </w:rPr>
            </w:pPr>
            <w:r w:rsidRPr="00B83E1A">
              <w:rPr>
                <w:sz w:val="18"/>
                <w:szCs w:val="18"/>
                <w:lang w:val="es-ES"/>
              </w:rPr>
              <w:t>Inclusión de cuestiones relacionadas con el desarrollo en los programas de formación de la OMPI sobre observancia.</w:t>
            </w:r>
          </w:p>
        </w:tc>
        <w:tc>
          <w:tcPr>
            <w:tcW w:w="2586" w:type="dxa"/>
          </w:tcPr>
          <w:p w14:paraId="471BB30A" w14:textId="7FDB6130" w:rsidR="00B35257" w:rsidRPr="00B83E1A" w:rsidRDefault="00067534" w:rsidP="004E65E7">
            <w:pPr>
              <w:rPr>
                <w:sz w:val="18"/>
                <w:szCs w:val="18"/>
                <w:lang w:val="es-ES" w:bidi="th-TH"/>
              </w:rPr>
            </w:pPr>
            <w:r w:rsidRPr="00B83E1A">
              <w:rPr>
                <w:sz w:val="18"/>
                <w:szCs w:val="18"/>
                <w:lang w:val="es-ES" w:bidi="th-TH"/>
              </w:rPr>
              <w:t>E</w:t>
            </w:r>
            <w:r w:rsidR="009A700A" w:rsidRPr="00B83E1A">
              <w:rPr>
                <w:sz w:val="18"/>
                <w:szCs w:val="18"/>
                <w:lang w:val="es-ES" w:bidi="th-TH"/>
              </w:rPr>
              <w:t>n 2</w:t>
            </w:r>
            <w:r w:rsidRPr="00B83E1A">
              <w:rPr>
                <w:sz w:val="18"/>
                <w:szCs w:val="18"/>
                <w:lang w:val="es-ES" w:bidi="th-TH"/>
              </w:rPr>
              <w:t>012 se llevaron a cab</w:t>
            </w:r>
            <w:r w:rsidR="009A700A" w:rsidRPr="00B83E1A">
              <w:rPr>
                <w:sz w:val="18"/>
                <w:szCs w:val="18"/>
                <w:lang w:val="es-ES" w:bidi="th-TH"/>
              </w:rPr>
              <w:t>o 1</w:t>
            </w:r>
            <w:r w:rsidRPr="00B83E1A">
              <w:rPr>
                <w:sz w:val="18"/>
                <w:szCs w:val="18"/>
                <w:lang w:val="es-ES" w:bidi="th-TH"/>
              </w:rPr>
              <w:t xml:space="preserve">1 actividades regionales o subregionales </w:t>
            </w:r>
            <w:r w:rsidR="009A700A" w:rsidRPr="00B83E1A">
              <w:rPr>
                <w:sz w:val="18"/>
                <w:szCs w:val="18"/>
                <w:lang w:val="es-ES" w:bidi="th-TH"/>
              </w:rPr>
              <w:t>y 9</w:t>
            </w:r>
            <w:r w:rsidRPr="00B83E1A">
              <w:rPr>
                <w:sz w:val="18"/>
                <w:szCs w:val="18"/>
                <w:lang w:val="es-ES" w:bidi="th-TH"/>
              </w:rPr>
              <w:t xml:space="preserve"> nacionales de creación de capacidad, así com</w:t>
            </w:r>
            <w:r w:rsidR="009A700A" w:rsidRPr="00B83E1A">
              <w:rPr>
                <w:sz w:val="18"/>
                <w:szCs w:val="18"/>
                <w:lang w:val="es-ES" w:bidi="th-TH"/>
              </w:rPr>
              <w:t>o 5</w:t>
            </w:r>
            <w:r w:rsidRPr="00B83E1A">
              <w:rPr>
                <w:sz w:val="18"/>
                <w:szCs w:val="18"/>
                <w:lang w:val="es-ES" w:bidi="th-TH"/>
              </w:rPr>
              <w:t xml:space="preserve"> visitas de estudio o reuniones con funcionarios encargados de velar por el cumplimiento de la ley, jueces y personal de oficinas de P.I. en la sede de la OMPI;  los programas de todas estas actividades se orientaron por la recomendación </w:t>
            </w:r>
            <w:r w:rsidR="00D23810" w:rsidRPr="00B83E1A">
              <w:rPr>
                <w:sz w:val="18"/>
                <w:szCs w:val="18"/>
                <w:lang w:val="es-ES" w:bidi="th-TH"/>
              </w:rPr>
              <w:t>Nº </w:t>
            </w:r>
            <w:r w:rsidRPr="00B83E1A">
              <w:rPr>
                <w:sz w:val="18"/>
                <w:szCs w:val="18"/>
                <w:lang w:val="es-ES" w:bidi="th-TH"/>
              </w:rPr>
              <w:t>45 de la Agenda para el Desarrollo</w:t>
            </w:r>
            <w:r w:rsidR="00B35257" w:rsidRPr="00B83E1A">
              <w:rPr>
                <w:sz w:val="18"/>
                <w:szCs w:val="18"/>
                <w:lang w:val="es-ES" w:bidi="th-TH"/>
              </w:rPr>
              <w:t>.</w:t>
            </w:r>
          </w:p>
          <w:p w14:paraId="468D9972" w14:textId="3AA0D517" w:rsidR="0068425B" w:rsidRPr="00B83E1A" w:rsidRDefault="0068425B" w:rsidP="004E65E7">
            <w:pPr>
              <w:rPr>
                <w:sz w:val="18"/>
                <w:szCs w:val="18"/>
                <w:lang w:val="es-ES"/>
              </w:rPr>
            </w:pPr>
          </w:p>
        </w:tc>
      </w:tr>
      <w:tr w:rsidR="00067534" w:rsidRPr="00B83E1A" w14:paraId="307BCC24" w14:textId="77777777" w:rsidTr="004E65E7">
        <w:trPr>
          <w:jc w:val="center"/>
        </w:trPr>
        <w:tc>
          <w:tcPr>
            <w:tcW w:w="1681" w:type="dxa"/>
            <w:gridSpan w:val="2"/>
            <w:vMerge/>
          </w:tcPr>
          <w:p w14:paraId="7C16F44F" w14:textId="77777777" w:rsidR="00067534" w:rsidRPr="00B83E1A" w:rsidRDefault="00067534" w:rsidP="004E65E7">
            <w:pPr>
              <w:rPr>
                <w:sz w:val="18"/>
                <w:szCs w:val="18"/>
                <w:lang w:val="es-ES"/>
              </w:rPr>
            </w:pPr>
          </w:p>
        </w:tc>
        <w:tc>
          <w:tcPr>
            <w:tcW w:w="2410" w:type="dxa"/>
            <w:vMerge w:val="restart"/>
          </w:tcPr>
          <w:p w14:paraId="17A763D4" w14:textId="54E5A5FF" w:rsidR="00067534" w:rsidRPr="00B83E1A" w:rsidRDefault="00067534" w:rsidP="004E65E7">
            <w:pPr>
              <w:rPr>
                <w:sz w:val="18"/>
                <w:szCs w:val="18"/>
                <w:lang w:val="es-ES"/>
              </w:rPr>
            </w:pPr>
            <w:r w:rsidRPr="00B83E1A">
              <w:rPr>
                <w:sz w:val="18"/>
                <w:szCs w:val="18"/>
                <w:lang w:val="es-ES"/>
              </w:rPr>
              <w:t>Resultado iii)</w:t>
            </w:r>
            <w:r w:rsidR="009A700A" w:rsidRPr="00B83E1A">
              <w:rPr>
                <w:sz w:val="18"/>
                <w:szCs w:val="18"/>
                <w:lang w:val="es-ES"/>
              </w:rPr>
              <w:t>:  L</w:t>
            </w:r>
            <w:r w:rsidRPr="00B83E1A">
              <w:rPr>
                <w:sz w:val="18"/>
                <w:szCs w:val="18"/>
                <w:lang w:val="es-ES"/>
              </w:rPr>
              <w:t>os principios de la Agenda para el Desarrollo siguen incorporándose en los programas y actividades de la Organización</w:t>
            </w:r>
          </w:p>
          <w:p w14:paraId="0BAD6980" w14:textId="77777777" w:rsidR="00067534" w:rsidRPr="00B83E1A" w:rsidRDefault="00067534" w:rsidP="004E65E7">
            <w:pPr>
              <w:rPr>
                <w:sz w:val="18"/>
                <w:szCs w:val="18"/>
                <w:lang w:val="es-ES"/>
              </w:rPr>
            </w:pPr>
          </w:p>
        </w:tc>
        <w:tc>
          <w:tcPr>
            <w:tcW w:w="2551" w:type="dxa"/>
            <w:gridSpan w:val="4"/>
          </w:tcPr>
          <w:p w14:paraId="16B510CB" w14:textId="5428FCAA" w:rsidR="00067534" w:rsidRPr="00B83E1A" w:rsidRDefault="00067534" w:rsidP="004E65E7">
            <w:pPr>
              <w:spacing w:after="120"/>
              <w:rPr>
                <w:sz w:val="18"/>
                <w:szCs w:val="18"/>
                <w:lang w:val="es-ES" w:bidi="th-TH"/>
              </w:rPr>
            </w:pPr>
            <w:r w:rsidRPr="00B83E1A">
              <w:rPr>
                <w:sz w:val="18"/>
                <w:szCs w:val="18"/>
                <w:lang w:val="es-ES" w:bidi="th-TH"/>
              </w:rPr>
              <w:t>Número de recomendaciones de la Agenda para el Desarrollo vinculadas con los resultados previstos en el presupuesto por programas d</w:t>
            </w:r>
            <w:r w:rsidR="009A700A" w:rsidRPr="00B83E1A">
              <w:rPr>
                <w:sz w:val="18"/>
                <w:szCs w:val="18"/>
                <w:lang w:val="es-ES" w:bidi="th-TH"/>
              </w:rPr>
              <w:t>e 2</w:t>
            </w:r>
            <w:r w:rsidRPr="00B83E1A">
              <w:rPr>
                <w:sz w:val="18"/>
                <w:szCs w:val="18"/>
                <w:lang w:val="es-ES" w:bidi="th-TH"/>
              </w:rPr>
              <w:t>010/11.</w:t>
            </w:r>
          </w:p>
        </w:tc>
        <w:tc>
          <w:tcPr>
            <w:tcW w:w="2586" w:type="dxa"/>
          </w:tcPr>
          <w:p w14:paraId="652FB69A" w14:textId="77777777" w:rsidR="00B35257" w:rsidRPr="00B83E1A" w:rsidRDefault="00067534" w:rsidP="004E65E7">
            <w:pPr>
              <w:rPr>
                <w:sz w:val="18"/>
                <w:szCs w:val="18"/>
                <w:lang w:val="es-ES" w:bidi="th-TH"/>
              </w:rPr>
            </w:pPr>
            <w:r w:rsidRPr="00B83E1A">
              <w:rPr>
                <w:sz w:val="18"/>
                <w:szCs w:val="18"/>
                <w:lang w:val="es-ES" w:bidi="th-TH"/>
              </w:rPr>
              <w:t>26 recomendaciones de la Agenda para el Desarrollo vinculadas con un resultado previsto, como mínimo</w:t>
            </w:r>
            <w:r w:rsidR="00B35257" w:rsidRPr="00B83E1A">
              <w:rPr>
                <w:sz w:val="18"/>
                <w:szCs w:val="18"/>
                <w:lang w:val="es-ES" w:bidi="th-TH"/>
              </w:rPr>
              <w:t>.</w:t>
            </w:r>
          </w:p>
          <w:p w14:paraId="54ABC8D7" w14:textId="0CB05EC0" w:rsidR="00067534" w:rsidRPr="00B83E1A" w:rsidRDefault="00067534" w:rsidP="004E65E7">
            <w:pPr>
              <w:rPr>
                <w:sz w:val="18"/>
                <w:szCs w:val="18"/>
                <w:lang w:val="es-ES" w:bidi="th-TH"/>
              </w:rPr>
            </w:pPr>
          </w:p>
          <w:p w14:paraId="5D44B90B" w14:textId="77777777" w:rsidR="00067534" w:rsidRPr="00B83E1A" w:rsidRDefault="00067534" w:rsidP="004E65E7">
            <w:pPr>
              <w:rPr>
                <w:sz w:val="18"/>
                <w:szCs w:val="18"/>
                <w:lang w:val="es-ES"/>
              </w:rPr>
            </w:pPr>
          </w:p>
        </w:tc>
      </w:tr>
      <w:tr w:rsidR="00067534" w:rsidRPr="00B83E1A" w14:paraId="61EF200B" w14:textId="77777777" w:rsidTr="004E65E7">
        <w:trPr>
          <w:jc w:val="center"/>
        </w:trPr>
        <w:tc>
          <w:tcPr>
            <w:tcW w:w="1681" w:type="dxa"/>
            <w:gridSpan w:val="2"/>
            <w:vMerge/>
          </w:tcPr>
          <w:p w14:paraId="18533F32" w14:textId="77777777" w:rsidR="00067534" w:rsidRPr="00B83E1A" w:rsidRDefault="00067534" w:rsidP="004E65E7">
            <w:pPr>
              <w:rPr>
                <w:sz w:val="18"/>
                <w:szCs w:val="18"/>
                <w:lang w:val="es-ES"/>
              </w:rPr>
            </w:pPr>
          </w:p>
        </w:tc>
        <w:tc>
          <w:tcPr>
            <w:tcW w:w="2410" w:type="dxa"/>
            <w:vMerge/>
          </w:tcPr>
          <w:p w14:paraId="4CAC2AE5" w14:textId="77777777" w:rsidR="00067534" w:rsidRPr="00B83E1A" w:rsidRDefault="00067534" w:rsidP="004E65E7">
            <w:pPr>
              <w:rPr>
                <w:sz w:val="18"/>
                <w:szCs w:val="18"/>
                <w:lang w:val="es-ES"/>
              </w:rPr>
            </w:pPr>
          </w:p>
        </w:tc>
        <w:tc>
          <w:tcPr>
            <w:tcW w:w="2551" w:type="dxa"/>
            <w:gridSpan w:val="4"/>
          </w:tcPr>
          <w:p w14:paraId="03F662D8" w14:textId="4E7EA83E" w:rsidR="00067534" w:rsidRPr="00B83E1A" w:rsidRDefault="00067534" w:rsidP="004E65E7">
            <w:pPr>
              <w:spacing w:after="120"/>
              <w:rPr>
                <w:sz w:val="18"/>
                <w:szCs w:val="18"/>
                <w:lang w:val="es-ES" w:bidi="th-TH"/>
              </w:rPr>
            </w:pPr>
            <w:r w:rsidRPr="00B83E1A">
              <w:rPr>
                <w:sz w:val="18"/>
                <w:szCs w:val="18"/>
                <w:lang w:val="es-ES" w:bidi="th-TH"/>
              </w:rPr>
              <w:t>Número de recomendaciones de la Agenda para el Desarrollo vinculadas con los indicadores de rendimiento en el presupuesto por programas d</w:t>
            </w:r>
            <w:r w:rsidR="009A700A" w:rsidRPr="00B83E1A">
              <w:rPr>
                <w:sz w:val="18"/>
                <w:szCs w:val="18"/>
                <w:lang w:val="es-ES" w:bidi="th-TH"/>
              </w:rPr>
              <w:t>e 2</w:t>
            </w:r>
            <w:r w:rsidRPr="00B83E1A">
              <w:rPr>
                <w:sz w:val="18"/>
                <w:szCs w:val="18"/>
                <w:lang w:val="es-ES" w:bidi="th-TH"/>
              </w:rPr>
              <w:t>010/11.</w:t>
            </w:r>
          </w:p>
        </w:tc>
        <w:tc>
          <w:tcPr>
            <w:tcW w:w="2586" w:type="dxa"/>
          </w:tcPr>
          <w:p w14:paraId="44DD714D" w14:textId="77777777" w:rsidR="00B35257" w:rsidRPr="00B83E1A" w:rsidRDefault="00067534" w:rsidP="004E65E7">
            <w:pPr>
              <w:rPr>
                <w:sz w:val="18"/>
                <w:szCs w:val="18"/>
                <w:lang w:val="es-ES" w:bidi="th-TH"/>
              </w:rPr>
            </w:pPr>
            <w:r w:rsidRPr="00B83E1A">
              <w:rPr>
                <w:sz w:val="18"/>
                <w:szCs w:val="18"/>
                <w:lang w:val="es-ES" w:bidi="th-TH"/>
              </w:rPr>
              <w:t>16 recomendaciones de la Agenda para el Desarrollo</w:t>
            </w:r>
            <w:r w:rsidR="00B35257" w:rsidRPr="00B83E1A">
              <w:rPr>
                <w:sz w:val="18"/>
                <w:szCs w:val="18"/>
                <w:lang w:val="es-ES" w:bidi="th-TH"/>
              </w:rPr>
              <w:t>.</w:t>
            </w:r>
          </w:p>
          <w:p w14:paraId="4C5ECF06" w14:textId="727D1D64" w:rsidR="00067534" w:rsidRPr="00B83E1A" w:rsidRDefault="00067534" w:rsidP="004E65E7">
            <w:pPr>
              <w:rPr>
                <w:sz w:val="18"/>
                <w:szCs w:val="18"/>
                <w:lang w:val="es-ES" w:bidi="th-TH"/>
              </w:rPr>
            </w:pPr>
          </w:p>
          <w:p w14:paraId="6C39012E" w14:textId="77777777" w:rsidR="00067534" w:rsidRPr="00B83E1A" w:rsidRDefault="00067534" w:rsidP="004E65E7">
            <w:pPr>
              <w:rPr>
                <w:sz w:val="18"/>
                <w:szCs w:val="18"/>
                <w:lang w:val="es-ES"/>
              </w:rPr>
            </w:pPr>
          </w:p>
        </w:tc>
      </w:tr>
      <w:tr w:rsidR="00067534" w:rsidRPr="00B83E1A" w14:paraId="2562884C" w14:textId="77777777" w:rsidTr="004E65E7">
        <w:trPr>
          <w:jc w:val="center"/>
        </w:trPr>
        <w:tc>
          <w:tcPr>
            <w:tcW w:w="1681" w:type="dxa"/>
            <w:gridSpan w:val="2"/>
            <w:vMerge/>
          </w:tcPr>
          <w:p w14:paraId="2DAD3A36" w14:textId="77777777" w:rsidR="00067534" w:rsidRPr="00B83E1A" w:rsidRDefault="00067534" w:rsidP="004E65E7">
            <w:pPr>
              <w:rPr>
                <w:sz w:val="18"/>
                <w:szCs w:val="18"/>
                <w:lang w:val="es-ES"/>
              </w:rPr>
            </w:pPr>
          </w:p>
        </w:tc>
        <w:tc>
          <w:tcPr>
            <w:tcW w:w="2410" w:type="dxa"/>
            <w:vMerge/>
          </w:tcPr>
          <w:p w14:paraId="699EF8E4" w14:textId="77777777" w:rsidR="00067534" w:rsidRPr="00B83E1A" w:rsidRDefault="00067534" w:rsidP="004E65E7">
            <w:pPr>
              <w:rPr>
                <w:sz w:val="18"/>
                <w:szCs w:val="18"/>
                <w:lang w:val="es-ES"/>
              </w:rPr>
            </w:pPr>
          </w:p>
        </w:tc>
        <w:tc>
          <w:tcPr>
            <w:tcW w:w="2551" w:type="dxa"/>
            <w:gridSpan w:val="4"/>
          </w:tcPr>
          <w:p w14:paraId="12BF236A" w14:textId="77777777" w:rsidR="00067534" w:rsidRPr="00B83E1A" w:rsidRDefault="00067534" w:rsidP="004E65E7">
            <w:pPr>
              <w:rPr>
                <w:sz w:val="18"/>
                <w:szCs w:val="18"/>
                <w:lang w:val="es-ES" w:bidi="th-TH"/>
              </w:rPr>
            </w:pPr>
            <w:r w:rsidRPr="00B83E1A">
              <w:rPr>
                <w:sz w:val="18"/>
                <w:szCs w:val="18"/>
                <w:lang w:val="es-ES" w:bidi="th-TH"/>
              </w:rPr>
              <w:t xml:space="preserve">Aplicación del mecanismo de coordinación aprobado por los Estados miembros. </w:t>
            </w:r>
          </w:p>
        </w:tc>
        <w:tc>
          <w:tcPr>
            <w:tcW w:w="2586" w:type="dxa"/>
          </w:tcPr>
          <w:p w14:paraId="49BE5227" w14:textId="77777777" w:rsidR="00067534" w:rsidRPr="00B83E1A" w:rsidRDefault="00067534" w:rsidP="004E65E7">
            <w:pPr>
              <w:spacing w:after="120"/>
              <w:rPr>
                <w:sz w:val="18"/>
                <w:szCs w:val="18"/>
                <w:lang w:val="es-ES"/>
              </w:rPr>
            </w:pPr>
            <w:r w:rsidRPr="00B83E1A">
              <w:rPr>
                <w:sz w:val="18"/>
                <w:szCs w:val="18"/>
                <w:lang w:val="es-ES"/>
              </w:rPr>
              <w:t>El informe anual presentado a las Asambleas, con una descripción de la contribución de los órganos pertinentes de la OMPI a la aplicación de las recomendaciones de la Agenda para el Desarrollo que les conciernen, fue examinado por el CDIP (WO/GA/41/12).</w:t>
            </w:r>
            <w:r w:rsidRPr="00B83E1A">
              <w:rPr>
                <w:rStyle w:val="FootnoteReference"/>
                <w:sz w:val="18"/>
                <w:szCs w:val="18"/>
                <w:lang w:val="es-ES"/>
              </w:rPr>
              <w:footnoteReference w:id="14"/>
            </w:r>
          </w:p>
        </w:tc>
      </w:tr>
      <w:tr w:rsidR="00067534" w:rsidRPr="00B83E1A" w14:paraId="0C68BAC6" w14:textId="77777777" w:rsidTr="004E65E7">
        <w:trPr>
          <w:jc w:val="center"/>
        </w:trPr>
        <w:tc>
          <w:tcPr>
            <w:tcW w:w="1681" w:type="dxa"/>
            <w:gridSpan w:val="2"/>
            <w:vMerge w:val="restart"/>
          </w:tcPr>
          <w:p w14:paraId="50139530" w14:textId="76D9DEDB" w:rsidR="00067534" w:rsidRPr="00B83E1A" w:rsidRDefault="00067534" w:rsidP="004E65E7">
            <w:pPr>
              <w:rPr>
                <w:i/>
                <w:sz w:val="18"/>
                <w:szCs w:val="18"/>
                <w:lang w:val="es-ES"/>
              </w:rPr>
            </w:pPr>
            <w:r w:rsidRPr="00B83E1A">
              <w:rPr>
                <w:i/>
                <w:sz w:val="18"/>
                <w:szCs w:val="18"/>
                <w:lang w:val="es-ES"/>
              </w:rPr>
              <w:t>Meta estratégica IV</w:t>
            </w:r>
            <w:r w:rsidR="009A700A" w:rsidRPr="00B83E1A">
              <w:rPr>
                <w:i/>
                <w:sz w:val="18"/>
                <w:szCs w:val="18"/>
                <w:lang w:val="es-ES"/>
              </w:rPr>
              <w:t>:  C</w:t>
            </w:r>
            <w:r w:rsidRPr="00B83E1A">
              <w:rPr>
                <w:i/>
                <w:sz w:val="18"/>
                <w:szCs w:val="18"/>
                <w:lang w:val="es-ES"/>
              </w:rPr>
              <w:t>oordinación y desarrollo de la infraestructura mundial de la P.I.</w:t>
            </w:r>
          </w:p>
          <w:p w14:paraId="1A4F3A84" w14:textId="77777777" w:rsidR="00067534" w:rsidRPr="00B83E1A" w:rsidRDefault="00067534" w:rsidP="004E65E7">
            <w:pPr>
              <w:rPr>
                <w:sz w:val="18"/>
                <w:szCs w:val="18"/>
                <w:lang w:val="es-ES"/>
              </w:rPr>
            </w:pPr>
          </w:p>
        </w:tc>
        <w:tc>
          <w:tcPr>
            <w:tcW w:w="2410" w:type="dxa"/>
            <w:vMerge w:val="restart"/>
          </w:tcPr>
          <w:p w14:paraId="6C8498E4" w14:textId="3927F1EC" w:rsidR="00067534" w:rsidRPr="00B83E1A" w:rsidRDefault="00067534" w:rsidP="004E65E7">
            <w:pPr>
              <w:rPr>
                <w:sz w:val="18"/>
                <w:szCs w:val="18"/>
                <w:lang w:val="es-ES"/>
              </w:rPr>
            </w:pPr>
            <w:r w:rsidRPr="00B83E1A">
              <w:rPr>
                <w:sz w:val="18"/>
                <w:szCs w:val="18"/>
                <w:lang w:val="es-ES"/>
              </w:rPr>
              <w:t>Resultado i)</w:t>
            </w:r>
            <w:r w:rsidR="009A700A" w:rsidRPr="00B83E1A">
              <w:rPr>
                <w:sz w:val="18"/>
                <w:szCs w:val="18"/>
                <w:lang w:val="es-ES"/>
              </w:rPr>
              <w:t>:  S</w:t>
            </w:r>
            <w:r w:rsidRPr="00B83E1A">
              <w:rPr>
                <w:sz w:val="18"/>
                <w:szCs w:val="18"/>
                <w:lang w:val="es-ES"/>
              </w:rPr>
              <w:t>istema actualizado y aceptado mundialmente de clasificaciones internacionales y normas técnicas de la OMPI para facilitar el acceso, el uso y la difusión de información de P.I. entre las partes interesadas de todo el mundo.</w:t>
            </w:r>
          </w:p>
          <w:p w14:paraId="35EA52D9" w14:textId="77777777" w:rsidR="00067534" w:rsidRPr="00B83E1A" w:rsidRDefault="00067534" w:rsidP="004E65E7">
            <w:pPr>
              <w:rPr>
                <w:sz w:val="18"/>
                <w:szCs w:val="18"/>
                <w:lang w:val="es-ES"/>
              </w:rPr>
            </w:pPr>
          </w:p>
        </w:tc>
        <w:tc>
          <w:tcPr>
            <w:tcW w:w="2551" w:type="dxa"/>
            <w:gridSpan w:val="4"/>
          </w:tcPr>
          <w:p w14:paraId="79791796" w14:textId="77777777" w:rsidR="00067534" w:rsidRPr="00B83E1A" w:rsidRDefault="00067534" w:rsidP="004E65E7">
            <w:pPr>
              <w:rPr>
                <w:sz w:val="18"/>
                <w:szCs w:val="18"/>
                <w:lang w:val="es-ES"/>
              </w:rPr>
            </w:pPr>
            <w:r w:rsidRPr="00B83E1A">
              <w:rPr>
                <w:sz w:val="18"/>
                <w:szCs w:val="18"/>
                <w:lang w:val="es-ES"/>
              </w:rPr>
              <w:t>Número de oficinas que utilizan las normas técnicas de la OMPI</w:t>
            </w:r>
          </w:p>
        </w:tc>
        <w:tc>
          <w:tcPr>
            <w:tcW w:w="2586" w:type="dxa"/>
          </w:tcPr>
          <w:p w14:paraId="358ABDA5" w14:textId="7D6919F1" w:rsidR="00067534" w:rsidRPr="00B83E1A" w:rsidRDefault="00067534" w:rsidP="004E65E7">
            <w:pPr>
              <w:rPr>
                <w:sz w:val="18"/>
                <w:szCs w:val="18"/>
                <w:lang w:val="es-ES" w:bidi="th-TH"/>
              </w:rPr>
            </w:pPr>
            <w:r w:rsidRPr="00B83E1A">
              <w:rPr>
                <w:sz w:val="18"/>
                <w:szCs w:val="18"/>
                <w:lang w:val="es-ES" w:bidi="th-TH"/>
              </w:rPr>
              <w:t>Se han presentad</w:t>
            </w:r>
            <w:r w:rsidR="009A700A" w:rsidRPr="00B83E1A">
              <w:rPr>
                <w:sz w:val="18"/>
                <w:szCs w:val="18"/>
                <w:lang w:val="es-ES" w:bidi="th-TH"/>
              </w:rPr>
              <w:t>o 8</w:t>
            </w:r>
            <w:r w:rsidRPr="00B83E1A">
              <w:rPr>
                <w:sz w:val="18"/>
                <w:szCs w:val="18"/>
                <w:lang w:val="es-ES" w:bidi="th-TH"/>
              </w:rPr>
              <w:t>2 informes técnicos anuales.</w:t>
            </w:r>
          </w:p>
          <w:p w14:paraId="0323B879" w14:textId="77777777" w:rsidR="00067534" w:rsidRPr="00B83E1A" w:rsidRDefault="00067534" w:rsidP="004E65E7">
            <w:pPr>
              <w:spacing w:after="120"/>
              <w:rPr>
                <w:sz w:val="18"/>
                <w:szCs w:val="18"/>
                <w:lang w:val="es-ES"/>
              </w:rPr>
            </w:pPr>
            <w:r w:rsidRPr="00B83E1A">
              <w:rPr>
                <w:sz w:val="18"/>
                <w:szCs w:val="18"/>
                <w:lang w:val="es-ES" w:bidi="th-TH"/>
              </w:rPr>
              <w:t>35 oficinas participaron en la encuesta sobre sistemas de numeración.</w:t>
            </w:r>
          </w:p>
        </w:tc>
      </w:tr>
      <w:tr w:rsidR="00067534" w:rsidRPr="00B83E1A" w14:paraId="1CFEA89B" w14:textId="77777777" w:rsidTr="004E65E7">
        <w:trPr>
          <w:jc w:val="center"/>
        </w:trPr>
        <w:tc>
          <w:tcPr>
            <w:tcW w:w="1681" w:type="dxa"/>
            <w:gridSpan w:val="2"/>
            <w:vMerge/>
          </w:tcPr>
          <w:p w14:paraId="28D1F5FB" w14:textId="77777777" w:rsidR="00067534" w:rsidRPr="00B83E1A" w:rsidRDefault="00067534" w:rsidP="004E65E7">
            <w:pPr>
              <w:rPr>
                <w:sz w:val="18"/>
                <w:szCs w:val="18"/>
                <w:lang w:val="es-ES"/>
              </w:rPr>
            </w:pPr>
          </w:p>
        </w:tc>
        <w:tc>
          <w:tcPr>
            <w:tcW w:w="2410" w:type="dxa"/>
            <w:vMerge/>
          </w:tcPr>
          <w:p w14:paraId="19D6638F" w14:textId="77777777" w:rsidR="00067534" w:rsidRPr="00B83E1A" w:rsidRDefault="00067534" w:rsidP="004E65E7">
            <w:pPr>
              <w:rPr>
                <w:sz w:val="18"/>
                <w:szCs w:val="18"/>
                <w:lang w:val="es-ES"/>
              </w:rPr>
            </w:pPr>
          </w:p>
        </w:tc>
        <w:tc>
          <w:tcPr>
            <w:tcW w:w="2551" w:type="dxa"/>
            <w:gridSpan w:val="4"/>
          </w:tcPr>
          <w:p w14:paraId="50B6372F" w14:textId="77777777" w:rsidR="00067534" w:rsidRPr="00B83E1A" w:rsidRDefault="00067534" w:rsidP="004E65E7">
            <w:pPr>
              <w:spacing w:after="120"/>
              <w:rPr>
                <w:sz w:val="18"/>
                <w:szCs w:val="18"/>
                <w:lang w:val="es-ES"/>
              </w:rPr>
            </w:pPr>
            <w:r w:rsidRPr="00B83E1A">
              <w:rPr>
                <w:sz w:val="18"/>
                <w:szCs w:val="18"/>
                <w:lang w:val="es-ES"/>
              </w:rPr>
              <w:t>Número de modificaciones de la Clasificación de Niza</w:t>
            </w:r>
          </w:p>
          <w:p w14:paraId="796FDA2E" w14:textId="77777777" w:rsidR="00067534" w:rsidRPr="00B83E1A" w:rsidRDefault="00067534" w:rsidP="004E65E7">
            <w:pPr>
              <w:spacing w:after="120"/>
              <w:rPr>
                <w:sz w:val="18"/>
                <w:szCs w:val="18"/>
                <w:lang w:val="es-ES"/>
              </w:rPr>
            </w:pPr>
          </w:p>
        </w:tc>
        <w:tc>
          <w:tcPr>
            <w:tcW w:w="2586" w:type="dxa"/>
          </w:tcPr>
          <w:p w14:paraId="5311FF9C" w14:textId="7C54A276" w:rsidR="00067534" w:rsidRPr="00B83E1A" w:rsidRDefault="00067534" w:rsidP="004E65E7">
            <w:pPr>
              <w:rPr>
                <w:sz w:val="18"/>
                <w:szCs w:val="18"/>
                <w:lang w:val="es-ES" w:bidi="th-TH"/>
              </w:rPr>
            </w:pPr>
            <w:r w:rsidRPr="00B83E1A">
              <w:rPr>
                <w:sz w:val="18"/>
                <w:szCs w:val="18"/>
                <w:lang w:val="es-ES" w:bidi="th-TH"/>
              </w:rPr>
              <w:t>339 modificaciones e</w:t>
            </w:r>
            <w:r w:rsidR="009A700A" w:rsidRPr="00B83E1A">
              <w:rPr>
                <w:sz w:val="18"/>
                <w:szCs w:val="18"/>
                <w:lang w:val="es-ES" w:bidi="th-TH"/>
              </w:rPr>
              <w:t>n 2</w:t>
            </w:r>
            <w:r w:rsidRPr="00B83E1A">
              <w:rPr>
                <w:sz w:val="18"/>
                <w:szCs w:val="18"/>
                <w:lang w:val="es-ES" w:bidi="th-TH"/>
              </w:rPr>
              <w:t>012</w:t>
            </w:r>
          </w:p>
          <w:p w14:paraId="7487E8E6" w14:textId="77777777" w:rsidR="00067534" w:rsidRPr="00B83E1A" w:rsidRDefault="00067534" w:rsidP="004E65E7">
            <w:pPr>
              <w:rPr>
                <w:sz w:val="18"/>
                <w:szCs w:val="18"/>
                <w:lang w:val="es-ES"/>
              </w:rPr>
            </w:pPr>
          </w:p>
        </w:tc>
      </w:tr>
      <w:tr w:rsidR="00067534" w:rsidRPr="00B83E1A" w14:paraId="684493FB" w14:textId="77777777" w:rsidTr="004E65E7">
        <w:trPr>
          <w:jc w:val="center"/>
        </w:trPr>
        <w:tc>
          <w:tcPr>
            <w:tcW w:w="1681" w:type="dxa"/>
            <w:gridSpan w:val="2"/>
            <w:vMerge/>
          </w:tcPr>
          <w:p w14:paraId="70970F42" w14:textId="77777777" w:rsidR="00067534" w:rsidRPr="00B83E1A" w:rsidRDefault="00067534" w:rsidP="004E65E7">
            <w:pPr>
              <w:rPr>
                <w:sz w:val="18"/>
                <w:szCs w:val="18"/>
                <w:lang w:val="es-ES"/>
              </w:rPr>
            </w:pPr>
          </w:p>
        </w:tc>
        <w:tc>
          <w:tcPr>
            <w:tcW w:w="2410" w:type="dxa"/>
            <w:vMerge/>
          </w:tcPr>
          <w:p w14:paraId="6E3145B8" w14:textId="77777777" w:rsidR="00067534" w:rsidRPr="00B83E1A" w:rsidRDefault="00067534" w:rsidP="004E65E7">
            <w:pPr>
              <w:rPr>
                <w:sz w:val="18"/>
                <w:szCs w:val="18"/>
                <w:lang w:val="es-ES"/>
              </w:rPr>
            </w:pPr>
          </w:p>
        </w:tc>
        <w:tc>
          <w:tcPr>
            <w:tcW w:w="2551" w:type="dxa"/>
            <w:gridSpan w:val="4"/>
          </w:tcPr>
          <w:p w14:paraId="734C8FAA" w14:textId="77777777" w:rsidR="00067534" w:rsidRPr="00B83E1A" w:rsidRDefault="00067534" w:rsidP="004E65E7">
            <w:pPr>
              <w:rPr>
                <w:sz w:val="18"/>
                <w:szCs w:val="18"/>
                <w:lang w:val="es-ES"/>
              </w:rPr>
            </w:pPr>
            <w:r w:rsidRPr="00B83E1A">
              <w:rPr>
                <w:sz w:val="18"/>
                <w:szCs w:val="18"/>
                <w:lang w:val="es-ES"/>
              </w:rPr>
              <w:t>ECLA e Índice de archivos unificados en la CIP.</w:t>
            </w:r>
          </w:p>
        </w:tc>
        <w:tc>
          <w:tcPr>
            <w:tcW w:w="2586" w:type="dxa"/>
          </w:tcPr>
          <w:p w14:paraId="5B305548" w14:textId="2BF1848C" w:rsidR="00067534" w:rsidRPr="00B83E1A" w:rsidRDefault="00067534" w:rsidP="004E65E7">
            <w:pPr>
              <w:spacing w:after="120"/>
              <w:rPr>
                <w:sz w:val="18"/>
                <w:szCs w:val="18"/>
                <w:lang w:val="es-ES"/>
              </w:rPr>
            </w:pPr>
            <w:r w:rsidRPr="00B83E1A">
              <w:rPr>
                <w:sz w:val="18"/>
                <w:szCs w:val="18"/>
                <w:lang w:val="es-ES" w:bidi="th-TH"/>
              </w:rPr>
              <w:t>Está previsto que la labor de desarrollo comience e</w:t>
            </w:r>
            <w:r w:rsidR="009A700A" w:rsidRPr="00B83E1A">
              <w:rPr>
                <w:sz w:val="18"/>
                <w:szCs w:val="18"/>
                <w:lang w:val="es-ES" w:bidi="th-TH"/>
              </w:rPr>
              <w:t>n 2</w:t>
            </w:r>
            <w:r w:rsidRPr="00B83E1A">
              <w:rPr>
                <w:sz w:val="18"/>
                <w:szCs w:val="18"/>
                <w:lang w:val="es-ES" w:bidi="th-TH"/>
              </w:rPr>
              <w:t>013, después de la publicación de la Clasificación de Patentes Cooperativa (CPC).</w:t>
            </w:r>
          </w:p>
        </w:tc>
      </w:tr>
      <w:tr w:rsidR="00067534" w:rsidRPr="00B83E1A" w14:paraId="0758DFF3" w14:textId="77777777" w:rsidTr="004E65E7">
        <w:trPr>
          <w:jc w:val="center"/>
        </w:trPr>
        <w:tc>
          <w:tcPr>
            <w:tcW w:w="1681" w:type="dxa"/>
            <w:gridSpan w:val="2"/>
            <w:vMerge/>
          </w:tcPr>
          <w:p w14:paraId="29EDE272" w14:textId="77777777" w:rsidR="00067534" w:rsidRPr="00B83E1A" w:rsidRDefault="00067534" w:rsidP="004E65E7">
            <w:pPr>
              <w:rPr>
                <w:sz w:val="18"/>
                <w:szCs w:val="18"/>
                <w:lang w:val="es-ES"/>
              </w:rPr>
            </w:pPr>
          </w:p>
        </w:tc>
        <w:tc>
          <w:tcPr>
            <w:tcW w:w="2410" w:type="dxa"/>
            <w:vMerge/>
          </w:tcPr>
          <w:p w14:paraId="2614F639" w14:textId="77777777" w:rsidR="00067534" w:rsidRPr="00B83E1A" w:rsidRDefault="00067534" w:rsidP="004E65E7">
            <w:pPr>
              <w:rPr>
                <w:sz w:val="18"/>
                <w:szCs w:val="18"/>
                <w:lang w:val="es-ES"/>
              </w:rPr>
            </w:pPr>
          </w:p>
        </w:tc>
        <w:tc>
          <w:tcPr>
            <w:tcW w:w="2551" w:type="dxa"/>
            <w:gridSpan w:val="4"/>
          </w:tcPr>
          <w:p w14:paraId="0D36B523" w14:textId="77777777" w:rsidR="00067534" w:rsidRPr="00B83E1A" w:rsidRDefault="00067534" w:rsidP="004E65E7">
            <w:pPr>
              <w:spacing w:after="120"/>
              <w:rPr>
                <w:sz w:val="18"/>
                <w:szCs w:val="18"/>
                <w:lang w:val="es-ES"/>
              </w:rPr>
            </w:pPr>
            <w:r w:rsidRPr="00B83E1A">
              <w:rPr>
                <w:sz w:val="18"/>
                <w:szCs w:val="18"/>
                <w:lang w:val="es-ES"/>
              </w:rPr>
              <w:t>Integración en la Clasificación de Locarno de una herramienta para efectuar búsquedas de características visuales de las solicitudes de dibujos o modelos.</w:t>
            </w:r>
          </w:p>
        </w:tc>
        <w:tc>
          <w:tcPr>
            <w:tcW w:w="2586" w:type="dxa"/>
          </w:tcPr>
          <w:p w14:paraId="06CFBDAF" w14:textId="3C23DA6A" w:rsidR="00067534" w:rsidRPr="00B83E1A" w:rsidRDefault="00067534" w:rsidP="004E65E7">
            <w:pPr>
              <w:rPr>
                <w:sz w:val="18"/>
                <w:szCs w:val="18"/>
                <w:lang w:val="es-ES" w:bidi="th-TH"/>
              </w:rPr>
            </w:pPr>
            <w:r w:rsidRPr="00B83E1A">
              <w:rPr>
                <w:sz w:val="18"/>
                <w:szCs w:val="18"/>
                <w:lang w:val="es-ES" w:bidi="th-TH"/>
              </w:rPr>
              <w:t>El grupo piloto de esta innovación no se reunió e</w:t>
            </w:r>
            <w:r w:rsidR="009A700A" w:rsidRPr="00B83E1A">
              <w:rPr>
                <w:sz w:val="18"/>
                <w:szCs w:val="18"/>
                <w:lang w:val="es-ES" w:bidi="th-TH"/>
              </w:rPr>
              <w:t>n 2</w:t>
            </w:r>
            <w:r w:rsidRPr="00B83E1A">
              <w:rPr>
                <w:sz w:val="18"/>
                <w:szCs w:val="18"/>
                <w:lang w:val="es-ES" w:bidi="th-TH"/>
              </w:rPr>
              <w:t>012.</w:t>
            </w:r>
          </w:p>
          <w:p w14:paraId="6AAC9E5D" w14:textId="77777777" w:rsidR="00067534" w:rsidRPr="00B83E1A" w:rsidRDefault="00067534" w:rsidP="004E65E7">
            <w:pPr>
              <w:rPr>
                <w:sz w:val="18"/>
                <w:szCs w:val="18"/>
                <w:lang w:val="es-ES" w:bidi="th-TH"/>
              </w:rPr>
            </w:pPr>
          </w:p>
          <w:p w14:paraId="7B445409" w14:textId="77777777" w:rsidR="00067534" w:rsidRPr="00B83E1A" w:rsidRDefault="00067534" w:rsidP="004E65E7">
            <w:pPr>
              <w:rPr>
                <w:sz w:val="18"/>
                <w:szCs w:val="18"/>
                <w:lang w:val="es-ES"/>
              </w:rPr>
            </w:pPr>
          </w:p>
        </w:tc>
      </w:tr>
      <w:tr w:rsidR="00067534" w:rsidRPr="00B83E1A" w14:paraId="603F4DB7" w14:textId="77777777" w:rsidTr="0068425B">
        <w:trPr>
          <w:trHeight w:val="928"/>
          <w:jc w:val="center"/>
        </w:trPr>
        <w:tc>
          <w:tcPr>
            <w:tcW w:w="1681" w:type="dxa"/>
            <w:gridSpan w:val="2"/>
            <w:vMerge/>
          </w:tcPr>
          <w:p w14:paraId="7794185C" w14:textId="77777777" w:rsidR="00067534" w:rsidRPr="00B83E1A" w:rsidRDefault="00067534" w:rsidP="004E65E7">
            <w:pPr>
              <w:rPr>
                <w:sz w:val="18"/>
                <w:szCs w:val="18"/>
                <w:lang w:val="es-ES"/>
              </w:rPr>
            </w:pPr>
          </w:p>
        </w:tc>
        <w:tc>
          <w:tcPr>
            <w:tcW w:w="2410" w:type="dxa"/>
            <w:vMerge/>
          </w:tcPr>
          <w:p w14:paraId="07776C46" w14:textId="77777777" w:rsidR="00067534" w:rsidRPr="00B83E1A" w:rsidRDefault="00067534" w:rsidP="004E65E7">
            <w:pPr>
              <w:rPr>
                <w:sz w:val="18"/>
                <w:szCs w:val="18"/>
                <w:lang w:val="es-ES"/>
              </w:rPr>
            </w:pPr>
          </w:p>
        </w:tc>
        <w:tc>
          <w:tcPr>
            <w:tcW w:w="2551" w:type="dxa"/>
            <w:gridSpan w:val="4"/>
          </w:tcPr>
          <w:p w14:paraId="0B816DCF" w14:textId="77777777" w:rsidR="00067534" w:rsidRPr="00B83E1A" w:rsidRDefault="00067534" w:rsidP="004E65E7">
            <w:pPr>
              <w:rPr>
                <w:sz w:val="18"/>
                <w:szCs w:val="18"/>
                <w:lang w:val="es-ES"/>
              </w:rPr>
            </w:pPr>
            <w:r w:rsidRPr="00B83E1A">
              <w:rPr>
                <w:sz w:val="18"/>
                <w:szCs w:val="18"/>
                <w:lang w:val="es-ES"/>
              </w:rPr>
              <w:t>Número de normas técnicas modificadas y nuevas normas técnicas adoptadas.</w:t>
            </w:r>
          </w:p>
        </w:tc>
        <w:tc>
          <w:tcPr>
            <w:tcW w:w="2586" w:type="dxa"/>
          </w:tcPr>
          <w:p w14:paraId="7F5E5066" w14:textId="77777777" w:rsidR="00067534" w:rsidRPr="00B83E1A" w:rsidRDefault="00067534" w:rsidP="004E65E7">
            <w:pPr>
              <w:spacing w:after="120"/>
              <w:rPr>
                <w:sz w:val="18"/>
                <w:szCs w:val="18"/>
                <w:lang w:val="es-ES"/>
              </w:rPr>
            </w:pPr>
            <w:r w:rsidRPr="00B83E1A">
              <w:rPr>
                <w:sz w:val="18"/>
                <w:szCs w:val="18"/>
                <w:lang w:val="es-ES" w:bidi="th-TH"/>
              </w:rPr>
              <w:t>Se adoptó una norma nueva y se modificaron dos.</w:t>
            </w:r>
          </w:p>
        </w:tc>
      </w:tr>
      <w:tr w:rsidR="00067534" w:rsidRPr="00B83E1A" w14:paraId="6386A6E2" w14:textId="77777777" w:rsidTr="004E65E7">
        <w:trPr>
          <w:jc w:val="center"/>
        </w:trPr>
        <w:tc>
          <w:tcPr>
            <w:tcW w:w="1681" w:type="dxa"/>
            <w:gridSpan w:val="2"/>
            <w:vMerge/>
          </w:tcPr>
          <w:p w14:paraId="77955EA3" w14:textId="77777777" w:rsidR="00067534" w:rsidRPr="00B83E1A" w:rsidRDefault="00067534" w:rsidP="004E65E7">
            <w:pPr>
              <w:rPr>
                <w:sz w:val="18"/>
                <w:szCs w:val="18"/>
                <w:lang w:val="es-ES"/>
              </w:rPr>
            </w:pPr>
          </w:p>
        </w:tc>
        <w:tc>
          <w:tcPr>
            <w:tcW w:w="2410" w:type="dxa"/>
            <w:vMerge/>
          </w:tcPr>
          <w:p w14:paraId="385C8867" w14:textId="77777777" w:rsidR="00067534" w:rsidRPr="00B83E1A" w:rsidRDefault="00067534" w:rsidP="004E65E7">
            <w:pPr>
              <w:rPr>
                <w:sz w:val="18"/>
                <w:szCs w:val="18"/>
                <w:lang w:val="es-ES"/>
              </w:rPr>
            </w:pPr>
          </w:p>
        </w:tc>
        <w:tc>
          <w:tcPr>
            <w:tcW w:w="2551" w:type="dxa"/>
            <w:gridSpan w:val="4"/>
          </w:tcPr>
          <w:p w14:paraId="50E9B48E" w14:textId="77777777" w:rsidR="00067534" w:rsidRPr="00B83E1A" w:rsidRDefault="00067534" w:rsidP="004E65E7">
            <w:pPr>
              <w:rPr>
                <w:sz w:val="18"/>
                <w:szCs w:val="18"/>
                <w:lang w:val="es-ES"/>
              </w:rPr>
            </w:pPr>
            <w:r w:rsidRPr="00B83E1A">
              <w:rPr>
                <w:sz w:val="18"/>
                <w:szCs w:val="18"/>
                <w:lang w:val="es-ES"/>
              </w:rPr>
              <w:t xml:space="preserve">Número de oficinas que se muestran satisfechas de la formación recibida para mejorar sus capacidades en </w:t>
            </w:r>
            <w:r w:rsidRPr="00B83E1A">
              <w:rPr>
                <w:sz w:val="18"/>
                <w:szCs w:val="18"/>
                <w:lang w:val="es-ES"/>
              </w:rPr>
              <w:lastRenderedPageBreak/>
              <w:t>el uso de las clasificaciones.</w:t>
            </w:r>
          </w:p>
        </w:tc>
        <w:tc>
          <w:tcPr>
            <w:tcW w:w="2586" w:type="dxa"/>
          </w:tcPr>
          <w:p w14:paraId="30C07CF6" w14:textId="5BC409CE" w:rsidR="00067534" w:rsidRPr="00B83E1A" w:rsidRDefault="00067534" w:rsidP="004E65E7">
            <w:pPr>
              <w:spacing w:after="120"/>
              <w:rPr>
                <w:sz w:val="18"/>
                <w:szCs w:val="18"/>
                <w:lang w:val="es-ES"/>
              </w:rPr>
            </w:pPr>
            <w:r w:rsidRPr="00B83E1A">
              <w:rPr>
                <w:sz w:val="18"/>
                <w:szCs w:val="18"/>
                <w:lang w:val="es-ES" w:bidi="th-TH"/>
              </w:rPr>
              <w:lastRenderedPageBreak/>
              <w:t>En total se llevaron a cab</w:t>
            </w:r>
            <w:r w:rsidR="009A700A" w:rsidRPr="00B83E1A">
              <w:rPr>
                <w:sz w:val="18"/>
                <w:szCs w:val="18"/>
                <w:lang w:val="es-ES" w:bidi="th-TH"/>
              </w:rPr>
              <w:t>o 1</w:t>
            </w:r>
            <w:r w:rsidRPr="00B83E1A">
              <w:rPr>
                <w:sz w:val="18"/>
                <w:szCs w:val="18"/>
                <w:lang w:val="es-ES" w:bidi="th-TH"/>
              </w:rPr>
              <w:t>0 misiones de formación e</w:t>
            </w:r>
            <w:r w:rsidR="009A700A" w:rsidRPr="00B83E1A">
              <w:rPr>
                <w:sz w:val="18"/>
                <w:szCs w:val="18"/>
                <w:lang w:val="es-ES" w:bidi="th-TH"/>
              </w:rPr>
              <w:t>n 2</w:t>
            </w:r>
            <w:r w:rsidRPr="00B83E1A">
              <w:rPr>
                <w:sz w:val="18"/>
                <w:szCs w:val="18"/>
                <w:lang w:val="es-ES" w:bidi="th-TH"/>
              </w:rPr>
              <w:t xml:space="preserve">012 relacionadas con las </w:t>
            </w:r>
            <w:r w:rsidRPr="00B83E1A">
              <w:rPr>
                <w:sz w:val="18"/>
                <w:szCs w:val="18"/>
                <w:lang w:val="es-ES" w:bidi="th-TH"/>
              </w:rPr>
              <w:lastRenderedPageBreak/>
              <w:t>clasificaciones internacionales.  Se enviarán encuestas de evaluación a los participantes en abril/mayo d</w:t>
            </w:r>
            <w:r w:rsidR="009A700A" w:rsidRPr="00B83E1A">
              <w:rPr>
                <w:sz w:val="18"/>
                <w:szCs w:val="18"/>
                <w:lang w:val="es-ES" w:bidi="th-TH"/>
              </w:rPr>
              <w:t>e 2</w:t>
            </w:r>
            <w:r w:rsidRPr="00B83E1A">
              <w:rPr>
                <w:sz w:val="18"/>
                <w:szCs w:val="18"/>
                <w:lang w:val="es-ES" w:bidi="th-TH"/>
              </w:rPr>
              <w:t>013</w:t>
            </w:r>
            <w:r w:rsidR="009A700A" w:rsidRPr="00B83E1A">
              <w:rPr>
                <w:sz w:val="18"/>
                <w:szCs w:val="18"/>
                <w:lang w:val="es-ES" w:bidi="th-TH"/>
              </w:rPr>
              <w:t>.  L</w:t>
            </w:r>
            <w:r w:rsidRPr="00B83E1A">
              <w:rPr>
                <w:sz w:val="18"/>
                <w:szCs w:val="18"/>
                <w:lang w:val="es-ES" w:bidi="th-TH"/>
              </w:rPr>
              <w:t>os resultados estarán disponibles en junio d</w:t>
            </w:r>
            <w:r w:rsidR="009A700A" w:rsidRPr="00B83E1A">
              <w:rPr>
                <w:sz w:val="18"/>
                <w:szCs w:val="18"/>
                <w:lang w:val="es-ES" w:bidi="th-TH"/>
              </w:rPr>
              <w:t>e 2</w:t>
            </w:r>
            <w:r w:rsidRPr="00B83E1A">
              <w:rPr>
                <w:sz w:val="18"/>
                <w:szCs w:val="18"/>
                <w:lang w:val="es-ES" w:bidi="th-TH"/>
              </w:rPr>
              <w:t>013.</w:t>
            </w:r>
          </w:p>
        </w:tc>
      </w:tr>
      <w:tr w:rsidR="00067534" w:rsidRPr="00B83E1A" w14:paraId="2FF01729" w14:textId="77777777" w:rsidTr="004E65E7">
        <w:trPr>
          <w:jc w:val="center"/>
        </w:trPr>
        <w:tc>
          <w:tcPr>
            <w:tcW w:w="1681" w:type="dxa"/>
            <w:gridSpan w:val="2"/>
            <w:vMerge/>
          </w:tcPr>
          <w:p w14:paraId="3FBD0AD0" w14:textId="77777777" w:rsidR="00067534" w:rsidRPr="00B83E1A" w:rsidRDefault="00067534" w:rsidP="004E65E7">
            <w:pPr>
              <w:ind w:leftChars="-1" w:left="2" w:hangingChars="2" w:hanging="4"/>
              <w:rPr>
                <w:sz w:val="18"/>
                <w:szCs w:val="18"/>
                <w:lang w:val="es-ES"/>
              </w:rPr>
            </w:pPr>
          </w:p>
        </w:tc>
        <w:tc>
          <w:tcPr>
            <w:tcW w:w="2410" w:type="dxa"/>
            <w:vMerge/>
          </w:tcPr>
          <w:p w14:paraId="525497D1" w14:textId="77777777" w:rsidR="00067534" w:rsidRPr="00B83E1A" w:rsidRDefault="00067534" w:rsidP="004E65E7">
            <w:pPr>
              <w:rPr>
                <w:sz w:val="18"/>
                <w:szCs w:val="18"/>
                <w:lang w:val="es-ES"/>
              </w:rPr>
            </w:pPr>
          </w:p>
        </w:tc>
        <w:tc>
          <w:tcPr>
            <w:tcW w:w="2551" w:type="dxa"/>
            <w:gridSpan w:val="4"/>
          </w:tcPr>
          <w:p w14:paraId="125106FE" w14:textId="77777777" w:rsidR="00067534" w:rsidRPr="00B83E1A" w:rsidRDefault="00067534" w:rsidP="004E65E7">
            <w:pPr>
              <w:ind w:leftChars="-1" w:left="2" w:hangingChars="2" w:hanging="4"/>
              <w:rPr>
                <w:sz w:val="18"/>
                <w:szCs w:val="18"/>
                <w:lang w:val="es-ES"/>
              </w:rPr>
            </w:pPr>
            <w:r w:rsidRPr="00B83E1A">
              <w:rPr>
                <w:sz w:val="18"/>
                <w:szCs w:val="18"/>
                <w:lang w:val="es-ES"/>
              </w:rPr>
              <w:t>Número de usuarios que acceden a las publicaciones en Internet de las clasificaciones y normas internacionales, especialmente de países en desarrollo.</w:t>
            </w:r>
          </w:p>
        </w:tc>
        <w:tc>
          <w:tcPr>
            <w:tcW w:w="2586" w:type="dxa"/>
          </w:tcPr>
          <w:p w14:paraId="4985FE7D" w14:textId="77777777" w:rsidR="00067534" w:rsidRPr="00B83E1A" w:rsidRDefault="00067534" w:rsidP="004E65E7">
            <w:pPr>
              <w:rPr>
                <w:sz w:val="18"/>
                <w:szCs w:val="18"/>
                <w:lang w:val="es-ES" w:bidi="th-TH"/>
              </w:rPr>
            </w:pPr>
            <w:r w:rsidRPr="00B83E1A">
              <w:rPr>
                <w:sz w:val="18"/>
                <w:szCs w:val="18"/>
                <w:lang w:val="es-ES" w:bidi="th-TH"/>
              </w:rPr>
              <w:t>CIP:  370.215</w:t>
            </w:r>
          </w:p>
          <w:p w14:paraId="3480CE70" w14:textId="77777777" w:rsidR="00067534" w:rsidRPr="00B83E1A" w:rsidRDefault="00067534" w:rsidP="004E65E7">
            <w:pPr>
              <w:rPr>
                <w:sz w:val="18"/>
                <w:szCs w:val="18"/>
                <w:lang w:val="es-ES" w:bidi="th-TH"/>
              </w:rPr>
            </w:pPr>
            <w:r w:rsidRPr="00B83E1A">
              <w:rPr>
                <w:sz w:val="18"/>
                <w:szCs w:val="18"/>
                <w:lang w:val="es-ES" w:bidi="th-TH"/>
              </w:rPr>
              <w:t>Niza:  409.458</w:t>
            </w:r>
          </w:p>
          <w:p w14:paraId="4C7C6E09" w14:textId="77777777" w:rsidR="00067534" w:rsidRPr="00B83E1A" w:rsidRDefault="00067534" w:rsidP="004E65E7">
            <w:pPr>
              <w:rPr>
                <w:sz w:val="18"/>
                <w:szCs w:val="18"/>
                <w:lang w:val="es-ES" w:bidi="th-TH"/>
              </w:rPr>
            </w:pPr>
            <w:r w:rsidRPr="00B83E1A">
              <w:rPr>
                <w:sz w:val="18"/>
                <w:szCs w:val="18"/>
                <w:lang w:val="es-ES" w:bidi="th-TH"/>
              </w:rPr>
              <w:t>Locarno:  27.327</w:t>
            </w:r>
          </w:p>
          <w:p w14:paraId="5C9636D2" w14:textId="77777777" w:rsidR="00067534" w:rsidRPr="00B83E1A" w:rsidRDefault="00067534" w:rsidP="004E65E7">
            <w:pPr>
              <w:rPr>
                <w:sz w:val="18"/>
                <w:szCs w:val="18"/>
                <w:lang w:val="es-ES" w:bidi="th-TH"/>
              </w:rPr>
            </w:pPr>
            <w:r w:rsidRPr="00B83E1A">
              <w:rPr>
                <w:sz w:val="18"/>
                <w:szCs w:val="18"/>
                <w:lang w:val="es-ES" w:bidi="th-TH"/>
              </w:rPr>
              <w:t>Viena:  25.703</w:t>
            </w:r>
          </w:p>
          <w:p w14:paraId="09C1F12E" w14:textId="77777777" w:rsidR="00067534" w:rsidRPr="00B83E1A" w:rsidRDefault="00067534" w:rsidP="004E65E7">
            <w:pPr>
              <w:rPr>
                <w:sz w:val="18"/>
                <w:szCs w:val="18"/>
                <w:lang w:val="es-ES" w:bidi="th-TH"/>
              </w:rPr>
            </w:pPr>
            <w:r w:rsidRPr="00B83E1A">
              <w:rPr>
                <w:sz w:val="18"/>
                <w:szCs w:val="18"/>
                <w:lang w:val="es-ES" w:bidi="th-TH"/>
              </w:rPr>
              <w:t>Publicación de la CIP:  66.628</w:t>
            </w:r>
          </w:p>
          <w:p w14:paraId="704E31D9" w14:textId="77777777" w:rsidR="00067534" w:rsidRPr="00B83E1A" w:rsidRDefault="00067534" w:rsidP="004E65E7">
            <w:pPr>
              <w:rPr>
                <w:sz w:val="18"/>
                <w:szCs w:val="18"/>
                <w:lang w:val="es-ES" w:bidi="th-TH"/>
              </w:rPr>
            </w:pPr>
            <w:r w:rsidRPr="00B83E1A">
              <w:rPr>
                <w:sz w:val="18"/>
                <w:szCs w:val="18"/>
                <w:lang w:val="es-ES" w:bidi="th-TH"/>
              </w:rPr>
              <w:t>Manual de la OMPI de información y documentación en materia de Propiedad Industrial:  90.189</w:t>
            </w:r>
          </w:p>
          <w:p w14:paraId="02DB3E42" w14:textId="77777777" w:rsidR="00067534" w:rsidRPr="00B83E1A" w:rsidRDefault="00067534" w:rsidP="004E65E7">
            <w:pPr>
              <w:spacing w:after="120"/>
              <w:rPr>
                <w:sz w:val="18"/>
                <w:szCs w:val="18"/>
                <w:lang w:val="es-ES" w:bidi="th-TH"/>
              </w:rPr>
            </w:pPr>
            <w:r w:rsidRPr="00B83E1A">
              <w:rPr>
                <w:sz w:val="18"/>
                <w:szCs w:val="18"/>
                <w:lang w:val="es-ES" w:bidi="th-TH"/>
              </w:rPr>
              <w:t xml:space="preserve">Base de datos de la OMPI de Administración de Normas Técnicas (WIPOSTAD):  40.572 </w:t>
            </w:r>
          </w:p>
        </w:tc>
      </w:tr>
      <w:tr w:rsidR="00067534" w:rsidRPr="00B83E1A" w14:paraId="50132F36" w14:textId="77777777" w:rsidTr="004E65E7">
        <w:trPr>
          <w:jc w:val="center"/>
        </w:trPr>
        <w:tc>
          <w:tcPr>
            <w:tcW w:w="1681" w:type="dxa"/>
            <w:gridSpan w:val="2"/>
            <w:vMerge/>
          </w:tcPr>
          <w:p w14:paraId="28B547AE" w14:textId="77777777" w:rsidR="00067534" w:rsidRPr="00B83E1A" w:rsidRDefault="00067534" w:rsidP="004E65E7">
            <w:pPr>
              <w:ind w:leftChars="-1" w:left="2" w:hangingChars="2" w:hanging="4"/>
              <w:rPr>
                <w:sz w:val="18"/>
                <w:szCs w:val="18"/>
                <w:lang w:val="es-ES"/>
              </w:rPr>
            </w:pPr>
          </w:p>
        </w:tc>
        <w:tc>
          <w:tcPr>
            <w:tcW w:w="2410" w:type="dxa"/>
            <w:vMerge w:val="restart"/>
          </w:tcPr>
          <w:p w14:paraId="4D8BA924" w14:textId="77777777" w:rsidR="00067534" w:rsidRPr="00B83E1A" w:rsidRDefault="00067534" w:rsidP="004E65E7">
            <w:pPr>
              <w:rPr>
                <w:sz w:val="18"/>
                <w:szCs w:val="18"/>
                <w:lang w:val="es-ES"/>
              </w:rPr>
            </w:pPr>
            <w:r w:rsidRPr="00B83E1A">
              <w:rPr>
                <w:sz w:val="18"/>
                <w:szCs w:val="18"/>
                <w:lang w:val="es-ES"/>
              </w:rPr>
              <w:t>Resultado ii)</w:t>
            </w:r>
            <w:r w:rsidRPr="00B83E1A">
              <w:rPr>
                <w:lang w:val="es-ES"/>
              </w:rPr>
              <w:t xml:space="preserve"> </w:t>
            </w:r>
            <w:r w:rsidRPr="00B83E1A">
              <w:rPr>
                <w:sz w:val="18"/>
                <w:szCs w:val="18"/>
                <w:lang w:val="es-ES"/>
              </w:rPr>
              <w:t>Mejora en el acceso a la información, los conocimientos y las tecnologías sobre P.I. y su utilización por las instituciones de P.I. y el público, para fomentar la innovación y aumentar el acceso a las obras que son fruto de la creatividad, tanto las que están protegidas como las que se encuentran en el dominio público</w:t>
            </w:r>
          </w:p>
          <w:p w14:paraId="01E49622" w14:textId="77777777" w:rsidR="00067534" w:rsidRPr="00B83E1A" w:rsidRDefault="00067534" w:rsidP="004E65E7">
            <w:pPr>
              <w:rPr>
                <w:sz w:val="18"/>
                <w:szCs w:val="18"/>
                <w:lang w:val="es-ES"/>
              </w:rPr>
            </w:pPr>
          </w:p>
        </w:tc>
        <w:tc>
          <w:tcPr>
            <w:tcW w:w="2551" w:type="dxa"/>
            <w:gridSpan w:val="4"/>
          </w:tcPr>
          <w:p w14:paraId="396057D7" w14:textId="77777777" w:rsidR="00067534" w:rsidRPr="00B83E1A" w:rsidRDefault="00067534" w:rsidP="004E65E7">
            <w:pPr>
              <w:spacing w:after="120"/>
              <w:rPr>
                <w:sz w:val="18"/>
                <w:szCs w:val="18"/>
                <w:lang w:val="es-ES" w:bidi="th-TH"/>
              </w:rPr>
            </w:pPr>
            <w:r w:rsidRPr="00B83E1A">
              <w:rPr>
                <w:sz w:val="18"/>
                <w:szCs w:val="18"/>
                <w:lang w:val="es-ES" w:bidi="th-TH"/>
              </w:rPr>
              <w:t>Número de intermediarios de confianza y titulares de derechos que se han adherido a la red de sistemas TIGAR, incluidos los procedentes de países en desarrollo y PMA.</w:t>
            </w:r>
          </w:p>
        </w:tc>
        <w:tc>
          <w:tcPr>
            <w:tcW w:w="2586" w:type="dxa"/>
          </w:tcPr>
          <w:p w14:paraId="4016A382" w14:textId="19B85C33" w:rsidR="00067534" w:rsidRPr="00B83E1A" w:rsidRDefault="00067534" w:rsidP="004E65E7">
            <w:pPr>
              <w:rPr>
                <w:sz w:val="18"/>
                <w:szCs w:val="18"/>
                <w:lang w:val="es-ES" w:bidi="th-TH"/>
              </w:rPr>
            </w:pPr>
            <w:r w:rsidRPr="00B83E1A">
              <w:rPr>
                <w:sz w:val="18"/>
                <w:szCs w:val="18"/>
                <w:lang w:val="es-ES" w:bidi="th-TH"/>
              </w:rPr>
              <w:t xml:space="preserve">10 intermediarios de confianza </w:t>
            </w:r>
            <w:r w:rsidR="009A700A" w:rsidRPr="00B83E1A">
              <w:rPr>
                <w:sz w:val="18"/>
                <w:szCs w:val="18"/>
                <w:lang w:val="es-ES" w:bidi="th-TH"/>
              </w:rPr>
              <w:t>y 2</w:t>
            </w:r>
            <w:r w:rsidRPr="00B83E1A">
              <w:rPr>
                <w:sz w:val="18"/>
                <w:szCs w:val="18"/>
                <w:lang w:val="es-ES" w:bidi="th-TH"/>
              </w:rPr>
              <w:t>0 titulares de derechos se adhirieron al sistema TIGAR a finales de 2012.</w:t>
            </w:r>
          </w:p>
          <w:p w14:paraId="3F8B78E2" w14:textId="77777777" w:rsidR="00067534" w:rsidRPr="00B83E1A" w:rsidRDefault="00067534" w:rsidP="004E65E7">
            <w:pPr>
              <w:rPr>
                <w:sz w:val="18"/>
                <w:szCs w:val="18"/>
                <w:lang w:val="es-ES" w:bidi="th-TH"/>
              </w:rPr>
            </w:pPr>
          </w:p>
          <w:p w14:paraId="64A95AF4" w14:textId="77777777" w:rsidR="00067534" w:rsidRPr="00B83E1A" w:rsidRDefault="00067534" w:rsidP="004E65E7">
            <w:pPr>
              <w:rPr>
                <w:sz w:val="18"/>
                <w:szCs w:val="18"/>
                <w:lang w:val="es-ES"/>
              </w:rPr>
            </w:pPr>
          </w:p>
        </w:tc>
      </w:tr>
      <w:tr w:rsidR="00067534" w:rsidRPr="00B83E1A" w14:paraId="0F1A5746" w14:textId="77777777" w:rsidTr="004E65E7">
        <w:trPr>
          <w:trHeight w:val="1045"/>
          <w:jc w:val="center"/>
        </w:trPr>
        <w:tc>
          <w:tcPr>
            <w:tcW w:w="1681" w:type="dxa"/>
            <w:gridSpan w:val="2"/>
            <w:vMerge/>
          </w:tcPr>
          <w:p w14:paraId="0B070C07" w14:textId="77777777" w:rsidR="00067534" w:rsidRPr="00B83E1A" w:rsidRDefault="00067534" w:rsidP="004E65E7">
            <w:pPr>
              <w:ind w:leftChars="-1" w:left="2" w:hangingChars="2" w:hanging="4"/>
              <w:rPr>
                <w:sz w:val="18"/>
                <w:szCs w:val="18"/>
                <w:lang w:val="es-ES"/>
              </w:rPr>
            </w:pPr>
          </w:p>
        </w:tc>
        <w:tc>
          <w:tcPr>
            <w:tcW w:w="2410" w:type="dxa"/>
            <w:vMerge/>
          </w:tcPr>
          <w:p w14:paraId="2865211E" w14:textId="77777777" w:rsidR="00067534" w:rsidRPr="00B83E1A" w:rsidRDefault="00067534" w:rsidP="004E65E7">
            <w:pPr>
              <w:rPr>
                <w:sz w:val="18"/>
                <w:szCs w:val="18"/>
                <w:lang w:val="es-ES"/>
              </w:rPr>
            </w:pPr>
          </w:p>
        </w:tc>
        <w:tc>
          <w:tcPr>
            <w:tcW w:w="2551" w:type="dxa"/>
            <w:gridSpan w:val="4"/>
          </w:tcPr>
          <w:p w14:paraId="4AB434B2" w14:textId="77777777" w:rsidR="00067534" w:rsidRPr="00B83E1A" w:rsidRDefault="00067534" w:rsidP="004E65E7">
            <w:pPr>
              <w:spacing w:after="120"/>
              <w:rPr>
                <w:sz w:val="18"/>
                <w:szCs w:val="18"/>
                <w:lang w:val="es-ES" w:bidi="th-TH"/>
              </w:rPr>
            </w:pPr>
            <w:r w:rsidRPr="00B83E1A">
              <w:rPr>
                <w:sz w:val="18"/>
                <w:szCs w:val="18"/>
                <w:lang w:val="es-ES" w:bidi="th-TH"/>
              </w:rPr>
              <w:t>Número de obras protegidas por derecho de autor distribuidas entre intermediarios de confianza y puestas a disposición de las personas con discapacidad visual a escala internacional por medio de la red de sistemas TIGAR.</w:t>
            </w:r>
          </w:p>
        </w:tc>
        <w:tc>
          <w:tcPr>
            <w:tcW w:w="2586" w:type="dxa"/>
          </w:tcPr>
          <w:p w14:paraId="7E565E5C" w14:textId="19F56860" w:rsidR="00067534" w:rsidRPr="00B83E1A" w:rsidRDefault="00067534" w:rsidP="004E65E7">
            <w:pPr>
              <w:rPr>
                <w:sz w:val="18"/>
                <w:szCs w:val="18"/>
                <w:lang w:val="es-ES" w:bidi="th-TH"/>
              </w:rPr>
            </w:pPr>
            <w:r w:rsidRPr="00B83E1A">
              <w:rPr>
                <w:sz w:val="18"/>
                <w:szCs w:val="18"/>
                <w:lang w:val="es-ES" w:bidi="th-TH"/>
              </w:rPr>
              <w:t>450 libros en formatos accesibles se descargaron del sistema TIGAR e</w:t>
            </w:r>
            <w:r w:rsidR="009A700A" w:rsidRPr="00B83E1A">
              <w:rPr>
                <w:sz w:val="18"/>
                <w:szCs w:val="18"/>
                <w:lang w:val="es-ES" w:bidi="th-TH"/>
              </w:rPr>
              <w:t>n 2</w:t>
            </w:r>
            <w:r w:rsidRPr="00B83E1A">
              <w:rPr>
                <w:sz w:val="18"/>
                <w:szCs w:val="18"/>
                <w:lang w:val="es-ES" w:bidi="th-TH"/>
              </w:rPr>
              <w:t>012.</w:t>
            </w:r>
          </w:p>
          <w:p w14:paraId="526EFD7C" w14:textId="77777777" w:rsidR="00067534" w:rsidRPr="00B83E1A" w:rsidRDefault="00067534" w:rsidP="004E65E7">
            <w:pPr>
              <w:rPr>
                <w:sz w:val="18"/>
                <w:szCs w:val="18"/>
                <w:lang w:val="es-ES" w:bidi="th-TH"/>
              </w:rPr>
            </w:pPr>
          </w:p>
          <w:p w14:paraId="06FF66E0" w14:textId="77777777" w:rsidR="00067534" w:rsidRPr="00B83E1A" w:rsidRDefault="00067534" w:rsidP="004E65E7">
            <w:pPr>
              <w:rPr>
                <w:sz w:val="18"/>
                <w:szCs w:val="18"/>
                <w:lang w:val="es-ES"/>
              </w:rPr>
            </w:pPr>
          </w:p>
        </w:tc>
      </w:tr>
      <w:tr w:rsidR="00067534" w:rsidRPr="00B83E1A" w14:paraId="48FA76CD" w14:textId="77777777" w:rsidTr="004E65E7">
        <w:trPr>
          <w:trHeight w:val="710"/>
          <w:jc w:val="center"/>
        </w:trPr>
        <w:tc>
          <w:tcPr>
            <w:tcW w:w="1681" w:type="dxa"/>
            <w:gridSpan w:val="2"/>
            <w:vMerge/>
          </w:tcPr>
          <w:p w14:paraId="0092DF3E" w14:textId="77777777" w:rsidR="00067534" w:rsidRPr="00B83E1A" w:rsidRDefault="00067534" w:rsidP="004E65E7">
            <w:pPr>
              <w:ind w:leftChars="-1" w:left="2" w:hangingChars="2" w:hanging="4"/>
              <w:rPr>
                <w:sz w:val="18"/>
                <w:szCs w:val="18"/>
                <w:lang w:val="es-ES"/>
              </w:rPr>
            </w:pPr>
          </w:p>
        </w:tc>
        <w:tc>
          <w:tcPr>
            <w:tcW w:w="2410" w:type="dxa"/>
            <w:vMerge/>
          </w:tcPr>
          <w:p w14:paraId="1D8AF397" w14:textId="77777777" w:rsidR="00067534" w:rsidRPr="00B83E1A" w:rsidRDefault="00067534" w:rsidP="004E65E7">
            <w:pPr>
              <w:rPr>
                <w:sz w:val="18"/>
                <w:szCs w:val="18"/>
                <w:lang w:val="es-ES"/>
              </w:rPr>
            </w:pPr>
          </w:p>
        </w:tc>
        <w:tc>
          <w:tcPr>
            <w:tcW w:w="2551" w:type="dxa"/>
            <w:gridSpan w:val="4"/>
          </w:tcPr>
          <w:p w14:paraId="76AFA5D2" w14:textId="77777777" w:rsidR="00067534" w:rsidRPr="00B83E1A" w:rsidRDefault="00067534" w:rsidP="004E65E7">
            <w:pPr>
              <w:rPr>
                <w:sz w:val="18"/>
                <w:szCs w:val="18"/>
                <w:lang w:val="es-ES" w:bidi="th-TH"/>
              </w:rPr>
            </w:pPr>
            <w:r w:rsidRPr="00B83E1A">
              <w:rPr>
                <w:sz w:val="18"/>
                <w:szCs w:val="18"/>
                <w:lang w:val="es-ES" w:bidi="th-TH"/>
              </w:rPr>
              <w:t>Número de usuarios que utilizan los servicios de los CATI por trimestre y por país.</w:t>
            </w:r>
          </w:p>
        </w:tc>
        <w:tc>
          <w:tcPr>
            <w:tcW w:w="2586" w:type="dxa"/>
          </w:tcPr>
          <w:p w14:paraId="4B7956F2" w14:textId="09480BC1" w:rsidR="00067534" w:rsidRPr="00B83E1A" w:rsidRDefault="00067534" w:rsidP="004E65E7">
            <w:pPr>
              <w:rPr>
                <w:sz w:val="18"/>
                <w:szCs w:val="18"/>
                <w:lang w:val="es-ES" w:bidi="th-TH"/>
              </w:rPr>
            </w:pPr>
            <w:r w:rsidRPr="00B83E1A">
              <w:rPr>
                <w:sz w:val="18"/>
                <w:szCs w:val="18"/>
                <w:lang w:val="es-ES" w:bidi="th-TH"/>
              </w:rPr>
              <w:t>Entr</w:t>
            </w:r>
            <w:r w:rsidR="009A700A" w:rsidRPr="00B83E1A">
              <w:rPr>
                <w:sz w:val="18"/>
                <w:szCs w:val="18"/>
                <w:lang w:val="es-ES" w:bidi="th-TH"/>
              </w:rPr>
              <w:t>e 3</w:t>
            </w:r>
            <w:r w:rsidRPr="00B83E1A">
              <w:rPr>
                <w:sz w:val="18"/>
                <w:szCs w:val="18"/>
                <w:lang w:val="es-ES" w:bidi="th-TH"/>
              </w:rPr>
              <w:t xml:space="preserve">00 </w:t>
            </w:r>
            <w:r w:rsidR="009A700A" w:rsidRPr="00B83E1A">
              <w:rPr>
                <w:sz w:val="18"/>
                <w:szCs w:val="18"/>
                <w:lang w:val="es-ES" w:bidi="th-TH"/>
              </w:rPr>
              <w:t>y 7</w:t>
            </w:r>
            <w:r w:rsidRPr="00B83E1A">
              <w:rPr>
                <w:sz w:val="18"/>
                <w:szCs w:val="18"/>
                <w:lang w:val="es-ES" w:bidi="th-TH"/>
              </w:rPr>
              <w:t>50 usuarios atendidos en promedio por los CATI cada día.</w:t>
            </w:r>
          </w:p>
          <w:p w14:paraId="0909687F" w14:textId="77777777" w:rsidR="00067534" w:rsidRPr="00B83E1A" w:rsidRDefault="00067534" w:rsidP="004E65E7">
            <w:pPr>
              <w:rPr>
                <w:sz w:val="18"/>
                <w:szCs w:val="18"/>
                <w:lang w:val="es-ES"/>
              </w:rPr>
            </w:pPr>
          </w:p>
        </w:tc>
      </w:tr>
      <w:tr w:rsidR="00067534" w:rsidRPr="00B83E1A" w14:paraId="473CD92E" w14:textId="77777777" w:rsidTr="004E65E7">
        <w:trPr>
          <w:jc w:val="center"/>
        </w:trPr>
        <w:tc>
          <w:tcPr>
            <w:tcW w:w="1681" w:type="dxa"/>
            <w:gridSpan w:val="2"/>
            <w:vMerge/>
          </w:tcPr>
          <w:p w14:paraId="4BAC65D2" w14:textId="77777777" w:rsidR="00067534" w:rsidRPr="00B83E1A" w:rsidRDefault="00067534" w:rsidP="004E65E7">
            <w:pPr>
              <w:ind w:leftChars="-1" w:left="2" w:hangingChars="2" w:hanging="4"/>
              <w:rPr>
                <w:sz w:val="18"/>
                <w:szCs w:val="18"/>
                <w:lang w:val="es-ES"/>
              </w:rPr>
            </w:pPr>
          </w:p>
        </w:tc>
        <w:tc>
          <w:tcPr>
            <w:tcW w:w="2410" w:type="dxa"/>
            <w:vMerge/>
          </w:tcPr>
          <w:p w14:paraId="2FCB10D7" w14:textId="77777777" w:rsidR="00067534" w:rsidRPr="00B83E1A" w:rsidRDefault="00067534" w:rsidP="004E65E7">
            <w:pPr>
              <w:rPr>
                <w:sz w:val="18"/>
                <w:szCs w:val="18"/>
                <w:lang w:val="es-ES"/>
              </w:rPr>
            </w:pPr>
          </w:p>
        </w:tc>
        <w:tc>
          <w:tcPr>
            <w:tcW w:w="2551" w:type="dxa"/>
            <w:gridSpan w:val="4"/>
          </w:tcPr>
          <w:p w14:paraId="1C51E2FF" w14:textId="77777777" w:rsidR="00067534" w:rsidRPr="00B83E1A" w:rsidRDefault="00067534" w:rsidP="004E65E7">
            <w:pPr>
              <w:rPr>
                <w:sz w:val="18"/>
                <w:szCs w:val="18"/>
                <w:lang w:val="es-ES"/>
              </w:rPr>
            </w:pPr>
            <w:r w:rsidRPr="00B83E1A">
              <w:rPr>
                <w:sz w:val="18"/>
                <w:szCs w:val="18"/>
                <w:lang w:val="es-ES" w:bidi="th-TH"/>
              </w:rPr>
              <w:t>Número de Estados miembros que han desarrollado su marco de P.I. y establecido oficinas universitarias de transferencia de tecnología (OTT).</w:t>
            </w:r>
          </w:p>
        </w:tc>
        <w:tc>
          <w:tcPr>
            <w:tcW w:w="2586" w:type="dxa"/>
          </w:tcPr>
          <w:p w14:paraId="6D8EFE0B" w14:textId="6095BFF0" w:rsidR="00B35257" w:rsidRPr="00B83E1A" w:rsidRDefault="00067534" w:rsidP="004E65E7">
            <w:pPr>
              <w:rPr>
                <w:iCs/>
                <w:sz w:val="18"/>
                <w:szCs w:val="18"/>
                <w:lang w:val="es-ES"/>
              </w:rPr>
            </w:pPr>
            <w:r w:rsidRPr="00B83E1A">
              <w:rPr>
                <w:iCs/>
                <w:sz w:val="18"/>
                <w:szCs w:val="18"/>
                <w:lang w:val="es-ES"/>
              </w:rPr>
              <w:t>Se inició en Túnez el proyecto de establecimiento de oficinas universitarias de transferencia de tecnología (OTT) en cinco de los países árabes.  Se llevó a cabo una evaluación de las necesidades en diciembre d</w:t>
            </w:r>
            <w:r w:rsidR="009A700A" w:rsidRPr="00B83E1A">
              <w:rPr>
                <w:iCs/>
                <w:sz w:val="18"/>
                <w:szCs w:val="18"/>
                <w:lang w:val="es-ES"/>
              </w:rPr>
              <w:t>e 2</w:t>
            </w:r>
            <w:r w:rsidRPr="00B83E1A">
              <w:rPr>
                <w:iCs/>
                <w:sz w:val="18"/>
                <w:szCs w:val="18"/>
                <w:lang w:val="es-ES"/>
              </w:rPr>
              <w:t>012 para que sirviera de base a un plan de acción oficial, que será examinado y adoptado por el Gobierno e</w:t>
            </w:r>
            <w:r w:rsidR="009A700A" w:rsidRPr="00B83E1A">
              <w:rPr>
                <w:iCs/>
                <w:sz w:val="18"/>
                <w:szCs w:val="18"/>
                <w:lang w:val="es-ES"/>
              </w:rPr>
              <w:t>n 2</w:t>
            </w:r>
            <w:r w:rsidRPr="00B83E1A">
              <w:rPr>
                <w:iCs/>
                <w:sz w:val="18"/>
                <w:szCs w:val="18"/>
                <w:lang w:val="es-ES"/>
              </w:rPr>
              <w:t>013 siempre que se disponga de fondos</w:t>
            </w:r>
            <w:r w:rsidR="00B35257" w:rsidRPr="00B83E1A">
              <w:rPr>
                <w:iCs/>
                <w:sz w:val="18"/>
                <w:szCs w:val="18"/>
                <w:lang w:val="es-ES"/>
              </w:rPr>
              <w:t>.</w:t>
            </w:r>
          </w:p>
          <w:p w14:paraId="1CEE182B" w14:textId="08553B5F" w:rsidR="00067534" w:rsidRPr="00B83E1A" w:rsidRDefault="00067534" w:rsidP="004E65E7">
            <w:pPr>
              <w:rPr>
                <w:sz w:val="18"/>
                <w:szCs w:val="18"/>
                <w:lang w:val="es-ES" w:bidi="th-TH"/>
              </w:rPr>
            </w:pPr>
            <w:r w:rsidRPr="00B83E1A">
              <w:rPr>
                <w:sz w:val="18"/>
                <w:szCs w:val="18"/>
                <w:lang w:val="es-ES" w:bidi="th-TH"/>
              </w:rPr>
              <w:t xml:space="preserve">Nota:  El proyecto de OTT </w:t>
            </w:r>
            <w:r w:rsidRPr="00B83E1A">
              <w:rPr>
                <w:sz w:val="18"/>
                <w:szCs w:val="18"/>
                <w:lang w:val="es-ES" w:bidi="th-TH"/>
              </w:rPr>
              <w:lastRenderedPageBreak/>
              <w:t>para la región de los países árabes está retrasado porque la financiación externa prevista no se ha recibido</w:t>
            </w:r>
            <w:r w:rsidR="009A700A" w:rsidRPr="00B83E1A">
              <w:rPr>
                <w:sz w:val="18"/>
                <w:szCs w:val="18"/>
                <w:lang w:val="es-ES" w:bidi="th-TH"/>
              </w:rPr>
              <w:t>.  L</w:t>
            </w:r>
            <w:r w:rsidRPr="00B83E1A">
              <w:rPr>
                <w:sz w:val="18"/>
                <w:szCs w:val="18"/>
                <w:lang w:val="es-ES" w:bidi="th-TH"/>
              </w:rPr>
              <w:t>a OMPI ha facilitado la celebración de reuniones a ese respecto y confía en que se obtenga la financiación necesaria y el proyecto siga adelante.</w:t>
            </w:r>
          </w:p>
          <w:p w14:paraId="312B82BC" w14:textId="48D5F979" w:rsidR="00067534" w:rsidRPr="00B83E1A" w:rsidRDefault="00067534" w:rsidP="004E65E7">
            <w:pPr>
              <w:rPr>
                <w:sz w:val="18"/>
                <w:szCs w:val="18"/>
                <w:lang w:val="es-ES" w:bidi="th-TH"/>
              </w:rPr>
            </w:pPr>
            <w:r w:rsidRPr="00B83E1A">
              <w:rPr>
                <w:sz w:val="18"/>
                <w:szCs w:val="18"/>
                <w:lang w:val="es-ES" w:bidi="th-TH"/>
              </w:rPr>
              <w:t>En el marco de la Iniciativa universitaria de la OMPI, 20 OTT ayudaron a formular políticas institucionales de P.I</w:t>
            </w:r>
            <w:r w:rsidR="004E65E7" w:rsidRPr="00B83E1A">
              <w:rPr>
                <w:sz w:val="18"/>
                <w:szCs w:val="18"/>
                <w:lang w:val="es-ES" w:bidi="th-TH"/>
              </w:rPr>
              <w:t xml:space="preserve">. </w:t>
            </w:r>
            <w:r w:rsidR="009A700A" w:rsidRPr="00B83E1A">
              <w:rPr>
                <w:sz w:val="18"/>
                <w:szCs w:val="18"/>
                <w:lang w:val="es-ES" w:bidi="th-TH"/>
              </w:rPr>
              <w:t>(</w:t>
            </w:r>
            <w:r w:rsidRPr="00B83E1A">
              <w:rPr>
                <w:sz w:val="18"/>
                <w:szCs w:val="18"/>
                <w:lang w:val="es-ES" w:bidi="th-TH"/>
              </w:rPr>
              <w:t>la CESPAO (5), Marruecos (6)</w:t>
            </w:r>
            <w:r w:rsidR="009A700A" w:rsidRPr="00B83E1A">
              <w:rPr>
                <w:sz w:val="18"/>
                <w:szCs w:val="18"/>
                <w:lang w:val="es-ES" w:bidi="th-TH"/>
              </w:rPr>
              <w:t>.  C</w:t>
            </w:r>
            <w:r w:rsidRPr="00B83E1A">
              <w:rPr>
                <w:sz w:val="18"/>
                <w:szCs w:val="18"/>
                <w:lang w:val="es-ES" w:bidi="th-TH"/>
              </w:rPr>
              <w:t>hile (5), Filipinas (5) y Ghana (1)).</w:t>
            </w:r>
          </w:p>
          <w:p w14:paraId="6D433B0A" w14:textId="58C84AA5" w:rsidR="00067534" w:rsidRPr="00B83E1A" w:rsidRDefault="00067534" w:rsidP="004E65E7">
            <w:pPr>
              <w:spacing w:after="120"/>
              <w:rPr>
                <w:sz w:val="18"/>
                <w:szCs w:val="18"/>
                <w:lang w:val="es-ES"/>
              </w:rPr>
            </w:pPr>
            <w:r w:rsidRPr="00B83E1A">
              <w:rPr>
                <w:i/>
                <w:iCs/>
                <w:sz w:val="18"/>
                <w:szCs w:val="18"/>
                <w:lang w:val="es-ES" w:bidi="th-TH"/>
              </w:rPr>
              <w:t>Plataforma de innovación en red</w:t>
            </w:r>
            <w:r w:rsidR="009A700A" w:rsidRPr="00B83E1A">
              <w:rPr>
                <w:iCs/>
                <w:sz w:val="18"/>
                <w:szCs w:val="18"/>
                <w:lang w:val="es-ES" w:bidi="th-TH"/>
              </w:rPr>
              <w:t>:  R</w:t>
            </w:r>
            <w:r w:rsidRPr="00B83E1A">
              <w:rPr>
                <w:iCs/>
                <w:sz w:val="18"/>
                <w:szCs w:val="18"/>
                <w:lang w:val="es-ES" w:bidi="th-TH"/>
              </w:rPr>
              <w:t>edacción del primer proyecto de un documento marco para una plataforma de innovación en red que utilizará las imágenes de satélite para detectar las aguas subterráneas y promover las tecnologías autóctonas para la extracción de agua.  Se elaborará un documento marco más específico para la integración modular de los informes sobre análisis de la actividad de patentamiento (fase inicial), los concursos de tecnologías y los CATI (fase inicial), las tecnologías ecológicamente racionales por medio de WIPO Green (fase intermedia) y los programas de creación de capacidad en materia de P.I</w:t>
            </w:r>
            <w:r w:rsidR="009A700A" w:rsidRPr="00B83E1A">
              <w:rPr>
                <w:iCs/>
                <w:sz w:val="18"/>
                <w:szCs w:val="18"/>
                <w:lang w:val="es-ES" w:bidi="th-TH"/>
              </w:rPr>
              <w:t>.  (</w:t>
            </w:r>
            <w:r w:rsidRPr="00B83E1A">
              <w:rPr>
                <w:iCs/>
                <w:sz w:val="18"/>
                <w:szCs w:val="18"/>
                <w:lang w:val="es-ES" w:bidi="th-TH"/>
              </w:rPr>
              <w:t>fase final) con objeto de disponer de un programa con un costo mínimo que permita a la OMPI actuar como facilitador.</w:t>
            </w:r>
          </w:p>
        </w:tc>
      </w:tr>
      <w:tr w:rsidR="00067534" w:rsidRPr="00B83E1A" w14:paraId="5E61D451" w14:textId="77777777" w:rsidTr="004E65E7">
        <w:trPr>
          <w:jc w:val="center"/>
        </w:trPr>
        <w:tc>
          <w:tcPr>
            <w:tcW w:w="1681" w:type="dxa"/>
            <w:gridSpan w:val="2"/>
            <w:vMerge/>
          </w:tcPr>
          <w:p w14:paraId="04649EF1" w14:textId="77777777" w:rsidR="00067534" w:rsidRPr="00B83E1A" w:rsidRDefault="00067534" w:rsidP="004E65E7">
            <w:pPr>
              <w:ind w:leftChars="-1" w:left="2" w:hangingChars="2" w:hanging="4"/>
              <w:rPr>
                <w:sz w:val="18"/>
                <w:szCs w:val="18"/>
                <w:lang w:val="es-ES"/>
              </w:rPr>
            </w:pPr>
          </w:p>
        </w:tc>
        <w:tc>
          <w:tcPr>
            <w:tcW w:w="2410" w:type="dxa"/>
            <w:vMerge/>
          </w:tcPr>
          <w:p w14:paraId="2332463D" w14:textId="77777777" w:rsidR="00067534" w:rsidRPr="00B83E1A" w:rsidRDefault="00067534" w:rsidP="004E65E7">
            <w:pPr>
              <w:rPr>
                <w:sz w:val="18"/>
                <w:szCs w:val="18"/>
                <w:lang w:val="es-ES"/>
              </w:rPr>
            </w:pPr>
          </w:p>
        </w:tc>
        <w:tc>
          <w:tcPr>
            <w:tcW w:w="2551" w:type="dxa"/>
            <w:gridSpan w:val="4"/>
          </w:tcPr>
          <w:p w14:paraId="5ABD5EF6" w14:textId="77777777" w:rsidR="00067534" w:rsidRPr="00B83E1A" w:rsidRDefault="00067534" w:rsidP="004E65E7">
            <w:pPr>
              <w:spacing w:after="120"/>
              <w:rPr>
                <w:sz w:val="18"/>
                <w:szCs w:val="18"/>
                <w:lang w:val="es-ES"/>
              </w:rPr>
            </w:pPr>
            <w:r w:rsidRPr="00B83E1A">
              <w:rPr>
                <w:sz w:val="18"/>
                <w:szCs w:val="18"/>
                <w:lang w:val="es-ES"/>
              </w:rPr>
              <w:t>Número de usuarios por trimestre y sistema (PATENTSCOPE y Base Mundial de Datos sobre Marcas)</w:t>
            </w:r>
          </w:p>
        </w:tc>
        <w:tc>
          <w:tcPr>
            <w:tcW w:w="2586" w:type="dxa"/>
          </w:tcPr>
          <w:p w14:paraId="2DF0E42D" w14:textId="77777777" w:rsidR="00067534" w:rsidRPr="00B83E1A" w:rsidRDefault="00067534" w:rsidP="004E65E7">
            <w:pPr>
              <w:rPr>
                <w:sz w:val="18"/>
                <w:szCs w:val="18"/>
                <w:lang w:val="es-ES"/>
              </w:rPr>
            </w:pPr>
            <w:r w:rsidRPr="00B83E1A">
              <w:rPr>
                <w:sz w:val="18"/>
                <w:szCs w:val="18"/>
                <w:lang w:val="es-ES"/>
              </w:rPr>
              <w:t>219.000</w:t>
            </w:r>
          </w:p>
          <w:p w14:paraId="0D6E5FE7" w14:textId="77777777" w:rsidR="00067534" w:rsidRPr="00B83E1A" w:rsidRDefault="00067534" w:rsidP="004E65E7">
            <w:pPr>
              <w:rPr>
                <w:sz w:val="18"/>
                <w:szCs w:val="18"/>
                <w:lang w:val="es-ES"/>
              </w:rPr>
            </w:pPr>
            <w:r w:rsidRPr="00B83E1A">
              <w:rPr>
                <w:sz w:val="18"/>
                <w:szCs w:val="18"/>
                <w:lang w:val="es-ES"/>
              </w:rPr>
              <w:t>13.000</w:t>
            </w:r>
          </w:p>
        </w:tc>
      </w:tr>
      <w:tr w:rsidR="00067534" w:rsidRPr="00B83E1A" w14:paraId="4F277F9A" w14:textId="77777777" w:rsidTr="004E65E7">
        <w:trPr>
          <w:jc w:val="center"/>
        </w:trPr>
        <w:tc>
          <w:tcPr>
            <w:tcW w:w="1681" w:type="dxa"/>
            <w:gridSpan w:val="2"/>
            <w:vMerge/>
          </w:tcPr>
          <w:p w14:paraId="6A1B187E" w14:textId="77777777" w:rsidR="00067534" w:rsidRPr="00B83E1A" w:rsidRDefault="00067534" w:rsidP="004E65E7">
            <w:pPr>
              <w:ind w:leftChars="-1" w:left="2" w:hangingChars="2" w:hanging="4"/>
              <w:rPr>
                <w:sz w:val="18"/>
                <w:szCs w:val="18"/>
                <w:lang w:val="es-ES"/>
              </w:rPr>
            </w:pPr>
          </w:p>
        </w:tc>
        <w:tc>
          <w:tcPr>
            <w:tcW w:w="2410" w:type="dxa"/>
            <w:vMerge/>
          </w:tcPr>
          <w:p w14:paraId="2C877749" w14:textId="77777777" w:rsidR="00067534" w:rsidRPr="00B83E1A" w:rsidRDefault="00067534" w:rsidP="004E65E7">
            <w:pPr>
              <w:rPr>
                <w:sz w:val="18"/>
                <w:szCs w:val="18"/>
                <w:lang w:val="es-ES"/>
              </w:rPr>
            </w:pPr>
          </w:p>
        </w:tc>
        <w:tc>
          <w:tcPr>
            <w:tcW w:w="2551" w:type="dxa"/>
            <w:gridSpan w:val="4"/>
          </w:tcPr>
          <w:p w14:paraId="63F7F95E" w14:textId="77777777" w:rsidR="00067534" w:rsidRPr="00B83E1A" w:rsidRDefault="00067534" w:rsidP="004E65E7">
            <w:pPr>
              <w:spacing w:after="120"/>
              <w:rPr>
                <w:sz w:val="18"/>
                <w:szCs w:val="18"/>
                <w:lang w:val="es-ES" w:bidi="th-TH"/>
              </w:rPr>
            </w:pPr>
            <w:r w:rsidRPr="00B83E1A">
              <w:rPr>
                <w:sz w:val="18"/>
                <w:szCs w:val="18"/>
                <w:lang w:val="es-ES"/>
              </w:rPr>
              <w:t>Número de idiomas en los que se pueden efectuar búsquedas plurilingües.</w:t>
            </w:r>
          </w:p>
        </w:tc>
        <w:tc>
          <w:tcPr>
            <w:tcW w:w="2586" w:type="dxa"/>
          </w:tcPr>
          <w:p w14:paraId="3B2680C9" w14:textId="77777777" w:rsidR="00067534" w:rsidRPr="00B83E1A" w:rsidRDefault="00067534" w:rsidP="004E65E7">
            <w:pPr>
              <w:rPr>
                <w:sz w:val="18"/>
                <w:szCs w:val="18"/>
                <w:lang w:val="es-ES"/>
              </w:rPr>
            </w:pPr>
            <w:r w:rsidRPr="00B83E1A">
              <w:rPr>
                <w:sz w:val="18"/>
                <w:szCs w:val="18"/>
                <w:lang w:val="es-ES"/>
              </w:rPr>
              <w:t>12 en Beta (total)</w:t>
            </w:r>
          </w:p>
        </w:tc>
      </w:tr>
      <w:tr w:rsidR="00067534" w:rsidRPr="00B83E1A" w14:paraId="1723EE42" w14:textId="77777777" w:rsidTr="004E65E7">
        <w:trPr>
          <w:trHeight w:val="828"/>
          <w:jc w:val="center"/>
        </w:trPr>
        <w:tc>
          <w:tcPr>
            <w:tcW w:w="1681" w:type="dxa"/>
            <w:gridSpan w:val="2"/>
            <w:vMerge/>
          </w:tcPr>
          <w:p w14:paraId="395715F5" w14:textId="77777777" w:rsidR="00067534" w:rsidRPr="00B83E1A" w:rsidRDefault="00067534" w:rsidP="004E65E7">
            <w:pPr>
              <w:ind w:leftChars="-1" w:left="2" w:hangingChars="2" w:hanging="4"/>
              <w:rPr>
                <w:sz w:val="18"/>
                <w:szCs w:val="18"/>
                <w:lang w:val="es-ES"/>
              </w:rPr>
            </w:pPr>
          </w:p>
        </w:tc>
        <w:tc>
          <w:tcPr>
            <w:tcW w:w="2410" w:type="dxa"/>
            <w:vMerge/>
          </w:tcPr>
          <w:p w14:paraId="5CF217C4" w14:textId="77777777" w:rsidR="00067534" w:rsidRPr="00B83E1A" w:rsidRDefault="00067534" w:rsidP="004E65E7">
            <w:pPr>
              <w:rPr>
                <w:sz w:val="18"/>
                <w:szCs w:val="18"/>
                <w:lang w:val="es-ES"/>
              </w:rPr>
            </w:pPr>
          </w:p>
        </w:tc>
        <w:tc>
          <w:tcPr>
            <w:tcW w:w="2551" w:type="dxa"/>
            <w:gridSpan w:val="4"/>
          </w:tcPr>
          <w:p w14:paraId="4E86AA25" w14:textId="77777777" w:rsidR="00067534" w:rsidRPr="00B83E1A" w:rsidRDefault="00067534" w:rsidP="004E65E7">
            <w:pPr>
              <w:rPr>
                <w:sz w:val="18"/>
                <w:szCs w:val="18"/>
                <w:lang w:val="es-ES"/>
              </w:rPr>
            </w:pPr>
            <w:r w:rsidRPr="00B83E1A">
              <w:rPr>
                <w:sz w:val="18"/>
                <w:szCs w:val="18"/>
                <w:lang w:val="es-ES"/>
              </w:rPr>
              <w:t>Número de redes nacionales de CATI puestas en marcha.</w:t>
            </w:r>
          </w:p>
        </w:tc>
        <w:tc>
          <w:tcPr>
            <w:tcW w:w="2586" w:type="dxa"/>
          </w:tcPr>
          <w:p w14:paraId="1F3A3585" w14:textId="4451A14E" w:rsidR="00067534" w:rsidRPr="00B83E1A" w:rsidRDefault="00067534" w:rsidP="004E65E7">
            <w:pPr>
              <w:spacing w:after="120"/>
              <w:rPr>
                <w:sz w:val="18"/>
                <w:szCs w:val="18"/>
                <w:lang w:val="es-ES"/>
              </w:rPr>
            </w:pPr>
            <w:r w:rsidRPr="00B83E1A">
              <w:rPr>
                <w:sz w:val="18"/>
                <w:szCs w:val="18"/>
                <w:lang w:val="es-ES" w:bidi="th-TH"/>
              </w:rPr>
              <w:t>Puesta en marcha d</w:t>
            </w:r>
            <w:r w:rsidR="009A700A" w:rsidRPr="00B83E1A">
              <w:rPr>
                <w:sz w:val="18"/>
                <w:szCs w:val="18"/>
                <w:lang w:val="es-ES" w:bidi="th-TH"/>
              </w:rPr>
              <w:t>e 1</w:t>
            </w:r>
            <w:r w:rsidRPr="00B83E1A">
              <w:rPr>
                <w:sz w:val="18"/>
                <w:szCs w:val="18"/>
                <w:lang w:val="es-ES" w:bidi="th-TH"/>
              </w:rPr>
              <w:t>6 redes CATI adicionales:  África (10);  región de los países árabes (1);  América Latina y el Caribe (4);  y determinados países de Europa y Asia (1).</w:t>
            </w:r>
          </w:p>
        </w:tc>
      </w:tr>
      <w:tr w:rsidR="00067534" w:rsidRPr="00B83E1A" w14:paraId="3D76F5B4" w14:textId="77777777" w:rsidTr="004E65E7">
        <w:trPr>
          <w:jc w:val="center"/>
        </w:trPr>
        <w:tc>
          <w:tcPr>
            <w:tcW w:w="1681" w:type="dxa"/>
            <w:gridSpan w:val="2"/>
            <w:vMerge/>
          </w:tcPr>
          <w:p w14:paraId="587823A1" w14:textId="77777777" w:rsidR="00067534" w:rsidRPr="00B83E1A" w:rsidRDefault="00067534" w:rsidP="004E65E7">
            <w:pPr>
              <w:ind w:leftChars="-1" w:left="2" w:hangingChars="2" w:hanging="4"/>
              <w:rPr>
                <w:sz w:val="18"/>
                <w:szCs w:val="18"/>
                <w:lang w:val="es-ES"/>
              </w:rPr>
            </w:pPr>
          </w:p>
        </w:tc>
        <w:tc>
          <w:tcPr>
            <w:tcW w:w="2410" w:type="dxa"/>
            <w:vMerge/>
          </w:tcPr>
          <w:p w14:paraId="13FBC689" w14:textId="77777777" w:rsidR="00067534" w:rsidRPr="00B83E1A" w:rsidRDefault="00067534" w:rsidP="004E65E7">
            <w:pPr>
              <w:rPr>
                <w:sz w:val="18"/>
                <w:szCs w:val="18"/>
                <w:lang w:val="es-ES"/>
              </w:rPr>
            </w:pPr>
          </w:p>
        </w:tc>
        <w:tc>
          <w:tcPr>
            <w:tcW w:w="2551" w:type="dxa"/>
            <w:gridSpan w:val="4"/>
          </w:tcPr>
          <w:p w14:paraId="3CFC3097" w14:textId="77777777" w:rsidR="00067534" w:rsidRPr="00B83E1A" w:rsidRDefault="00067534" w:rsidP="004E65E7">
            <w:pPr>
              <w:spacing w:after="120"/>
              <w:rPr>
                <w:sz w:val="18"/>
                <w:szCs w:val="18"/>
                <w:lang w:val="es-ES"/>
              </w:rPr>
            </w:pPr>
            <w:r w:rsidRPr="00B83E1A">
              <w:rPr>
                <w:sz w:val="18"/>
                <w:szCs w:val="18"/>
                <w:lang w:val="es-ES"/>
              </w:rPr>
              <w:t>Porcentaje de usuarios satisfechos de los servicios de los CATI.</w:t>
            </w:r>
          </w:p>
        </w:tc>
        <w:tc>
          <w:tcPr>
            <w:tcW w:w="2586" w:type="dxa"/>
          </w:tcPr>
          <w:p w14:paraId="31E0DAE3" w14:textId="5ADD4AA4" w:rsidR="00067534" w:rsidRPr="00B83E1A" w:rsidRDefault="00067534" w:rsidP="004E65E7">
            <w:pPr>
              <w:rPr>
                <w:sz w:val="18"/>
                <w:szCs w:val="18"/>
                <w:lang w:val="es-ES" w:bidi="th-TH"/>
              </w:rPr>
            </w:pPr>
            <w:r w:rsidRPr="00B83E1A">
              <w:rPr>
                <w:sz w:val="18"/>
                <w:szCs w:val="18"/>
                <w:lang w:val="es-ES" w:bidi="th-TH"/>
              </w:rPr>
              <w:t>Muy satisfechos</w:t>
            </w:r>
            <w:r w:rsidR="009A700A" w:rsidRPr="00B83E1A">
              <w:rPr>
                <w:sz w:val="18"/>
                <w:szCs w:val="18"/>
                <w:lang w:val="es-ES" w:bidi="th-TH"/>
              </w:rPr>
              <w:t>:  3</w:t>
            </w:r>
            <w:r w:rsidRPr="00B83E1A">
              <w:rPr>
                <w:sz w:val="18"/>
                <w:szCs w:val="18"/>
                <w:lang w:val="es-ES" w:bidi="th-TH"/>
              </w:rPr>
              <w:t>3%</w:t>
            </w:r>
          </w:p>
          <w:p w14:paraId="1A39FBA0" w14:textId="69946911" w:rsidR="00067534" w:rsidRPr="00B83E1A" w:rsidRDefault="00067534" w:rsidP="004E65E7">
            <w:pPr>
              <w:rPr>
                <w:sz w:val="18"/>
                <w:szCs w:val="18"/>
                <w:lang w:val="es-ES"/>
              </w:rPr>
            </w:pPr>
            <w:r w:rsidRPr="00B83E1A">
              <w:rPr>
                <w:sz w:val="18"/>
                <w:szCs w:val="18"/>
                <w:lang w:val="es-ES" w:bidi="th-TH"/>
              </w:rPr>
              <w:t>Moderadamente satisfechos</w:t>
            </w:r>
            <w:r w:rsidR="009A700A" w:rsidRPr="00B83E1A">
              <w:rPr>
                <w:sz w:val="18"/>
                <w:szCs w:val="18"/>
                <w:lang w:val="es-ES" w:bidi="th-TH"/>
              </w:rPr>
              <w:t>:  4</w:t>
            </w:r>
            <w:r w:rsidRPr="00B83E1A">
              <w:rPr>
                <w:sz w:val="18"/>
                <w:szCs w:val="18"/>
                <w:lang w:val="es-ES" w:bidi="th-TH"/>
              </w:rPr>
              <w:t>4%</w:t>
            </w:r>
          </w:p>
        </w:tc>
      </w:tr>
      <w:tr w:rsidR="00067534" w:rsidRPr="00B83E1A" w14:paraId="68E20F22" w14:textId="77777777" w:rsidTr="004E65E7">
        <w:trPr>
          <w:jc w:val="center"/>
        </w:trPr>
        <w:tc>
          <w:tcPr>
            <w:tcW w:w="1681" w:type="dxa"/>
            <w:gridSpan w:val="2"/>
            <w:vMerge/>
          </w:tcPr>
          <w:p w14:paraId="17BCC64C" w14:textId="77777777" w:rsidR="00067534" w:rsidRPr="00B83E1A" w:rsidRDefault="00067534" w:rsidP="004E65E7">
            <w:pPr>
              <w:ind w:leftChars="-1" w:left="2" w:hangingChars="2" w:hanging="4"/>
              <w:rPr>
                <w:sz w:val="18"/>
                <w:szCs w:val="18"/>
                <w:lang w:val="es-ES"/>
              </w:rPr>
            </w:pPr>
          </w:p>
        </w:tc>
        <w:tc>
          <w:tcPr>
            <w:tcW w:w="2410" w:type="dxa"/>
            <w:vMerge/>
          </w:tcPr>
          <w:p w14:paraId="40100529" w14:textId="77777777" w:rsidR="00067534" w:rsidRPr="00B83E1A" w:rsidRDefault="00067534" w:rsidP="004E65E7">
            <w:pPr>
              <w:rPr>
                <w:sz w:val="18"/>
                <w:szCs w:val="18"/>
                <w:lang w:val="es-ES"/>
              </w:rPr>
            </w:pPr>
          </w:p>
        </w:tc>
        <w:tc>
          <w:tcPr>
            <w:tcW w:w="2551" w:type="dxa"/>
            <w:gridSpan w:val="4"/>
          </w:tcPr>
          <w:p w14:paraId="41A2CE89" w14:textId="77777777" w:rsidR="00067534" w:rsidRPr="00B83E1A" w:rsidRDefault="00067534" w:rsidP="004E65E7">
            <w:pPr>
              <w:rPr>
                <w:sz w:val="18"/>
                <w:szCs w:val="18"/>
                <w:lang w:val="es-ES"/>
              </w:rPr>
            </w:pPr>
            <w:r w:rsidRPr="00B83E1A">
              <w:rPr>
                <w:sz w:val="18"/>
                <w:szCs w:val="18"/>
                <w:lang w:val="es-ES"/>
              </w:rPr>
              <w:t>Número de usuarios de los servicios de información con valor añadido (servicio de búsqueda de la tecnología, informes sobre análisis de la actividad de patentamiento y cooperación internacional en el examen).</w:t>
            </w:r>
          </w:p>
        </w:tc>
        <w:tc>
          <w:tcPr>
            <w:tcW w:w="2586" w:type="dxa"/>
          </w:tcPr>
          <w:p w14:paraId="1DDA330A" w14:textId="7903BEC9" w:rsidR="00067534" w:rsidRPr="00B83E1A" w:rsidRDefault="00067534" w:rsidP="004E65E7">
            <w:pPr>
              <w:rPr>
                <w:sz w:val="18"/>
                <w:szCs w:val="18"/>
                <w:lang w:val="es-ES" w:bidi="th-TH"/>
              </w:rPr>
            </w:pPr>
            <w:r w:rsidRPr="00B83E1A">
              <w:rPr>
                <w:sz w:val="18"/>
                <w:szCs w:val="18"/>
                <w:lang w:val="es-ES" w:bidi="th-TH"/>
              </w:rPr>
              <w:t>Del servicio de cooperación internacional en el examen/servicios de la OMPI de información sobre patentes:  e</w:t>
            </w:r>
            <w:r w:rsidR="009A700A" w:rsidRPr="00B83E1A">
              <w:rPr>
                <w:sz w:val="18"/>
                <w:szCs w:val="18"/>
                <w:lang w:val="es-ES" w:bidi="th-TH"/>
              </w:rPr>
              <w:t>n 2</w:t>
            </w:r>
            <w:r w:rsidRPr="00B83E1A">
              <w:rPr>
                <w:sz w:val="18"/>
                <w:szCs w:val="18"/>
                <w:lang w:val="es-ES" w:bidi="th-TH"/>
              </w:rPr>
              <w:t>012 se recibiero</w:t>
            </w:r>
            <w:r w:rsidR="009A700A" w:rsidRPr="00B83E1A">
              <w:rPr>
                <w:sz w:val="18"/>
                <w:szCs w:val="18"/>
                <w:lang w:val="es-ES" w:bidi="th-TH"/>
              </w:rPr>
              <w:t>n 2</w:t>
            </w:r>
            <w:r w:rsidRPr="00B83E1A">
              <w:rPr>
                <w:sz w:val="18"/>
                <w:szCs w:val="18"/>
                <w:lang w:val="es-ES" w:bidi="th-TH"/>
              </w:rPr>
              <w:t>41 solicitudes de búsqueda d</w:t>
            </w:r>
            <w:r w:rsidR="009A700A" w:rsidRPr="00B83E1A">
              <w:rPr>
                <w:sz w:val="18"/>
                <w:szCs w:val="18"/>
                <w:lang w:val="es-ES" w:bidi="th-TH"/>
              </w:rPr>
              <w:t>e 1</w:t>
            </w:r>
            <w:r w:rsidRPr="00B83E1A">
              <w:rPr>
                <w:sz w:val="18"/>
                <w:szCs w:val="18"/>
                <w:lang w:val="es-ES" w:bidi="th-TH"/>
              </w:rPr>
              <w:t>9 países, incluida</w:t>
            </w:r>
            <w:r w:rsidR="009A700A" w:rsidRPr="00B83E1A">
              <w:rPr>
                <w:sz w:val="18"/>
                <w:szCs w:val="18"/>
                <w:lang w:val="es-ES" w:bidi="th-TH"/>
              </w:rPr>
              <w:t>s 1</w:t>
            </w:r>
            <w:r w:rsidRPr="00B83E1A">
              <w:rPr>
                <w:sz w:val="18"/>
                <w:szCs w:val="18"/>
                <w:lang w:val="es-ES" w:bidi="th-TH"/>
              </w:rPr>
              <w:t>01 solicitudes de informes de examen por conducto de la cooperación internacional en el examen.</w:t>
            </w:r>
          </w:p>
          <w:p w14:paraId="23D52708" w14:textId="77777777" w:rsidR="00067534" w:rsidRPr="00B83E1A" w:rsidRDefault="00067534" w:rsidP="004E65E7">
            <w:pPr>
              <w:rPr>
                <w:sz w:val="18"/>
                <w:szCs w:val="18"/>
                <w:lang w:val="es-ES" w:bidi="th-TH"/>
              </w:rPr>
            </w:pPr>
            <w:r w:rsidRPr="00B83E1A">
              <w:rPr>
                <w:sz w:val="18"/>
                <w:szCs w:val="18"/>
                <w:lang w:val="es-ES" w:bidi="th-TH"/>
              </w:rPr>
              <w:t>De los informes sobre análisis de la actividad de patentamiento:</w:t>
            </w:r>
          </w:p>
          <w:p w14:paraId="43471547" w14:textId="77777777" w:rsidR="00067534" w:rsidRPr="00B83E1A" w:rsidRDefault="00067534" w:rsidP="004E65E7">
            <w:pPr>
              <w:rPr>
                <w:sz w:val="18"/>
                <w:szCs w:val="18"/>
                <w:lang w:val="es-ES" w:bidi="th-TH"/>
              </w:rPr>
            </w:pPr>
            <w:r w:rsidRPr="00B83E1A">
              <w:rPr>
                <w:sz w:val="18"/>
                <w:szCs w:val="18"/>
                <w:lang w:val="es-ES" w:bidi="th-TH"/>
              </w:rPr>
              <w:t>13.102 visitas (una sola pulsación del ratón);</w:t>
            </w:r>
          </w:p>
          <w:p w14:paraId="1908278D" w14:textId="77777777" w:rsidR="00067534" w:rsidRPr="00B83E1A" w:rsidRDefault="00067534" w:rsidP="004E65E7">
            <w:pPr>
              <w:spacing w:after="120"/>
              <w:rPr>
                <w:sz w:val="18"/>
                <w:szCs w:val="18"/>
                <w:lang w:val="es-ES"/>
              </w:rPr>
            </w:pPr>
            <w:r w:rsidRPr="00B83E1A">
              <w:rPr>
                <w:sz w:val="18"/>
                <w:szCs w:val="18"/>
                <w:lang w:val="es-ES" w:bidi="th-TH"/>
              </w:rPr>
              <w:t>8.930 descargas de documentos en formato pdf.</w:t>
            </w:r>
          </w:p>
        </w:tc>
      </w:tr>
      <w:tr w:rsidR="00067534" w:rsidRPr="00B83E1A" w14:paraId="1D7F8A53" w14:textId="77777777" w:rsidTr="004E65E7">
        <w:trPr>
          <w:jc w:val="center"/>
        </w:trPr>
        <w:tc>
          <w:tcPr>
            <w:tcW w:w="1681" w:type="dxa"/>
            <w:gridSpan w:val="2"/>
            <w:vMerge/>
          </w:tcPr>
          <w:p w14:paraId="436B6D0F" w14:textId="77777777" w:rsidR="00067534" w:rsidRPr="00B83E1A" w:rsidRDefault="00067534" w:rsidP="004E65E7">
            <w:pPr>
              <w:ind w:leftChars="-1" w:left="2" w:hangingChars="2" w:hanging="4"/>
              <w:rPr>
                <w:sz w:val="18"/>
                <w:szCs w:val="18"/>
                <w:lang w:val="es-ES"/>
              </w:rPr>
            </w:pPr>
          </w:p>
        </w:tc>
        <w:tc>
          <w:tcPr>
            <w:tcW w:w="2410" w:type="dxa"/>
            <w:vMerge/>
          </w:tcPr>
          <w:p w14:paraId="0B43ACE6" w14:textId="77777777" w:rsidR="00067534" w:rsidRPr="00B83E1A" w:rsidRDefault="00067534" w:rsidP="004E65E7">
            <w:pPr>
              <w:rPr>
                <w:sz w:val="18"/>
                <w:szCs w:val="18"/>
                <w:lang w:val="es-ES"/>
              </w:rPr>
            </w:pPr>
          </w:p>
        </w:tc>
        <w:tc>
          <w:tcPr>
            <w:tcW w:w="2551" w:type="dxa"/>
            <w:gridSpan w:val="4"/>
          </w:tcPr>
          <w:p w14:paraId="3E4C9BDE" w14:textId="77777777" w:rsidR="00067534" w:rsidRPr="00B83E1A" w:rsidRDefault="00067534" w:rsidP="004E65E7">
            <w:pPr>
              <w:keepNext/>
              <w:keepLines/>
              <w:rPr>
                <w:sz w:val="18"/>
                <w:szCs w:val="18"/>
                <w:lang w:val="es-ES"/>
              </w:rPr>
            </w:pPr>
            <w:r w:rsidRPr="00B83E1A">
              <w:rPr>
                <w:sz w:val="18"/>
                <w:szCs w:val="18"/>
                <w:lang w:val="es-ES"/>
              </w:rPr>
              <w:t>Porcentaje de usuarios satisfechos de los servicios de información con valor añadido (servicio de búsqueda de la tecnología, informes sobre análisis de la actividad de patentamiento y cooperación internacional en el examen).</w:t>
            </w:r>
          </w:p>
        </w:tc>
        <w:tc>
          <w:tcPr>
            <w:tcW w:w="2586" w:type="dxa"/>
          </w:tcPr>
          <w:p w14:paraId="1C0462DA" w14:textId="58A1530A" w:rsidR="00067534" w:rsidRPr="00B83E1A" w:rsidRDefault="00067534" w:rsidP="004E65E7">
            <w:pPr>
              <w:keepNext/>
              <w:keepLines/>
              <w:spacing w:after="120"/>
              <w:rPr>
                <w:sz w:val="18"/>
                <w:szCs w:val="18"/>
                <w:lang w:val="es-ES" w:bidi="th-TH"/>
              </w:rPr>
            </w:pPr>
            <w:r w:rsidRPr="00B83E1A">
              <w:rPr>
                <w:sz w:val="18"/>
                <w:szCs w:val="18"/>
                <w:lang w:val="es-ES" w:bidi="th-TH"/>
              </w:rPr>
              <w:t>Actualmente se están examinando con las oficinas donantes las encuestas de evaluación de la satisfacción de los usuarios con los informes del servicio de cooperación internacional en el examen/servicios de la OMPI de información sobre patentes.  Se prevé que empiecen a aplicarse e</w:t>
            </w:r>
            <w:r w:rsidR="009A700A" w:rsidRPr="00B83E1A">
              <w:rPr>
                <w:sz w:val="18"/>
                <w:szCs w:val="18"/>
                <w:lang w:val="es-ES" w:bidi="th-TH"/>
              </w:rPr>
              <w:t>n 2</w:t>
            </w:r>
            <w:r w:rsidRPr="00B83E1A">
              <w:rPr>
                <w:sz w:val="18"/>
                <w:szCs w:val="18"/>
                <w:lang w:val="es-ES" w:bidi="th-TH"/>
              </w:rPr>
              <w:t>013.</w:t>
            </w:r>
          </w:p>
          <w:p w14:paraId="6F50F872" w14:textId="3EF78E82" w:rsidR="00067534" w:rsidRPr="00B83E1A" w:rsidRDefault="00067534" w:rsidP="004E65E7">
            <w:pPr>
              <w:keepNext/>
              <w:keepLines/>
              <w:rPr>
                <w:sz w:val="18"/>
                <w:szCs w:val="18"/>
                <w:lang w:val="es-ES" w:bidi="th-TH"/>
              </w:rPr>
            </w:pPr>
            <w:r w:rsidRPr="00B83E1A">
              <w:rPr>
                <w:sz w:val="18"/>
                <w:szCs w:val="18"/>
                <w:lang w:val="es-ES" w:bidi="th-TH"/>
              </w:rPr>
              <w:t>De los informes sobre análisis de la actividad de patentamiento:  E</w:t>
            </w:r>
            <w:r w:rsidR="009A700A" w:rsidRPr="00B83E1A">
              <w:rPr>
                <w:sz w:val="18"/>
                <w:szCs w:val="18"/>
                <w:lang w:val="es-ES" w:bidi="th-TH"/>
              </w:rPr>
              <w:t>l 8</w:t>
            </w:r>
            <w:r w:rsidRPr="00B83E1A">
              <w:rPr>
                <w:sz w:val="18"/>
                <w:szCs w:val="18"/>
                <w:lang w:val="es-ES" w:bidi="th-TH"/>
              </w:rPr>
              <w:t>8% de los usuarios de primer y de segundo nivel estaba satisfecho con los informes.</w:t>
            </w:r>
          </w:p>
          <w:p w14:paraId="1058108C" w14:textId="32887011" w:rsidR="00067534" w:rsidRPr="00B83E1A" w:rsidRDefault="00067534" w:rsidP="004E65E7">
            <w:pPr>
              <w:keepNext/>
              <w:keepLines/>
              <w:spacing w:after="120"/>
              <w:rPr>
                <w:sz w:val="18"/>
                <w:szCs w:val="18"/>
                <w:lang w:val="es-ES"/>
              </w:rPr>
            </w:pPr>
            <w:r w:rsidRPr="00B83E1A">
              <w:rPr>
                <w:sz w:val="18"/>
                <w:szCs w:val="18"/>
                <w:lang w:val="es-ES" w:bidi="th-TH"/>
              </w:rPr>
              <w:t>U</w:t>
            </w:r>
            <w:r w:rsidR="009A700A" w:rsidRPr="00B83E1A">
              <w:rPr>
                <w:sz w:val="18"/>
                <w:szCs w:val="18"/>
                <w:lang w:val="es-ES" w:bidi="th-TH"/>
              </w:rPr>
              <w:t>n 6</w:t>
            </w:r>
            <w:r w:rsidRPr="00B83E1A">
              <w:rPr>
                <w:sz w:val="18"/>
                <w:szCs w:val="18"/>
                <w:lang w:val="es-ES" w:bidi="th-TH"/>
              </w:rPr>
              <w:t>7% de los usuarios consideraba que los informes eran útiles para su trabajo.</w:t>
            </w:r>
          </w:p>
        </w:tc>
      </w:tr>
      <w:tr w:rsidR="00067534" w:rsidRPr="00B83E1A" w14:paraId="4188E3A7" w14:textId="77777777" w:rsidTr="004E65E7">
        <w:trPr>
          <w:jc w:val="center"/>
        </w:trPr>
        <w:tc>
          <w:tcPr>
            <w:tcW w:w="1681" w:type="dxa"/>
            <w:gridSpan w:val="2"/>
            <w:vMerge/>
          </w:tcPr>
          <w:p w14:paraId="40EA6639" w14:textId="77777777" w:rsidR="00067534" w:rsidRPr="00B83E1A" w:rsidRDefault="00067534" w:rsidP="004E65E7">
            <w:pPr>
              <w:ind w:leftChars="-1" w:left="2" w:hangingChars="2" w:hanging="4"/>
              <w:rPr>
                <w:sz w:val="18"/>
                <w:szCs w:val="18"/>
                <w:lang w:val="es-ES"/>
              </w:rPr>
            </w:pPr>
          </w:p>
        </w:tc>
        <w:tc>
          <w:tcPr>
            <w:tcW w:w="2410" w:type="dxa"/>
            <w:vMerge/>
          </w:tcPr>
          <w:p w14:paraId="7B606AE6" w14:textId="77777777" w:rsidR="00067534" w:rsidRPr="00B83E1A" w:rsidRDefault="00067534" w:rsidP="004E65E7">
            <w:pPr>
              <w:rPr>
                <w:sz w:val="18"/>
                <w:szCs w:val="18"/>
                <w:lang w:val="es-ES"/>
              </w:rPr>
            </w:pPr>
          </w:p>
        </w:tc>
        <w:tc>
          <w:tcPr>
            <w:tcW w:w="2551" w:type="dxa"/>
            <w:gridSpan w:val="4"/>
          </w:tcPr>
          <w:p w14:paraId="3CF203B9" w14:textId="77777777" w:rsidR="00067534" w:rsidRPr="00B83E1A" w:rsidRDefault="00067534" w:rsidP="004E65E7">
            <w:pPr>
              <w:keepNext/>
              <w:keepLines/>
              <w:rPr>
                <w:sz w:val="18"/>
                <w:szCs w:val="18"/>
                <w:lang w:val="es-ES"/>
              </w:rPr>
            </w:pPr>
            <w:r w:rsidRPr="00B83E1A">
              <w:rPr>
                <w:sz w:val="18"/>
                <w:szCs w:val="18"/>
                <w:lang w:val="es-ES"/>
              </w:rPr>
              <w:t>Número de usuarios inscritos en aRDI y ASPI.</w:t>
            </w:r>
          </w:p>
        </w:tc>
        <w:tc>
          <w:tcPr>
            <w:tcW w:w="2586" w:type="dxa"/>
          </w:tcPr>
          <w:p w14:paraId="2B85A7F3" w14:textId="076C6E6F" w:rsidR="00067534" w:rsidRPr="00B83E1A" w:rsidRDefault="00067534" w:rsidP="004E65E7">
            <w:pPr>
              <w:keepNext/>
              <w:keepLines/>
              <w:spacing w:after="120"/>
              <w:rPr>
                <w:sz w:val="18"/>
                <w:szCs w:val="18"/>
                <w:lang w:val="es-ES"/>
              </w:rPr>
            </w:pPr>
            <w:r w:rsidRPr="00B83E1A">
              <w:rPr>
                <w:sz w:val="18"/>
                <w:szCs w:val="18"/>
                <w:lang w:val="es-ES" w:bidi="th-TH"/>
              </w:rPr>
              <w:t>aRDI contaba co</w:t>
            </w:r>
            <w:r w:rsidR="009A700A" w:rsidRPr="00B83E1A">
              <w:rPr>
                <w:sz w:val="18"/>
                <w:szCs w:val="18"/>
                <w:lang w:val="es-ES" w:bidi="th-TH"/>
              </w:rPr>
              <w:t>n 2</w:t>
            </w:r>
            <w:r w:rsidRPr="00B83E1A">
              <w:rPr>
                <w:sz w:val="18"/>
                <w:szCs w:val="18"/>
                <w:lang w:val="es-ES" w:bidi="th-TH"/>
              </w:rPr>
              <w:t>30 usuarios inscritos, de los qu</w:t>
            </w:r>
            <w:r w:rsidR="009A700A" w:rsidRPr="00B83E1A">
              <w:rPr>
                <w:sz w:val="18"/>
                <w:szCs w:val="18"/>
                <w:lang w:val="es-ES" w:bidi="th-TH"/>
              </w:rPr>
              <w:t>e 1</w:t>
            </w:r>
            <w:r w:rsidRPr="00B83E1A">
              <w:rPr>
                <w:sz w:val="18"/>
                <w:szCs w:val="18"/>
                <w:lang w:val="es-ES" w:bidi="th-TH"/>
              </w:rPr>
              <w:t>10 estaban activos</w:t>
            </w:r>
            <w:r w:rsidR="009A700A" w:rsidRPr="00B83E1A">
              <w:rPr>
                <w:sz w:val="18"/>
                <w:szCs w:val="18"/>
                <w:lang w:val="es-ES" w:bidi="th-TH"/>
              </w:rPr>
              <w:t>.  A</w:t>
            </w:r>
            <w:r w:rsidRPr="00B83E1A">
              <w:rPr>
                <w:sz w:val="18"/>
                <w:szCs w:val="18"/>
                <w:lang w:val="es-ES" w:bidi="th-TH"/>
              </w:rPr>
              <w:t>SPI tení</w:t>
            </w:r>
            <w:r w:rsidR="009A700A" w:rsidRPr="00B83E1A">
              <w:rPr>
                <w:sz w:val="18"/>
                <w:szCs w:val="18"/>
                <w:lang w:val="es-ES" w:bidi="th-TH"/>
              </w:rPr>
              <w:t>a 3</w:t>
            </w:r>
            <w:r w:rsidRPr="00B83E1A">
              <w:rPr>
                <w:sz w:val="18"/>
                <w:szCs w:val="18"/>
                <w:lang w:val="es-ES" w:bidi="th-TH"/>
              </w:rPr>
              <w:t>0 usuarios inscritos, de los qu</w:t>
            </w:r>
            <w:r w:rsidR="009A700A" w:rsidRPr="00B83E1A">
              <w:rPr>
                <w:sz w:val="18"/>
                <w:szCs w:val="18"/>
                <w:lang w:val="es-ES" w:bidi="th-TH"/>
              </w:rPr>
              <w:t>e 1</w:t>
            </w:r>
            <w:r w:rsidRPr="00B83E1A">
              <w:rPr>
                <w:sz w:val="18"/>
                <w:szCs w:val="18"/>
                <w:lang w:val="es-ES" w:bidi="th-TH"/>
              </w:rPr>
              <w:t>2 estaban activos.</w:t>
            </w:r>
          </w:p>
        </w:tc>
      </w:tr>
      <w:tr w:rsidR="00067534" w:rsidRPr="00B83E1A" w14:paraId="3547B68F" w14:textId="77777777" w:rsidTr="004E65E7">
        <w:trPr>
          <w:jc w:val="center"/>
        </w:trPr>
        <w:tc>
          <w:tcPr>
            <w:tcW w:w="1681" w:type="dxa"/>
            <w:gridSpan w:val="2"/>
            <w:vMerge/>
          </w:tcPr>
          <w:p w14:paraId="3B92575C" w14:textId="77777777" w:rsidR="00067534" w:rsidRPr="00B83E1A" w:rsidRDefault="00067534" w:rsidP="004E65E7">
            <w:pPr>
              <w:ind w:leftChars="-1" w:left="2" w:hangingChars="2" w:hanging="4"/>
              <w:rPr>
                <w:sz w:val="18"/>
                <w:szCs w:val="18"/>
                <w:lang w:val="es-ES"/>
              </w:rPr>
            </w:pPr>
          </w:p>
        </w:tc>
        <w:tc>
          <w:tcPr>
            <w:tcW w:w="2410" w:type="dxa"/>
            <w:vMerge w:val="restart"/>
          </w:tcPr>
          <w:p w14:paraId="782E2827" w14:textId="77777777" w:rsidR="00067534" w:rsidRPr="00B83E1A" w:rsidRDefault="00067534" w:rsidP="004E65E7">
            <w:pPr>
              <w:rPr>
                <w:sz w:val="18"/>
                <w:szCs w:val="18"/>
                <w:lang w:val="es-ES"/>
              </w:rPr>
            </w:pPr>
            <w:r w:rsidRPr="00B83E1A">
              <w:rPr>
                <w:sz w:val="18"/>
                <w:szCs w:val="18"/>
                <w:lang w:val="es-ES"/>
              </w:rPr>
              <w:t>Resultado iii) Mayor difusión de colecciones digitalizadas sobre patentes de las oficinas nacionales/regionales de los Estados miembros de la OMPI.</w:t>
            </w:r>
          </w:p>
          <w:p w14:paraId="1DC7682A" w14:textId="77777777" w:rsidR="00067534" w:rsidRPr="00B83E1A" w:rsidRDefault="00067534" w:rsidP="004E65E7">
            <w:pPr>
              <w:rPr>
                <w:sz w:val="18"/>
                <w:szCs w:val="18"/>
                <w:lang w:val="es-ES"/>
              </w:rPr>
            </w:pPr>
          </w:p>
        </w:tc>
        <w:tc>
          <w:tcPr>
            <w:tcW w:w="2551" w:type="dxa"/>
            <w:gridSpan w:val="4"/>
          </w:tcPr>
          <w:p w14:paraId="05F3E0D0" w14:textId="77777777" w:rsidR="00067534" w:rsidRPr="00B83E1A" w:rsidRDefault="00067534" w:rsidP="004E65E7">
            <w:pPr>
              <w:keepNext/>
              <w:keepLines/>
              <w:rPr>
                <w:sz w:val="18"/>
                <w:szCs w:val="18"/>
                <w:lang w:val="es-ES"/>
              </w:rPr>
            </w:pPr>
            <w:r w:rsidRPr="00B83E1A">
              <w:rPr>
                <w:sz w:val="18"/>
                <w:szCs w:val="18"/>
                <w:lang w:val="es-ES"/>
              </w:rPr>
              <w:t>Número de registros en PATENTSCOPE/Base Mundial de Datos sobre Marcas que no produce la Oficina Internacional.</w:t>
            </w:r>
          </w:p>
        </w:tc>
        <w:tc>
          <w:tcPr>
            <w:tcW w:w="2586" w:type="dxa"/>
          </w:tcPr>
          <w:p w14:paraId="78043EF6" w14:textId="77777777" w:rsidR="00067534" w:rsidRPr="00B83E1A" w:rsidRDefault="00067534" w:rsidP="004E65E7">
            <w:pPr>
              <w:keepNext/>
              <w:keepLines/>
              <w:rPr>
                <w:sz w:val="18"/>
                <w:szCs w:val="18"/>
                <w:lang w:val="es-ES" w:bidi="th-TH"/>
              </w:rPr>
            </w:pPr>
            <w:r w:rsidRPr="00B83E1A">
              <w:rPr>
                <w:sz w:val="18"/>
                <w:szCs w:val="18"/>
                <w:lang w:val="es-ES" w:bidi="th-TH"/>
              </w:rPr>
              <w:t>18 millones de documentos</w:t>
            </w:r>
          </w:p>
          <w:p w14:paraId="55F0546F" w14:textId="77777777" w:rsidR="00067534" w:rsidRPr="00B83E1A" w:rsidRDefault="00067534" w:rsidP="004E65E7">
            <w:pPr>
              <w:keepNext/>
              <w:keepLines/>
              <w:rPr>
                <w:sz w:val="18"/>
                <w:szCs w:val="18"/>
                <w:lang w:val="es-ES" w:bidi="th-TH"/>
              </w:rPr>
            </w:pPr>
          </w:p>
          <w:p w14:paraId="0F0E5E63" w14:textId="5036A4BE" w:rsidR="00067534" w:rsidRPr="00B83E1A" w:rsidRDefault="00067534" w:rsidP="00A0392E">
            <w:pPr>
              <w:keepNext/>
              <w:keepLines/>
              <w:spacing w:after="120"/>
              <w:rPr>
                <w:sz w:val="18"/>
                <w:szCs w:val="18"/>
                <w:lang w:val="es-ES"/>
              </w:rPr>
            </w:pPr>
            <w:r w:rsidRPr="00B83E1A">
              <w:rPr>
                <w:sz w:val="18"/>
                <w:szCs w:val="18"/>
                <w:lang w:val="es-ES" w:bidi="th-TH"/>
              </w:rPr>
              <w:t>Base Mundial de Datos sobre Marcas:</w:t>
            </w:r>
            <w:r w:rsidR="00A0392E" w:rsidRPr="00B83E1A">
              <w:rPr>
                <w:sz w:val="18"/>
                <w:szCs w:val="18"/>
                <w:lang w:val="es-ES" w:bidi="th-TH"/>
              </w:rPr>
              <w:t xml:space="preserve">  </w:t>
            </w:r>
            <w:r w:rsidRPr="00B83E1A">
              <w:rPr>
                <w:sz w:val="18"/>
                <w:szCs w:val="18"/>
                <w:lang w:val="es-ES" w:bidi="th-TH"/>
              </w:rPr>
              <w:t>2 millones</w:t>
            </w:r>
          </w:p>
        </w:tc>
      </w:tr>
      <w:tr w:rsidR="00067534" w:rsidRPr="00B83E1A" w14:paraId="05FFD886" w14:textId="77777777" w:rsidTr="004E65E7">
        <w:trPr>
          <w:jc w:val="center"/>
        </w:trPr>
        <w:tc>
          <w:tcPr>
            <w:tcW w:w="1681" w:type="dxa"/>
            <w:gridSpan w:val="2"/>
            <w:vMerge/>
          </w:tcPr>
          <w:p w14:paraId="1B336770" w14:textId="77777777" w:rsidR="00067534" w:rsidRPr="00B83E1A" w:rsidRDefault="00067534" w:rsidP="004E65E7">
            <w:pPr>
              <w:ind w:leftChars="-1" w:left="2" w:hangingChars="2" w:hanging="4"/>
              <w:rPr>
                <w:sz w:val="18"/>
                <w:szCs w:val="18"/>
                <w:lang w:val="es-ES"/>
              </w:rPr>
            </w:pPr>
          </w:p>
        </w:tc>
        <w:tc>
          <w:tcPr>
            <w:tcW w:w="2410" w:type="dxa"/>
            <w:vMerge/>
          </w:tcPr>
          <w:p w14:paraId="1E140536" w14:textId="77777777" w:rsidR="00067534" w:rsidRPr="00B83E1A" w:rsidRDefault="00067534" w:rsidP="004E65E7">
            <w:pPr>
              <w:rPr>
                <w:sz w:val="18"/>
                <w:szCs w:val="18"/>
                <w:lang w:val="es-ES"/>
              </w:rPr>
            </w:pPr>
          </w:p>
        </w:tc>
        <w:tc>
          <w:tcPr>
            <w:tcW w:w="2551" w:type="dxa"/>
            <w:gridSpan w:val="4"/>
          </w:tcPr>
          <w:p w14:paraId="0118B413" w14:textId="77777777" w:rsidR="00067534" w:rsidRPr="00B83E1A" w:rsidRDefault="00067534" w:rsidP="004E65E7">
            <w:pPr>
              <w:rPr>
                <w:sz w:val="18"/>
                <w:szCs w:val="18"/>
                <w:lang w:val="es-ES"/>
              </w:rPr>
            </w:pPr>
            <w:r w:rsidRPr="00B83E1A">
              <w:rPr>
                <w:sz w:val="18"/>
                <w:szCs w:val="18"/>
                <w:lang w:val="es-ES"/>
              </w:rPr>
              <w:t>Número de colecciones nacionales en PATENTSCOPE.</w:t>
            </w:r>
          </w:p>
          <w:p w14:paraId="2BC0ED02" w14:textId="77777777" w:rsidR="00067534" w:rsidRPr="00B83E1A" w:rsidRDefault="00067534" w:rsidP="004E65E7">
            <w:pPr>
              <w:rPr>
                <w:sz w:val="18"/>
                <w:szCs w:val="18"/>
                <w:lang w:val="es-ES"/>
              </w:rPr>
            </w:pPr>
          </w:p>
        </w:tc>
        <w:tc>
          <w:tcPr>
            <w:tcW w:w="2586" w:type="dxa"/>
          </w:tcPr>
          <w:p w14:paraId="235130BC" w14:textId="77777777" w:rsidR="00067534" w:rsidRPr="00B83E1A" w:rsidRDefault="00067534" w:rsidP="004E65E7">
            <w:pPr>
              <w:rPr>
                <w:sz w:val="18"/>
                <w:szCs w:val="18"/>
                <w:lang w:val="es-ES" w:bidi="th-TH"/>
              </w:rPr>
            </w:pPr>
            <w:r w:rsidRPr="00B83E1A">
              <w:rPr>
                <w:sz w:val="18"/>
                <w:szCs w:val="18"/>
                <w:lang w:val="es-ES" w:bidi="th-TH"/>
              </w:rPr>
              <w:t>30</w:t>
            </w:r>
          </w:p>
          <w:p w14:paraId="7CC75474" w14:textId="77777777" w:rsidR="00067534" w:rsidRPr="00B83E1A" w:rsidRDefault="00067534" w:rsidP="004E65E7">
            <w:pPr>
              <w:rPr>
                <w:sz w:val="18"/>
                <w:szCs w:val="18"/>
                <w:lang w:val="es-ES"/>
              </w:rPr>
            </w:pPr>
          </w:p>
        </w:tc>
      </w:tr>
      <w:tr w:rsidR="00067534" w:rsidRPr="00B83E1A" w14:paraId="1C7ADF4B" w14:textId="77777777" w:rsidTr="004E65E7">
        <w:trPr>
          <w:jc w:val="center"/>
        </w:trPr>
        <w:tc>
          <w:tcPr>
            <w:tcW w:w="1681" w:type="dxa"/>
            <w:gridSpan w:val="2"/>
            <w:vMerge/>
          </w:tcPr>
          <w:p w14:paraId="4322379D" w14:textId="77777777" w:rsidR="00067534" w:rsidRPr="00B83E1A" w:rsidRDefault="00067534" w:rsidP="004E65E7">
            <w:pPr>
              <w:ind w:leftChars="-1" w:left="2" w:hangingChars="2" w:hanging="4"/>
              <w:rPr>
                <w:sz w:val="18"/>
                <w:szCs w:val="18"/>
                <w:lang w:val="es-ES"/>
              </w:rPr>
            </w:pPr>
          </w:p>
        </w:tc>
        <w:tc>
          <w:tcPr>
            <w:tcW w:w="2410" w:type="dxa"/>
            <w:vMerge/>
          </w:tcPr>
          <w:p w14:paraId="12BC5EF3" w14:textId="77777777" w:rsidR="00067534" w:rsidRPr="00B83E1A" w:rsidRDefault="00067534" w:rsidP="004E65E7">
            <w:pPr>
              <w:rPr>
                <w:sz w:val="18"/>
                <w:szCs w:val="18"/>
                <w:lang w:val="es-ES"/>
              </w:rPr>
            </w:pPr>
          </w:p>
        </w:tc>
        <w:tc>
          <w:tcPr>
            <w:tcW w:w="2551" w:type="dxa"/>
            <w:gridSpan w:val="4"/>
          </w:tcPr>
          <w:p w14:paraId="5F934CBE" w14:textId="77777777" w:rsidR="00067534" w:rsidRPr="00B83E1A" w:rsidRDefault="00067534" w:rsidP="004E65E7">
            <w:pPr>
              <w:spacing w:after="120"/>
              <w:rPr>
                <w:sz w:val="18"/>
                <w:szCs w:val="18"/>
                <w:lang w:val="es-ES"/>
              </w:rPr>
            </w:pPr>
            <w:r w:rsidRPr="00B83E1A">
              <w:rPr>
                <w:sz w:val="18"/>
                <w:szCs w:val="18"/>
                <w:lang w:val="es-ES"/>
              </w:rPr>
              <w:t>Número de colecciones nacionales en la Base Mundial de Datos sobre Marcas.</w:t>
            </w:r>
          </w:p>
        </w:tc>
        <w:tc>
          <w:tcPr>
            <w:tcW w:w="2586" w:type="dxa"/>
          </w:tcPr>
          <w:p w14:paraId="30F40544" w14:textId="77777777" w:rsidR="00067534" w:rsidRPr="00B83E1A" w:rsidRDefault="00067534" w:rsidP="004E65E7">
            <w:pPr>
              <w:rPr>
                <w:sz w:val="18"/>
                <w:szCs w:val="18"/>
                <w:lang w:val="es-ES"/>
              </w:rPr>
            </w:pPr>
            <w:r w:rsidRPr="00B83E1A">
              <w:rPr>
                <w:sz w:val="18"/>
                <w:szCs w:val="18"/>
                <w:lang w:val="es-ES" w:bidi="th-TH"/>
              </w:rPr>
              <w:t>Tres.</w:t>
            </w:r>
          </w:p>
        </w:tc>
      </w:tr>
      <w:tr w:rsidR="00067534" w:rsidRPr="00B83E1A" w14:paraId="499695E8" w14:textId="77777777" w:rsidTr="004E65E7">
        <w:trPr>
          <w:jc w:val="center"/>
        </w:trPr>
        <w:tc>
          <w:tcPr>
            <w:tcW w:w="1681" w:type="dxa"/>
            <w:gridSpan w:val="2"/>
            <w:vMerge/>
          </w:tcPr>
          <w:p w14:paraId="30D4EEB4" w14:textId="77777777" w:rsidR="00067534" w:rsidRPr="00B83E1A" w:rsidRDefault="00067534" w:rsidP="004E65E7">
            <w:pPr>
              <w:ind w:leftChars="-1" w:left="2" w:hangingChars="2" w:hanging="4"/>
              <w:rPr>
                <w:sz w:val="18"/>
                <w:szCs w:val="18"/>
                <w:lang w:val="es-ES"/>
              </w:rPr>
            </w:pPr>
          </w:p>
        </w:tc>
        <w:tc>
          <w:tcPr>
            <w:tcW w:w="2410" w:type="dxa"/>
            <w:vMerge w:val="restart"/>
          </w:tcPr>
          <w:p w14:paraId="73D63A8A" w14:textId="77777777" w:rsidR="00067534" w:rsidRPr="00B83E1A" w:rsidRDefault="00067534" w:rsidP="004E65E7">
            <w:pPr>
              <w:rPr>
                <w:sz w:val="18"/>
                <w:szCs w:val="18"/>
                <w:lang w:val="es-ES"/>
              </w:rPr>
            </w:pPr>
            <w:r w:rsidRPr="00B83E1A">
              <w:rPr>
                <w:sz w:val="18"/>
                <w:szCs w:val="18"/>
                <w:lang w:val="es-ES"/>
              </w:rPr>
              <w:t>Resultado iv) Mejora en la infraestructura técnica y de conocimientos de las oficinas y demás instituciones de P.I. que les permita prestar mejores servicios (más económicos, más rápidos y de mejor calidad) a sus partes interesadas.</w:t>
            </w:r>
          </w:p>
          <w:p w14:paraId="7C90C773" w14:textId="77777777" w:rsidR="00067534" w:rsidRPr="00B83E1A" w:rsidRDefault="00067534" w:rsidP="004E65E7">
            <w:pPr>
              <w:jc w:val="center"/>
              <w:rPr>
                <w:sz w:val="18"/>
                <w:szCs w:val="18"/>
                <w:lang w:val="es-ES"/>
              </w:rPr>
            </w:pPr>
          </w:p>
        </w:tc>
        <w:tc>
          <w:tcPr>
            <w:tcW w:w="2551" w:type="dxa"/>
            <w:gridSpan w:val="4"/>
          </w:tcPr>
          <w:p w14:paraId="594088C7" w14:textId="77777777" w:rsidR="00067534" w:rsidRPr="00B83E1A" w:rsidRDefault="00067534" w:rsidP="004E65E7">
            <w:pPr>
              <w:rPr>
                <w:sz w:val="18"/>
                <w:szCs w:val="18"/>
                <w:lang w:val="es-ES" w:bidi="th-TH"/>
              </w:rPr>
            </w:pPr>
            <w:r w:rsidRPr="00B83E1A">
              <w:rPr>
                <w:sz w:val="18"/>
                <w:szCs w:val="18"/>
                <w:lang w:val="es-ES" w:bidi="th-TH"/>
              </w:rPr>
              <w:t>Número de instituciones que utilizan los sistemas de la OMPI de infraestructura de derecho de autor (WIPOCOS y GDA).</w:t>
            </w:r>
          </w:p>
        </w:tc>
        <w:tc>
          <w:tcPr>
            <w:tcW w:w="2586" w:type="dxa"/>
          </w:tcPr>
          <w:p w14:paraId="1BCC19D4" w14:textId="77777777" w:rsidR="00067534" w:rsidRPr="00B83E1A" w:rsidRDefault="00067534" w:rsidP="004E65E7">
            <w:pPr>
              <w:rPr>
                <w:sz w:val="18"/>
                <w:szCs w:val="18"/>
                <w:lang w:val="es-ES" w:bidi="th-TH"/>
              </w:rPr>
            </w:pPr>
            <w:r w:rsidRPr="00B83E1A">
              <w:rPr>
                <w:sz w:val="18"/>
                <w:szCs w:val="18"/>
                <w:lang w:val="es-ES" w:bidi="th-TH"/>
              </w:rPr>
              <w:t>26 OGC cuentan con WIPOCOS a finales de 2012</w:t>
            </w:r>
          </w:p>
          <w:p w14:paraId="0007A433" w14:textId="77777777" w:rsidR="00067534" w:rsidRPr="00B83E1A" w:rsidRDefault="00067534" w:rsidP="004E65E7">
            <w:pPr>
              <w:rPr>
                <w:sz w:val="18"/>
                <w:szCs w:val="18"/>
                <w:lang w:val="es-ES" w:bidi="th-TH"/>
              </w:rPr>
            </w:pPr>
          </w:p>
          <w:p w14:paraId="4032E543" w14:textId="77777777" w:rsidR="00067534" w:rsidRPr="00B83E1A" w:rsidRDefault="00067534" w:rsidP="004E65E7">
            <w:pPr>
              <w:rPr>
                <w:sz w:val="18"/>
                <w:szCs w:val="18"/>
                <w:lang w:val="es-ES" w:bidi="th-TH"/>
              </w:rPr>
            </w:pPr>
          </w:p>
          <w:p w14:paraId="2B0A6A23" w14:textId="074CD5E7" w:rsidR="00067534" w:rsidRPr="00B83E1A" w:rsidRDefault="00067534" w:rsidP="004E65E7">
            <w:pPr>
              <w:spacing w:after="120"/>
              <w:rPr>
                <w:sz w:val="18"/>
                <w:szCs w:val="18"/>
                <w:lang w:val="es-ES"/>
              </w:rPr>
            </w:pPr>
            <w:r w:rsidRPr="00B83E1A">
              <w:rPr>
                <w:sz w:val="18"/>
                <w:szCs w:val="18"/>
                <w:lang w:val="es-ES" w:bidi="th-TH"/>
              </w:rPr>
              <w:t>15 oficinas de derecho de autor que utilizan el sistema GDA a finales d</w:t>
            </w:r>
            <w:r w:rsidR="009A700A" w:rsidRPr="00B83E1A">
              <w:rPr>
                <w:sz w:val="18"/>
                <w:szCs w:val="18"/>
                <w:lang w:val="es-ES" w:bidi="th-TH"/>
              </w:rPr>
              <w:t>e 2</w:t>
            </w:r>
            <w:r w:rsidRPr="00B83E1A">
              <w:rPr>
                <w:sz w:val="18"/>
                <w:szCs w:val="18"/>
                <w:lang w:val="es-ES" w:bidi="th-TH"/>
              </w:rPr>
              <w:t>012.</w:t>
            </w:r>
          </w:p>
        </w:tc>
      </w:tr>
      <w:tr w:rsidR="00067534" w:rsidRPr="00B83E1A" w14:paraId="4F082043" w14:textId="77777777" w:rsidTr="004E65E7">
        <w:trPr>
          <w:jc w:val="center"/>
        </w:trPr>
        <w:tc>
          <w:tcPr>
            <w:tcW w:w="1681" w:type="dxa"/>
            <w:gridSpan w:val="2"/>
            <w:vMerge/>
          </w:tcPr>
          <w:p w14:paraId="3101D347" w14:textId="77777777" w:rsidR="00067534" w:rsidRPr="00B83E1A" w:rsidRDefault="00067534" w:rsidP="004E65E7">
            <w:pPr>
              <w:ind w:leftChars="-1" w:left="2" w:hangingChars="2" w:hanging="4"/>
              <w:rPr>
                <w:sz w:val="18"/>
                <w:szCs w:val="18"/>
                <w:lang w:val="es-ES"/>
              </w:rPr>
            </w:pPr>
          </w:p>
        </w:tc>
        <w:tc>
          <w:tcPr>
            <w:tcW w:w="2410" w:type="dxa"/>
            <w:vMerge/>
          </w:tcPr>
          <w:p w14:paraId="2E131725" w14:textId="77777777" w:rsidR="00067534" w:rsidRPr="00B83E1A" w:rsidRDefault="00067534" w:rsidP="004E65E7">
            <w:pPr>
              <w:rPr>
                <w:sz w:val="18"/>
                <w:szCs w:val="18"/>
                <w:lang w:val="es-ES"/>
              </w:rPr>
            </w:pPr>
          </w:p>
        </w:tc>
        <w:tc>
          <w:tcPr>
            <w:tcW w:w="2551" w:type="dxa"/>
            <w:gridSpan w:val="4"/>
          </w:tcPr>
          <w:p w14:paraId="2D6BC3CE" w14:textId="77777777" w:rsidR="00067534" w:rsidRPr="00B83E1A" w:rsidRDefault="00067534" w:rsidP="004E65E7">
            <w:pPr>
              <w:keepNext/>
              <w:keepLines/>
              <w:rPr>
                <w:sz w:val="18"/>
                <w:szCs w:val="18"/>
                <w:lang w:val="es-ES" w:bidi="th-TH"/>
              </w:rPr>
            </w:pPr>
            <w:r w:rsidRPr="00B83E1A">
              <w:rPr>
                <w:sz w:val="18"/>
                <w:szCs w:val="18"/>
                <w:lang w:val="es-ES" w:bidi="th-TH"/>
              </w:rPr>
              <w:t>Porcentaje de gobiernos que informan favorablemente acerca de la eficacia y la gobernanza de las instituciones encargadas del derecho de autor en el país.</w:t>
            </w:r>
          </w:p>
          <w:p w14:paraId="1A4375C1" w14:textId="77777777" w:rsidR="00067534" w:rsidRPr="00B83E1A" w:rsidRDefault="00067534" w:rsidP="004E65E7">
            <w:pPr>
              <w:keepNext/>
              <w:keepLines/>
              <w:rPr>
                <w:sz w:val="18"/>
                <w:szCs w:val="18"/>
                <w:lang w:val="es-ES" w:bidi="th-TH"/>
              </w:rPr>
            </w:pPr>
          </w:p>
        </w:tc>
        <w:tc>
          <w:tcPr>
            <w:tcW w:w="2586" w:type="dxa"/>
          </w:tcPr>
          <w:p w14:paraId="29091E45" w14:textId="77777777" w:rsidR="00067534" w:rsidRPr="00B83E1A" w:rsidRDefault="00067534" w:rsidP="004E65E7">
            <w:pPr>
              <w:keepNext/>
              <w:keepLines/>
              <w:rPr>
                <w:sz w:val="18"/>
                <w:szCs w:val="18"/>
                <w:lang w:val="es-ES" w:bidi="th-TH"/>
              </w:rPr>
            </w:pPr>
            <w:r w:rsidRPr="00B83E1A">
              <w:rPr>
                <w:sz w:val="18"/>
                <w:szCs w:val="18"/>
                <w:lang w:val="es-ES" w:bidi="th-TH"/>
              </w:rPr>
              <w:t>80% de los países enviaron comentarios positivos.</w:t>
            </w:r>
          </w:p>
          <w:p w14:paraId="5DDAF689" w14:textId="77777777" w:rsidR="00067534" w:rsidRPr="00B83E1A" w:rsidRDefault="00067534" w:rsidP="004E65E7">
            <w:pPr>
              <w:keepNext/>
              <w:keepLines/>
              <w:rPr>
                <w:sz w:val="18"/>
                <w:szCs w:val="18"/>
                <w:lang w:val="es-ES" w:bidi="th-TH"/>
              </w:rPr>
            </w:pPr>
          </w:p>
          <w:p w14:paraId="3430CBD3" w14:textId="77777777" w:rsidR="00067534" w:rsidRPr="00B83E1A" w:rsidRDefault="00067534" w:rsidP="004E65E7">
            <w:pPr>
              <w:rPr>
                <w:sz w:val="18"/>
                <w:szCs w:val="18"/>
                <w:lang w:val="es-ES"/>
              </w:rPr>
            </w:pPr>
          </w:p>
        </w:tc>
      </w:tr>
      <w:tr w:rsidR="00067534" w:rsidRPr="00B83E1A" w14:paraId="6CB59270" w14:textId="77777777" w:rsidTr="004E65E7">
        <w:trPr>
          <w:jc w:val="center"/>
        </w:trPr>
        <w:tc>
          <w:tcPr>
            <w:tcW w:w="1681" w:type="dxa"/>
            <w:gridSpan w:val="2"/>
            <w:vMerge/>
          </w:tcPr>
          <w:p w14:paraId="05CA968A" w14:textId="77777777" w:rsidR="00067534" w:rsidRPr="00B83E1A" w:rsidRDefault="00067534" w:rsidP="004E65E7">
            <w:pPr>
              <w:ind w:leftChars="-1" w:left="2" w:hangingChars="2" w:hanging="4"/>
              <w:rPr>
                <w:sz w:val="18"/>
                <w:szCs w:val="18"/>
                <w:lang w:val="es-ES"/>
              </w:rPr>
            </w:pPr>
          </w:p>
        </w:tc>
        <w:tc>
          <w:tcPr>
            <w:tcW w:w="2410" w:type="dxa"/>
            <w:vMerge/>
          </w:tcPr>
          <w:p w14:paraId="47FDEAB3" w14:textId="77777777" w:rsidR="00067534" w:rsidRPr="00B83E1A" w:rsidRDefault="00067534" w:rsidP="004E65E7">
            <w:pPr>
              <w:rPr>
                <w:sz w:val="18"/>
                <w:szCs w:val="18"/>
                <w:lang w:val="es-ES"/>
              </w:rPr>
            </w:pPr>
          </w:p>
        </w:tc>
        <w:tc>
          <w:tcPr>
            <w:tcW w:w="2551" w:type="dxa"/>
            <w:gridSpan w:val="4"/>
          </w:tcPr>
          <w:p w14:paraId="34913561" w14:textId="77777777" w:rsidR="00B35257" w:rsidRPr="00B83E1A" w:rsidRDefault="00067534" w:rsidP="004E65E7">
            <w:pPr>
              <w:keepNext/>
              <w:keepLines/>
              <w:rPr>
                <w:sz w:val="18"/>
                <w:szCs w:val="18"/>
                <w:lang w:val="es-ES" w:bidi="th-TH"/>
              </w:rPr>
            </w:pPr>
            <w:r w:rsidRPr="00B83E1A">
              <w:rPr>
                <w:sz w:val="18"/>
                <w:szCs w:val="18"/>
                <w:lang w:val="es-ES" w:bidi="th-TH"/>
              </w:rPr>
              <w:t>Número de oficinas que disponen de sistemas de administración de P.I. totalmente automatizados proporcionados por la OMPI, en comparación con las que disponen de sistemas automatizados parcialmente</w:t>
            </w:r>
            <w:r w:rsidR="00B35257" w:rsidRPr="00B83E1A">
              <w:rPr>
                <w:sz w:val="18"/>
                <w:szCs w:val="18"/>
                <w:lang w:val="es-ES" w:bidi="th-TH"/>
              </w:rPr>
              <w:t>.</w:t>
            </w:r>
          </w:p>
          <w:p w14:paraId="6C58822D" w14:textId="21B4EA67" w:rsidR="00067534" w:rsidRPr="00B83E1A" w:rsidRDefault="00067534" w:rsidP="004E65E7">
            <w:pPr>
              <w:keepNext/>
              <w:keepLines/>
              <w:rPr>
                <w:sz w:val="18"/>
                <w:szCs w:val="18"/>
                <w:lang w:val="es-ES" w:bidi="th-TH"/>
              </w:rPr>
            </w:pPr>
          </w:p>
          <w:p w14:paraId="1A86D7BC" w14:textId="77777777" w:rsidR="00067534" w:rsidRPr="00B83E1A" w:rsidRDefault="00067534" w:rsidP="004E65E7">
            <w:pPr>
              <w:keepNext/>
              <w:keepLines/>
              <w:rPr>
                <w:sz w:val="18"/>
                <w:szCs w:val="18"/>
                <w:lang w:val="es-ES" w:bidi="th-TH"/>
              </w:rPr>
            </w:pPr>
          </w:p>
          <w:p w14:paraId="420F039D" w14:textId="77777777" w:rsidR="00067534" w:rsidRPr="00B83E1A" w:rsidRDefault="00067534" w:rsidP="004E65E7">
            <w:pPr>
              <w:keepNext/>
              <w:keepLines/>
              <w:rPr>
                <w:sz w:val="18"/>
                <w:szCs w:val="18"/>
                <w:lang w:val="es-ES" w:bidi="th-TH"/>
              </w:rPr>
            </w:pPr>
          </w:p>
          <w:p w14:paraId="550A8057" w14:textId="77777777" w:rsidR="00067534" w:rsidRPr="00B83E1A" w:rsidRDefault="00067534" w:rsidP="004E65E7">
            <w:pPr>
              <w:keepNext/>
              <w:keepLines/>
              <w:rPr>
                <w:sz w:val="18"/>
                <w:szCs w:val="18"/>
                <w:lang w:val="es-ES" w:bidi="th-TH"/>
              </w:rPr>
            </w:pPr>
          </w:p>
          <w:p w14:paraId="0EEA6F70" w14:textId="77777777" w:rsidR="00067534" w:rsidRPr="00B83E1A" w:rsidRDefault="00067534" w:rsidP="004E65E7">
            <w:pPr>
              <w:keepNext/>
              <w:keepLines/>
              <w:rPr>
                <w:sz w:val="18"/>
                <w:szCs w:val="18"/>
                <w:lang w:val="es-ES" w:bidi="th-TH"/>
              </w:rPr>
            </w:pPr>
          </w:p>
        </w:tc>
        <w:tc>
          <w:tcPr>
            <w:tcW w:w="2586" w:type="dxa"/>
          </w:tcPr>
          <w:p w14:paraId="52C1C965" w14:textId="7C430338" w:rsidR="00067534" w:rsidRPr="00B83E1A" w:rsidRDefault="00067534" w:rsidP="004E65E7">
            <w:pPr>
              <w:keepNext/>
              <w:keepLines/>
              <w:rPr>
                <w:sz w:val="18"/>
                <w:szCs w:val="18"/>
                <w:lang w:val="es-ES" w:bidi="th-TH"/>
              </w:rPr>
            </w:pPr>
            <w:r w:rsidRPr="00B83E1A">
              <w:rPr>
                <w:sz w:val="18"/>
                <w:szCs w:val="18"/>
                <w:lang w:val="es-ES" w:bidi="th-TH"/>
              </w:rPr>
              <w:t>Número de oficinas con sistemas totalmente automatizados a finales d</w:t>
            </w:r>
            <w:r w:rsidR="009A700A" w:rsidRPr="00B83E1A">
              <w:rPr>
                <w:sz w:val="18"/>
                <w:szCs w:val="18"/>
                <w:lang w:val="es-ES" w:bidi="th-TH"/>
              </w:rPr>
              <w:t>e 2</w:t>
            </w:r>
            <w:r w:rsidRPr="00B83E1A">
              <w:rPr>
                <w:sz w:val="18"/>
                <w:szCs w:val="18"/>
                <w:lang w:val="es-ES" w:bidi="th-TH"/>
              </w:rPr>
              <w:t>012:  36</w:t>
            </w:r>
          </w:p>
          <w:p w14:paraId="6F57F9E3" w14:textId="77777777" w:rsidR="00067534" w:rsidRPr="00B83E1A" w:rsidRDefault="00067534" w:rsidP="00067534">
            <w:pPr>
              <w:keepNext/>
              <w:keepLines/>
              <w:numPr>
                <w:ilvl w:val="0"/>
                <w:numId w:val="17"/>
              </w:numPr>
              <w:rPr>
                <w:sz w:val="18"/>
                <w:szCs w:val="18"/>
                <w:lang w:val="es-ES"/>
              </w:rPr>
            </w:pPr>
            <w:r w:rsidRPr="00B83E1A">
              <w:rPr>
                <w:sz w:val="18"/>
                <w:szCs w:val="18"/>
                <w:lang w:val="es-ES"/>
              </w:rPr>
              <w:t>África (8).</w:t>
            </w:r>
          </w:p>
          <w:p w14:paraId="1D1A5D46" w14:textId="77777777" w:rsidR="00067534" w:rsidRPr="00B83E1A" w:rsidRDefault="00067534" w:rsidP="00067534">
            <w:pPr>
              <w:keepNext/>
              <w:keepLines/>
              <w:numPr>
                <w:ilvl w:val="0"/>
                <w:numId w:val="17"/>
              </w:numPr>
              <w:rPr>
                <w:sz w:val="18"/>
                <w:szCs w:val="18"/>
                <w:lang w:val="es-ES"/>
              </w:rPr>
            </w:pPr>
            <w:r w:rsidRPr="00B83E1A">
              <w:rPr>
                <w:sz w:val="18"/>
                <w:szCs w:val="18"/>
                <w:lang w:val="es-ES"/>
              </w:rPr>
              <w:t>Región de los países árabes (9).</w:t>
            </w:r>
          </w:p>
          <w:p w14:paraId="1778F7CF" w14:textId="77777777" w:rsidR="00067534" w:rsidRPr="00B83E1A" w:rsidRDefault="00067534" w:rsidP="00067534">
            <w:pPr>
              <w:keepNext/>
              <w:keepLines/>
              <w:numPr>
                <w:ilvl w:val="0"/>
                <w:numId w:val="17"/>
              </w:numPr>
              <w:rPr>
                <w:sz w:val="18"/>
                <w:szCs w:val="18"/>
                <w:lang w:val="es-ES"/>
              </w:rPr>
            </w:pPr>
            <w:r w:rsidRPr="00B83E1A">
              <w:rPr>
                <w:sz w:val="18"/>
                <w:szCs w:val="18"/>
                <w:lang w:val="es-ES"/>
              </w:rPr>
              <w:t>Asia y el Pacífico (7).</w:t>
            </w:r>
          </w:p>
          <w:p w14:paraId="16C78E94" w14:textId="77777777" w:rsidR="00067534" w:rsidRPr="00B83E1A" w:rsidRDefault="00067534" w:rsidP="00067534">
            <w:pPr>
              <w:keepNext/>
              <w:keepLines/>
              <w:numPr>
                <w:ilvl w:val="0"/>
                <w:numId w:val="17"/>
              </w:numPr>
              <w:rPr>
                <w:sz w:val="18"/>
                <w:szCs w:val="18"/>
                <w:lang w:val="es-ES"/>
              </w:rPr>
            </w:pPr>
            <w:r w:rsidRPr="00B83E1A">
              <w:rPr>
                <w:sz w:val="18"/>
                <w:szCs w:val="18"/>
                <w:lang w:val="es-ES"/>
              </w:rPr>
              <w:t>América Latina y el Caribe (8).</w:t>
            </w:r>
          </w:p>
          <w:p w14:paraId="00B57718" w14:textId="77777777" w:rsidR="00067534" w:rsidRPr="00B83E1A" w:rsidRDefault="00067534" w:rsidP="00067534">
            <w:pPr>
              <w:keepNext/>
              <w:keepLines/>
              <w:numPr>
                <w:ilvl w:val="0"/>
                <w:numId w:val="17"/>
              </w:numPr>
              <w:rPr>
                <w:sz w:val="18"/>
                <w:szCs w:val="18"/>
                <w:lang w:val="es-ES"/>
              </w:rPr>
            </w:pPr>
            <w:r w:rsidRPr="00B83E1A">
              <w:rPr>
                <w:sz w:val="18"/>
                <w:szCs w:val="18"/>
                <w:lang w:val="es-ES"/>
              </w:rPr>
              <w:t>Determinados países de Europa y Asia (4)</w:t>
            </w:r>
          </w:p>
          <w:p w14:paraId="2E0D1EC6" w14:textId="6CBB1ADC" w:rsidR="00067534" w:rsidRPr="00B83E1A" w:rsidRDefault="00067534" w:rsidP="004E65E7">
            <w:pPr>
              <w:keepNext/>
              <w:keepLines/>
              <w:rPr>
                <w:sz w:val="18"/>
                <w:szCs w:val="18"/>
                <w:lang w:val="es-ES" w:bidi="th-TH"/>
              </w:rPr>
            </w:pPr>
            <w:r w:rsidRPr="00B83E1A">
              <w:rPr>
                <w:sz w:val="18"/>
                <w:szCs w:val="18"/>
                <w:lang w:val="es-ES" w:bidi="th-TH"/>
              </w:rPr>
              <w:t>Número de oficinas automatizadas parcialmente a finales d</w:t>
            </w:r>
            <w:r w:rsidR="009A700A" w:rsidRPr="00B83E1A">
              <w:rPr>
                <w:sz w:val="18"/>
                <w:szCs w:val="18"/>
                <w:lang w:val="es-ES" w:bidi="th-TH"/>
              </w:rPr>
              <w:t>e 2</w:t>
            </w:r>
            <w:r w:rsidRPr="00B83E1A">
              <w:rPr>
                <w:sz w:val="18"/>
                <w:szCs w:val="18"/>
                <w:lang w:val="es-ES" w:bidi="th-TH"/>
              </w:rPr>
              <w:t>012:  25</w:t>
            </w:r>
          </w:p>
          <w:p w14:paraId="48626ADF" w14:textId="77777777" w:rsidR="00067534" w:rsidRPr="00B83E1A" w:rsidRDefault="00067534" w:rsidP="00067534">
            <w:pPr>
              <w:keepNext/>
              <w:keepLines/>
              <w:numPr>
                <w:ilvl w:val="0"/>
                <w:numId w:val="17"/>
              </w:numPr>
              <w:rPr>
                <w:sz w:val="18"/>
                <w:szCs w:val="18"/>
                <w:lang w:val="es-ES"/>
              </w:rPr>
            </w:pPr>
            <w:r w:rsidRPr="00B83E1A">
              <w:rPr>
                <w:sz w:val="18"/>
                <w:szCs w:val="18"/>
                <w:lang w:val="es-ES"/>
              </w:rPr>
              <w:t>África (9).</w:t>
            </w:r>
          </w:p>
          <w:p w14:paraId="02AAB7CB" w14:textId="77777777" w:rsidR="00067534" w:rsidRPr="00B83E1A" w:rsidRDefault="00067534" w:rsidP="00067534">
            <w:pPr>
              <w:keepNext/>
              <w:keepLines/>
              <w:numPr>
                <w:ilvl w:val="0"/>
                <w:numId w:val="17"/>
              </w:numPr>
              <w:rPr>
                <w:sz w:val="18"/>
                <w:szCs w:val="18"/>
                <w:lang w:val="es-ES"/>
              </w:rPr>
            </w:pPr>
            <w:r w:rsidRPr="00B83E1A">
              <w:rPr>
                <w:sz w:val="18"/>
                <w:szCs w:val="18"/>
                <w:lang w:val="es-ES"/>
              </w:rPr>
              <w:t>Región de los países árabes (6).</w:t>
            </w:r>
          </w:p>
          <w:p w14:paraId="6A59A4DC" w14:textId="77777777" w:rsidR="00067534" w:rsidRPr="00B83E1A" w:rsidRDefault="00067534" w:rsidP="00067534">
            <w:pPr>
              <w:keepNext/>
              <w:keepLines/>
              <w:numPr>
                <w:ilvl w:val="0"/>
                <w:numId w:val="17"/>
              </w:numPr>
              <w:rPr>
                <w:sz w:val="18"/>
                <w:szCs w:val="18"/>
                <w:lang w:val="es-ES"/>
              </w:rPr>
            </w:pPr>
            <w:r w:rsidRPr="00B83E1A">
              <w:rPr>
                <w:sz w:val="18"/>
                <w:szCs w:val="18"/>
                <w:lang w:val="es-ES"/>
              </w:rPr>
              <w:t>Asia y el Pacífico (2).</w:t>
            </w:r>
          </w:p>
          <w:p w14:paraId="0C167C05" w14:textId="77777777" w:rsidR="00067534" w:rsidRPr="00B83E1A" w:rsidRDefault="00067534" w:rsidP="00067534">
            <w:pPr>
              <w:keepNext/>
              <w:keepLines/>
              <w:numPr>
                <w:ilvl w:val="0"/>
                <w:numId w:val="17"/>
              </w:numPr>
              <w:rPr>
                <w:sz w:val="18"/>
                <w:szCs w:val="18"/>
                <w:lang w:val="es-ES"/>
              </w:rPr>
            </w:pPr>
            <w:r w:rsidRPr="00B83E1A">
              <w:rPr>
                <w:sz w:val="18"/>
                <w:szCs w:val="18"/>
                <w:lang w:val="es-ES"/>
              </w:rPr>
              <w:t>América Latina y el Caribe (5).</w:t>
            </w:r>
          </w:p>
          <w:p w14:paraId="55A08C1B" w14:textId="77777777" w:rsidR="00067534" w:rsidRPr="00B83E1A" w:rsidRDefault="00067534" w:rsidP="00067534">
            <w:pPr>
              <w:keepNext/>
              <w:keepLines/>
              <w:numPr>
                <w:ilvl w:val="0"/>
                <w:numId w:val="17"/>
              </w:numPr>
              <w:rPr>
                <w:sz w:val="18"/>
                <w:szCs w:val="18"/>
                <w:lang w:val="es-ES"/>
              </w:rPr>
            </w:pPr>
            <w:r w:rsidRPr="00B83E1A">
              <w:rPr>
                <w:sz w:val="18"/>
                <w:szCs w:val="18"/>
                <w:lang w:val="es-ES"/>
              </w:rPr>
              <w:t>Determinados países de Europa y Asia (3)</w:t>
            </w:r>
          </w:p>
          <w:p w14:paraId="27D09911" w14:textId="77777777" w:rsidR="00067534" w:rsidRPr="00B83E1A" w:rsidRDefault="00067534" w:rsidP="004E65E7">
            <w:pPr>
              <w:rPr>
                <w:sz w:val="18"/>
                <w:szCs w:val="18"/>
                <w:lang w:val="es-ES" w:bidi="th-TH"/>
              </w:rPr>
            </w:pPr>
            <w:r w:rsidRPr="00B83E1A">
              <w:rPr>
                <w:sz w:val="18"/>
                <w:szCs w:val="18"/>
                <w:lang w:val="es-ES" w:bidi="th-TH"/>
              </w:rPr>
              <w:t>Número de oficinas que usan la plataforma WIPO CASE:  4.</w:t>
            </w:r>
          </w:p>
          <w:p w14:paraId="1FE34407" w14:textId="5CBB5A85" w:rsidR="00067534" w:rsidRPr="00B83E1A" w:rsidRDefault="00067534" w:rsidP="004E65E7">
            <w:pPr>
              <w:keepNext/>
              <w:keepLines/>
              <w:spacing w:after="120"/>
              <w:rPr>
                <w:sz w:val="18"/>
                <w:szCs w:val="18"/>
                <w:lang w:val="es-ES"/>
              </w:rPr>
            </w:pPr>
            <w:r w:rsidRPr="00B83E1A">
              <w:rPr>
                <w:sz w:val="18"/>
                <w:szCs w:val="18"/>
                <w:lang w:val="es-ES" w:bidi="th-TH"/>
              </w:rPr>
              <w:t>A finales d</w:t>
            </w:r>
            <w:r w:rsidR="009A700A" w:rsidRPr="00B83E1A">
              <w:rPr>
                <w:sz w:val="18"/>
                <w:szCs w:val="18"/>
                <w:lang w:val="es-ES" w:bidi="th-TH"/>
              </w:rPr>
              <w:t>e 2</w:t>
            </w:r>
            <w:r w:rsidRPr="00B83E1A">
              <w:rPr>
                <w:sz w:val="18"/>
                <w:szCs w:val="18"/>
                <w:lang w:val="es-ES" w:bidi="th-TH"/>
              </w:rPr>
              <w:t>012, un total d</w:t>
            </w:r>
            <w:r w:rsidR="009A700A" w:rsidRPr="00B83E1A">
              <w:rPr>
                <w:sz w:val="18"/>
                <w:szCs w:val="18"/>
                <w:lang w:val="es-ES" w:bidi="th-TH"/>
              </w:rPr>
              <w:t>e 6</w:t>
            </w:r>
            <w:r w:rsidRPr="00B83E1A">
              <w:rPr>
                <w:sz w:val="18"/>
                <w:szCs w:val="18"/>
                <w:lang w:val="es-ES" w:bidi="th-TH"/>
              </w:rPr>
              <w:t>5 oficinas utilizaban sistemas de administración de P.I. proporcionados por la OMPI.</w:t>
            </w:r>
          </w:p>
        </w:tc>
      </w:tr>
      <w:tr w:rsidR="00067534" w:rsidRPr="00B83E1A" w14:paraId="46EF1DF6" w14:textId="77777777" w:rsidTr="004E65E7">
        <w:trPr>
          <w:jc w:val="center"/>
        </w:trPr>
        <w:tc>
          <w:tcPr>
            <w:tcW w:w="1681" w:type="dxa"/>
            <w:gridSpan w:val="2"/>
            <w:vMerge/>
          </w:tcPr>
          <w:p w14:paraId="0CBFC0FC" w14:textId="77777777" w:rsidR="00067534" w:rsidRPr="00B83E1A" w:rsidRDefault="00067534" w:rsidP="004E65E7">
            <w:pPr>
              <w:ind w:leftChars="-1" w:left="2" w:hangingChars="2" w:hanging="4"/>
              <w:rPr>
                <w:sz w:val="18"/>
                <w:szCs w:val="18"/>
                <w:lang w:val="es-ES"/>
              </w:rPr>
            </w:pPr>
          </w:p>
        </w:tc>
        <w:tc>
          <w:tcPr>
            <w:tcW w:w="2410" w:type="dxa"/>
            <w:vMerge/>
          </w:tcPr>
          <w:p w14:paraId="335B4569" w14:textId="77777777" w:rsidR="00067534" w:rsidRPr="00B83E1A" w:rsidRDefault="00067534" w:rsidP="004E65E7">
            <w:pPr>
              <w:rPr>
                <w:sz w:val="18"/>
                <w:szCs w:val="18"/>
                <w:lang w:val="es-ES"/>
              </w:rPr>
            </w:pPr>
          </w:p>
        </w:tc>
        <w:tc>
          <w:tcPr>
            <w:tcW w:w="2551" w:type="dxa"/>
            <w:gridSpan w:val="4"/>
          </w:tcPr>
          <w:p w14:paraId="4F829A05" w14:textId="77777777" w:rsidR="00067534" w:rsidRPr="00B83E1A" w:rsidRDefault="00067534" w:rsidP="004E65E7">
            <w:pPr>
              <w:rPr>
                <w:sz w:val="18"/>
                <w:szCs w:val="18"/>
                <w:lang w:val="es-ES" w:bidi="th-TH"/>
              </w:rPr>
            </w:pPr>
            <w:r w:rsidRPr="00B83E1A">
              <w:rPr>
                <w:sz w:val="18"/>
                <w:szCs w:val="18"/>
                <w:lang w:val="es-ES" w:bidi="th-TH"/>
              </w:rPr>
              <w:t>Número de oficinas cuyos datos de P.I. están disponibles en las bases de datos de la OMPI en Internet.</w:t>
            </w:r>
          </w:p>
        </w:tc>
        <w:tc>
          <w:tcPr>
            <w:tcW w:w="2586" w:type="dxa"/>
          </w:tcPr>
          <w:p w14:paraId="605B9997" w14:textId="6D5C4998" w:rsidR="00067534" w:rsidRPr="00B83E1A" w:rsidRDefault="00067534" w:rsidP="004E65E7">
            <w:pPr>
              <w:rPr>
                <w:sz w:val="18"/>
                <w:szCs w:val="18"/>
                <w:lang w:val="es-ES" w:bidi="th-TH"/>
              </w:rPr>
            </w:pPr>
            <w:r w:rsidRPr="00B83E1A">
              <w:rPr>
                <w:sz w:val="18"/>
                <w:szCs w:val="18"/>
                <w:lang w:val="es-ES" w:bidi="th-TH"/>
              </w:rPr>
              <w:t>28 oficinas datos cuyos datos de P.I. están disponibles en las bases de datos de la OMPI en Internet</w:t>
            </w:r>
            <w:r w:rsidR="009A700A" w:rsidRPr="00B83E1A">
              <w:rPr>
                <w:sz w:val="18"/>
                <w:szCs w:val="18"/>
                <w:lang w:val="es-ES" w:bidi="th-TH"/>
              </w:rPr>
              <w:t>.  (</w:t>
            </w:r>
            <w:r w:rsidRPr="00B83E1A">
              <w:rPr>
                <w:sz w:val="18"/>
                <w:szCs w:val="18"/>
                <w:lang w:val="es-ES" w:bidi="th-TH"/>
              </w:rPr>
              <w:t>Patent Scope, Base Mundial de Datos sobre Marcas)</w:t>
            </w:r>
          </w:p>
          <w:p w14:paraId="352025A6" w14:textId="77777777" w:rsidR="00067534" w:rsidRPr="00B83E1A" w:rsidRDefault="00067534" w:rsidP="00067534">
            <w:pPr>
              <w:numPr>
                <w:ilvl w:val="0"/>
                <w:numId w:val="17"/>
              </w:numPr>
              <w:rPr>
                <w:sz w:val="18"/>
                <w:szCs w:val="18"/>
                <w:lang w:val="es-ES"/>
              </w:rPr>
            </w:pPr>
            <w:r w:rsidRPr="00B83E1A">
              <w:rPr>
                <w:sz w:val="18"/>
                <w:szCs w:val="18"/>
                <w:lang w:val="es-ES"/>
              </w:rPr>
              <w:t>África (3).</w:t>
            </w:r>
          </w:p>
          <w:p w14:paraId="2D512B72" w14:textId="77777777" w:rsidR="00067534" w:rsidRPr="00B83E1A" w:rsidRDefault="00067534" w:rsidP="00067534">
            <w:pPr>
              <w:numPr>
                <w:ilvl w:val="0"/>
                <w:numId w:val="17"/>
              </w:numPr>
              <w:rPr>
                <w:sz w:val="18"/>
                <w:szCs w:val="18"/>
                <w:lang w:val="es-ES"/>
              </w:rPr>
            </w:pPr>
            <w:r w:rsidRPr="00B83E1A">
              <w:rPr>
                <w:sz w:val="18"/>
                <w:szCs w:val="18"/>
                <w:lang w:val="es-ES"/>
              </w:rPr>
              <w:t>Región de los países árabes (6).</w:t>
            </w:r>
          </w:p>
          <w:p w14:paraId="1DFC7B99" w14:textId="77777777" w:rsidR="00067534" w:rsidRPr="00B83E1A" w:rsidRDefault="00067534" w:rsidP="00067534">
            <w:pPr>
              <w:numPr>
                <w:ilvl w:val="0"/>
                <w:numId w:val="17"/>
              </w:numPr>
              <w:rPr>
                <w:sz w:val="18"/>
                <w:szCs w:val="18"/>
                <w:lang w:val="es-ES"/>
              </w:rPr>
            </w:pPr>
            <w:r w:rsidRPr="00B83E1A">
              <w:rPr>
                <w:sz w:val="18"/>
                <w:szCs w:val="18"/>
                <w:lang w:val="es-ES"/>
              </w:rPr>
              <w:t>Asia y el Pacífico (3).</w:t>
            </w:r>
          </w:p>
          <w:p w14:paraId="7A1E657C" w14:textId="77777777" w:rsidR="00067534" w:rsidRPr="00B83E1A" w:rsidRDefault="00067534" w:rsidP="00067534">
            <w:pPr>
              <w:numPr>
                <w:ilvl w:val="0"/>
                <w:numId w:val="17"/>
              </w:numPr>
              <w:rPr>
                <w:sz w:val="18"/>
                <w:szCs w:val="18"/>
                <w:lang w:val="es-ES"/>
              </w:rPr>
            </w:pPr>
            <w:r w:rsidRPr="00B83E1A">
              <w:rPr>
                <w:sz w:val="18"/>
                <w:szCs w:val="18"/>
                <w:lang w:val="es-ES"/>
              </w:rPr>
              <w:t>América Latina y el Caribe (16).</w:t>
            </w:r>
          </w:p>
          <w:p w14:paraId="7B283C21" w14:textId="77777777" w:rsidR="00067534" w:rsidRPr="00B83E1A" w:rsidRDefault="00067534" w:rsidP="00067534">
            <w:pPr>
              <w:numPr>
                <w:ilvl w:val="0"/>
                <w:numId w:val="17"/>
              </w:numPr>
              <w:rPr>
                <w:sz w:val="18"/>
                <w:szCs w:val="18"/>
                <w:lang w:val="es-ES"/>
              </w:rPr>
            </w:pPr>
            <w:r w:rsidRPr="00B83E1A">
              <w:rPr>
                <w:sz w:val="18"/>
                <w:szCs w:val="18"/>
                <w:lang w:val="es-ES"/>
              </w:rPr>
              <w:t>Determinados países de Europa y Asia (1)</w:t>
            </w:r>
          </w:p>
          <w:p w14:paraId="5197C861" w14:textId="77777777" w:rsidR="00067534" w:rsidRPr="00B83E1A" w:rsidRDefault="00067534" w:rsidP="00067534">
            <w:pPr>
              <w:numPr>
                <w:ilvl w:val="0"/>
                <w:numId w:val="17"/>
              </w:numPr>
              <w:spacing w:after="120"/>
              <w:rPr>
                <w:sz w:val="18"/>
                <w:szCs w:val="18"/>
                <w:lang w:val="es-ES"/>
              </w:rPr>
            </w:pPr>
            <w:r w:rsidRPr="00B83E1A">
              <w:rPr>
                <w:sz w:val="18"/>
                <w:szCs w:val="18"/>
                <w:lang w:val="es-ES"/>
              </w:rPr>
              <w:t>Otros países desarrollados (9)</w:t>
            </w:r>
          </w:p>
        </w:tc>
      </w:tr>
      <w:tr w:rsidR="00067534" w:rsidRPr="00B83E1A" w14:paraId="750DC2F1" w14:textId="77777777" w:rsidTr="004E65E7">
        <w:trPr>
          <w:jc w:val="center"/>
        </w:trPr>
        <w:tc>
          <w:tcPr>
            <w:tcW w:w="1681" w:type="dxa"/>
            <w:gridSpan w:val="2"/>
            <w:vMerge/>
          </w:tcPr>
          <w:p w14:paraId="5E5D2F59" w14:textId="77777777" w:rsidR="00067534" w:rsidRPr="00B83E1A" w:rsidRDefault="00067534" w:rsidP="004E65E7">
            <w:pPr>
              <w:ind w:leftChars="-1" w:left="2" w:hangingChars="2" w:hanging="4"/>
              <w:rPr>
                <w:sz w:val="18"/>
                <w:szCs w:val="18"/>
                <w:lang w:val="es-ES"/>
              </w:rPr>
            </w:pPr>
          </w:p>
        </w:tc>
        <w:tc>
          <w:tcPr>
            <w:tcW w:w="2410" w:type="dxa"/>
            <w:vMerge/>
          </w:tcPr>
          <w:p w14:paraId="37EE4006" w14:textId="77777777" w:rsidR="00067534" w:rsidRPr="00B83E1A" w:rsidRDefault="00067534" w:rsidP="004E65E7">
            <w:pPr>
              <w:rPr>
                <w:sz w:val="18"/>
                <w:szCs w:val="18"/>
                <w:lang w:val="es-ES"/>
              </w:rPr>
            </w:pPr>
          </w:p>
        </w:tc>
        <w:tc>
          <w:tcPr>
            <w:tcW w:w="2551" w:type="dxa"/>
            <w:gridSpan w:val="4"/>
          </w:tcPr>
          <w:p w14:paraId="4A1B0616" w14:textId="77777777" w:rsidR="00067534" w:rsidRPr="00B83E1A" w:rsidRDefault="00067534" w:rsidP="004E65E7">
            <w:pPr>
              <w:rPr>
                <w:sz w:val="18"/>
                <w:szCs w:val="18"/>
                <w:lang w:val="es-ES" w:bidi="th-TH"/>
              </w:rPr>
            </w:pPr>
            <w:r w:rsidRPr="00B83E1A">
              <w:rPr>
                <w:sz w:val="18"/>
                <w:szCs w:val="18"/>
                <w:lang w:val="es-ES" w:bidi="th-TH"/>
              </w:rPr>
              <w:t>Número de grupos de oficinas que participan en una plataforma común.</w:t>
            </w:r>
          </w:p>
        </w:tc>
        <w:tc>
          <w:tcPr>
            <w:tcW w:w="2586" w:type="dxa"/>
          </w:tcPr>
          <w:p w14:paraId="09C56704" w14:textId="6A8DF6BE" w:rsidR="00067534" w:rsidRPr="00B83E1A" w:rsidRDefault="00067534" w:rsidP="004E65E7">
            <w:pPr>
              <w:spacing w:after="120"/>
              <w:rPr>
                <w:sz w:val="18"/>
                <w:szCs w:val="18"/>
                <w:lang w:val="es-ES"/>
              </w:rPr>
            </w:pPr>
            <w:r w:rsidRPr="00B83E1A">
              <w:rPr>
                <w:sz w:val="18"/>
                <w:szCs w:val="18"/>
                <w:lang w:val="es-ES" w:bidi="th-TH"/>
              </w:rPr>
              <w:t>1 grupo (comprend</w:t>
            </w:r>
            <w:r w:rsidR="009A700A" w:rsidRPr="00B83E1A">
              <w:rPr>
                <w:sz w:val="18"/>
                <w:szCs w:val="18"/>
                <w:lang w:val="es-ES" w:bidi="th-TH"/>
              </w:rPr>
              <w:t>e 4</w:t>
            </w:r>
            <w:r w:rsidRPr="00B83E1A">
              <w:rPr>
                <w:sz w:val="18"/>
                <w:szCs w:val="18"/>
                <w:lang w:val="es-ES" w:bidi="th-TH"/>
              </w:rPr>
              <w:t xml:space="preserve"> oficinas</w:t>
            </w:r>
            <w:r w:rsidR="009A700A" w:rsidRPr="00B83E1A">
              <w:rPr>
                <w:sz w:val="18"/>
                <w:szCs w:val="18"/>
                <w:lang w:val="es-ES" w:bidi="th-TH"/>
              </w:rPr>
              <w:t>:  A</w:t>
            </w:r>
            <w:r w:rsidRPr="00B83E1A">
              <w:rPr>
                <w:sz w:val="18"/>
                <w:szCs w:val="18"/>
                <w:lang w:val="es-ES" w:bidi="th-TH"/>
              </w:rPr>
              <w:t>ustralia, el Canadá, Nueva Zelandia y el Reino Unido)</w:t>
            </w:r>
          </w:p>
        </w:tc>
      </w:tr>
      <w:tr w:rsidR="00067534" w:rsidRPr="00B83E1A" w14:paraId="1F69EA10" w14:textId="77777777" w:rsidTr="004E65E7">
        <w:trPr>
          <w:trHeight w:val="1975"/>
          <w:jc w:val="center"/>
        </w:trPr>
        <w:tc>
          <w:tcPr>
            <w:tcW w:w="1681" w:type="dxa"/>
            <w:gridSpan w:val="2"/>
            <w:vMerge/>
          </w:tcPr>
          <w:p w14:paraId="2BFC8420" w14:textId="77777777" w:rsidR="00067534" w:rsidRPr="00B83E1A" w:rsidRDefault="00067534" w:rsidP="004E65E7">
            <w:pPr>
              <w:ind w:leftChars="-1" w:left="2" w:hangingChars="2" w:hanging="4"/>
              <w:rPr>
                <w:sz w:val="18"/>
                <w:szCs w:val="18"/>
                <w:lang w:val="es-ES"/>
              </w:rPr>
            </w:pPr>
          </w:p>
        </w:tc>
        <w:tc>
          <w:tcPr>
            <w:tcW w:w="2410" w:type="dxa"/>
            <w:vMerge/>
          </w:tcPr>
          <w:p w14:paraId="11657ABF" w14:textId="77777777" w:rsidR="00067534" w:rsidRPr="00B83E1A" w:rsidRDefault="00067534" w:rsidP="004E65E7">
            <w:pPr>
              <w:rPr>
                <w:sz w:val="18"/>
                <w:szCs w:val="18"/>
                <w:lang w:val="es-ES"/>
              </w:rPr>
            </w:pPr>
          </w:p>
        </w:tc>
        <w:tc>
          <w:tcPr>
            <w:tcW w:w="2551" w:type="dxa"/>
            <w:gridSpan w:val="4"/>
          </w:tcPr>
          <w:p w14:paraId="7D22B0EC" w14:textId="77777777" w:rsidR="00067534" w:rsidRPr="00B83E1A" w:rsidRDefault="00067534" w:rsidP="004E65E7">
            <w:pPr>
              <w:rPr>
                <w:sz w:val="18"/>
                <w:szCs w:val="18"/>
                <w:lang w:val="es-ES" w:bidi="th-TH"/>
              </w:rPr>
            </w:pPr>
            <w:r w:rsidRPr="00B83E1A">
              <w:rPr>
                <w:sz w:val="18"/>
                <w:szCs w:val="18"/>
                <w:lang w:val="es-ES" w:bidi="th-TH"/>
              </w:rPr>
              <w:t>Número de oficinas que tramitan los datos del PCT y del sistema de Madrid con el apoyo de sistemas proporcionados por la OMPI.</w:t>
            </w:r>
          </w:p>
        </w:tc>
        <w:tc>
          <w:tcPr>
            <w:tcW w:w="2586" w:type="dxa"/>
          </w:tcPr>
          <w:p w14:paraId="36EA4F23" w14:textId="77777777" w:rsidR="00067534" w:rsidRPr="00B83E1A" w:rsidRDefault="00067534" w:rsidP="004E65E7">
            <w:pPr>
              <w:spacing w:after="80"/>
              <w:rPr>
                <w:sz w:val="18"/>
                <w:szCs w:val="18"/>
                <w:lang w:val="es-ES"/>
              </w:rPr>
            </w:pPr>
            <w:r w:rsidRPr="00B83E1A">
              <w:rPr>
                <w:sz w:val="18"/>
                <w:szCs w:val="18"/>
                <w:lang w:val="es-ES"/>
              </w:rPr>
              <w:t>En total, 20 oficinas:</w:t>
            </w:r>
          </w:p>
          <w:p w14:paraId="55EABFDD" w14:textId="3D6A422C" w:rsidR="00067534" w:rsidRPr="00B83E1A" w:rsidRDefault="00067534" w:rsidP="00067534">
            <w:pPr>
              <w:numPr>
                <w:ilvl w:val="0"/>
                <w:numId w:val="18"/>
              </w:numPr>
              <w:rPr>
                <w:sz w:val="18"/>
                <w:szCs w:val="18"/>
                <w:lang w:val="es-ES"/>
              </w:rPr>
            </w:pPr>
            <w:r w:rsidRPr="00B83E1A">
              <w:rPr>
                <w:sz w:val="18"/>
                <w:szCs w:val="18"/>
                <w:lang w:val="es-ES"/>
              </w:rPr>
              <w:t>África (PCT:  1</w:t>
            </w:r>
            <w:r w:rsidR="009A700A" w:rsidRPr="00B83E1A">
              <w:rPr>
                <w:sz w:val="18"/>
                <w:szCs w:val="18"/>
                <w:lang w:val="es-ES"/>
              </w:rPr>
              <w:t>;  M</w:t>
            </w:r>
            <w:r w:rsidRPr="00B83E1A">
              <w:rPr>
                <w:sz w:val="18"/>
                <w:szCs w:val="18"/>
                <w:lang w:val="es-ES"/>
              </w:rPr>
              <w:t>adrid:  6)</w:t>
            </w:r>
          </w:p>
          <w:p w14:paraId="29CF6C6F" w14:textId="5968B90C" w:rsidR="00067534" w:rsidRPr="00B83E1A" w:rsidRDefault="00067534" w:rsidP="00067534">
            <w:pPr>
              <w:numPr>
                <w:ilvl w:val="0"/>
                <w:numId w:val="18"/>
              </w:numPr>
              <w:rPr>
                <w:sz w:val="18"/>
                <w:szCs w:val="18"/>
                <w:lang w:val="es-ES"/>
              </w:rPr>
            </w:pPr>
            <w:r w:rsidRPr="00B83E1A">
              <w:rPr>
                <w:sz w:val="18"/>
                <w:szCs w:val="18"/>
                <w:lang w:val="es-ES"/>
              </w:rPr>
              <w:t>Región de los países árabes (PCT:  5;  Madrid</w:t>
            </w:r>
            <w:r w:rsidR="009A700A" w:rsidRPr="00B83E1A">
              <w:rPr>
                <w:sz w:val="18"/>
                <w:szCs w:val="18"/>
                <w:lang w:val="es-ES"/>
              </w:rPr>
              <w:t>:  1</w:t>
            </w:r>
            <w:r w:rsidRPr="00B83E1A">
              <w:rPr>
                <w:sz w:val="18"/>
                <w:szCs w:val="18"/>
                <w:lang w:val="es-ES"/>
              </w:rPr>
              <w:t>)</w:t>
            </w:r>
          </w:p>
          <w:p w14:paraId="157FAE6D" w14:textId="77777777" w:rsidR="00067534" w:rsidRPr="00B83E1A" w:rsidRDefault="00067534" w:rsidP="00067534">
            <w:pPr>
              <w:numPr>
                <w:ilvl w:val="0"/>
                <w:numId w:val="18"/>
              </w:numPr>
              <w:rPr>
                <w:sz w:val="18"/>
                <w:szCs w:val="18"/>
                <w:lang w:val="es-ES"/>
              </w:rPr>
            </w:pPr>
            <w:r w:rsidRPr="00B83E1A">
              <w:rPr>
                <w:sz w:val="18"/>
                <w:szCs w:val="18"/>
                <w:lang w:val="es-ES"/>
              </w:rPr>
              <w:t>Asia y el Pacífico (Madrid:  2)</w:t>
            </w:r>
          </w:p>
          <w:p w14:paraId="5E5345BE" w14:textId="001360B9" w:rsidR="00067534" w:rsidRPr="00B83E1A" w:rsidRDefault="00067534" w:rsidP="00067534">
            <w:pPr>
              <w:numPr>
                <w:ilvl w:val="0"/>
                <w:numId w:val="18"/>
              </w:numPr>
              <w:rPr>
                <w:sz w:val="18"/>
                <w:szCs w:val="18"/>
                <w:lang w:val="es-ES"/>
              </w:rPr>
            </w:pPr>
            <w:r w:rsidRPr="00B83E1A">
              <w:rPr>
                <w:sz w:val="18"/>
                <w:szCs w:val="18"/>
                <w:lang w:val="es-ES"/>
              </w:rPr>
              <w:t>América Latina y el Caribe (PCT:  3</w:t>
            </w:r>
            <w:r w:rsidR="009A700A" w:rsidRPr="00B83E1A">
              <w:rPr>
                <w:sz w:val="18"/>
                <w:szCs w:val="18"/>
                <w:lang w:val="es-ES"/>
              </w:rPr>
              <w:t>;  M</w:t>
            </w:r>
            <w:r w:rsidRPr="00B83E1A">
              <w:rPr>
                <w:sz w:val="18"/>
                <w:szCs w:val="18"/>
                <w:lang w:val="es-ES"/>
              </w:rPr>
              <w:t>adrid:  2)</w:t>
            </w:r>
          </w:p>
          <w:p w14:paraId="3BA76211" w14:textId="7EA59814" w:rsidR="00067534" w:rsidRPr="00B83E1A" w:rsidRDefault="00067534" w:rsidP="004E65E7">
            <w:pPr>
              <w:spacing w:after="120"/>
              <w:rPr>
                <w:sz w:val="18"/>
                <w:szCs w:val="18"/>
                <w:lang w:val="es-ES"/>
              </w:rPr>
            </w:pPr>
            <w:r w:rsidRPr="00B83E1A">
              <w:rPr>
                <w:sz w:val="18"/>
                <w:szCs w:val="18"/>
                <w:lang w:val="es-ES"/>
              </w:rPr>
              <w:t xml:space="preserve"> -</w:t>
            </w:r>
            <w:r w:rsidR="00320EE4" w:rsidRPr="00B83E1A">
              <w:rPr>
                <w:sz w:val="18"/>
                <w:szCs w:val="18"/>
                <w:lang w:val="es-ES"/>
              </w:rPr>
              <w:t xml:space="preserve"> </w:t>
            </w:r>
            <w:r w:rsidRPr="00B83E1A">
              <w:rPr>
                <w:sz w:val="18"/>
                <w:szCs w:val="18"/>
                <w:lang w:val="es-ES"/>
              </w:rPr>
              <w:t>Determinados países de Europa y Asia</w:t>
            </w:r>
            <w:r w:rsidR="009A700A" w:rsidRPr="00B83E1A">
              <w:rPr>
                <w:sz w:val="18"/>
                <w:szCs w:val="18"/>
                <w:lang w:val="es-ES"/>
              </w:rPr>
              <w:t>:  (</w:t>
            </w:r>
            <w:r w:rsidRPr="00B83E1A">
              <w:rPr>
                <w:sz w:val="18"/>
                <w:szCs w:val="18"/>
                <w:lang w:val="es-ES" w:bidi="th-TH"/>
              </w:rPr>
              <w:t>PCT</w:t>
            </w:r>
            <w:r w:rsidR="009A700A" w:rsidRPr="00B83E1A">
              <w:rPr>
                <w:sz w:val="18"/>
                <w:szCs w:val="18"/>
                <w:lang w:val="es-ES" w:bidi="th-TH"/>
              </w:rPr>
              <w:t>:  1;  M</w:t>
            </w:r>
            <w:r w:rsidRPr="00B83E1A">
              <w:rPr>
                <w:sz w:val="18"/>
                <w:szCs w:val="18"/>
                <w:lang w:val="es-ES" w:bidi="th-TH"/>
              </w:rPr>
              <w:t>adrid</w:t>
            </w:r>
            <w:r w:rsidR="009A700A" w:rsidRPr="00B83E1A">
              <w:rPr>
                <w:sz w:val="18"/>
                <w:szCs w:val="18"/>
                <w:lang w:val="es-ES" w:bidi="th-TH"/>
              </w:rPr>
              <w:t>:  3</w:t>
            </w:r>
            <w:r w:rsidRPr="00B83E1A">
              <w:rPr>
                <w:sz w:val="18"/>
                <w:szCs w:val="18"/>
                <w:lang w:val="es-ES" w:bidi="th-TH"/>
              </w:rPr>
              <w:t>)</w:t>
            </w:r>
          </w:p>
        </w:tc>
      </w:tr>
      <w:tr w:rsidR="00067534" w:rsidRPr="00B83E1A" w14:paraId="3AC9242D" w14:textId="77777777" w:rsidTr="004E65E7">
        <w:trPr>
          <w:jc w:val="center"/>
        </w:trPr>
        <w:tc>
          <w:tcPr>
            <w:tcW w:w="1681" w:type="dxa"/>
            <w:gridSpan w:val="2"/>
          </w:tcPr>
          <w:p w14:paraId="3D453105" w14:textId="136F6959" w:rsidR="00067534" w:rsidRPr="00B83E1A" w:rsidRDefault="00067534" w:rsidP="004E65E7">
            <w:pPr>
              <w:rPr>
                <w:i/>
                <w:sz w:val="18"/>
                <w:szCs w:val="18"/>
                <w:lang w:val="es-ES"/>
              </w:rPr>
            </w:pPr>
            <w:r w:rsidRPr="00B83E1A">
              <w:rPr>
                <w:i/>
                <w:sz w:val="18"/>
                <w:szCs w:val="18"/>
                <w:lang w:val="es-ES"/>
              </w:rPr>
              <w:t>Meta estratégica VI</w:t>
            </w:r>
            <w:r w:rsidR="009A700A" w:rsidRPr="00B83E1A">
              <w:rPr>
                <w:i/>
                <w:sz w:val="18"/>
                <w:szCs w:val="18"/>
                <w:lang w:val="es-ES"/>
              </w:rPr>
              <w:t>:  C</w:t>
            </w:r>
            <w:r w:rsidRPr="00B83E1A">
              <w:rPr>
                <w:i/>
                <w:sz w:val="18"/>
                <w:szCs w:val="18"/>
                <w:lang w:val="es-ES"/>
              </w:rPr>
              <w:t>ooperación internacional para cultivar el respeto por la P.I.</w:t>
            </w:r>
          </w:p>
          <w:p w14:paraId="2276520D" w14:textId="77777777" w:rsidR="00067534" w:rsidRPr="00B83E1A" w:rsidRDefault="00067534" w:rsidP="004E65E7">
            <w:pPr>
              <w:ind w:leftChars="-1" w:left="2" w:hangingChars="2" w:hanging="4"/>
              <w:rPr>
                <w:i/>
                <w:sz w:val="18"/>
                <w:szCs w:val="18"/>
                <w:lang w:val="es-ES"/>
              </w:rPr>
            </w:pPr>
          </w:p>
        </w:tc>
        <w:tc>
          <w:tcPr>
            <w:tcW w:w="2410" w:type="dxa"/>
          </w:tcPr>
          <w:p w14:paraId="30369045" w14:textId="569A7C8D" w:rsidR="00067534" w:rsidRPr="00B83E1A" w:rsidRDefault="00067534" w:rsidP="004E65E7">
            <w:pPr>
              <w:rPr>
                <w:sz w:val="18"/>
                <w:szCs w:val="18"/>
                <w:lang w:val="es-ES"/>
              </w:rPr>
            </w:pPr>
            <w:r w:rsidRPr="00B83E1A">
              <w:rPr>
                <w:sz w:val="18"/>
                <w:szCs w:val="18"/>
                <w:lang w:val="es-ES"/>
              </w:rPr>
              <w:t>Resultado i) Avances en el diálogo internacional sobre políticas entre los Estados miembros de la OMPI para cultivar el respeto por la P.I. sobre la base de la recomendació</w:t>
            </w:r>
            <w:r w:rsidR="009A700A" w:rsidRPr="00B83E1A">
              <w:rPr>
                <w:sz w:val="18"/>
                <w:szCs w:val="18"/>
                <w:lang w:val="es-ES"/>
              </w:rPr>
              <w:t>n 4</w:t>
            </w:r>
            <w:r w:rsidRPr="00B83E1A">
              <w:rPr>
                <w:sz w:val="18"/>
                <w:szCs w:val="18"/>
                <w:lang w:val="es-ES"/>
              </w:rPr>
              <w:t>5 de la Agenda de la OMPI para el Desarrollo.</w:t>
            </w:r>
          </w:p>
          <w:p w14:paraId="38496ED9" w14:textId="77777777" w:rsidR="00067534" w:rsidRPr="00B83E1A" w:rsidRDefault="00067534" w:rsidP="004E65E7">
            <w:pPr>
              <w:rPr>
                <w:sz w:val="18"/>
                <w:szCs w:val="18"/>
                <w:lang w:val="es-ES"/>
              </w:rPr>
            </w:pPr>
          </w:p>
        </w:tc>
        <w:tc>
          <w:tcPr>
            <w:tcW w:w="2551" w:type="dxa"/>
            <w:gridSpan w:val="4"/>
          </w:tcPr>
          <w:p w14:paraId="742E551E" w14:textId="77777777" w:rsidR="00067534" w:rsidRPr="00B83E1A" w:rsidRDefault="00067534" w:rsidP="004E65E7">
            <w:pPr>
              <w:rPr>
                <w:sz w:val="18"/>
                <w:szCs w:val="18"/>
                <w:lang w:val="es-ES"/>
              </w:rPr>
            </w:pPr>
            <w:r w:rsidRPr="00B83E1A">
              <w:rPr>
                <w:sz w:val="18"/>
                <w:szCs w:val="18"/>
                <w:lang w:val="es-ES"/>
              </w:rPr>
              <w:t>Acuerdo constante entre los Estados miembros sobre la labor sustantiva del Comité Asesor de la OMPI sobre Observancia (ACE) en el bienio, incorporando elementos orientados al desarrollo.</w:t>
            </w:r>
          </w:p>
        </w:tc>
        <w:tc>
          <w:tcPr>
            <w:tcW w:w="2586" w:type="dxa"/>
          </w:tcPr>
          <w:p w14:paraId="60B27F43" w14:textId="4528C3EE" w:rsidR="00067534" w:rsidRPr="00B83E1A" w:rsidRDefault="00067534" w:rsidP="003D376E">
            <w:pPr>
              <w:keepNext/>
              <w:keepLines/>
              <w:ind w:right="64"/>
              <w:rPr>
                <w:sz w:val="18"/>
                <w:szCs w:val="18"/>
                <w:lang w:val="es-ES"/>
              </w:rPr>
            </w:pPr>
            <w:r w:rsidRPr="00B83E1A">
              <w:rPr>
                <w:sz w:val="18"/>
                <w:szCs w:val="18"/>
                <w:lang w:val="es-ES" w:bidi="th-TH"/>
              </w:rPr>
              <w:t>Los Estados miembros convinieron en el programa futuro de este Comité, que incluirá las prácticas en materia de solución extrajudicial de controversias, así como medidas o actividades preventivas a fin de complementar las medidas de observancia (véase el párraf</w:t>
            </w:r>
            <w:r w:rsidR="009A700A" w:rsidRPr="00B83E1A">
              <w:rPr>
                <w:sz w:val="18"/>
                <w:szCs w:val="18"/>
                <w:lang w:val="es-ES" w:bidi="th-TH"/>
              </w:rPr>
              <w:t>o 3</w:t>
            </w:r>
            <w:r w:rsidRPr="00B83E1A">
              <w:rPr>
                <w:sz w:val="18"/>
                <w:szCs w:val="18"/>
                <w:lang w:val="es-ES" w:bidi="th-TH"/>
              </w:rPr>
              <w:t xml:space="preserve">4 del proyecto de resumen de la Presidencia (documento WIPO/ACE/8/12 Prov.). </w:t>
            </w:r>
          </w:p>
        </w:tc>
      </w:tr>
      <w:tr w:rsidR="00067534" w:rsidRPr="00B83E1A" w14:paraId="69F47C1D" w14:textId="77777777" w:rsidTr="003D376E">
        <w:trPr>
          <w:trHeight w:val="4564"/>
          <w:jc w:val="center"/>
        </w:trPr>
        <w:tc>
          <w:tcPr>
            <w:tcW w:w="1681" w:type="dxa"/>
            <w:gridSpan w:val="2"/>
            <w:vMerge w:val="restart"/>
          </w:tcPr>
          <w:p w14:paraId="517DAF55" w14:textId="6D1A4860" w:rsidR="00067534" w:rsidRPr="00B83E1A" w:rsidRDefault="00067534" w:rsidP="004E65E7">
            <w:pPr>
              <w:rPr>
                <w:i/>
                <w:sz w:val="18"/>
                <w:szCs w:val="18"/>
                <w:lang w:val="es-ES"/>
              </w:rPr>
            </w:pPr>
            <w:r w:rsidRPr="00B83E1A">
              <w:rPr>
                <w:i/>
                <w:sz w:val="18"/>
                <w:szCs w:val="18"/>
                <w:lang w:val="es-ES"/>
              </w:rPr>
              <w:lastRenderedPageBreak/>
              <w:t>Meta estratégica VII</w:t>
            </w:r>
            <w:r w:rsidR="009A700A" w:rsidRPr="00B83E1A">
              <w:rPr>
                <w:i/>
                <w:sz w:val="18"/>
                <w:szCs w:val="18"/>
                <w:lang w:val="es-ES"/>
              </w:rPr>
              <w:t>:  V</w:t>
            </w:r>
            <w:r w:rsidRPr="00B83E1A">
              <w:rPr>
                <w:i/>
                <w:sz w:val="18"/>
                <w:szCs w:val="18"/>
                <w:lang w:val="es-ES"/>
              </w:rPr>
              <w:t>ínculos entre la P.I. y los problemas mundiales de política pública</w:t>
            </w:r>
          </w:p>
          <w:p w14:paraId="5DBC39AD" w14:textId="77777777" w:rsidR="00067534" w:rsidRPr="00B83E1A" w:rsidRDefault="00067534" w:rsidP="004E65E7">
            <w:pPr>
              <w:ind w:leftChars="-1" w:left="2" w:hangingChars="2" w:hanging="4"/>
              <w:rPr>
                <w:i/>
                <w:sz w:val="18"/>
                <w:szCs w:val="18"/>
                <w:lang w:val="es-ES"/>
              </w:rPr>
            </w:pPr>
          </w:p>
        </w:tc>
        <w:tc>
          <w:tcPr>
            <w:tcW w:w="2410" w:type="dxa"/>
          </w:tcPr>
          <w:p w14:paraId="18FD8DF9" w14:textId="77777777" w:rsidR="00067534" w:rsidRPr="00B83E1A" w:rsidRDefault="00067534" w:rsidP="004E65E7">
            <w:pPr>
              <w:rPr>
                <w:sz w:val="18"/>
                <w:szCs w:val="18"/>
                <w:lang w:val="es-ES"/>
              </w:rPr>
            </w:pPr>
            <w:r w:rsidRPr="00B83E1A">
              <w:rPr>
                <w:sz w:val="18"/>
                <w:szCs w:val="18"/>
                <w:lang w:val="es-ES"/>
              </w:rPr>
              <w:t>Resultado i) La OMPI constituye una fuente fidedigna de apoyo, asistencia y referencia para la información sobre la innovación y la P.I. en los pertinentes procesos de políticas públicas.</w:t>
            </w:r>
          </w:p>
          <w:p w14:paraId="523C410E" w14:textId="77777777" w:rsidR="00067534" w:rsidRPr="00B83E1A" w:rsidRDefault="00067534" w:rsidP="004E65E7">
            <w:pPr>
              <w:rPr>
                <w:sz w:val="18"/>
                <w:szCs w:val="18"/>
                <w:lang w:val="es-ES"/>
              </w:rPr>
            </w:pPr>
          </w:p>
        </w:tc>
        <w:tc>
          <w:tcPr>
            <w:tcW w:w="2551" w:type="dxa"/>
            <w:gridSpan w:val="4"/>
          </w:tcPr>
          <w:p w14:paraId="6C988761" w14:textId="77777777" w:rsidR="00067534" w:rsidRPr="00B83E1A" w:rsidRDefault="00067534" w:rsidP="004E65E7">
            <w:pPr>
              <w:rPr>
                <w:sz w:val="18"/>
                <w:szCs w:val="18"/>
                <w:lang w:val="es-ES"/>
              </w:rPr>
            </w:pPr>
            <w:r w:rsidRPr="00B83E1A">
              <w:rPr>
                <w:sz w:val="18"/>
                <w:szCs w:val="18"/>
                <w:lang w:val="es-ES"/>
              </w:rPr>
              <w:t>Número y diversidad de peticiones concretas de Estados miembros y organizaciones internacionales que solicitan aportaciones de la OMPI en relación con la P.I. y las cuestiones mundiales de política pública.</w:t>
            </w:r>
          </w:p>
        </w:tc>
        <w:tc>
          <w:tcPr>
            <w:tcW w:w="2586" w:type="dxa"/>
          </w:tcPr>
          <w:p w14:paraId="23575F6C" w14:textId="6A3C5A45" w:rsidR="00067534" w:rsidRPr="00B83E1A" w:rsidRDefault="00067534" w:rsidP="003D376E">
            <w:pPr>
              <w:rPr>
                <w:sz w:val="18"/>
                <w:szCs w:val="18"/>
                <w:lang w:val="es-ES"/>
              </w:rPr>
            </w:pPr>
            <w:r w:rsidRPr="00B83E1A">
              <w:rPr>
                <w:sz w:val="18"/>
                <w:szCs w:val="18"/>
                <w:lang w:val="es-ES" w:bidi="th-TH"/>
              </w:rPr>
              <w:t>En el marco de este programa se recibió una petición para la organización conjunta de una actividad sobre la P.I. y el cambio climático del Programa Infodev del Banco Mundial en el Centro de Innovación Climática de Kenya.  A solicitud de un centro de excelencia de la Red Africana para la Innovación en materia de Medicamentos y Medios Diagnósticos (ANDI), y en cooperación con el program</w:t>
            </w:r>
            <w:r w:rsidR="009A700A" w:rsidRPr="00B83E1A">
              <w:rPr>
                <w:sz w:val="18"/>
                <w:szCs w:val="18"/>
                <w:lang w:val="es-ES" w:bidi="th-TH"/>
              </w:rPr>
              <w:t>a 3</w:t>
            </w:r>
            <w:r w:rsidRPr="00B83E1A">
              <w:rPr>
                <w:sz w:val="18"/>
                <w:szCs w:val="18"/>
                <w:lang w:val="es-ES" w:bidi="th-TH"/>
              </w:rPr>
              <w:t>0, se organizó en Ginebra un programa adaptado de formación sobre cómo negociar licencias tecnológicas los día</w:t>
            </w:r>
            <w:r w:rsidR="009A700A" w:rsidRPr="00B83E1A">
              <w:rPr>
                <w:sz w:val="18"/>
                <w:szCs w:val="18"/>
                <w:lang w:val="es-ES" w:bidi="th-TH"/>
              </w:rPr>
              <w:t>s 1</w:t>
            </w:r>
            <w:r w:rsidRPr="00B83E1A">
              <w:rPr>
                <w:sz w:val="18"/>
                <w:szCs w:val="18"/>
                <w:lang w:val="es-ES" w:bidi="th-TH"/>
              </w:rPr>
              <w:t xml:space="preserve"> </w:t>
            </w:r>
            <w:r w:rsidR="009A700A" w:rsidRPr="00B83E1A">
              <w:rPr>
                <w:sz w:val="18"/>
                <w:szCs w:val="18"/>
                <w:lang w:val="es-ES" w:bidi="th-TH"/>
              </w:rPr>
              <w:t>y 2</w:t>
            </w:r>
            <w:r w:rsidRPr="00B83E1A">
              <w:rPr>
                <w:sz w:val="18"/>
                <w:szCs w:val="18"/>
                <w:lang w:val="es-ES" w:bidi="th-TH"/>
              </w:rPr>
              <w:t xml:space="preserve"> de noviembre d</w:t>
            </w:r>
            <w:r w:rsidR="009A700A" w:rsidRPr="00B83E1A">
              <w:rPr>
                <w:sz w:val="18"/>
                <w:szCs w:val="18"/>
                <w:lang w:val="es-ES" w:bidi="th-TH"/>
              </w:rPr>
              <w:t>e 2</w:t>
            </w:r>
            <w:r w:rsidRPr="00B83E1A">
              <w:rPr>
                <w:sz w:val="18"/>
                <w:szCs w:val="18"/>
                <w:lang w:val="es-ES" w:bidi="th-TH"/>
              </w:rPr>
              <w:t>012.</w:t>
            </w:r>
          </w:p>
        </w:tc>
      </w:tr>
      <w:tr w:rsidR="00067534" w:rsidRPr="00B83E1A" w14:paraId="15E1E0B2" w14:textId="77777777" w:rsidTr="004E65E7">
        <w:trPr>
          <w:jc w:val="center"/>
        </w:trPr>
        <w:tc>
          <w:tcPr>
            <w:tcW w:w="1681" w:type="dxa"/>
            <w:gridSpan w:val="2"/>
            <w:vMerge/>
          </w:tcPr>
          <w:p w14:paraId="634A421E" w14:textId="77777777" w:rsidR="00067534" w:rsidRPr="00B83E1A" w:rsidRDefault="00067534" w:rsidP="004E65E7">
            <w:pPr>
              <w:ind w:leftChars="-1" w:left="2" w:hangingChars="2" w:hanging="4"/>
              <w:rPr>
                <w:sz w:val="18"/>
                <w:szCs w:val="18"/>
                <w:lang w:val="es-ES"/>
              </w:rPr>
            </w:pPr>
          </w:p>
        </w:tc>
        <w:tc>
          <w:tcPr>
            <w:tcW w:w="2410" w:type="dxa"/>
            <w:vMerge w:val="restart"/>
          </w:tcPr>
          <w:p w14:paraId="32D77415" w14:textId="77777777" w:rsidR="00067534" w:rsidRPr="00B83E1A" w:rsidRDefault="00067534" w:rsidP="004E65E7">
            <w:pPr>
              <w:rPr>
                <w:sz w:val="18"/>
                <w:szCs w:val="18"/>
                <w:lang w:val="es-ES"/>
              </w:rPr>
            </w:pPr>
            <w:r w:rsidRPr="00B83E1A">
              <w:rPr>
                <w:sz w:val="18"/>
                <w:szCs w:val="18"/>
                <w:lang w:val="es-ES"/>
              </w:rPr>
              <w:t>Resultado ii) Las herramientas de P.I. se utilizan para la transferencia de tecnología por parte de países desarrollados a países en desarrollo, especialmente los países menos adelantados, para responder a los desafíos mundiales.</w:t>
            </w:r>
          </w:p>
          <w:p w14:paraId="0E8D14C9" w14:textId="77777777" w:rsidR="00067534" w:rsidRPr="00B83E1A" w:rsidRDefault="00067534" w:rsidP="004E65E7">
            <w:pPr>
              <w:rPr>
                <w:sz w:val="18"/>
                <w:szCs w:val="18"/>
                <w:lang w:val="es-ES"/>
              </w:rPr>
            </w:pPr>
          </w:p>
        </w:tc>
        <w:tc>
          <w:tcPr>
            <w:tcW w:w="2551" w:type="dxa"/>
            <w:gridSpan w:val="4"/>
          </w:tcPr>
          <w:p w14:paraId="55631D9D" w14:textId="77777777" w:rsidR="00067534" w:rsidRPr="00B83E1A" w:rsidRDefault="00067534" w:rsidP="004E65E7">
            <w:pPr>
              <w:rPr>
                <w:sz w:val="18"/>
                <w:szCs w:val="18"/>
                <w:lang w:val="es-ES"/>
              </w:rPr>
            </w:pPr>
            <w:r w:rsidRPr="00B83E1A">
              <w:rPr>
                <w:sz w:val="18"/>
                <w:szCs w:val="18"/>
                <w:lang w:val="es-ES"/>
              </w:rPr>
              <w:t>Número de participantes en plataformas de P.I.</w:t>
            </w:r>
          </w:p>
        </w:tc>
        <w:tc>
          <w:tcPr>
            <w:tcW w:w="2586" w:type="dxa"/>
          </w:tcPr>
          <w:p w14:paraId="5673EB86" w14:textId="77777777" w:rsidR="00067534" w:rsidRPr="00B83E1A" w:rsidRDefault="00067534" w:rsidP="004E65E7">
            <w:pPr>
              <w:keepNext/>
              <w:keepLines/>
              <w:rPr>
                <w:sz w:val="18"/>
                <w:szCs w:val="18"/>
                <w:lang w:val="es-ES" w:bidi="th-TH"/>
              </w:rPr>
            </w:pPr>
            <w:r w:rsidRPr="00B83E1A">
              <w:rPr>
                <w:sz w:val="18"/>
                <w:szCs w:val="18"/>
                <w:lang w:val="es-ES" w:bidi="th-TH"/>
              </w:rPr>
              <w:t>WIPO Re:Search:  61 miembros (proveedores, usuarios y colaboradores) (en total).</w:t>
            </w:r>
          </w:p>
          <w:p w14:paraId="381F4534" w14:textId="77777777" w:rsidR="00067534" w:rsidRPr="00B83E1A" w:rsidRDefault="00067534" w:rsidP="004E65E7">
            <w:pPr>
              <w:keepNext/>
              <w:keepLines/>
              <w:rPr>
                <w:sz w:val="18"/>
                <w:szCs w:val="18"/>
                <w:lang w:val="es-ES" w:bidi="th-TH"/>
              </w:rPr>
            </w:pPr>
          </w:p>
          <w:p w14:paraId="2156B170" w14:textId="1E93470C" w:rsidR="00067534" w:rsidRPr="00B83E1A" w:rsidRDefault="00067534" w:rsidP="003D376E">
            <w:pPr>
              <w:keepNext/>
              <w:keepLines/>
              <w:rPr>
                <w:sz w:val="18"/>
                <w:szCs w:val="18"/>
                <w:lang w:val="es-ES"/>
              </w:rPr>
            </w:pPr>
            <w:r w:rsidRPr="00B83E1A">
              <w:rPr>
                <w:sz w:val="18"/>
                <w:szCs w:val="18"/>
                <w:lang w:val="es-ES" w:bidi="th-TH"/>
              </w:rPr>
              <w:t xml:space="preserve">WIPO GREEN:  20 participantes (organismos que colaboran, proveedores de tecnología y personas que buscan tecnología) (en total). </w:t>
            </w:r>
          </w:p>
        </w:tc>
      </w:tr>
      <w:tr w:rsidR="00067534" w:rsidRPr="00B83E1A" w14:paraId="210A2799" w14:textId="77777777" w:rsidTr="004E65E7">
        <w:trPr>
          <w:jc w:val="center"/>
        </w:trPr>
        <w:tc>
          <w:tcPr>
            <w:tcW w:w="1681" w:type="dxa"/>
            <w:gridSpan w:val="2"/>
            <w:vMerge/>
          </w:tcPr>
          <w:p w14:paraId="1575B953" w14:textId="77777777" w:rsidR="00067534" w:rsidRPr="00B83E1A" w:rsidRDefault="00067534" w:rsidP="004E65E7">
            <w:pPr>
              <w:ind w:leftChars="-1" w:left="2" w:hangingChars="2" w:hanging="4"/>
              <w:rPr>
                <w:sz w:val="18"/>
                <w:szCs w:val="18"/>
                <w:lang w:val="es-ES"/>
              </w:rPr>
            </w:pPr>
          </w:p>
        </w:tc>
        <w:tc>
          <w:tcPr>
            <w:tcW w:w="2410" w:type="dxa"/>
            <w:vMerge/>
          </w:tcPr>
          <w:p w14:paraId="60536284" w14:textId="77777777" w:rsidR="00067534" w:rsidRPr="00B83E1A" w:rsidRDefault="00067534" w:rsidP="004E65E7">
            <w:pPr>
              <w:rPr>
                <w:sz w:val="18"/>
                <w:szCs w:val="18"/>
                <w:lang w:val="es-ES"/>
              </w:rPr>
            </w:pPr>
          </w:p>
        </w:tc>
        <w:tc>
          <w:tcPr>
            <w:tcW w:w="2551" w:type="dxa"/>
            <w:gridSpan w:val="4"/>
          </w:tcPr>
          <w:p w14:paraId="79F75916" w14:textId="77777777" w:rsidR="00067534" w:rsidRPr="00B83E1A" w:rsidRDefault="00067534" w:rsidP="004E65E7">
            <w:pPr>
              <w:rPr>
                <w:sz w:val="18"/>
                <w:szCs w:val="18"/>
                <w:lang w:val="es-ES"/>
              </w:rPr>
            </w:pPr>
            <w:r w:rsidRPr="00B83E1A">
              <w:rPr>
                <w:sz w:val="18"/>
                <w:szCs w:val="18"/>
                <w:lang w:val="es-ES"/>
              </w:rPr>
              <w:t>Número de transacciones realizadas por medio de la(s) plataforma(s).</w:t>
            </w:r>
          </w:p>
        </w:tc>
        <w:tc>
          <w:tcPr>
            <w:tcW w:w="2586" w:type="dxa"/>
          </w:tcPr>
          <w:p w14:paraId="212199DB" w14:textId="384A7F30" w:rsidR="00067534" w:rsidRPr="00B83E1A" w:rsidRDefault="00067534" w:rsidP="004E65E7">
            <w:pPr>
              <w:rPr>
                <w:sz w:val="18"/>
                <w:szCs w:val="18"/>
                <w:lang w:val="es-ES" w:bidi="th-TH"/>
              </w:rPr>
            </w:pPr>
            <w:r w:rsidRPr="00B83E1A">
              <w:rPr>
                <w:sz w:val="18"/>
                <w:szCs w:val="18"/>
                <w:lang w:val="es-ES" w:bidi="th-TH"/>
              </w:rPr>
              <w:t>WIPO Re:Search:  13 colaboraciones a finales d</w:t>
            </w:r>
            <w:r w:rsidR="009A700A" w:rsidRPr="00B83E1A">
              <w:rPr>
                <w:sz w:val="18"/>
                <w:szCs w:val="18"/>
                <w:lang w:val="es-ES" w:bidi="th-TH"/>
              </w:rPr>
              <w:t>e 2</w:t>
            </w:r>
            <w:r w:rsidRPr="00B83E1A">
              <w:rPr>
                <w:sz w:val="18"/>
                <w:szCs w:val="18"/>
                <w:lang w:val="es-ES" w:bidi="th-TH"/>
              </w:rPr>
              <w:t>012.</w:t>
            </w:r>
          </w:p>
          <w:p w14:paraId="349A5DB8" w14:textId="77777777" w:rsidR="00067534" w:rsidRPr="00B83E1A" w:rsidRDefault="00067534" w:rsidP="004E65E7">
            <w:pPr>
              <w:spacing w:after="120"/>
              <w:rPr>
                <w:sz w:val="18"/>
                <w:szCs w:val="18"/>
                <w:lang w:val="es-ES"/>
              </w:rPr>
            </w:pPr>
            <w:r w:rsidRPr="00B83E1A">
              <w:rPr>
                <w:sz w:val="18"/>
                <w:szCs w:val="18"/>
                <w:lang w:val="es-ES" w:bidi="th-TH"/>
              </w:rPr>
              <w:t>WIPO GREEN:  Ninguna transacción.</w:t>
            </w:r>
          </w:p>
        </w:tc>
      </w:tr>
      <w:tr w:rsidR="00067534" w:rsidRPr="00B83E1A" w14:paraId="2621392C" w14:textId="77777777" w:rsidTr="004E65E7">
        <w:trPr>
          <w:trHeight w:val="601"/>
          <w:jc w:val="center"/>
        </w:trPr>
        <w:tc>
          <w:tcPr>
            <w:tcW w:w="1681" w:type="dxa"/>
            <w:gridSpan w:val="2"/>
            <w:vMerge w:val="restart"/>
          </w:tcPr>
          <w:p w14:paraId="1D9DE490" w14:textId="07981552" w:rsidR="00067534" w:rsidRPr="00B83E1A" w:rsidRDefault="00067534" w:rsidP="004E65E7">
            <w:pPr>
              <w:rPr>
                <w:i/>
                <w:sz w:val="18"/>
                <w:szCs w:val="18"/>
                <w:lang w:val="es-ES"/>
              </w:rPr>
            </w:pPr>
            <w:r w:rsidRPr="00B83E1A">
              <w:rPr>
                <w:i/>
                <w:sz w:val="18"/>
                <w:szCs w:val="18"/>
                <w:lang w:val="es-ES"/>
              </w:rPr>
              <w:t>Meta estratégica VIII</w:t>
            </w:r>
            <w:r w:rsidR="009A700A" w:rsidRPr="00B83E1A">
              <w:rPr>
                <w:i/>
                <w:sz w:val="18"/>
                <w:szCs w:val="18"/>
                <w:lang w:val="es-ES"/>
              </w:rPr>
              <w:t>:  C</w:t>
            </w:r>
            <w:r w:rsidRPr="00B83E1A">
              <w:rPr>
                <w:i/>
                <w:sz w:val="18"/>
                <w:szCs w:val="18"/>
                <w:lang w:val="es-ES"/>
              </w:rPr>
              <w:t>omunicación eficaz entre la OMPI, sus Estados miembros y todas las partes interesadas</w:t>
            </w:r>
          </w:p>
          <w:p w14:paraId="4D5622D5" w14:textId="77777777" w:rsidR="00067534" w:rsidRPr="00B83E1A" w:rsidRDefault="00067534" w:rsidP="004E65E7">
            <w:pPr>
              <w:ind w:leftChars="-1" w:left="2" w:hangingChars="2" w:hanging="4"/>
              <w:rPr>
                <w:sz w:val="18"/>
                <w:szCs w:val="18"/>
                <w:lang w:val="es-ES"/>
              </w:rPr>
            </w:pPr>
          </w:p>
        </w:tc>
        <w:tc>
          <w:tcPr>
            <w:tcW w:w="2410" w:type="dxa"/>
            <w:vMerge w:val="restart"/>
          </w:tcPr>
          <w:p w14:paraId="7C8319E5" w14:textId="77777777" w:rsidR="00067534" w:rsidRPr="00B83E1A" w:rsidRDefault="00067534" w:rsidP="004E65E7">
            <w:pPr>
              <w:rPr>
                <w:sz w:val="18"/>
                <w:szCs w:val="18"/>
                <w:lang w:val="es-ES"/>
              </w:rPr>
            </w:pPr>
            <w:r w:rsidRPr="00B83E1A">
              <w:rPr>
                <w:sz w:val="18"/>
                <w:szCs w:val="18"/>
                <w:lang w:val="es-ES"/>
              </w:rPr>
              <w:t>Resultado iv) Intercambios abiertos, transparentes y dinámicos con las ONG.</w:t>
            </w:r>
          </w:p>
        </w:tc>
        <w:tc>
          <w:tcPr>
            <w:tcW w:w="2551" w:type="dxa"/>
            <w:gridSpan w:val="4"/>
          </w:tcPr>
          <w:p w14:paraId="4C856233" w14:textId="77777777" w:rsidR="00067534" w:rsidRPr="00B83E1A" w:rsidRDefault="00067534" w:rsidP="004E65E7">
            <w:pPr>
              <w:widowControl w:val="0"/>
              <w:rPr>
                <w:sz w:val="18"/>
                <w:szCs w:val="18"/>
                <w:lang w:val="es-ES"/>
              </w:rPr>
            </w:pPr>
            <w:r w:rsidRPr="00B83E1A">
              <w:rPr>
                <w:sz w:val="18"/>
                <w:szCs w:val="18"/>
                <w:lang w:val="es-ES"/>
              </w:rPr>
              <w:t>Número de mecanismos de cooperación oficial en vigor.</w:t>
            </w:r>
          </w:p>
        </w:tc>
        <w:tc>
          <w:tcPr>
            <w:tcW w:w="2586" w:type="dxa"/>
          </w:tcPr>
          <w:p w14:paraId="341509AE" w14:textId="77777777" w:rsidR="00067534" w:rsidRPr="00B83E1A" w:rsidRDefault="00067534" w:rsidP="004E65E7">
            <w:pPr>
              <w:widowControl w:val="0"/>
              <w:rPr>
                <w:sz w:val="18"/>
                <w:szCs w:val="18"/>
                <w:lang w:val="es-ES"/>
              </w:rPr>
            </w:pPr>
            <w:r w:rsidRPr="00B83E1A">
              <w:rPr>
                <w:sz w:val="18"/>
                <w:szCs w:val="18"/>
                <w:lang w:val="es-ES" w:bidi="th-TH"/>
              </w:rPr>
              <w:t xml:space="preserve">Tres </w:t>
            </w:r>
          </w:p>
        </w:tc>
      </w:tr>
      <w:tr w:rsidR="00067534" w:rsidRPr="00B83E1A" w14:paraId="3AA1AB27" w14:textId="77777777" w:rsidTr="004E65E7">
        <w:trPr>
          <w:jc w:val="center"/>
        </w:trPr>
        <w:tc>
          <w:tcPr>
            <w:tcW w:w="1681" w:type="dxa"/>
            <w:gridSpan w:val="2"/>
            <w:vMerge/>
          </w:tcPr>
          <w:p w14:paraId="639B021B" w14:textId="77777777" w:rsidR="00067534" w:rsidRPr="00B83E1A" w:rsidRDefault="00067534" w:rsidP="004E65E7">
            <w:pPr>
              <w:ind w:leftChars="-1" w:left="2" w:hangingChars="2" w:hanging="4"/>
              <w:rPr>
                <w:sz w:val="18"/>
                <w:szCs w:val="18"/>
                <w:lang w:val="es-ES"/>
              </w:rPr>
            </w:pPr>
          </w:p>
        </w:tc>
        <w:tc>
          <w:tcPr>
            <w:tcW w:w="2410" w:type="dxa"/>
            <w:vMerge/>
          </w:tcPr>
          <w:p w14:paraId="4CACBDB2" w14:textId="77777777" w:rsidR="00067534" w:rsidRPr="00B83E1A" w:rsidRDefault="00067534" w:rsidP="004E65E7">
            <w:pPr>
              <w:rPr>
                <w:sz w:val="18"/>
                <w:szCs w:val="18"/>
                <w:lang w:val="es-ES"/>
              </w:rPr>
            </w:pPr>
          </w:p>
        </w:tc>
        <w:tc>
          <w:tcPr>
            <w:tcW w:w="2551" w:type="dxa"/>
            <w:gridSpan w:val="4"/>
          </w:tcPr>
          <w:p w14:paraId="19F6211F" w14:textId="77777777" w:rsidR="00067534" w:rsidRPr="00B83E1A" w:rsidRDefault="00067534" w:rsidP="004E65E7">
            <w:pPr>
              <w:widowControl w:val="0"/>
              <w:rPr>
                <w:sz w:val="18"/>
                <w:szCs w:val="18"/>
                <w:lang w:val="es-ES"/>
              </w:rPr>
            </w:pPr>
            <w:r w:rsidRPr="00B83E1A">
              <w:rPr>
                <w:sz w:val="18"/>
                <w:szCs w:val="18"/>
                <w:lang w:val="es-ES"/>
              </w:rPr>
              <w:t xml:space="preserve">Número de actividades conjuntas. </w:t>
            </w:r>
          </w:p>
        </w:tc>
        <w:tc>
          <w:tcPr>
            <w:tcW w:w="2586" w:type="dxa"/>
          </w:tcPr>
          <w:p w14:paraId="1261525E" w14:textId="178192AC" w:rsidR="00067534" w:rsidRPr="00B83E1A" w:rsidRDefault="00067534" w:rsidP="004E65E7">
            <w:pPr>
              <w:widowControl w:val="0"/>
              <w:spacing w:after="120"/>
              <w:rPr>
                <w:sz w:val="18"/>
                <w:szCs w:val="18"/>
                <w:lang w:val="es-ES"/>
              </w:rPr>
            </w:pPr>
            <w:r w:rsidRPr="00B83E1A">
              <w:rPr>
                <w:sz w:val="18"/>
                <w:szCs w:val="18"/>
                <w:lang w:val="es-ES"/>
              </w:rPr>
              <w:t>Se organizaro</w:t>
            </w:r>
            <w:r w:rsidR="009A700A" w:rsidRPr="00B83E1A">
              <w:rPr>
                <w:sz w:val="18"/>
                <w:szCs w:val="18"/>
                <w:lang w:val="es-ES"/>
              </w:rPr>
              <w:t>n 1</w:t>
            </w:r>
            <w:r w:rsidRPr="00B83E1A">
              <w:rPr>
                <w:sz w:val="18"/>
                <w:szCs w:val="18"/>
                <w:lang w:val="es-ES"/>
              </w:rPr>
              <w:t>7 actividades conjuntamente con organismos que cooperan con la OMPI y partes interesadas, y/o para las que se contó con la participación del program</w:t>
            </w:r>
            <w:r w:rsidR="009A700A" w:rsidRPr="00B83E1A">
              <w:rPr>
                <w:sz w:val="18"/>
                <w:szCs w:val="18"/>
                <w:lang w:val="es-ES"/>
              </w:rPr>
              <w:t>a 1</w:t>
            </w:r>
            <w:r w:rsidRPr="00B83E1A">
              <w:rPr>
                <w:sz w:val="18"/>
                <w:szCs w:val="18"/>
                <w:lang w:val="es-ES"/>
              </w:rPr>
              <w:t xml:space="preserve">7. </w:t>
            </w:r>
          </w:p>
        </w:tc>
      </w:tr>
      <w:tr w:rsidR="00067534" w:rsidRPr="00B83E1A" w14:paraId="118930D5" w14:textId="77777777" w:rsidTr="004E65E7">
        <w:trPr>
          <w:jc w:val="center"/>
        </w:trPr>
        <w:tc>
          <w:tcPr>
            <w:tcW w:w="1681" w:type="dxa"/>
            <w:gridSpan w:val="2"/>
            <w:vMerge/>
          </w:tcPr>
          <w:p w14:paraId="672FCA30" w14:textId="77777777" w:rsidR="00067534" w:rsidRPr="00B83E1A" w:rsidRDefault="00067534" w:rsidP="004E65E7">
            <w:pPr>
              <w:ind w:leftChars="-1" w:left="2" w:hangingChars="2" w:hanging="4"/>
              <w:rPr>
                <w:sz w:val="18"/>
                <w:szCs w:val="18"/>
                <w:lang w:val="es-ES"/>
              </w:rPr>
            </w:pPr>
          </w:p>
        </w:tc>
        <w:tc>
          <w:tcPr>
            <w:tcW w:w="2410" w:type="dxa"/>
            <w:vMerge/>
          </w:tcPr>
          <w:p w14:paraId="2F6C772B" w14:textId="77777777" w:rsidR="00067534" w:rsidRPr="00B83E1A" w:rsidRDefault="00067534" w:rsidP="004E65E7">
            <w:pPr>
              <w:rPr>
                <w:sz w:val="18"/>
                <w:szCs w:val="18"/>
                <w:lang w:val="es-ES"/>
              </w:rPr>
            </w:pPr>
          </w:p>
        </w:tc>
        <w:tc>
          <w:tcPr>
            <w:tcW w:w="2551" w:type="dxa"/>
            <w:gridSpan w:val="4"/>
          </w:tcPr>
          <w:p w14:paraId="6F247D64" w14:textId="77777777" w:rsidR="00067534" w:rsidRPr="00B83E1A" w:rsidRDefault="00067534" w:rsidP="004E65E7">
            <w:pPr>
              <w:keepNext/>
              <w:keepLines/>
              <w:spacing w:after="120"/>
              <w:rPr>
                <w:sz w:val="18"/>
                <w:szCs w:val="18"/>
                <w:lang w:val="es-ES"/>
              </w:rPr>
            </w:pPr>
            <w:r w:rsidRPr="00B83E1A">
              <w:rPr>
                <w:sz w:val="18"/>
                <w:szCs w:val="18"/>
                <w:lang w:val="es-ES"/>
              </w:rPr>
              <w:t>Número de reuniones informativas, reuniones y actividades organizadas para ONG.</w:t>
            </w:r>
          </w:p>
        </w:tc>
        <w:tc>
          <w:tcPr>
            <w:tcW w:w="2586" w:type="dxa"/>
          </w:tcPr>
          <w:p w14:paraId="65EB5E2F" w14:textId="77777777" w:rsidR="00067534" w:rsidRPr="00B83E1A" w:rsidRDefault="00067534" w:rsidP="004E65E7">
            <w:pPr>
              <w:rPr>
                <w:sz w:val="18"/>
                <w:szCs w:val="18"/>
                <w:lang w:val="es-ES"/>
              </w:rPr>
            </w:pPr>
            <w:r w:rsidRPr="00B83E1A">
              <w:rPr>
                <w:sz w:val="18"/>
                <w:szCs w:val="18"/>
                <w:lang w:val="es-ES"/>
              </w:rPr>
              <w:t>3</w:t>
            </w:r>
          </w:p>
        </w:tc>
      </w:tr>
      <w:tr w:rsidR="00067534" w:rsidRPr="00B83E1A" w14:paraId="0235DB30" w14:textId="77777777" w:rsidTr="004E65E7">
        <w:trPr>
          <w:jc w:val="center"/>
        </w:trPr>
        <w:tc>
          <w:tcPr>
            <w:tcW w:w="1681" w:type="dxa"/>
            <w:gridSpan w:val="2"/>
            <w:vMerge/>
          </w:tcPr>
          <w:p w14:paraId="5723033D" w14:textId="77777777" w:rsidR="00067534" w:rsidRPr="00B83E1A" w:rsidRDefault="00067534" w:rsidP="004E65E7">
            <w:pPr>
              <w:ind w:leftChars="-1" w:left="2" w:hangingChars="2" w:hanging="4"/>
              <w:rPr>
                <w:sz w:val="18"/>
                <w:szCs w:val="18"/>
                <w:lang w:val="es-ES"/>
              </w:rPr>
            </w:pPr>
          </w:p>
        </w:tc>
        <w:tc>
          <w:tcPr>
            <w:tcW w:w="2410" w:type="dxa"/>
            <w:vMerge/>
          </w:tcPr>
          <w:p w14:paraId="75402D46" w14:textId="77777777" w:rsidR="00067534" w:rsidRPr="00B83E1A" w:rsidRDefault="00067534" w:rsidP="004E65E7">
            <w:pPr>
              <w:rPr>
                <w:sz w:val="18"/>
                <w:szCs w:val="18"/>
                <w:lang w:val="es-ES"/>
              </w:rPr>
            </w:pPr>
          </w:p>
        </w:tc>
        <w:tc>
          <w:tcPr>
            <w:tcW w:w="2551" w:type="dxa"/>
            <w:gridSpan w:val="4"/>
          </w:tcPr>
          <w:p w14:paraId="3A15C8C5" w14:textId="77777777" w:rsidR="00067534" w:rsidRPr="00B83E1A" w:rsidRDefault="00067534" w:rsidP="004E65E7">
            <w:pPr>
              <w:spacing w:after="120"/>
              <w:rPr>
                <w:sz w:val="18"/>
                <w:szCs w:val="18"/>
                <w:lang w:val="es-ES"/>
              </w:rPr>
            </w:pPr>
            <w:r w:rsidRPr="00B83E1A">
              <w:rPr>
                <w:sz w:val="18"/>
                <w:szCs w:val="18"/>
                <w:lang w:val="es-ES"/>
              </w:rPr>
              <w:t>Número de reuniones informativas, reuniones y actividades organizadas para ONG de países en desarrollo y PMA.</w:t>
            </w:r>
          </w:p>
        </w:tc>
        <w:tc>
          <w:tcPr>
            <w:tcW w:w="2586" w:type="dxa"/>
          </w:tcPr>
          <w:p w14:paraId="70C40E99" w14:textId="77777777" w:rsidR="00067534" w:rsidRPr="00B83E1A" w:rsidRDefault="00067534" w:rsidP="004E65E7">
            <w:pPr>
              <w:rPr>
                <w:sz w:val="18"/>
                <w:szCs w:val="18"/>
                <w:lang w:val="es-ES"/>
              </w:rPr>
            </w:pPr>
            <w:r w:rsidRPr="00B83E1A">
              <w:rPr>
                <w:sz w:val="18"/>
                <w:szCs w:val="18"/>
                <w:lang w:val="es-ES"/>
              </w:rPr>
              <w:t>No se dispone de datos.</w:t>
            </w:r>
          </w:p>
          <w:p w14:paraId="2C70E60A" w14:textId="77777777" w:rsidR="00067534" w:rsidRPr="00B83E1A" w:rsidRDefault="00067534" w:rsidP="004E65E7">
            <w:pPr>
              <w:rPr>
                <w:sz w:val="18"/>
                <w:szCs w:val="18"/>
                <w:lang w:val="es-ES"/>
              </w:rPr>
            </w:pPr>
          </w:p>
        </w:tc>
      </w:tr>
    </w:tbl>
    <w:p w14:paraId="07FD1A56" w14:textId="696C3BCD" w:rsidR="00067534" w:rsidRPr="00B83E1A" w:rsidRDefault="00067534">
      <w:r w:rsidRPr="00B83E1A">
        <w:br w:type="page"/>
      </w:r>
    </w:p>
    <w:p w14:paraId="5BA95A4A" w14:textId="35F68608" w:rsidR="00067534" w:rsidRPr="00B83E1A" w:rsidRDefault="00067534" w:rsidP="00067534">
      <w:pPr>
        <w:ind w:left="1440" w:hanging="1440"/>
        <w:rPr>
          <w:rFonts w:eastAsia="Calibri"/>
          <w:b/>
        </w:rPr>
      </w:pPr>
      <w:r w:rsidRPr="00B83E1A">
        <w:rPr>
          <w:rFonts w:eastAsia="Calibri"/>
          <w:b/>
        </w:rPr>
        <w:lastRenderedPageBreak/>
        <w:t>Cuadr</w:t>
      </w:r>
      <w:r w:rsidR="009A700A" w:rsidRPr="00B83E1A">
        <w:rPr>
          <w:rFonts w:eastAsia="Calibri"/>
          <w:b/>
        </w:rPr>
        <w:t>o 2</w:t>
      </w:r>
      <w:r w:rsidRPr="00B83E1A">
        <w:rPr>
          <w:rFonts w:eastAsia="Calibri"/>
          <w:b/>
        </w:rPr>
        <w:t>:</w:t>
      </w:r>
      <w:r w:rsidRPr="00B83E1A">
        <w:rPr>
          <w:rFonts w:eastAsia="Calibri"/>
          <w:b/>
        </w:rPr>
        <w:tab/>
        <w:t>CORRESPONDENCIA ENTRE LOS OD</w:t>
      </w:r>
      <w:r w:rsidR="009A700A" w:rsidRPr="00B83E1A">
        <w:rPr>
          <w:rFonts w:eastAsia="Calibri"/>
          <w:b/>
        </w:rPr>
        <w:t>M 1</w:t>
      </w:r>
      <w:r w:rsidRPr="00B83E1A">
        <w:rPr>
          <w:rFonts w:eastAsia="Calibri"/>
          <w:b/>
        </w:rPr>
        <w:t xml:space="preserve">, 6 </w:t>
      </w:r>
      <w:r w:rsidR="009A700A" w:rsidRPr="00B83E1A">
        <w:rPr>
          <w:rFonts w:eastAsia="Calibri"/>
          <w:b/>
        </w:rPr>
        <w:t>Y 8</w:t>
      </w:r>
      <w:r w:rsidRPr="00B83E1A">
        <w:rPr>
          <w:rFonts w:eastAsia="Calibri"/>
          <w:b/>
        </w:rPr>
        <w:t xml:space="preserve"> Y SUS RESPECTIVAS METAS, Y EL MARCO DE RESULTADOS DE LA OMPI PAR</w:t>
      </w:r>
      <w:r w:rsidR="009A700A" w:rsidRPr="00B83E1A">
        <w:rPr>
          <w:rFonts w:eastAsia="Calibri"/>
          <w:b/>
        </w:rPr>
        <w:t>A 2</w:t>
      </w:r>
      <w:r w:rsidRPr="00B83E1A">
        <w:rPr>
          <w:rFonts w:eastAsia="Calibri"/>
          <w:b/>
        </w:rPr>
        <w:t>010/11 Y LOS RESULTADOS DEL RENDIMIENTO BIENA</w:t>
      </w:r>
      <w:r w:rsidR="009A700A" w:rsidRPr="00B83E1A">
        <w:rPr>
          <w:rFonts w:eastAsia="Calibri"/>
          <w:b/>
        </w:rPr>
        <w:t>L 2</w:t>
      </w:r>
      <w:r w:rsidRPr="00B83E1A">
        <w:rPr>
          <w:rFonts w:eastAsia="Calibri"/>
          <w:b/>
        </w:rPr>
        <w:t>010/11</w:t>
      </w:r>
    </w:p>
    <w:p w14:paraId="36DA416D" w14:textId="77777777" w:rsidR="00067534" w:rsidRPr="00B83E1A" w:rsidRDefault="00067534" w:rsidP="000275B2"/>
    <w:tbl>
      <w:tblPr>
        <w:tblStyle w:val="TableGrid"/>
        <w:tblW w:w="9633" w:type="dxa"/>
        <w:jc w:val="center"/>
        <w:tblInd w:w="273" w:type="dxa"/>
        <w:tblLayout w:type="fixed"/>
        <w:tblLook w:val="04A0" w:firstRow="1" w:lastRow="0" w:firstColumn="1" w:lastColumn="0" w:noHBand="0" w:noVBand="1"/>
      </w:tblPr>
      <w:tblGrid>
        <w:gridCol w:w="1713"/>
        <w:gridCol w:w="2409"/>
        <w:gridCol w:w="2410"/>
        <w:gridCol w:w="284"/>
        <w:gridCol w:w="2817"/>
      </w:tblGrid>
      <w:tr w:rsidR="00067534" w:rsidRPr="00B83E1A" w14:paraId="3D8F3EB4" w14:textId="77777777" w:rsidTr="004E65E7">
        <w:trPr>
          <w:trHeight w:val="699"/>
          <w:jc w:val="center"/>
        </w:trPr>
        <w:tc>
          <w:tcPr>
            <w:tcW w:w="9633" w:type="dxa"/>
            <w:gridSpan w:val="5"/>
            <w:shd w:val="clear" w:color="auto" w:fill="C4BC96" w:themeFill="background2" w:themeFillShade="BF"/>
            <w:vAlign w:val="center"/>
          </w:tcPr>
          <w:p w14:paraId="78FDD988" w14:textId="7E453A79" w:rsidR="00067534" w:rsidRPr="00B83E1A" w:rsidRDefault="00067534" w:rsidP="004E65E7">
            <w:pPr>
              <w:rPr>
                <w:sz w:val="18"/>
                <w:szCs w:val="18"/>
                <w:lang w:val="es-ES"/>
              </w:rPr>
            </w:pPr>
            <w:r w:rsidRPr="00B83E1A">
              <w:rPr>
                <w:b/>
                <w:bCs/>
                <w:sz w:val="18"/>
                <w:szCs w:val="18"/>
                <w:lang w:val="es-ES"/>
              </w:rPr>
              <w:t>ODM - Objetiv</w:t>
            </w:r>
            <w:r w:rsidR="009A700A" w:rsidRPr="00B83E1A">
              <w:rPr>
                <w:b/>
                <w:bCs/>
                <w:sz w:val="18"/>
                <w:szCs w:val="18"/>
                <w:lang w:val="es-ES"/>
              </w:rPr>
              <w:t>o 1</w:t>
            </w:r>
            <w:r w:rsidRPr="00B83E1A">
              <w:rPr>
                <w:b/>
                <w:bCs/>
                <w:sz w:val="18"/>
                <w:szCs w:val="18"/>
                <w:lang w:val="es-ES"/>
              </w:rPr>
              <w:t>:  Erradicar la pobreza extrema y el hambre</w:t>
            </w:r>
          </w:p>
        </w:tc>
      </w:tr>
      <w:tr w:rsidR="00067534" w:rsidRPr="00B83E1A" w14:paraId="36B3256C" w14:textId="77777777" w:rsidTr="004E65E7">
        <w:trPr>
          <w:trHeight w:val="567"/>
          <w:jc w:val="center"/>
        </w:trPr>
        <w:tc>
          <w:tcPr>
            <w:tcW w:w="9633" w:type="dxa"/>
            <w:gridSpan w:val="5"/>
            <w:shd w:val="clear" w:color="auto" w:fill="DDD9C3" w:themeFill="background2" w:themeFillShade="E6"/>
            <w:vAlign w:val="center"/>
          </w:tcPr>
          <w:p w14:paraId="3B654274" w14:textId="3ACA1BAE" w:rsidR="00067534" w:rsidRPr="00B83E1A" w:rsidRDefault="00067534" w:rsidP="004E65E7">
            <w:pPr>
              <w:rPr>
                <w:b/>
                <w:sz w:val="18"/>
                <w:szCs w:val="18"/>
                <w:lang w:val="es-ES"/>
              </w:rPr>
            </w:pPr>
            <w:r w:rsidRPr="00B83E1A">
              <w:rPr>
                <w:b/>
                <w:sz w:val="18"/>
                <w:szCs w:val="18"/>
                <w:lang w:val="es-ES"/>
              </w:rPr>
              <w:t>Met</w:t>
            </w:r>
            <w:r w:rsidR="009A700A" w:rsidRPr="00B83E1A">
              <w:rPr>
                <w:b/>
                <w:sz w:val="18"/>
                <w:szCs w:val="18"/>
                <w:lang w:val="es-ES"/>
              </w:rPr>
              <w:t>a 1</w:t>
            </w:r>
            <w:r w:rsidRPr="00B83E1A">
              <w:rPr>
                <w:b/>
                <w:sz w:val="18"/>
                <w:szCs w:val="18"/>
                <w:lang w:val="es-ES"/>
              </w:rPr>
              <w:t>.C:  Reducir a la mitad, entr</w:t>
            </w:r>
            <w:r w:rsidR="009A700A" w:rsidRPr="00B83E1A">
              <w:rPr>
                <w:b/>
                <w:sz w:val="18"/>
                <w:szCs w:val="18"/>
                <w:lang w:val="es-ES"/>
              </w:rPr>
              <w:t>e 1</w:t>
            </w:r>
            <w:r w:rsidRPr="00B83E1A">
              <w:rPr>
                <w:b/>
                <w:sz w:val="18"/>
                <w:szCs w:val="18"/>
                <w:lang w:val="es-ES"/>
              </w:rPr>
              <w:t xml:space="preserve">990 </w:t>
            </w:r>
            <w:r w:rsidR="009A700A" w:rsidRPr="00B83E1A">
              <w:rPr>
                <w:b/>
                <w:sz w:val="18"/>
                <w:szCs w:val="18"/>
                <w:lang w:val="es-ES"/>
              </w:rPr>
              <w:t>y 2</w:t>
            </w:r>
            <w:r w:rsidRPr="00B83E1A">
              <w:rPr>
                <w:b/>
                <w:sz w:val="18"/>
                <w:szCs w:val="18"/>
                <w:lang w:val="es-ES"/>
              </w:rPr>
              <w:t>015, el porcentaje de personas que padezcan hambre</w:t>
            </w:r>
          </w:p>
        </w:tc>
      </w:tr>
      <w:tr w:rsidR="00067534" w:rsidRPr="00B83E1A" w14:paraId="083B800E" w14:textId="77777777" w:rsidTr="004E65E7">
        <w:trPr>
          <w:trHeight w:val="195"/>
          <w:jc w:val="center"/>
        </w:trPr>
        <w:tc>
          <w:tcPr>
            <w:tcW w:w="1713" w:type="dxa"/>
            <w:shd w:val="clear" w:color="auto" w:fill="C6D9F1" w:themeFill="text2" w:themeFillTint="33"/>
            <w:vAlign w:val="center"/>
          </w:tcPr>
          <w:p w14:paraId="11AF6C71" w14:textId="77777777" w:rsidR="00067534" w:rsidRPr="00B83E1A" w:rsidRDefault="00067534" w:rsidP="004E65E7">
            <w:pPr>
              <w:rPr>
                <w:b/>
                <w:bCs/>
                <w:sz w:val="18"/>
                <w:szCs w:val="18"/>
                <w:lang w:val="es-ES"/>
              </w:rPr>
            </w:pPr>
            <w:r w:rsidRPr="00B83E1A">
              <w:rPr>
                <w:b/>
                <w:bCs/>
                <w:sz w:val="18"/>
                <w:szCs w:val="18"/>
                <w:lang w:val="es-ES"/>
              </w:rPr>
              <w:t>Meta estratégica de la OMPI</w:t>
            </w:r>
          </w:p>
        </w:tc>
        <w:tc>
          <w:tcPr>
            <w:tcW w:w="2409" w:type="dxa"/>
            <w:shd w:val="clear" w:color="auto" w:fill="C6D9F1" w:themeFill="text2" w:themeFillTint="33"/>
            <w:vAlign w:val="center"/>
          </w:tcPr>
          <w:p w14:paraId="11DFD41D" w14:textId="77777777" w:rsidR="00067534" w:rsidRPr="00B83E1A" w:rsidRDefault="00067534" w:rsidP="004E65E7">
            <w:pPr>
              <w:rPr>
                <w:b/>
                <w:bCs/>
                <w:sz w:val="18"/>
                <w:szCs w:val="18"/>
                <w:lang w:val="es-ES"/>
              </w:rPr>
            </w:pPr>
            <w:r w:rsidRPr="00B83E1A">
              <w:rPr>
                <w:b/>
                <w:bCs/>
                <w:sz w:val="18"/>
                <w:szCs w:val="18"/>
                <w:lang w:val="es-ES"/>
              </w:rPr>
              <w:t>Resultado previsto de la OMPI pertinente - 2010/11</w:t>
            </w:r>
          </w:p>
        </w:tc>
        <w:tc>
          <w:tcPr>
            <w:tcW w:w="2410" w:type="dxa"/>
            <w:shd w:val="clear" w:color="auto" w:fill="C6D9F1" w:themeFill="text2" w:themeFillTint="33"/>
            <w:vAlign w:val="center"/>
          </w:tcPr>
          <w:p w14:paraId="52D924B1" w14:textId="77777777" w:rsidR="00067534" w:rsidRPr="00B83E1A" w:rsidRDefault="00067534" w:rsidP="004E65E7">
            <w:pPr>
              <w:rPr>
                <w:b/>
                <w:bCs/>
                <w:sz w:val="18"/>
                <w:szCs w:val="18"/>
                <w:lang w:val="es-ES"/>
              </w:rPr>
            </w:pPr>
            <w:r w:rsidRPr="00B83E1A">
              <w:rPr>
                <w:b/>
                <w:bCs/>
                <w:sz w:val="18"/>
                <w:szCs w:val="18"/>
                <w:lang w:val="es-ES"/>
              </w:rPr>
              <w:t>Indicadores de rendimiento</w:t>
            </w:r>
          </w:p>
        </w:tc>
        <w:tc>
          <w:tcPr>
            <w:tcW w:w="3101" w:type="dxa"/>
            <w:gridSpan w:val="2"/>
            <w:shd w:val="clear" w:color="auto" w:fill="C6D9F1" w:themeFill="text2" w:themeFillTint="33"/>
            <w:vAlign w:val="center"/>
          </w:tcPr>
          <w:p w14:paraId="6F617111" w14:textId="77777777" w:rsidR="00067534" w:rsidRPr="00B83E1A" w:rsidRDefault="00067534" w:rsidP="004E65E7">
            <w:pPr>
              <w:rPr>
                <w:sz w:val="18"/>
                <w:szCs w:val="18"/>
                <w:lang w:val="es-ES"/>
              </w:rPr>
            </w:pPr>
            <w:r w:rsidRPr="00B83E1A">
              <w:rPr>
                <w:b/>
                <w:bCs/>
                <w:sz w:val="18"/>
                <w:szCs w:val="18"/>
                <w:lang w:val="es-ES"/>
              </w:rPr>
              <w:t>Datos sobre el rendimiento</w:t>
            </w:r>
          </w:p>
        </w:tc>
      </w:tr>
      <w:tr w:rsidR="00067534" w:rsidRPr="00B83E1A" w14:paraId="42C3DB1E" w14:textId="77777777" w:rsidTr="004E65E7">
        <w:trPr>
          <w:trHeight w:val="1828"/>
          <w:jc w:val="center"/>
        </w:trPr>
        <w:tc>
          <w:tcPr>
            <w:tcW w:w="1713" w:type="dxa"/>
            <w:vMerge w:val="restart"/>
            <w:vAlign w:val="center"/>
          </w:tcPr>
          <w:p w14:paraId="6DAC5BB2" w14:textId="12F7E60D" w:rsidR="00067534" w:rsidRPr="00B83E1A" w:rsidRDefault="00067534" w:rsidP="004E65E7">
            <w:pPr>
              <w:rPr>
                <w:i/>
                <w:sz w:val="18"/>
                <w:szCs w:val="18"/>
                <w:lang w:val="es-ES"/>
              </w:rPr>
            </w:pPr>
            <w:r w:rsidRPr="00B83E1A">
              <w:rPr>
                <w:i/>
                <w:sz w:val="18"/>
                <w:szCs w:val="18"/>
                <w:lang w:val="es-ES"/>
              </w:rPr>
              <w:t>Meta estratégica I</w:t>
            </w:r>
            <w:r w:rsidR="009A700A" w:rsidRPr="00B83E1A">
              <w:rPr>
                <w:i/>
                <w:sz w:val="18"/>
                <w:szCs w:val="18"/>
                <w:lang w:val="es-ES"/>
              </w:rPr>
              <w:t>:  E</w:t>
            </w:r>
            <w:r w:rsidRPr="00B83E1A">
              <w:rPr>
                <w:i/>
                <w:sz w:val="18"/>
                <w:szCs w:val="18"/>
                <w:lang w:val="es-ES"/>
              </w:rPr>
              <w:t>volución equilibrada del marco normativo internacional de P.I.</w:t>
            </w:r>
          </w:p>
          <w:p w14:paraId="0846A7DD" w14:textId="77777777" w:rsidR="00067534" w:rsidRPr="00B83E1A" w:rsidRDefault="00067534" w:rsidP="004E65E7">
            <w:pPr>
              <w:rPr>
                <w:i/>
                <w:sz w:val="18"/>
                <w:szCs w:val="18"/>
                <w:lang w:val="es-ES"/>
              </w:rPr>
            </w:pPr>
          </w:p>
          <w:p w14:paraId="19A287DA" w14:textId="77777777" w:rsidR="00067534" w:rsidRPr="00B83E1A" w:rsidRDefault="00067534" w:rsidP="004E65E7">
            <w:pPr>
              <w:rPr>
                <w:i/>
                <w:sz w:val="18"/>
                <w:szCs w:val="18"/>
                <w:lang w:val="es-ES"/>
              </w:rPr>
            </w:pPr>
          </w:p>
          <w:p w14:paraId="0B428360" w14:textId="77777777" w:rsidR="00067534" w:rsidRPr="00B83E1A" w:rsidRDefault="00067534" w:rsidP="004E65E7">
            <w:pPr>
              <w:rPr>
                <w:i/>
                <w:sz w:val="18"/>
                <w:szCs w:val="18"/>
                <w:lang w:val="es-ES"/>
              </w:rPr>
            </w:pPr>
          </w:p>
          <w:p w14:paraId="11B6B0CD" w14:textId="77777777" w:rsidR="00067534" w:rsidRPr="00B83E1A" w:rsidRDefault="00067534" w:rsidP="004E65E7">
            <w:pPr>
              <w:rPr>
                <w:i/>
                <w:sz w:val="18"/>
                <w:szCs w:val="18"/>
                <w:lang w:val="es-ES"/>
              </w:rPr>
            </w:pPr>
          </w:p>
          <w:p w14:paraId="28A9616B" w14:textId="77777777" w:rsidR="00067534" w:rsidRPr="00B83E1A" w:rsidRDefault="00067534" w:rsidP="004E65E7">
            <w:pPr>
              <w:rPr>
                <w:i/>
                <w:sz w:val="18"/>
                <w:szCs w:val="18"/>
                <w:lang w:val="es-ES"/>
              </w:rPr>
            </w:pPr>
          </w:p>
          <w:p w14:paraId="050B2183" w14:textId="77777777" w:rsidR="00067534" w:rsidRPr="00B83E1A" w:rsidRDefault="00067534" w:rsidP="004E65E7">
            <w:pPr>
              <w:rPr>
                <w:i/>
                <w:sz w:val="18"/>
                <w:szCs w:val="18"/>
                <w:lang w:val="es-ES"/>
              </w:rPr>
            </w:pPr>
          </w:p>
          <w:p w14:paraId="171157B0" w14:textId="77777777" w:rsidR="00067534" w:rsidRPr="00B83E1A" w:rsidRDefault="00067534" w:rsidP="004E65E7">
            <w:pPr>
              <w:rPr>
                <w:i/>
                <w:sz w:val="18"/>
                <w:szCs w:val="18"/>
                <w:lang w:val="es-ES"/>
              </w:rPr>
            </w:pPr>
          </w:p>
          <w:p w14:paraId="0F5DBE27" w14:textId="77777777" w:rsidR="00067534" w:rsidRPr="00B83E1A" w:rsidRDefault="00067534" w:rsidP="004E65E7">
            <w:pPr>
              <w:rPr>
                <w:i/>
                <w:sz w:val="18"/>
                <w:szCs w:val="18"/>
                <w:lang w:val="es-ES"/>
              </w:rPr>
            </w:pPr>
          </w:p>
          <w:p w14:paraId="1A548F06" w14:textId="77777777" w:rsidR="00067534" w:rsidRPr="00B83E1A" w:rsidRDefault="00067534" w:rsidP="004E65E7">
            <w:pPr>
              <w:rPr>
                <w:i/>
                <w:sz w:val="18"/>
                <w:szCs w:val="18"/>
                <w:lang w:val="es-ES"/>
              </w:rPr>
            </w:pPr>
          </w:p>
          <w:p w14:paraId="38FF9D24" w14:textId="77777777" w:rsidR="00067534" w:rsidRPr="00B83E1A" w:rsidRDefault="00067534" w:rsidP="004E65E7">
            <w:pPr>
              <w:rPr>
                <w:i/>
                <w:sz w:val="18"/>
                <w:szCs w:val="18"/>
                <w:lang w:val="es-ES"/>
              </w:rPr>
            </w:pPr>
          </w:p>
          <w:p w14:paraId="413C3E40" w14:textId="77777777" w:rsidR="00067534" w:rsidRPr="00B83E1A" w:rsidRDefault="00067534" w:rsidP="004E65E7">
            <w:pPr>
              <w:rPr>
                <w:i/>
                <w:sz w:val="18"/>
                <w:szCs w:val="18"/>
                <w:lang w:val="es-ES"/>
              </w:rPr>
            </w:pPr>
          </w:p>
          <w:p w14:paraId="3F2D04BA" w14:textId="77777777" w:rsidR="00067534" w:rsidRPr="00B83E1A" w:rsidRDefault="00067534" w:rsidP="004E65E7">
            <w:pPr>
              <w:rPr>
                <w:i/>
                <w:sz w:val="18"/>
                <w:szCs w:val="18"/>
                <w:lang w:val="es-ES"/>
              </w:rPr>
            </w:pPr>
          </w:p>
          <w:p w14:paraId="3D1B277E" w14:textId="77777777" w:rsidR="00067534" w:rsidRPr="00B83E1A" w:rsidRDefault="00067534" w:rsidP="004E65E7">
            <w:pPr>
              <w:rPr>
                <w:i/>
                <w:sz w:val="18"/>
                <w:szCs w:val="18"/>
                <w:lang w:val="es-ES"/>
              </w:rPr>
            </w:pPr>
          </w:p>
          <w:p w14:paraId="55C6D108" w14:textId="77777777" w:rsidR="00067534" w:rsidRPr="00B83E1A" w:rsidRDefault="00067534" w:rsidP="004E65E7">
            <w:pPr>
              <w:rPr>
                <w:i/>
                <w:sz w:val="18"/>
                <w:szCs w:val="18"/>
                <w:lang w:val="es-ES"/>
              </w:rPr>
            </w:pPr>
          </w:p>
          <w:p w14:paraId="474E0BF4" w14:textId="77777777" w:rsidR="00067534" w:rsidRPr="00B83E1A" w:rsidRDefault="00067534" w:rsidP="004E65E7">
            <w:pPr>
              <w:rPr>
                <w:i/>
                <w:sz w:val="18"/>
                <w:szCs w:val="18"/>
                <w:lang w:val="es-ES"/>
              </w:rPr>
            </w:pPr>
          </w:p>
          <w:p w14:paraId="182D66A3" w14:textId="77777777" w:rsidR="00067534" w:rsidRPr="00B83E1A" w:rsidRDefault="00067534" w:rsidP="004E65E7">
            <w:pPr>
              <w:rPr>
                <w:i/>
                <w:sz w:val="18"/>
                <w:szCs w:val="18"/>
                <w:lang w:val="es-ES"/>
              </w:rPr>
            </w:pPr>
          </w:p>
          <w:p w14:paraId="20C72A46" w14:textId="77777777" w:rsidR="00067534" w:rsidRPr="00B83E1A" w:rsidRDefault="00067534" w:rsidP="004E65E7">
            <w:pPr>
              <w:rPr>
                <w:i/>
                <w:sz w:val="18"/>
                <w:szCs w:val="18"/>
                <w:lang w:val="es-ES"/>
              </w:rPr>
            </w:pPr>
          </w:p>
          <w:p w14:paraId="13AD759B" w14:textId="77777777" w:rsidR="00067534" w:rsidRPr="00B83E1A" w:rsidRDefault="00067534" w:rsidP="004E65E7">
            <w:pPr>
              <w:rPr>
                <w:i/>
                <w:sz w:val="18"/>
                <w:szCs w:val="18"/>
                <w:lang w:val="es-ES"/>
              </w:rPr>
            </w:pPr>
          </w:p>
          <w:p w14:paraId="00857B4D" w14:textId="77777777" w:rsidR="00067534" w:rsidRPr="00B83E1A" w:rsidRDefault="00067534" w:rsidP="004E65E7">
            <w:pPr>
              <w:rPr>
                <w:i/>
                <w:sz w:val="18"/>
                <w:szCs w:val="18"/>
                <w:lang w:val="es-ES"/>
              </w:rPr>
            </w:pPr>
          </w:p>
          <w:p w14:paraId="1BD7F119" w14:textId="77777777" w:rsidR="00067534" w:rsidRPr="00B83E1A" w:rsidRDefault="00067534" w:rsidP="004E65E7">
            <w:pPr>
              <w:rPr>
                <w:i/>
                <w:sz w:val="18"/>
                <w:szCs w:val="18"/>
                <w:lang w:val="es-ES"/>
              </w:rPr>
            </w:pPr>
          </w:p>
          <w:p w14:paraId="4649016F" w14:textId="77777777" w:rsidR="00067534" w:rsidRPr="00B83E1A" w:rsidRDefault="00067534" w:rsidP="004E65E7">
            <w:pPr>
              <w:rPr>
                <w:i/>
                <w:sz w:val="18"/>
                <w:szCs w:val="18"/>
                <w:lang w:val="es-ES"/>
              </w:rPr>
            </w:pPr>
          </w:p>
          <w:p w14:paraId="79C8CAE3" w14:textId="77777777" w:rsidR="00067534" w:rsidRPr="00B83E1A" w:rsidRDefault="00067534" w:rsidP="004E65E7">
            <w:pPr>
              <w:rPr>
                <w:i/>
                <w:sz w:val="18"/>
                <w:szCs w:val="18"/>
                <w:lang w:val="es-ES"/>
              </w:rPr>
            </w:pPr>
          </w:p>
          <w:p w14:paraId="271C5A9B" w14:textId="77777777" w:rsidR="00067534" w:rsidRPr="00B83E1A" w:rsidRDefault="00067534" w:rsidP="004E65E7">
            <w:pPr>
              <w:rPr>
                <w:i/>
                <w:sz w:val="18"/>
                <w:szCs w:val="18"/>
                <w:lang w:val="es-ES"/>
              </w:rPr>
            </w:pPr>
          </w:p>
          <w:p w14:paraId="05CCB4C5" w14:textId="77777777" w:rsidR="00067534" w:rsidRPr="00B83E1A" w:rsidRDefault="00067534" w:rsidP="004E65E7">
            <w:pPr>
              <w:rPr>
                <w:i/>
                <w:sz w:val="18"/>
                <w:szCs w:val="18"/>
                <w:lang w:val="es-ES"/>
              </w:rPr>
            </w:pPr>
          </w:p>
          <w:p w14:paraId="193F8F7C" w14:textId="77777777" w:rsidR="00067534" w:rsidRPr="00B83E1A" w:rsidRDefault="00067534" w:rsidP="004E65E7">
            <w:pPr>
              <w:rPr>
                <w:i/>
                <w:sz w:val="18"/>
                <w:szCs w:val="18"/>
                <w:lang w:val="es-ES"/>
              </w:rPr>
            </w:pPr>
          </w:p>
          <w:p w14:paraId="36703814" w14:textId="77777777" w:rsidR="00067534" w:rsidRPr="00B83E1A" w:rsidRDefault="00067534" w:rsidP="004E65E7">
            <w:pPr>
              <w:rPr>
                <w:i/>
                <w:sz w:val="18"/>
                <w:szCs w:val="18"/>
                <w:lang w:val="es-ES"/>
              </w:rPr>
            </w:pPr>
          </w:p>
          <w:p w14:paraId="0A241B4E" w14:textId="77777777" w:rsidR="00067534" w:rsidRPr="00B83E1A" w:rsidRDefault="00067534" w:rsidP="004E65E7">
            <w:pPr>
              <w:rPr>
                <w:i/>
                <w:sz w:val="18"/>
                <w:szCs w:val="18"/>
                <w:lang w:val="es-ES"/>
              </w:rPr>
            </w:pPr>
          </w:p>
          <w:p w14:paraId="2638301E" w14:textId="77777777" w:rsidR="00067534" w:rsidRPr="00B83E1A" w:rsidRDefault="00067534" w:rsidP="004E65E7">
            <w:pPr>
              <w:rPr>
                <w:i/>
                <w:sz w:val="18"/>
                <w:szCs w:val="18"/>
                <w:lang w:val="es-ES"/>
              </w:rPr>
            </w:pPr>
          </w:p>
          <w:p w14:paraId="549AABE4" w14:textId="77777777" w:rsidR="00067534" w:rsidRPr="00B83E1A" w:rsidRDefault="00067534" w:rsidP="004E65E7">
            <w:pPr>
              <w:rPr>
                <w:i/>
                <w:sz w:val="18"/>
                <w:szCs w:val="18"/>
                <w:lang w:val="es-ES"/>
              </w:rPr>
            </w:pPr>
          </w:p>
          <w:p w14:paraId="4CC11E1F" w14:textId="77777777" w:rsidR="00067534" w:rsidRPr="00B83E1A" w:rsidRDefault="00067534" w:rsidP="004E65E7">
            <w:pPr>
              <w:rPr>
                <w:i/>
                <w:sz w:val="18"/>
                <w:szCs w:val="18"/>
                <w:lang w:val="es-ES"/>
              </w:rPr>
            </w:pPr>
          </w:p>
          <w:p w14:paraId="27AD725D" w14:textId="77777777" w:rsidR="00067534" w:rsidRPr="00B83E1A" w:rsidRDefault="00067534" w:rsidP="004E65E7">
            <w:pPr>
              <w:rPr>
                <w:i/>
                <w:sz w:val="18"/>
                <w:szCs w:val="18"/>
                <w:lang w:val="es-ES"/>
              </w:rPr>
            </w:pPr>
          </w:p>
          <w:p w14:paraId="4409313A" w14:textId="77777777" w:rsidR="00067534" w:rsidRPr="00B83E1A" w:rsidRDefault="00067534" w:rsidP="004E65E7">
            <w:pPr>
              <w:rPr>
                <w:i/>
                <w:sz w:val="18"/>
                <w:szCs w:val="18"/>
                <w:lang w:val="es-ES"/>
              </w:rPr>
            </w:pPr>
          </w:p>
          <w:p w14:paraId="2FB256F0" w14:textId="77777777" w:rsidR="00067534" w:rsidRPr="00B83E1A" w:rsidRDefault="00067534" w:rsidP="004E65E7">
            <w:pPr>
              <w:rPr>
                <w:i/>
                <w:sz w:val="18"/>
                <w:szCs w:val="18"/>
                <w:lang w:val="es-ES"/>
              </w:rPr>
            </w:pPr>
          </w:p>
          <w:p w14:paraId="67BDF8FF" w14:textId="77777777" w:rsidR="00067534" w:rsidRPr="00B83E1A" w:rsidRDefault="00067534" w:rsidP="004E65E7">
            <w:pPr>
              <w:rPr>
                <w:i/>
                <w:sz w:val="18"/>
                <w:szCs w:val="18"/>
                <w:lang w:val="es-ES"/>
              </w:rPr>
            </w:pPr>
          </w:p>
          <w:p w14:paraId="7E06373C" w14:textId="77777777" w:rsidR="00067534" w:rsidRPr="00B83E1A" w:rsidRDefault="00067534" w:rsidP="004E65E7">
            <w:pPr>
              <w:rPr>
                <w:i/>
                <w:sz w:val="18"/>
                <w:szCs w:val="18"/>
                <w:lang w:val="es-ES"/>
              </w:rPr>
            </w:pPr>
          </w:p>
          <w:p w14:paraId="4F81E884" w14:textId="77777777" w:rsidR="00067534" w:rsidRPr="00B83E1A" w:rsidRDefault="00067534" w:rsidP="004E65E7">
            <w:pPr>
              <w:rPr>
                <w:i/>
                <w:sz w:val="18"/>
                <w:szCs w:val="18"/>
                <w:lang w:val="es-ES"/>
              </w:rPr>
            </w:pPr>
          </w:p>
          <w:p w14:paraId="45C1E333" w14:textId="77777777" w:rsidR="00067534" w:rsidRPr="00B83E1A" w:rsidRDefault="00067534" w:rsidP="004E65E7">
            <w:pPr>
              <w:rPr>
                <w:i/>
                <w:sz w:val="18"/>
                <w:szCs w:val="18"/>
                <w:lang w:val="es-ES"/>
              </w:rPr>
            </w:pPr>
          </w:p>
          <w:p w14:paraId="3A35EDCD" w14:textId="77777777" w:rsidR="00067534" w:rsidRPr="00B83E1A" w:rsidRDefault="00067534" w:rsidP="004E65E7">
            <w:pPr>
              <w:rPr>
                <w:i/>
                <w:sz w:val="18"/>
                <w:szCs w:val="18"/>
                <w:lang w:val="es-ES"/>
              </w:rPr>
            </w:pPr>
          </w:p>
          <w:p w14:paraId="41F095E2" w14:textId="77777777" w:rsidR="00067534" w:rsidRPr="00B83E1A" w:rsidRDefault="00067534" w:rsidP="004E65E7">
            <w:pPr>
              <w:rPr>
                <w:i/>
                <w:sz w:val="18"/>
                <w:szCs w:val="18"/>
                <w:lang w:val="es-ES"/>
              </w:rPr>
            </w:pPr>
          </w:p>
          <w:p w14:paraId="45B2D2B9" w14:textId="77777777" w:rsidR="00067534" w:rsidRPr="00B83E1A" w:rsidRDefault="00067534" w:rsidP="004E65E7">
            <w:pPr>
              <w:rPr>
                <w:i/>
                <w:sz w:val="18"/>
                <w:szCs w:val="18"/>
                <w:lang w:val="es-ES"/>
              </w:rPr>
            </w:pPr>
          </w:p>
          <w:p w14:paraId="784AD1F4" w14:textId="77777777" w:rsidR="00067534" w:rsidRPr="00B83E1A" w:rsidRDefault="00067534" w:rsidP="004E65E7">
            <w:pPr>
              <w:rPr>
                <w:i/>
                <w:sz w:val="18"/>
                <w:szCs w:val="18"/>
                <w:lang w:val="es-ES"/>
              </w:rPr>
            </w:pPr>
          </w:p>
          <w:p w14:paraId="69657A2B" w14:textId="77777777" w:rsidR="00067534" w:rsidRPr="00B83E1A" w:rsidRDefault="00067534" w:rsidP="004E65E7">
            <w:pPr>
              <w:rPr>
                <w:i/>
                <w:sz w:val="18"/>
                <w:szCs w:val="18"/>
                <w:lang w:val="es-ES"/>
              </w:rPr>
            </w:pPr>
          </w:p>
          <w:p w14:paraId="750CBFA0" w14:textId="77777777" w:rsidR="00067534" w:rsidRPr="00B83E1A" w:rsidRDefault="00067534" w:rsidP="004E65E7">
            <w:pPr>
              <w:rPr>
                <w:i/>
                <w:sz w:val="18"/>
                <w:szCs w:val="18"/>
                <w:lang w:val="es-ES"/>
              </w:rPr>
            </w:pPr>
          </w:p>
          <w:p w14:paraId="05204E92" w14:textId="77777777" w:rsidR="00067534" w:rsidRPr="00B83E1A" w:rsidRDefault="00067534" w:rsidP="004E65E7">
            <w:pPr>
              <w:rPr>
                <w:i/>
                <w:sz w:val="18"/>
                <w:szCs w:val="18"/>
                <w:lang w:val="es-ES"/>
              </w:rPr>
            </w:pPr>
          </w:p>
          <w:p w14:paraId="4372EAD1" w14:textId="77777777" w:rsidR="00067534" w:rsidRPr="00B83E1A" w:rsidRDefault="00067534" w:rsidP="004E65E7">
            <w:pPr>
              <w:rPr>
                <w:i/>
                <w:sz w:val="18"/>
                <w:szCs w:val="18"/>
                <w:lang w:val="es-ES"/>
              </w:rPr>
            </w:pPr>
          </w:p>
          <w:p w14:paraId="2AA71B1C" w14:textId="77777777" w:rsidR="00067534" w:rsidRPr="00B83E1A" w:rsidRDefault="00067534" w:rsidP="004E65E7">
            <w:pPr>
              <w:rPr>
                <w:i/>
                <w:sz w:val="18"/>
                <w:szCs w:val="18"/>
                <w:lang w:val="es-ES"/>
              </w:rPr>
            </w:pPr>
          </w:p>
          <w:p w14:paraId="67C7CA13" w14:textId="77777777" w:rsidR="00067534" w:rsidRPr="00B83E1A" w:rsidRDefault="00067534" w:rsidP="004E65E7">
            <w:pPr>
              <w:rPr>
                <w:i/>
                <w:sz w:val="18"/>
                <w:szCs w:val="18"/>
                <w:lang w:val="es-ES"/>
              </w:rPr>
            </w:pPr>
          </w:p>
          <w:p w14:paraId="76A030FC" w14:textId="77777777" w:rsidR="00067534" w:rsidRPr="00B83E1A" w:rsidRDefault="00067534" w:rsidP="004E65E7">
            <w:pPr>
              <w:rPr>
                <w:i/>
                <w:sz w:val="18"/>
                <w:szCs w:val="18"/>
                <w:lang w:val="es-ES"/>
              </w:rPr>
            </w:pPr>
          </w:p>
          <w:p w14:paraId="7A843DF0" w14:textId="77777777" w:rsidR="00067534" w:rsidRPr="00B83E1A" w:rsidRDefault="00067534" w:rsidP="004E65E7">
            <w:pPr>
              <w:rPr>
                <w:bCs/>
                <w:sz w:val="18"/>
                <w:szCs w:val="18"/>
                <w:lang w:val="es-ES"/>
              </w:rPr>
            </w:pPr>
          </w:p>
          <w:p w14:paraId="3E490CE9" w14:textId="77777777" w:rsidR="00067534" w:rsidRPr="00B83E1A" w:rsidRDefault="00067534" w:rsidP="004E65E7">
            <w:pPr>
              <w:rPr>
                <w:bCs/>
                <w:sz w:val="18"/>
                <w:szCs w:val="18"/>
                <w:lang w:val="es-ES"/>
              </w:rPr>
            </w:pPr>
          </w:p>
        </w:tc>
        <w:tc>
          <w:tcPr>
            <w:tcW w:w="2409" w:type="dxa"/>
            <w:vMerge w:val="restart"/>
            <w:vAlign w:val="center"/>
          </w:tcPr>
          <w:p w14:paraId="13810FB4" w14:textId="31E186EE" w:rsidR="00067534" w:rsidRPr="00B83E1A" w:rsidRDefault="00067534" w:rsidP="004E65E7">
            <w:pPr>
              <w:rPr>
                <w:sz w:val="18"/>
                <w:szCs w:val="18"/>
                <w:lang w:val="es-ES"/>
              </w:rPr>
            </w:pPr>
            <w:r w:rsidRPr="00B83E1A">
              <w:rPr>
                <w:sz w:val="18"/>
                <w:szCs w:val="18"/>
                <w:lang w:val="es-ES"/>
              </w:rPr>
              <w:lastRenderedPageBreak/>
              <w:t>Resultado (i) Mayor cooperación entre los Estados miembros en el ámbito del desarrollo del sistema internacional de</w:t>
            </w:r>
            <w:r w:rsidR="00B35257" w:rsidRPr="00B83E1A">
              <w:rPr>
                <w:sz w:val="18"/>
                <w:szCs w:val="18"/>
                <w:lang w:val="es-ES"/>
              </w:rPr>
              <w:t xml:space="preserve"> P.I.</w:t>
            </w:r>
          </w:p>
          <w:p w14:paraId="594423B0" w14:textId="77777777" w:rsidR="00067534" w:rsidRPr="00B83E1A" w:rsidRDefault="00067534" w:rsidP="004E65E7">
            <w:pPr>
              <w:rPr>
                <w:sz w:val="18"/>
                <w:szCs w:val="18"/>
                <w:lang w:val="es-ES"/>
              </w:rPr>
            </w:pPr>
          </w:p>
          <w:p w14:paraId="2619F2BA" w14:textId="77777777" w:rsidR="00067534" w:rsidRPr="00B83E1A" w:rsidRDefault="00067534" w:rsidP="004E65E7">
            <w:pPr>
              <w:rPr>
                <w:sz w:val="18"/>
                <w:szCs w:val="18"/>
                <w:lang w:val="es-ES"/>
              </w:rPr>
            </w:pPr>
          </w:p>
          <w:p w14:paraId="4C81909A" w14:textId="77777777" w:rsidR="00067534" w:rsidRPr="00B83E1A" w:rsidRDefault="00067534" w:rsidP="004E65E7">
            <w:pPr>
              <w:rPr>
                <w:sz w:val="18"/>
                <w:szCs w:val="18"/>
                <w:lang w:val="es-ES"/>
              </w:rPr>
            </w:pPr>
          </w:p>
          <w:p w14:paraId="21954548" w14:textId="77777777" w:rsidR="00067534" w:rsidRPr="00B83E1A" w:rsidRDefault="00067534" w:rsidP="004E65E7">
            <w:pPr>
              <w:rPr>
                <w:sz w:val="18"/>
                <w:szCs w:val="18"/>
                <w:lang w:val="es-ES"/>
              </w:rPr>
            </w:pPr>
          </w:p>
          <w:p w14:paraId="768F8CC1" w14:textId="77777777" w:rsidR="00067534" w:rsidRPr="00B83E1A" w:rsidRDefault="00067534" w:rsidP="004E65E7">
            <w:pPr>
              <w:rPr>
                <w:sz w:val="18"/>
                <w:szCs w:val="18"/>
                <w:lang w:val="es-ES"/>
              </w:rPr>
            </w:pPr>
          </w:p>
          <w:p w14:paraId="7C17D1C1" w14:textId="77777777" w:rsidR="00067534" w:rsidRPr="00B83E1A" w:rsidRDefault="00067534" w:rsidP="004E65E7">
            <w:pPr>
              <w:rPr>
                <w:sz w:val="18"/>
                <w:szCs w:val="18"/>
                <w:lang w:val="es-ES"/>
              </w:rPr>
            </w:pPr>
          </w:p>
          <w:p w14:paraId="4BBF307E" w14:textId="77777777" w:rsidR="00067534" w:rsidRPr="00B83E1A" w:rsidRDefault="00067534" w:rsidP="004E65E7">
            <w:pPr>
              <w:rPr>
                <w:sz w:val="18"/>
                <w:szCs w:val="18"/>
                <w:lang w:val="es-ES"/>
              </w:rPr>
            </w:pPr>
          </w:p>
          <w:p w14:paraId="1ACBF9C7" w14:textId="77777777" w:rsidR="00067534" w:rsidRPr="00B83E1A" w:rsidRDefault="00067534" w:rsidP="004E65E7">
            <w:pPr>
              <w:rPr>
                <w:b/>
                <w:bCs/>
                <w:sz w:val="18"/>
                <w:szCs w:val="18"/>
                <w:lang w:val="es-ES"/>
              </w:rPr>
            </w:pPr>
          </w:p>
        </w:tc>
        <w:tc>
          <w:tcPr>
            <w:tcW w:w="2410" w:type="dxa"/>
          </w:tcPr>
          <w:p w14:paraId="1E3A15E5" w14:textId="77777777" w:rsidR="00067534" w:rsidRPr="00B83E1A" w:rsidRDefault="00067534" w:rsidP="004E65E7">
            <w:pPr>
              <w:rPr>
                <w:sz w:val="18"/>
                <w:szCs w:val="18"/>
                <w:lang w:val="es-ES"/>
              </w:rPr>
            </w:pPr>
            <w:r w:rsidRPr="00B83E1A">
              <w:rPr>
                <w:sz w:val="18"/>
                <w:szCs w:val="18"/>
                <w:lang w:val="es-ES"/>
              </w:rPr>
              <w:t>Acuerdo sobre un programa de trabajo del SCP y comienzo de su aplicación, y avances en cuestiones de interés común</w:t>
            </w:r>
          </w:p>
        </w:tc>
        <w:tc>
          <w:tcPr>
            <w:tcW w:w="3101" w:type="dxa"/>
            <w:gridSpan w:val="2"/>
          </w:tcPr>
          <w:p w14:paraId="3566C5ED" w14:textId="77777777" w:rsidR="00067534" w:rsidRPr="00B83E1A" w:rsidRDefault="00067534" w:rsidP="004E65E7">
            <w:pPr>
              <w:spacing w:after="120"/>
              <w:rPr>
                <w:sz w:val="18"/>
                <w:szCs w:val="18"/>
                <w:lang w:val="es-ES"/>
              </w:rPr>
            </w:pPr>
            <w:r w:rsidRPr="00B83E1A">
              <w:rPr>
                <w:sz w:val="18"/>
                <w:szCs w:val="18"/>
                <w:lang w:val="es-ES"/>
              </w:rPr>
              <w:t xml:space="preserve">El SCP ha centrado sus debates en las siguientes cuestiones:  i) excepciones y limitaciones a los derechos de patente (elaboración de un proyecto de cuestionario);  ii) calidad de las patentes, incluidos los procedimientos de oposición;  iii) patentes y salud;  iv) confidencialidad de las comunicaciones entre asesores de patente y sus clientes;  y v)  transferencia de tecnología.  </w:t>
            </w:r>
          </w:p>
        </w:tc>
      </w:tr>
      <w:tr w:rsidR="00067534" w:rsidRPr="00B83E1A" w14:paraId="0B49FDF6" w14:textId="77777777" w:rsidTr="004E65E7">
        <w:trPr>
          <w:trHeight w:val="792"/>
          <w:jc w:val="center"/>
        </w:trPr>
        <w:tc>
          <w:tcPr>
            <w:tcW w:w="1713" w:type="dxa"/>
            <w:vMerge/>
            <w:vAlign w:val="center"/>
          </w:tcPr>
          <w:p w14:paraId="6EB9F11A" w14:textId="77777777" w:rsidR="00067534" w:rsidRPr="00B83E1A" w:rsidRDefault="00067534" w:rsidP="004E65E7">
            <w:pPr>
              <w:rPr>
                <w:b/>
                <w:bCs/>
                <w:sz w:val="18"/>
                <w:szCs w:val="18"/>
                <w:lang w:val="es-ES"/>
              </w:rPr>
            </w:pPr>
          </w:p>
        </w:tc>
        <w:tc>
          <w:tcPr>
            <w:tcW w:w="2409" w:type="dxa"/>
            <w:vMerge/>
            <w:vAlign w:val="center"/>
          </w:tcPr>
          <w:p w14:paraId="6E635F2A" w14:textId="77777777" w:rsidR="00067534" w:rsidRPr="00B83E1A" w:rsidRDefault="00067534" w:rsidP="004E65E7">
            <w:pPr>
              <w:rPr>
                <w:b/>
                <w:bCs/>
                <w:sz w:val="18"/>
                <w:szCs w:val="18"/>
                <w:lang w:val="es-ES"/>
              </w:rPr>
            </w:pPr>
          </w:p>
        </w:tc>
        <w:tc>
          <w:tcPr>
            <w:tcW w:w="2410" w:type="dxa"/>
          </w:tcPr>
          <w:p w14:paraId="7546BDAC" w14:textId="77777777" w:rsidR="00067534" w:rsidRPr="00B83E1A" w:rsidRDefault="00067534" w:rsidP="004E65E7">
            <w:pPr>
              <w:spacing w:after="80"/>
              <w:rPr>
                <w:sz w:val="18"/>
                <w:szCs w:val="18"/>
                <w:lang w:val="es-ES"/>
              </w:rPr>
            </w:pPr>
            <w:r w:rsidRPr="00B83E1A">
              <w:rPr>
                <w:sz w:val="18"/>
                <w:szCs w:val="18"/>
                <w:lang w:val="es-ES"/>
              </w:rPr>
              <w:t>Mayor número de Partes Contratantes de los tratados administrados por la OMPI en el ámbito de las patentes</w:t>
            </w:r>
          </w:p>
        </w:tc>
        <w:tc>
          <w:tcPr>
            <w:tcW w:w="3101" w:type="dxa"/>
            <w:gridSpan w:val="2"/>
          </w:tcPr>
          <w:p w14:paraId="35E77395" w14:textId="77777777" w:rsidR="00067534" w:rsidRPr="00B83E1A" w:rsidRDefault="00067534" w:rsidP="004E65E7">
            <w:pPr>
              <w:rPr>
                <w:sz w:val="18"/>
                <w:szCs w:val="18"/>
                <w:lang w:val="es-ES"/>
              </w:rPr>
            </w:pPr>
            <w:r w:rsidRPr="00B83E1A">
              <w:rPr>
                <w:sz w:val="18"/>
                <w:szCs w:val="18"/>
                <w:lang w:val="es-ES"/>
              </w:rPr>
              <w:t>Finales de 2011:174 (Convenio de París)75 (Tratado de Budapest)30 (Tratado sobre el Derecho de Patentes)</w:t>
            </w:r>
          </w:p>
        </w:tc>
      </w:tr>
      <w:tr w:rsidR="00067534" w:rsidRPr="00B83E1A" w14:paraId="2D80E35D" w14:textId="77777777" w:rsidTr="004E65E7">
        <w:trPr>
          <w:trHeight w:val="195"/>
          <w:jc w:val="center"/>
        </w:trPr>
        <w:tc>
          <w:tcPr>
            <w:tcW w:w="1713" w:type="dxa"/>
            <w:vMerge/>
          </w:tcPr>
          <w:p w14:paraId="30A0903F" w14:textId="77777777" w:rsidR="00067534" w:rsidRPr="00B83E1A" w:rsidRDefault="00067534" w:rsidP="004E65E7">
            <w:pPr>
              <w:rPr>
                <w:b/>
                <w:bCs/>
                <w:sz w:val="18"/>
                <w:szCs w:val="18"/>
                <w:lang w:val="es-ES"/>
              </w:rPr>
            </w:pPr>
          </w:p>
        </w:tc>
        <w:tc>
          <w:tcPr>
            <w:tcW w:w="2409" w:type="dxa"/>
          </w:tcPr>
          <w:p w14:paraId="1ACA9E7A" w14:textId="77777777" w:rsidR="00067534" w:rsidRPr="00B83E1A" w:rsidRDefault="00067534" w:rsidP="004E65E7">
            <w:pPr>
              <w:rPr>
                <w:sz w:val="18"/>
                <w:szCs w:val="18"/>
                <w:lang w:val="es-ES"/>
              </w:rPr>
            </w:pPr>
            <w:r w:rsidRPr="00B83E1A">
              <w:rPr>
                <w:sz w:val="18"/>
                <w:szCs w:val="18"/>
                <w:lang w:val="es-ES"/>
              </w:rPr>
              <w:t>Resultado ii) Mayor conciencia de los principios jurídicos, las prácticas y las flexibilidades del sistema de patentes.</w:t>
            </w:r>
          </w:p>
          <w:p w14:paraId="6A2E5CC6" w14:textId="77777777" w:rsidR="00067534" w:rsidRPr="00B83E1A" w:rsidRDefault="00067534" w:rsidP="004E65E7">
            <w:pPr>
              <w:rPr>
                <w:b/>
                <w:bCs/>
                <w:sz w:val="18"/>
                <w:szCs w:val="18"/>
                <w:lang w:val="es-ES"/>
              </w:rPr>
            </w:pPr>
          </w:p>
        </w:tc>
        <w:tc>
          <w:tcPr>
            <w:tcW w:w="2410" w:type="dxa"/>
          </w:tcPr>
          <w:p w14:paraId="0FAA0973" w14:textId="77777777" w:rsidR="00067534" w:rsidRPr="00B83E1A" w:rsidRDefault="00067534" w:rsidP="004E65E7">
            <w:pPr>
              <w:rPr>
                <w:b/>
                <w:bCs/>
                <w:sz w:val="18"/>
                <w:szCs w:val="18"/>
                <w:lang w:val="es-ES"/>
              </w:rPr>
            </w:pPr>
            <w:r w:rsidRPr="00B83E1A">
              <w:rPr>
                <w:sz w:val="18"/>
                <w:szCs w:val="18"/>
                <w:lang w:val="es-ES"/>
              </w:rPr>
              <w:t>Mayor número de debates sobre los principios jurídicos y las prácticas del sistema de patentes, y mayor utilización de dichos principios y prácticas,</w:t>
            </w:r>
          </w:p>
        </w:tc>
        <w:tc>
          <w:tcPr>
            <w:tcW w:w="3101" w:type="dxa"/>
            <w:gridSpan w:val="2"/>
          </w:tcPr>
          <w:p w14:paraId="09393B60" w14:textId="77777777" w:rsidR="00067534" w:rsidRPr="00B83E1A" w:rsidRDefault="00067534" w:rsidP="004E65E7">
            <w:pPr>
              <w:rPr>
                <w:spacing w:val="-2"/>
                <w:sz w:val="18"/>
                <w:szCs w:val="18"/>
                <w:lang w:val="es-ES"/>
              </w:rPr>
            </w:pPr>
            <w:r w:rsidRPr="00B83E1A">
              <w:rPr>
                <w:sz w:val="18"/>
                <w:szCs w:val="18"/>
                <w:lang w:val="es-ES"/>
              </w:rPr>
              <w:t>A través del asesoramiento jurídico y político neutral y equilibrado, los Estados miembros (Bangladesh, Bosnia y Herzegovina, Bhután, Colombia, Ecuador, Egipto, Emiratos Árabes Unidos, Iraq, Islas Cook, Jamaica, Lituania, Líbano, Maldivas, Mauricio, Nigeria, Sudán y Sierra Leona), un grupo regional (COMESA) y una oficina regional (GCC) han recibido apoyo para poder determinar adecuadamente el marco jurídico en materia de patentes/modelos de utilidad /información reservada/ circuitos integrados que se ajusta a sus necesidades.</w:t>
            </w:r>
          </w:p>
          <w:p w14:paraId="7CF2DC85" w14:textId="77777777" w:rsidR="00067534" w:rsidRPr="00B83E1A" w:rsidRDefault="00067534" w:rsidP="004E65E7">
            <w:pPr>
              <w:rPr>
                <w:sz w:val="18"/>
                <w:szCs w:val="18"/>
                <w:lang w:val="es-ES"/>
              </w:rPr>
            </w:pPr>
            <w:r w:rsidRPr="00B83E1A">
              <w:rPr>
                <w:sz w:val="18"/>
                <w:szCs w:val="18"/>
                <w:lang w:val="es-ES"/>
              </w:rPr>
              <w:t>En el CDIP se han debatido dos documentos sobre flexibilidades en materia de patentes;  en la región de Asia se celebró el primero de una serie de seminarios regionales orientados a promover el intercambio de experiencias en la puesta en práctica de flexibilidades en materia de patentes.</w:t>
            </w:r>
          </w:p>
          <w:p w14:paraId="625E0AE4" w14:textId="77777777" w:rsidR="00067534" w:rsidRPr="00B83E1A" w:rsidRDefault="00067534" w:rsidP="004E65E7">
            <w:pPr>
              <w:rPr>
                <w:sz w:val="18"/>
                <w:szCs w:val="18"/>
                <w:lang w:val="es-ES"/>
              </w:rPr>
            </w:pPr>
            <w:r w:rsidRPr="00B83E1A">
              <w:rPr>
                <w:sz w:val="18"/>
                <w:szCs w:val="18"/>
                <w:lang w:val="es-ES"/>
              </w:rPr>
              <w:t xml:space="preserve">Las consultas sobre una serie de derechos y políticas en materia de patente en las capitales (Beirut, Bogotá, Argel, Quito, la Oficina del GCC en Riad, COMESA en Lusaka, Daca) y las reuniones en Ginebra </w:t>
            </w:r>
            <w:r w:rsidRPr="00B83E1A">
              <w:rPr>
                <w:sz w:val="18"/>
                <w:szCs w:val="18"/>
                <w:lang w:val="es-ES"/>
              </w:rPr>
              <w:lastRenderedPageBreak/>
              <w:t>(con delegaciones de Colombia, Omán, las Islas Cook, Mauricio, Túnez, COMESA y Bangladesh) facilitaron una mejor comprensión del sistema y el derecho de patentes.  A ese mismo fin contribuyó la participación en seminarios/talleres nacionales/internacionales sobre política y derecho de patentes que se organizaron conjuntamente con administraciones de P.I. de los siguientes Estados miembros:  Colombia, Costa Rica, el Ecuador, Guatemala, Kenya, el Líbano, Panamá, Samoa, Siria y el Uruguay.</w:t>
            </w:r>
          </w:p>
          <w:p w14:paraId="199CAB29" w14:textId="77777777" w:rsidR="00067534" w:rsidRPr="00B83E1A" w:rsidRDefault="00067534" w:rsidP="004E65E7">
            <w:pPr>
              <w:rPr>
                <w:sz w:val="18"/>
                <w:szCs w:val="18"/>
                <w:lang w:val="es-ES"/>
              </w:rPr>
            </w:pPr>
            <w:r w:rsidRPr="00B83E1A">
              <w:rPr>
                <w:sz w:val="18"/>
                <w:szCs w:val="18"/>
                <w:lang w:val="es-ES"/>
              </w:rPr>
              <w:t>Se proporcionaron directrices y otras aportaciones en forma de 12 respuestas escritas a consultas o documentos de políticas enviados para la formulación de observaciones (estrategias y/o planes de P.I.).</w:t>
            </w:r>
          </w:p>
          <w:p w14:paraId="19CE9778" w14:textId="77777777" w:rsidR="00067534" w:rsidRPr="00B83E1A" w:rsidRDefault="00067534" w:rsidP="004E65E7">
            <w:pPr>
              <w:rPr>
                <w:sz w:val="18"/>
                <w:szCs w:val="18"/>
                <w:lang w:val="es-ES"/>
              </w:rPr>
            </w:pPr>
            <w:r w:rsidRPr="00B83E1A">
              <w:rPr>
                <w:sz w:val="18"/>
                <w:szCs w:val="18"/>
                <w:lang w:val="es-ES"/>
              </w:rPr>
              <w:t>Debates sobre varias cuestiones en materia de patentes en el SCP en los que participaron activamente los Estados miembros mediante el envío de observaciones, entre periodos de sesiones, y propuestas, en las sesiones del SCP.</w:t>
            </w:r>
          </w:p>
          <w:p w14:paraId="086595A0" w14:textId="77777777" w:rsidR="00B35257" w:rsidRPr="00B83E1A" w:rsidRDefault="00067534" w:rsidP="004E65E7">
            <w:pPr>
              <w:rPr>
                <w:sz w:val="18"/>
                <w:szCs w:val="18"/>
                <w:lang w:val="es-ES"/>
              </w:rPr>
            </w:pPr>
            <w:r w:rsidRPr="00B83E1A">
              <w:rPr>
                <w:sz w:val="18"/>
                <w:szCs w:val="18"/>
                <w:lang w:val="es-ES"/>
              </w:rPr>
              <w:t>Más de 70 Estados miembros y oficinas de patentes regionales respondieron a un cuestionario sobre excepciones y limitaciones del derecho de patentes</w:t>
            </w:r>
            <w:r w:rsidR="00B35257" w:rsidRPr="00B83E1A">
              <w:rPr>
                <w:sz w:val="18"/>
                <w:szCs w:val="18"/>
                <w:lang w:val="es-ES"/>
              </w:rPr>
              <w:t>.</w:t>
            </w:r>
          </w:p>
          <w:p w14:paraId="33F73389" w14:textId="41B99A69" w:rsidR="00067534" w:rsidRPr="00B83E1A" w:rsidRDefault="00067534" w:rsidP="00020D52">
            <w:pPr>
              <w:rPr>
                <w:sz w:val="18"/>
                <w:szCs w:val="18"/>
                <w:lang w:val="es-ES"/>
              </w:rPr>
            </w:pPr>
            <w:r w:rsidRPr="00B83E1A">
              <w:rPr>
                <w:sz w:val="18"/>
                <w:szCs w:val="18"/>
                <w:lang w:val="es-ES"/>
              </w:rPr>
              <w:t>El CDIP debatió un estudio sobre las patentes y el dominio público y se aprobó la puesta en marcha de un proyecto sobre patentes y dominio público.</w:t>
            </w:r>
          </w:p>
        </w:tc>
      </w:tr>
      <w:tr w:rsidR="00067534" w:rsidRPr="00B83E1A" w14:paraId="51C69F91" w14:textId="77777777" w:rsidTr="00020D52">
        <w:trPr>
          <w:trHeight w:val="363"/>
          <w:jc w:val="center"/>
        </w:trPr>
        <w:tc>
          <w:tcPr>
            <w:tcW w:w="1713" w:type="dxa"/>
            <w:vMerge w:val="restart"/>
          </w:tcPr>
          <w:p w14:paraId="449F4366" w14:textId="77777777" w:rsidR="00067534" w:rsidRPr="00B83E1A" w:rsidRDefault="00067534" w:rsidP="004E65E7">
            <w:pPr>
              <w:rPr>
                <w:i/>
                <w:sz w:val="18"/>
                <w:szCs w:val="18"/>
                <w:lang w:val="es-ES"/>
              </w:rPr>
            </w:pPr>
            <w:r w:rsidRPr="00B83E1A">
              <w:rPr>
                <w:i/>
                <w:sz w:val="18"/>
                <w:szCs w:val="18"/>
                <w:lang w:val="es-ES"/>
              </w:rPr>
              <w:lastRenderedPageBreak/>
              <w:t>Meta estratégica III:  Facilitar el uso de la P.I. en aras del desarrollo</w:t>
            </w:r>
          </w:p>
          <w:p w14:paraId="2CE96703" w14:textId="77777777" w:rsidR="00067534" w:rsidRPr="00B83E1A" w:rsidRDefault="00067534" w:rsidP="004E65E7">
            <w:pPr>
              <w:rPr>
                <w:b/>
                <w:bCs/>
                <w:sz w:val="18"/>
                <w:szCs w:val="18"/>
                <w:lang w:val="es-ES"/>
              </w:rPr>
            </w:pPr>
          </w:p>
        </w:tc>
        <w:tc>
          <w:tcPr>
            <w:tcW w:w="2409" w:type="dxa"/>
            <w:vMerge w:val="restart"/>
          </w:tcPr>
          <w:p w14:paraId="1121B875" w14:textId="77777777" w:rsidR="00067534" w:rsidRPr="00B83E1A" w:rsidRDefault="00067534" w:rsidP="004E65E7">
            <w:pPr>
              <w:rPr>
                <w:b/>
                <w:bCs/>
                <w:sz w:val="18"/>
                <w:szCs w:val="18"/>
                <w:lang w:val="es-ES"/>
              </w:rPr>
            </w:pPr>
            <w:r w:rsidRPr="00B83E1A">
              <w:rPr>
                <w:sz w:val="18"/>
                <w:szCs w:val="18"/>
                <w:lang w:val="es-ES"/>
              </w:rPr>
              <w:t>Resultado i) Políticas y estrategias nacionales de P.I. y planes de acción por país que estén en concordancia con los planes y prioridades de desarrollo.</w:t>
            </w:r>
          </w:p>
        </w:tc>
        <w:tc>
          <w:tcPr>
            <w:tcW w:w="2410" w:type="dxa"/>
          </w:tcPr>
          <w:p w14:paraId="55AE163A" w14:textId="77777777" w:rsidR="00067534" w:rsidRPr="00B83E1A" w:rsidRDefault="00067534" w:rsidP="004E65E7">
            <w:pPr>
              <w:rPr>
                <w:sz w:val="18"/>
                <w:szCs w:val="18"/>
                <w:lang w:val="es-ES"/>
              </w:rPr>
            </w:pPr>
            <w:r w:rsidRPr="00B83E1A">
              <w:rPr>
                <w:sz w:val="18"/>
                <w:szCs w:val="18"/>
                <w:lang w:val="es-ES"/>
              </w:rPr>
              <w:t>Hasta cinco países han iniciado el proceso de formulación de políticas y estrategias de P.I., cuatro países han adoptado políticas y estrategias de P.I. y tres países están ejecutando planes nacionales de P.I.</w:t>
            </w:r>
          </w:p>
        </w:tc>
        <w:tc>
          <w:tcPr>
            <w:tcW w:w="3101" w:type="dxa"/>
            <w:gridSpan w:val="2"/>
          </w:tcPr>
          <w:p w14:paraId="129791FB" w14:textId="77777777" w:rsidR="00067534" w:rsidRPr="00B83E1A" w:rsidRDefault="00067534" w:rsidP="004E65E7">
            <w:pPr>
              <w:rPr>
                <w:bCs/>
                <w:sz w:val="18"/>
                <w:szCs w:val="18"/>
                <w:lang w:val="es-ES"/>
              </w:rPr>
            </w:pPr>
            <w:r w:rsidRPr="00B83E1A">
              <w:rPr>
                <w:bCs/>
                <w:sz w:val="18"/>
                <w:szCs w:val="18"/>
                <w:u w:val="single"/>
                <w:lang w:val="es-ES"/>
              </w:rPr>
              <w:t>Se inició el proceso de formulación de políticas/estrategias de P.I. en:</w:t>
            </w:r>
            <w:r w:rsidRPr="00B83E1A">
              <w:rPr>
                <w:bCs/>
                <w:sz w:val="18"/>
                <w:szCs w:val="18"/>
                <w:lang w:val="es-ES"/>
              </w:rPr>
              <w:t xml:space="preserve">  Botswana, Burundi, el Camerún, el Congo, Ghana, Lesotho, Malí, Nigeria, la República Centroafricana, la República Democrática del Congo, Tanzanía, el Togo y Sierra Leona (13 países).</w:t>
            </w:r>
          </w:p>
          <w:p w14:paraId="5BC7F4AB" w14:textId="77777777" w:rsidR="00067534" w:rsidRPr="00B83E1A" w:rsidRDefault="00067534" w:rsidP="004E65E7">
            <w:pPr>
              <w:rPr>
                <w:bCs/>
                <w:sz w:val="18"/>
                <w:szCs w:val="18"/>
                <w:lang w:val="es-ES"/>
              </w:rPr>
            </w:pPr>
            <w:r w:rsidRPr="00B83E1A">
              <w:rPr>
                <w:bCs/>
                <w:sz w:val="18"/>
                <w:szCs w:val="18"/>
                <w:u w:val="single"/>
                <w:lang w:val="es-ES"/>
              </w:rPr>
              <w:t>Se aprobaron políticas/estrategias de P.I. en:</w:t>
            </w:r>
            <w:r w:rsidRPr="00B83E1A">
              <w:rPr>
                <w:bCs/>
                <w:sz w:val="18"/>
                <w:szCs w:val="18"/>
                <w:lang w:val="es-ES"/>
              </w:rPr>
              <w:t xml:space="preserve"> </w:t>
            </w:r>
            <w:r w:rsidRPr="00B83E1A">
              <w:rPr>
                <w:bCs/>
                <w:sz w:val="18"/>
                <w:szCs w:val="18"/>
                <w:u w:val="single"/>
                <w:lang w:val="es-ES"/>
              </w:rPr>
              <w:t xml:space="preserve"> </w:t>
            </w:r>
            <w:r w:rsidRPr="00B83E1A">
              <w:rPr>
                <w:bCs/>
                <w:sz w:val="18"/>
                <w:szCs w:val="18"/>
                <w:lang w:val="es-ES"/>
              </w:rPr>
              <w:t>Mauricio, Rwanda, el Senegal y Seychelles (4 países).</w:t>
            </w:r>
          </w:p>
          <w:p w14:paraId="63144BC8" w14:textId="77777777" w:rsidR="00067534" w:rsidRPr="00B83E1A" w:rsidRDefault="00067534" w:rsidP="00020D52">
            <w:pPr>
              <w:rPr>
                <w:bCs/>
                <w:sz w:val="18"/>
                <w:szCs w:val="18"/>
                <w:lang w:val="es-ES"/>
              </w:rPr>
            </w:pPr>
            <w:r w:rsidRPr="00B83E1A">
              <w:rPr>
                <w:bCs/>
                <w:sz w:val="18"/>
                <w:szCs w:val="18"/>
                <w:u w:val="single"/>
                <w:lang w:val="es-ES"/>
              </w:rPr>
              <w:t xml:space="preserve">Se están aplicando políticas/estrategias de P.I. en </w:t>
            </w:r>
            <w:r w:rsidRPr="00B83E1A">
              <w:rPr>
                <w:bCs/>
                <w:sz w:val="18"/>
                <w:szCs w:val="18"/>
                <w:lang w:val="es-ES"/>
              </w:rPr>
              <w:t>Liberia, Mauricio, Rwanda, el Senegal, Seychelles y Zambia (6 países).</w:t>
            </w:r>
          </w:p>
          <w:p w14:paraId="6935D8AF" w14:textId="25BCC1CC" w:rsidR="00020D52" w:rsidRPr="00B83E1A" w:rsidRDefault="00020D52" w:rsidP="00020D52">
            <w:pPr>
              <w:rPr>
                <w:sz w:val="18"/>
                <w:szCs w:val="18"/>
                <w:lang w:val="es-ES"/>
              </w:rPr>
            </w:pPr>
          </w:p>
        </w:tc>
      </w:tr>
      <w:tr w:rsidR="00916327" w:rsidRPr="00B83E1A" w14:paraId="345CAF26" w14:textId="77777777" w:rsidTr="00916327">
        <w:trPr>
          <w:trHeight w:val="2064"/>
          <w:jc w:val="center"/>
        </w:trPr>
        <w:tc>
          <w:tcPr>
            <w:tcW w:w="1713" w:type="dxa"/>
            <w:vMerge/>
          </w:tcPr>
          <w:p w14:paraId="4BE47064" w14:textId="77777777" w:rsidR="00067534" w:rsidRPr="00B83E1A" w:rsidRDefault="00067534" w:rsidP="004E65E7">
            <w:pPr>
              <w:rPr>
                <w:b/>
                <w:bCs/>
                <w:sz w:val="18"/>
                <w:szCs w:val="18"/>
                <w:lang w:val="es-ES"/>
              </w:rPr>
            </w:pPr>
          </w:p>
        </w:tc>
        <w:tc>
          <w:tcPr>
            <w:tcW w:w="2409" w:type="dxa"/>
            <w:vMerge/>
          </w:tcPr>
          <w:p w14:paraId="15B889B1" w14:textId="77777777" w:rsidR="00067534" w:rsidRPr="00B83E1A" w:rsidRDefault="00067534" w:rsidP="004E65E7">
            <w:pPr>
              <w:rPr>
                <w:b/>
                <w:bCs/>
                <w:sz w:val="18"/>
                <w:szCs w:val="18"/>
                <w:lang w:val="es-ES"/>
              </w:rPr>
            </w:pPr>
          </w:p>
        </w:tc>
        <w:tc>
          <w:tcPr>
            <w:tcW w:w="2410" w:type="dxa"/>
          </w:tcPr>
          <w:p w14:paraId="63870B36" w14:textId="77777777" w:rsidR="00067534" w:rsidRPr="00B83E1A" w:rsidRDefault="00067534" w:rsidP="004E65E7">
            <w:pPr>
              <w:rPr>
                <w:sz w:val="18"/>
                <w:szCs w:val="18"/>
                <w:lang w:val="es-ES"/>
              </w:rPr>
            </w:pPr>
            <w:r w:rsidRPr="00B83E1A">
              <w:rPr>
                <w:sz w:val="18"/>
                <w:szCs w:val="18"/>
                <w:lang w:val="es-ES"/>
              </w:rPr>
              <w:t>Dos planes de acción para respaldar las políticas/estrategias regionales en el ámbito de los conocimientos tradicionales y las expresiones culturales tradicionales en el marco de la OAPI y la ARIPO.</w:t>
            </w:r>
          </w:p>
        </w:tc>
        <w:tc>
          <w:tcPr>
            <w:tcW w:w="3101" w:type="dxa"/>
            <w:gridSpan w:val="2"/>
          </w:tcPr>
          <w:p w14:paraId="200D2BF9" w14:textId="10E7802A" w:rsidR="00067534" w:rsidRPr="00B83E1A" w:rsidRDefault="00067534" w:rsidP="004E65E7">
            <w:pPr>
              <w:rPr>
                <w:sz w:val="18"/>
                <w:szCs w:val="18"/>
                <w:lang w:val="es-ES"/>
              </w:rPr>
            </w:pPr>
            <w:r w:rsidRPr="00B83E1A">
              <w:rPr>
                <w:sz w:val="18"/>
                <w:szCs w:val="18"/>
                <w:lang w:val="es-ES"/>
              </w:rPr>
              <w:t>Se aprobó el protocolo de la ARIPO sobre conocimientos tradicionales y expresiones del folklore y un plan de trabajo para la aplicación del protocolo;  la aplicación se inició en 2011 con la formación de los altos funcionarios para facilitar la promulgación de legislación nacional.</w:t>
            </w:r>
          </w:p>
        </w:tc>
      </w:tr>
      <w:tr w:rsidR="00067534" w:rsidRPr="00B83E1A" w14:paraId="05A27AC4" w14:textId="77777777" w:rsidTr="004E65E7">
        <w:trPr>
          <w:trHeight w:val="195"/>
          <w:jc w:val="center"/>
        </w:trPr>
        <w:tc>
          <w:tcPr>
            <w:tcW w:w="1713" w:type="dxa"/>
            <w:vMerge/>
          </w:tcPr>
          <w:p w14:paraId="62B8076A" w14:textId="77777777" w:rsidR="00067534" w:rsidRPr="00B83E1A" w:rsidRDefault="00067534" w:rsidP="004E65E7">
            <w:pPr>
              <w:rPr>
                <w:b/>
                <w:bCs/>
                <w:sz w:val="18"/>
                <w:szCs w:val="18"/>
                <w:lang w:val="es-ES"/>
              </w:rPr>
            </w:pPr>
          </w:p>
        </w:tc>
        <w:tc>
          <w:tcPr>
            <w:tcW w:w="2409" w:type="dxa"/>
            <w:vMerge/>
          </w:tcPr>
          <w:p w14:paraId="490159B4" w14:textId="77777777" w:rsidR="00067534" w:rsidRPr="00B83E1A" w:rsidRDefault="00067534" w:rsidP="004E65E7">
            <w:pPr>
              <w:rPr>
                <w:b/>
                <w:bCs/>
                <w:sz w:val="18"/>
                <w:szCs w:val="18"/>
                <w:lang w:val="es-ES"/>
              </w:rPr>
            </w:pPr>
          </w:p>
        </w:tc>
        <w:tc>
          <w:tcPr>
            <w:tcW w:w="2410" w:type="dxa"/>
          </w:tcPr>
          <w:p w14:paraId="53DB3351" w14:textId="77777777" w:rsidR="00067534" w:rsidRPr="00B83E1A" w:rsidRDefault="00067534" w:rsidP="004E65E7">
            <w:pPr>
              <w:rPr>
                <w:b/>
                <w:bCs/>
                <w:sz w:val="18"/>
                <w:szCs w:val="18"/>
                <w:lang w:val="es-ES"/>
              </w:rPr>
            </w:pPr>
            <w:r w:rsidRPr="00B83E1A">
              <w:rPr>
                <w:sz w:val="18"/>
                <w:szCs w:val="18"/>
                <w:lang w:val="es-ES"/>
              </w:rPr>
              <w:t xml:space="preserve">Nueve países más han formulado o adoptado políticas/estrategias/planes nacionales de P.I.  </w:t>
            </w:r>
          </w:p>
        </w:tc>
        <w:tc>
          <w:tcPr>
            <w:tcW w:w="3101" w:type="dxa"/>
            <w:gridSpan w:val="2"/>
          </w:tcPr>
          <w:p w14:paraId="6554EA04" w14:textId="1C2C9524" w:rsidR="00067534" w:rsidRPr="00B83E1A" w:rsidRDefault="00067534" w:rsidP="004E65E7">
            <w:pPr>
              <w:spacing w:after="120"/>
              <w:rPr>
                <w:sz w:val="18"/>
                <w:szCs w:val="18"/>
                <w:lang w:val="es-ES"/>
              </w:rPr>
            </w:pPr>
            <w:r w:rsidRPr="00B83E1A">
              <w:rPr>
                <w:sz w:val="18"/>
                <w:szCs w:val="18"/>
                <w:lang w:val="es-ES"/>
              </w:rPr>
              <w:t>Se aprobaron políticas/estrategias sobre P.I. en Fiji y Papua Nueva Guinea, y se formularon las de Bhután, Mongolia y Viet Nam.  Se elaboró un plan de acción en materia de P.I. para Maldivas.</w:t>
            </w:r>
          </w:p>
        </w:tc>
      </w:tr>
      <w:tr w:rsidR="00067534" w:rsidRPr="00B83E1A" w14:paraId="4C08B39C" w14:textId="77777777" w:rsidTr="004E65E7">
        <w:trPr>
          <w:trHeight w:val="195"/>
          <w:jc w:val="center"/>
        </w:trPr>
        <w:tc>
          <w:tcPr>
            <w:tcW w:w="1713" w:type="dxa"/>
            <w:vMerge/>
          </w:tcPr>
          <w:p w14:paraId="454C667A" w14:textId="77777777" w:rsidR="00067534" w:rsidRPr="00B83E1A" w:rsidRDefault="00067534" w:rsidP="004E65E7">
            <w:pPr>
              <w:rPr>
                <w:b/>
                <w:bCs/>
                <w:sz w:val="18"/>
                <w:szCs w:val="18"/>
                <w:lang w:val="es-ES"/>
              </w:rPr>
            </w:pPr>
          </w:p>
        </w:tc>
        <w:tc>
          <w:tcPr>
            <w:tcW w:w="2409" w:type="dxa"/>
          </w:tcPr>
          <w:p w14:paraId="1F0435C8" w14:textId="77777777" w:rsidR="00067534" w:rsidRPr="00B83E1A" w:rsidRDefault="00067534" w:rsidP="004E65E7">
            <w:pPr>
              <w:spacing w:after="120"/>
              <w:rPr>
                <w:b/>
                <w:bCs/>
                <w:sz w:val="18"/>
                <w:szCs w:val="18"/>
                <w:lang w:val="es-ES"/>
              </w:rPr>
            </w:pPr>
            <w:r w:rsidRPr="00B83E1A">
              <w:rPr>
                <w:sz w:val="18"/>
                <w:szCs w:val="18"/>
                <w:lang w:val="es-ES"/>
              </w:rPr>
              <w:t>Resultado ii) Legislación nacional sobre P.I. que esté en concordancia con los objetivos de desarrollo nacionales, así como con los tratados y acuerdos internacionales sobre P.I., según el caso, teniendo en cuenta las flexibilidades previstas.</w:t>
            </w:r>
          </w:p>
        </w:tc>
        <w:tc>
          <w:tcPr>
            <w:tcW w:w="2410" w:type="dxa"/>
          </w:tcPr>
          <w:p w14:paraId="7F8FFCDD" w14:textId="77777777" w:rsidR="00067534" w:rsidRPr="00B83E1A" w:rsidRDefault="00067534" w:rsidP="004E65E7">
            <w:pPr>
              <w:rPr>
                <w:b/>
                <w:bCs/>
                <w:sz w:val="18"/>
                <w:szCs w:val="18"/>
                <w:lang w:val="es-ES"/>
              </w:rPr>
            </w:pPr>
            <w:r w:rsidRPr="00B83E1A">
              <w:rPr>
                <w:sz w:val="18"/>
                <w:szCs w:val="18"/>
                <w:lang w:val="es-ES"/>
              </w:rPr>
              <w:t xml:space="preserve">Proyectos de ley o comentarios sobre proyectos de ley preparados 0 presentados a cinco países, según lo soliciten.  </w:t>
            </w:r>
          </w:p>
        </w:tc>
        <w:tc>
          <w:tcPr>
            <w:tcW w:w="3101" w:type="dxa"/>
            <w:gridSpan w:val="2"/>
          </w:tcPr>
          <w:p w14:paraId="51E4A7DD" w14:textId="77777777" w:rsidR="00067534" w:rsidRPr="00B83E1A" w:rsidRDefault="00067534" w:rsidP="004E65E7">
            <w:pPr>
              <w:rPr>
                <w:sz w:val="18"/>
                <w:szCs w:val="18"/>
                <w:lang w:val="es-ES"/>
              </w:rPr>
            </w:pPr>
            <w:r w:rsidRPr="00B83E1A">
              <w:rPr>
                <w:sz w:val="18"/>
                <w:szCs w:val="18"/>
                <w:lang w:val="es-ES"/>
              </w:rPr>
              <w:t>Se facilitó asesoramiento jurídico por escrito y se formularon observaciones para 11 países:  Bangladesh, Bhután, Camboya, las Islas Cook, Indonesia, Malasia, Maldivas, Mongolia, el Pakistán, Tailandia y Sri Lanka.</w:t>
            </w:r>
          </w:p>
        </w:tc>
      </w:tr>
      <w:tr w:rsidR="00067534" w:rsidRPr="00B83E1A" w14:paraId="34C66B06" w14:textId="77777777" w:rsidTr="004E65E7">
        <w:trPr>
          <w:trHeight w:val="195"/>
          <w:jc w:val="center"/>
        </w:trPr>
        <w:tc>
          <w:tcPr>
            <w:tcW w:w="1713" w:type="dxa"/>
            <w:vMerge/>
          </w:tcPr>
          <w:p w14:paraId="04DF37D9" w14:textId="77777777" w:rsidR="00067534" w:rsidRPr="00B83E1A" w:rsidRDefault="00067534" w:rsidP="004E65E7">
            <w:pPr>
              <w:rPr>
                <w:b/>
                <w:bCs/>
                <w:sz w:val="18"/>
                <w:szCs w:val="18"/>
                <w:lang w:val="es-ES"/>
              </w:rPr>
            </w:pPr>
          </w:p>
        </w:tc>
        <w:tc>
          <w:tcPr>
            <w:tcW w:w="2409" w:type="dxa"/>
            <w:vMerge w:val="restart"/>
          </w:tcPr>
          <w:p w14:paraId="026E40F3" w14:textId="77777777" w:rsidR="00067534" w:rsidRPr="00B83E1A" w:rsidRDefault="00067534" w:rsidP="004E65E7">
            <w:pPr>
              <w:rPr>
                <w:sz w:val="18"/>
                <w:szCs w:val="18"/>
                <w:lang w:val="es-ES"/>
              </w:rPr>
            </w:pPr>
            <w:r w:rsidRPr="00B83E1A">
              <w:rPr>
                <w:sz w:val="18"/>
                <w:szCs w:val="18"/>
                <w:lang w:val="es-ES"/>
              </w:rPr>
              <w:t>Resultado iii) Mejor utilización de la información en materia de patentes mediante análisis generales en materia de patentes y la elaboración de instrumentos conexos centrados en temas específicos.</w:t>
            </w:r>
          </w:p>
          <w:p w14:paraId="5ABE57D5" w14:textId="77777777" w:rsidR="00067534" w:rsidRPr="00B83E1A" w:rsidRDefault="00067534" w:rsidP="004E65E7">
            <w:pPr>
              <w:rPr>
                <w:b/>
                <w:bCs/>
                <w:sz w:val="18"/>
                <w:szCs w:val="18"/>
                <w:lang w:val="es-ES"/>
              </w:rPr>
            </w:pPr>
          </w:p>
        </w:tc>
        <w:tc>
          <w:tcPr>
            <w:tcW w:w="2410" w:type="dxa"/>
          </w:tcPr>
          <w:p w14:paraId="533C7101" w14:textId="77777777" w:rsidR="00067534" w:rsidRPr="00B83E1A" w:rsidRDefault="00067534" w:rsidP="004E65E7">
            <w:pPr>
              <w:rPr>
                <w:bCs/>
                <w:sz w:val="18"/>
                <w:szCs w:val="18"/>
                <w:lang w:val="es-ES"/>
              </w:rPr>
            </w:pPr>
            <w:r w:rsidRPr="00B83E1A">
              <w:rPr>
                <w:bCs/>
                <w:sz w:val="18"/>
                <w:szCs w:val="18"/>
                <w:lang w:val="es-ES"/>
              </w:rPr>
              <w:t>Número de usuarios de los análisis en materia de patentes que se publiquen, en los que se aborden temas previamente concertados y que sean de interés para los Estados miembros</w:t>
            </w:r>
          </w:p>
          <w:p w14:paraId="50C8100D" w14:textId="77777777" w:rsidR="00067534" w:rsidRPr="00B83E1A" w:rsidRDefault="00067534" w:rsidP="004E65E7">
            <w:pPr>
              <w:rPr>
                <w:bCs/>
                <w:sz w:val="18"/>
                <w:szCs w:val="18"/>
                <w:lang w:val="es-ES"/>
              </w:rPr>
            </w:pPr>
          </w:p>
          <w:p w14:paraId="261C90A6" w14:textId="77777777" w:rsidR="00067534" w:rsidRPr="00B83E1A" w:rsidRDefault="00067534" w:rsidP="004E65E7">
            <w:pPr>
              <w:rPr>
                <w:bCs/>
                <w:sz w:val="18"/>
                <w:szCs w:val="18"/>
                <w:lang w:val="es-ES"/>
              </w:rPr>
            </w:pPr>
          </w:p>
          <w:p w14:paraId="30E6068C" w14:textId="77777777" w:rsidR="00067534" w:rsidRPr="00B83E1A" w:rsidRDefault="00067534" w:rsidP="004E65E7">
            <w:pPr>
              <w:rPr>
                <w:bCs/>
                <w:sz w:val="18"/>
                <w:szCs w:val="18"/>
                <w:lang w:val="es-ES"/>
              </w:rPr>
            </w:pPr>
          </w:p>
          <w:p w14:paraId="03960553" w14:textId="77777777" w:rsidR="00067534" w:rsidRPr="00B83E1A" w:rsidRDefault="00067534" w:rsidP="004E65E7">
            <w:pPr>
              <w:rPr>
                <w:bCs/>
                <w:sz w:val="18"/>
                <w:szCs w:val="18"/>
                <w:lang w:val="es-ES"/>
              </w:rPr>
            </w:pPr>
          </w:p>
          <w:p w14:paraId="2D56FA2D" w14:textId="77777777" w:rsidR="00067534" w:rsidRPr="00B83E1A" w:rsidRDefault="00067534" w:rsidP="004E65E7">
            <w:pPr>
              <w:rPr>
                <w:bCs/>
                <w:sz w:val="18"/>
                <w:szCs w:val="18"/>
                <w:lang w:val="es-ES"/>
              </w:rPr>
            </w:pPr>
          </w:p>
          <w:p w14:paraId="7CC84C96" w14:textId="77777777" w:rsidR="00067534" w:rsidRPr="00B83E1A" w:rsidRDefault="00067534" w:rsidP="004E65E7">
            <w:pPr>
              <w:rPr>
                <w:bCs/>
                <w:sz w:val="18"/>
                <w:szCs w:val="18"/>
                <w:lang w:val="es-ES"/>
              </w:rPr>
            </w:pPr>
          </w:p>
        </w:tc>
        <w:tc>
          <w:tcPr>
            <w:tcW w:w="3101" w:type="dxa"/>
            <w:gridSpan w:val="2"/>
          </w:tcPr>
          <w:p w14:paraId="2A04A5D6" w14:textId="77777777" w:rsidR="00B35257" w:rsidRPr="00B83E1A" w:rsidRDefault="00067534" w:rsidP="004E65E7">
            <w:pPr>
              <w:rPr>
                <w:bCs/>
                <w:sz w:val="18"/>
                <w:szCs w:val="18"/>
                <w:lang w:val="es-ES"/>
              </w:rPr>
            </w:pPr>
            <w:r w:rsidRPr="00B83E1A">
              <w:rPr>
                <w:bCs/>
                <w:sz w:val="18"/>
                <w:szCs w:val="18"/>
                <w:lang w:val="es-ES"/>
              </w:rPr>
              <w:t>Sitio Web de informes sobre análisis de la actividad en materia de patentes (4.228 visitas al sitio Web)</w:t>
            </w:r>
            <w:r w:rsidR="00B35257" w:rsidRPr="00B83E1A">
              <w:rPr>
                <w:bCs/>
                <w:sz w:val="18"/>
                <w:szCs w:val="18"/>
                <w:lang w:val="es-ES"/>
              </w:rPr>
              <w:t>.</w:t>
            </w:r>
          </w:p>
          <w:p w14:paraId="28C7D497" w14:textId="77777777" w:rsidR="00B35257" w:rsidRPr="00B83E1A" w:rsidRDefault="00067534" w:rsidP="004E65E7">
            <w:pPr>
              <w:rPr>
                <w:bCs/>
                <w:sz w:val="18"/>
                <w:szCs w:val="18"/>
                <w:lang w:val="es-ES"/>
              </w:rPr>
            </w:pPr>
            <w:r w:rsidRPr="00B83E1A">
              <w:rPr>
                <w:bCs/>
                <w:sz w:val="18"/>
                <w:szCs w:val="18"/>
                <w:lang w:val="es-ES"/>
              </w:rPr>
              <w:t xml:space="preserve">El año 2010 sirvió para establecer el concepto de </w:t>
            </w:r>
            <w:r w:rsidRPr="00B83E1A">
              <w:rPr>
                <w:bCs/>
                <w:i/>
                <w:sz w:val="18"/>
                <w:szCs w:val="18"/>
                <w:lang w:val="es-ES"/>
              </w:rPr>
              <w:t>informes sobre análisis de la actividad en materia de patentes</w:t>
            </w:r>
            <w:r w:rsidRPr="00B83E1A">
              <w:rPr>
                <w:bCs/>
                <w:sz w:val="18"/>
                <w:szCs w:val="18"/>
                <w:lang w:val="es-ES"/>
              </w:rPr>
              <w:t>;  se han identificado colaboradores para la cooperación y temas por tratar, y se ha delineado la metodología para la búsqueda de patentes y el procedimiento de contratación pública para la preparación de los informes</w:t>
            </w:r>
            <w:r w:rsidR="00B35257" w:rsidRPr="00B83E1A">
              <w:rPr>
                <w:bCs/>
                <w:sz w:val="18"/>
                <w:szCs w:val="18"/>
                <w:lang w:val="es-ES"/>
              </w:rPr>
              <w:t>.</w:t>
            </w:r>
          </w:p>
          <w:p w14:paraId="07DFEE52" w14:textId="0F5AC86E" w:rsidR="00067534" w:rsidRPr="00B83E1A" w:rsidRDefault="00067534" w:rsidP="004E65E7">
            <w:pPr>
              <w:spacing w:after="120"/>
              <w:rPr>
                <w:sz w:val="18"/>
                <w:szCs w:val="18"/>
                <w:lang w:val="es-ES"/>
              </w:rPr>
            </w:pPr>
            <w:r w:rsidRPr="00B83E1A">
              <w:rPr>
                <w:bCs/>
                <w:sz w:val="18"/>
                <w:szCs w:val="18"/>
                <w:lang w:val="es-ES"/>
              </w:rPr>
              <w:t>En 2011 se elaboraron nueve informes sobre el análisis de la actividad en materia de patentes, que están en proceso de publicación:  Ritonavir, Atazanavir, cocción solar, climatización solar, vacunas (panorama general y una parte sobre determinadas enfermedades), desalinización y uso de energías alternativas para la desalinización.</w:t>
            </w:r>
          </w:p>
        </w:tc>
      </w:tr>
      <w:tr w:rsidR="00067534" w:rsidRPr="00B83E1A" w14:paraId="7601DB3F" w14:textId="77777777" w:rsidTr="004E65E7">
        <w:trPr>
          <w:trHeight w:val="2465"/>
          <w:jc w:val="center"/>
        </w:trPr>
        <w:tc>
          <w:tcPr>
            <w:tcW w:w="1713" w:type="dxa"/>
            <w:vMerge/>
          </w:tcPr>
          <w:p w14:paraId="3B04979A" w14:textId="77777777" w:rsidR="00067534" w:rsidRPr="00B83E1A" w:rsidRDefault="00067534" w:rsidP="004E65E7">
            <w:pPr>
              <w:rPr>
                <w:b/>
                <w:bCs/>
                <w:sz w:val="18"/>
                <w:szCs w:val="18"/>
                <w:lang w:val="es-ES"/>
              </w:rPr>
            </w:pPr>
          </w:p>
        </w:tc>
        <w:tc>
          <w:tcPr>
            <w:tcW w:w="2409" w:type="dxa"/>
            <w:vMerge/>
          </w:tcPr>
          <w:p w14:paraId="3A38C14B" w14:textId="77777777" w:rsidR="00067534" w:rsidRPr="00B83E1A" w:rsidRDefault="00067534" w:rsidP="004E65E7">
            <w:pPr>
              <w:rPr>
                <w:b/>
                <w:bCs/>
                <w:sz w:val="18"/>
                <w:szCs w:val="18"/>
                <w:lang w:val="es-ES"/>
              </w:rPr>
            </w:pPr>
          </w:p>
        </w:tc>
        <w:tc>
          <w:tcPr>
            <w:tcW w:w="2410" w:type="dxa"/>
          </w:tcPr>
          <w:p w14:paraId="2E5C25A0" w14:textId="77777777" w:rsidR="00067534" w:rsidRPr="00B83E1A" w:rsidRDefault="00067534" w:rsidP="004E65E7">
            <w:pPr>
              <w:spacing w:after="120"/>
              <w:rPr>
                <w:bCs/>
                <w:sz w:val="18"/>
                <w:szCs w:val="18"/>
                <w:lang w:val="es-ES"/>
              </w:rPr>
            </w:pPr>
            <w:r w:rsidRPr="00B83E1A">
              <w:rPr>
                <w:bCs/>
                <w:sz w:val="18"/>
                <w:szCs w:val="18"/>
                <w:lang w:val="es-ES"/>
              </w:rPr>
              <w:t>Porcentaje de participantes, por oficina, y por país, en el curso por Internet sobre información en materia de patentes y análisis en materia de patentes y conferencias regionales centradas en el análisis en materia de patentes, para los que se haya recurrido a nuevos programas de perfeccionamiento en el empleo</w:t>
            </w:r>
          </w:p>
        </w:tc>
        <w:tc>
          <w:tcPr>
            <w:tcW w:w="3101" w:type="dxa"/>
            <w:gridSpan w:val="2"/>
          </w:tcPr>
          <w:p w14:paraId="201C3AA0" w14:textId="77777777" w:rsidR="00067534" w:rsidRPr="00B83E1A" w:rsidRDefault="00067534" w:rsidP="004E65E7">
            <w:pPr>
              <w:spacing w:after="120"/>
              <w:rPr>
                <w:sz w:val="18"/>
                <w:szCs w:val="18"/>
                <w:lang w:val="es-ES"/>
              </w:rPr>
            </w:pPr>
            <w:r w:rsidRPr="00B83E1A">
              <w:rPr>
                <w:bCs/>
                <w:sz w:val="18"/>
                <w:szCs w:val="18"/>
                <w:lang w:val="es-ES"/>
              </w:rPr>
              <w:t>El curso por Internet se concluirá a mediados de 2012;  se organizaron cuatro conferencias regionales durante el bienio en África (Addis Ababa), la región de Asia y el Pacífico (Singapur), en la región de Europa Central y Oriental, Asia Central y el Cáucaso (Moscú) y América Latina (Buenos Aires);  véase también el "Cuestionario de evaluación de las necesidades y el avance de los Centros de Apoyo a la Tecnología y la Innovación (CATI)", diciembre de 2011 (en inglés).</w:t>
            </w:r>
          </w:p>
        </w:tc>
      </w:tr>
      <w:tr w:rsidR="00067534" w:rsidRPr="00B83E1A" w14:paraId="0333EE93" w14:textId="77777777" w:rsidTr="004E65E7">
        <w:trPr>
          <w:trHeight w:val="195"/>
          <w:jc w:val="center"/>
        </w:trPr>
        <w:tc>
          <w:tcPr>
            <w:tcW w:w="1713" w:type="dxa"/>
            <w:vMerge w:val="restart"/>
          </w:tcPr>
          <w:p w14:paraId="4044F8E5" w14:textId="77777777" w:rsidR="00067534" w:rsidRPr="00B83E1A" w:rsidRDefault="00067534" w:rsidP="004E65E7">
            <w:pPr>
              <w:rPr>
                <w:i/>
                <w:sz w:val="18"/>
                <w:szCs w:val="18"/>
                <w:lang w:val="es-ES"/>
              </w:rPr>
            </w:pPr>
            <w:r w:rsidRPr="00B83E1A">
              <w:rPr>
                <w:i/>
                <w:sz w:val="18"/>
                <w:szCs w:val="18"/>
                <w:lang w:val="es-ES"/>
              </w:rPr>
              <w:t>Meta estratégica IV:  Coordinación y desarrollo de la infraestructura mundial de P.I.</w:t>
            </w:r>
          </w:p>
          <w:p w14:paraId="310D5085" w14:textId="77777777" w:rsidR="00067534" w:rsidRPr="00B83E1A" w:rsidRDefault="00067534" w:rsidP="004E65E7">
            <w:pPr>
              <w:rPr>
                <w:b/>
                <w:bCs/>
                <w:sz w:val="18"/>
                <w:szCs w:val="18"/>
                <w:lang w:val="es-ES"/>
              </w:rPr>
            </w:pPr>
          </w:p>
        </w:tc>
        <w:tc>
          <w:tcPr>
            <w:tcW w:w="2409" w:type="dxa"/>
            <w:vMerge w:val="restart"/>
          </w:tcPr>
          <w:p w14:paraId="66D6C44C" w14:textId="77777777" w:rsidR="00067534" w:rsidRPr="00B83E1A" w:rsidRDefault="00067534" w:rsidP="004E65E7">
            <w:pPr>
              <w:rPr>
                <w:sz w:val="18"/>
                <w:szCs w:val="18"/>
                <w:lang w:val="es-ES"/>
              </w:rPr>
            </w:pPr>
            <w:r w:rsidRPr="00B83E1A">
              <w:rPr>
                <w:sz w:val="18"/>
                <w:szCs w:val="18"/>
                <w:lang w:val="es-ES"/>
              </w:rPr>
              <w:t>Resultado i) Perfeccionamiento de los servicios de apoyo para la búsqueda en materia de patentes que presta la OMPI a las oficinas de P.I. de los Estados miembros.</w:t>
            </w:r>
          </w:p>
          <w:p w14:paraId="58358A79" w14:textId="77777777" w:rsidR="00067534" w:rsidRPr="00B83E1A" w:rsidRDefault="00067534" w:rsidP="004E65E7">
            <w:pPr>
              <w:rPr>
                <w:b/>
                <w:bCs/>
                <w:sz w:val="18"/>
                <w:szCs w:val="18"/>
                <w:lang w:val="es-ES"/>
              </w:rPr>
            </w:pPr>
          </w:p>
        </w:tc>
        <w:tc>
          <w:tcPr>
            <w:tcW w:w="2410" w:type="dxa"/>
          </w:tcPr>
          <w:p w14:paraId="190E2F42" w14:textId="77777777" w:rsidR="00067534" w:rsidRPr="00B83E1A" w:rsidRDefault="00067534" w:rsidP="004E65E7">
            <w:pPr>
              <w:keepNext/>
              <w:keepLines/>
              <w:spacing w:after="120"/>
              <w:rPr>
                <w:bCs/>
                <w:sz w:val="18"/>
                <w:szCs w:val="18"/>
                <w:lang w:val="es-ES"/>
              </w:rPr>
            </w:pPr>
            <w:r w:rsidRPr="00B83E1A">
              <w:rPr>
                <w:bCs/>
                <w:sz w:val="18"/>
                <w:szCs w:val="18"/>
                <w:lang w:val="es-ES"/>
              </w:rPr>
              <w:t>Número de inventores locales de los países en desarrollo y PMA que se han beneficiado del programa de creación de capacidad en relación con las búsquedas del estado de la técnica</w:t>
            </w:r>
          </w:p>
        </w:tc>
        <w:tc>
          <w:tcPr>
            <w:tcW w:w="3101" w:type="dxa"/>
            <w:gridSpan w:val="2"/>
          </w:tcPr>
          <w:p w14:paraId="5037AEA6" w14:textId="77777777" w:rsidR="00067534" w:rsidRPr="00B83E1A" w:rsidRDefault="00067534" w:rsidP="004E65E7">
            <w:pPr>
              <w:rPr>
                <w:sz w:val="18"/>
                <w:szCs w:val="18"/>
                <w:lang w:val="es-ES"/>
              </w:rPr>
            </w:pPr>
            <w:r w:rsidRPr="00B83E1A">
              <w:rPr>
                <w:bCs/>
                <w:sz w:val="18"/>
                <w:szCs w:val="18"/>
                <w:lang w:val="es-ES"/>
              </w:rPr>
              <w:t xml:space="preserve">Los servicios de búsqueda WPIS ya no se promocionan dado que los servicios que ofrecen los CATI deben reemplazarlos parcialmente.  Por tanto, el número de usuarios ha disminuido. </w:t>
            </w:r>
          </w:p>
        </w:tc>
      </w:tr>
      <w:tr w:rsidR="00067534" w:rsidRPr="00B83E1A" w14:paraId="53465C8C" w14:textId="77777777" w:rsidTr="004E65E7">
        <w:trPr>
          <w:trHeight w:val="195"/>
          <w:jc w:val="center"/>
        </w:trPr>
        <w:tc>
          <w:tcPr>
            <w:tcW w:w="1713" w:type="dxa"/>
            <w:vMerge/>
          </w:tcPr>
          <w:p w14:paraId="7A542FD3" w14:textId="77777777" w:rsidR="00067534" w:rsidRPr="00B83E1A" w:rsidRDefault="00067534" w:rsidP="004E65E7">
            <w:pPr>
              <w:rPr>
                <w:b/>
                <w:bCs/>
                <w:sz w:val="18"/>
                <w:szCs w:val="18"/>
                <w:lang w:val="es-ES"/>
              </w:rPr>
            </w:pPr>
          </w:p>
        </w:tc>
        <w:tc>
          <w:tcPr>
            <w:tcW w:w="2409" w:type="dxa"/>
            <w:vMerge/>
          </w:tcPr>
          <w:p w14:paraId="0ABBBB3A" w14:textId="77777777" w:rsidR="00067534" w:rsidRPr="00B83E1A" w:rsidRDefault="00067534" w:rsidP="004E65E7">
            <w:pPr>
              <w:rPr>
                <w:b/>
                <w:bCs/>
                <w:sz w:val="18"/>
                <w:szCs w:val="18"/>
                <w:lang w:val="es-ES"/>
              </w:rPr>
            </w:pPr>
          </w:p>
        </w:tc>
        <w:tc>
          <w:tcPr>
            <w:tcW w:w="2410" w:type="dxa"/>
          </w:tcPr>
          <w:p w14:paraId="5F0A5724" w14:textId="77777777" w:rsidR="00067534" w:rsidRPr="00B83E1A" w:rsidRDefault="00067534" w:rsidP="004E65E7">
            <w:pPr>
              <w:spacing w:after="120"/>
              <w:rPr>
                <w:bCs/>
                <w:sz w:val="18"/>
                <w:szCs w:val="18"/>
                <w:lang w:val="es-ES"/>
              </w:rPr>
            </w:pPr>
            <w:r w:rsidRPr="00B83E1A">
              <w:rPr>
                <w:bCs/>
                <w:sz w:val="18"/>
                <w:szCs w:val="18"/>
                <w:lang w:val="es-ES"/>
              </w:rPr>
              <w:t>Reformulación del servicio ICSEI a los fines de introducir nuevas mejoras en el marco del sistema del PCT y de un mejor acceso al sistema del PCT para los inventores de los países en desarrollo y PMA</w:t>
            </w:r>
          </w:p>
        </w:tc>
        <w:tc>
          <w:tcPr>
            <w:tcW w:w="3101" w:type="dxa"/>
            <w:gridSpan w:val="2"/>
          </w:tcPr>
          <w:p w14:paraId="2ABDED53" w14:textId="4CCEFB03" w:rsidR="00067534" w:rsidRPr="00B83E1A" w:rsidRDefault="00067534" w:rsidP="004E65E7">
            <w:pPr>
              <w:spacing w:after="120"/>
              <w:rPr>
                <w:sz w:val="18"/>
                <w:szCs w:val="18"/>
                <w:lang w:val="es-ES"/>
              </w:rPr>
            </w:pPr>
            <w:r w:rsidRPr="00B83E1A">
              <w:rPr>
                <w:bCs/>
                <w:sz w:val="18"/>
                <w:szCs w:val="18"/>
                <w:lang w:val="es-ES"/>
              </w:rPr>
              <w:t>Se inició la reformulación del ICSEI (ahora denominado ICE) y se amplió la gama de servicios para proporcionar también formación a los examinadores de patentes en el uso de resultados de examen externos de otras oficinas de P.I</w:t>
            </w:r>
            <w:r w:rsidR="009A700A" w:rsidRPr="00B83E1A">
              <w:rPr>
                <w:bCs/>
                <w:sz w:val="18"/>
                <w:szCs w:val="18"/>
                <w:lang w:val="es-ES"/>
              </w:rPr>
              <w:t>.  S</w:t>
            </w:r>
            <w:r w:rsidRPr="00B83E1A">
              <w:rPr>
                <w:bCs/>
                <w:sz w:val="18"/>
                <w:szCs w:val="18"/>
                <w:lang w:val="es-ES"/>
              </w:rPr>
              <w:t>e impartió un primer taller subregional para oficinas de P.I. de la región de Asia y el Pacífico en noviembre de 2011, en Kuala Lumpur</w:t>
            </w:r>
            <w:r w:rsidR="009A700A" w:rsidRPr="00B83E1A">
              <w:rPr>
                <w:bCs/>
                <w:sz w:val="18"/>
                <w:szCs w:val="18"/>
                <w:lang w:val="es-ES"/>
              </w:rPr>
              <w:t>.  C</w:t>
            </w:r>
            <w:r w:rsidRPr="00B83E1A">
              <w:rPr>
                <w:bCs/>
                <w:sz w:val="18"/>
                <w:szCs w:val="18"/>
                <w:lang w:val="es-ES"/>
              </w:rPr>
              <w:t>on el Instituto Federal de la Propiedad Intelectual de Suiza, hay un nuevo donante para la elaboración no remunerada de informes de examen.</w:t>
            </w:r>
          </w:p>
        </w:tc>
      </w:tr>
      <w:tr w:rsidR="00067534" w:rsidRPr="00B83E1A" w14:paraId="01347F69" w14:textId="77777777" w:rsidTr="004E65E7">
        <w:trPr>
          <w:trHeight w:val="195"/>
          <w:jc w:val="center"/>
        </w:trPr>
        <w:tc>
          <w:tcPr>
            <w:tcW w:w="1713" w:type="dxa"/>
            <w:vMerge w:val="restart"/>
          </w:tcPr>
          <w:p w14:paraId="4D594711" w14:textId="77777777" w:rsidR="00067534" w:rsidRPr="00B83E1A" w:rsidRDefault="00067534" w:rsidP="004E65E7">
            <w:pPr>
              <w:rPr>
                <w:b/>
                <w:bCs/>
                <w:sz w:val="18"/>
                <w:szCs w:val="18"/>
                <w:lang w:val="es-ES"/>
              </w:rPr>
            </w:pPr>
            <w:r w:rsidRPr="00B83E1A">
              <w:rPr>
                <w:i/>
                <w:sz w:val="18"/>
                <w:szCs w:val="18"/>
                <w:lang w:val="es-ES"/>
              </w:rPr>
              <w:t>Meta estratégica VII:  Vínculos entre la P.I. y los problemas mundiales de política pública</w:t>
            </w:r>
          </w:p>
        </w:tc>
        <w:tc>
          <w:tcPr>
            <w:tcW w:w="2409" w:type="dxa"/>
            <w:vMerge w:val="restart"/>
          </w:tcPr>
          <w:p w14:paraId="750839B4" w14:textId="77777777" w:rsidR="00067534" w:rsidRPr="00B83E1A" w:rsidRDefault="00067534" w:rsidP="004E65E7">
            <w:pPr>
              <w:keepNext/>
              <w:keepLines/>
              <w:rPr>
                <w:sz w:val="18"/>
                <w:szCs w:val="18"/>
                <w:lang w:val="es-ES"/>
              </w:rPr>
            </w:pPr>
            <w:r w:rsidRPr="00B83E1A">
              <w:rPr>
                <w:sz w:val="18"/>
                <w:szCs w:val="18"/>
                <w:lang w:val="es-ES"/>
              </w:rPr>
              <w:t>Resultado i)  Elaboración de estadísticas y de estudios rigurosos para facilitar y dar más sustancia al diálogo sobre políticas entre los gobiernos, los organismos internacionales, las instituciones de la sociedad civil y las entidades del sector privado sobre el panorama actual de la P.I. y las nuevas cuestiones que se susciten en ese terreno en el plano mundial.</w:t>
            </w:r>
          </w:p>
          <w:p w14:paraId="579AA91F" w14:textId="77777777" w:rsidR="00067534" w:rsidRPr="00B83E1A" w:rsidRDefault="00067534" w:rsidP="004E65E7">
            <w:pPr>
              <w:rPr>
                <w:b/>
                <w:bCs/>
                <w:sz w:val="18"/>
                <w:szCs w:val="18"/>
                <w:lang w:val="es-ES"/>
              </w:rPr>
            </w:pPr>
          </w:p>
        </w:tc>
        <w:tc>
          <w:tcPr>
            <w:tcW w:w="2410" w:type="dxa"/>
          </w:tcPr>
          <w:p w14:paraId="6356F87B" w14:textId="20816F72" w:rsidR="00067534" w:rsidRPr="00B83E1A" w:rsidRDefault="00067534" w:rsidP="004E65E7">
            <w:pPr>
              <w:rPr>
                <w:bCs/>
                <w:sz w:val="18"/>
                <w:szCs w:val="18"/>
                <w:lang w:val="es-ES"/>
              </w:rPr>
            </w:pPr>
            <w:r w:rsidRPr="00B83E1A">
              <w:rPr>
                <w:bCs/>
                <w:sz w:val="18"/>
                <w:szCs w:val="18"/>
                <w:lang w:val="es-ES"/>
              </w:rPr>
              <w:t>Amplitud y diversidad de la participación en los foros para el debate de políticas celebrados por la OMPI.</w:t>
            </w:r>
            <w:r w:rsidR="00320EE4" w:rsidRPr="00B83E1A">
              <w:rPr>
                <w:bCs/>
                <w:sz w:val="18"/>
                <w:szCs w:val="18"/>
                <w:lang w:val="es-ES"/>
              </w:rPr>
              <w:t xml:space="preserve"> </w:t>
            </w:r>
            <w:r w:rsidRPr="00B83E1A">
              <w:rPr>
                <w:bCs/>
                <w:sz w:val="18"/>
                <w:szCs w:val="18"/>
                <w:lang w:val="es-ES"/>
              </w:rPr>
              <w:t xml:space="preserve"> Objetivo:  Celebrar anualmente un gran foro sobre políticas y cuatro foros sobre cuestiones específicas de las políticas</w:t>
            </w:r>
          </w:p>
        </w:tc>
        <w:tc>
          <w:tcPr>
            <w:tcW w:w="3101" w:type="dxa"/>
            <w:gridSpan w:val="2"/>
          </w:tcPr>
          <w:p w14:paraId="1A8767F1" w14:textId="77777777" w:rsidR="00067534" w:rsidRPr="00B83E1A" w:rsidRDefault="00067534" w:rsidP="004E65E7">
            <w:pPr>
              <w:rPr>
                <w:bCs/>
                <w:sz w:val="18"/>
                <w:szCs w:val="18"/>
                <w:lang w:val="es-ES"/>
              </w:rPr>
            </w:pPr>
            <w:r w:rsidRPr="00B83E1A">
              <w:rPr>
                <w:bCs/>
                <w:sz w:val="18"/>
                <w:szCs w:val="18"/>
                <w:lang w:val="es-ES"/>
              </w:rPr>
              <w:t xml:space="preserve">Conferencia de la OMPI sobre innovación y cambio climático </w:t>
            </w:r>
          </w:p>
          <w:p w14:paraId="57AB598C" w14:textId="77777777" w:rsidR="00067534" w:rsidRPr="00B83E1A" w:rsidRDefault="00067534" w:rsidP="004E65E7">
            <w:pPr>
              <w:rPr>
                <w:bCs/>
                <w:sz w:val="18"/>
                <w:szCs w:val="18"/>
                <w:lang w:val="es-ES"/>
              </w:rPr>
            </w:pPr>
            <w:r w:rsidRPr="00B83E1A">
              <w:rPr>
                <w:bCs/>
                <w:sz w:val="18"/>
                <w:szCs w:val="18"/>
                <w:lang w:val="es-ES"/>
              </w:rPr>
              <w:t>Eventos paralelos en las reuniones de la CMNUCC sobre cuestiones de innovación y difusión de la tecnología</w:t>
            </w:r>
          </w:p>
          <w:p w14:paraId="63973742" w14:textId="77777777" w:rsidR="00067534" w:rsidRPr="00B83E1A" w:rsidRDefault="00067534" w:rsidP="004E65E7">
            <w:pPr>
              <w:rPr>
                <w:bCs/>
                <w:sz w:val="18"/>
                <w:szCs w:val="18"/>
                <w:lang w:val="es-ES"/>
              </w:rPr>
            </w:pPr>
            <w:r w:rsidRPr="00B83E1A">
              <w:rPr>
                <w:bCs/>
                <w:sz w:val="18"/>
                <w:szCs w:val="18"/>
                <w:lang w:val="es-ES"/>
              </w:rPr>
              <w:t>Como cooperación entre la OMS y la OMPI:</w:t>
            </w:r>
          </w:p>
          <w:p w14:paraId="3B2FD24B" w14:textId="77777777" w:rsidR="00067534" w:rsidRPr="00B83E1A" w:rsidRDefault="00067534" w:rsidP="00067534">
            <w:pPr>
              <w:numPr>
                <w:ilvl w:val="1"/>
                <w:numId w:val="9"/>
              </w:numPr>
              <w:rPr>
                <w:bCs/>
                <w:sz w:val="18"/>
                <w:szCs w:val="18"/>
                <w:lang w:val="es-ES"/>
              </w:rPr>
            </w:pPr>
            <w:r w:rsidRPr="00B83E1A">
              <w:rPr>
                <w:bCs/>
                <w:sz w:val="18"/>
                <w:szCs w:val="18"/>
                <w:lang w:val="es-ES"/>
              </w:rPr>
              <w:t>Un simposio técnico conjunto sobre "Acceso a los medicamentos:  Prácticas de fijación de precios y adquisición</w:t>
            </w:r>
          </w:p>
          <w:p w14:paraId="34A34FA1" w14:textId="77777777" w:rsidR="00067534" w:rsidRPr="00B83E1A" w:rsidRDefault="00067534" w:rsidP="00067534">
            <w:pPr>
              <w:numPr>
                <w:ilvl w:val="1"/>
                <w:numId w:val="9"/>
              </w:numPr>
              <w:rPr>
                <w:bCs/>
                <w:sz w:val="18"/>
                <w:szCs w:val="18"/>
                <w:lang w:val="es-ES"/>
              </w:rPr>
            </w:pPr>
            <w:r w:rsidRPr="00B83E1A">
              <w:rPr>
                <w:bCs/>
                <w:sz w:val="18"/>
                <w:szCs w:val="18"/>
                <w:lang w:val="es-ES"/>
              </w:rPr>
              <w:t>Un simposio técnico conjunto sobre acceso a los medicamentos, información sobre patentes y libertad de acción</w:t>
            </w:r>
          </w:p>
          <w:p w14:paraId="783298CB" w14:textId="77777777" w:rsidR="00067534" w:rsidRPr="00B83E1A" w:rsidRDefault="00067534" w:rsidP="00067534">
            <w:pPr>
              <w:numPr>
                <w:ilvl w:val="1"/>
                <w:numId w:val="9"/>
              </w:numPr>
              <w:rPr>
                <w:bCs/>
                <w:sz w:val="18"/>
                <w:szCs w:val="18"/>
                <w:lang w:val="es-ES"/>
              </w:rPr>
            </w:pPr>
            <w:r w:rsidRPr="00B83E1A">
              <w:rPr>
                <w:bCs/>
                <w:sz w:val="18"/>
                <w:szCs w:val="18"/>
                <w:lang w:val="es-ES"/>
              </w:rPr>
              <w:t>Un taller sobre búsqueda de patentes y la libertad para operar</w:t>
            </w:r>
          </w:p>
          <w:p w14:paraId="481CA49F" w14:textId="77777777" w:rsidR="00067534" w:rsidRPr="00B83E1A" w:rsidRDefault="00067534" w:rsidP="004E65E7">
            <w:pPr>
              <w:rPr>
                <w:bCs/>
                <w:sz w:val="18"/>
                <w:szCs w:val="18"/>
                <w:lang w:val="es-ES"/>
              </w:rPr>
            </w:pPr>
            <w:r w:rsidRPr="00B83E1A">
              <w:rPr>
                <w:bCs/>
                <w:sz w:val="18"/>
                <w:szCs w:val="18"/>
                <w:lang w:val="es-ES"/>
              </w:rPr>
              <w:lastRenderedPageBreak/>
              <w:t>En cooperación con UNITAID y la Medicines Patent Pool, se celebró un taller sobre Condiciones de concesión de licencias para Medicines Patent Pool</w:t>
            </w:r>
          </w:p>
          <w:p w14:paraId="0DE451CA" w14:textId="77777777" w:rsidR="00067534" w:rsidRPr="00B83E1A" w:rsidRDefault="00067534" w:rsidP="004E65E7">
            <w:pPr>
              <w:rPr>
                <w:bCs/>
                <w:sz w:val="18"/>
                <w:szCs w:val="18"/>
                <w:lang w:val="es-ES"/>
              </w:rPr>
            </w:pPr>
            <w:r w:rsidRPr="00B83E1A">
              <w:rPr>
                <w:bCs/>
                <w:sz w:val="18"/>
                <w:szCs w:val="18"/>
                <w:lang w:val="es-ES"/>
              </w:rPr>
              <w:t xml:space="preserve">Presentación de WIPO Re:Search el 26 de octubre de 2011 Simposio sobre la evolución del marco reglamentario de los datos de los ensayos – de la propiedad del intelecto al intelecto de la propiedad, en la OMPI </w:t>
            </w:r>
          </w:p>
          <w:p w14:paraId="0B2266B0" w14:textId="77777777" w:rsidR="00067534" w:rsidRPr="00B83E1A" w:rsidRDefault="00067534" w:rsidP="004E65E7">
            <w:pPr>
              <w:rPr>
                <w:bCs/>
                <w:sz w:val="18"/>
                <w:szCs w:val="18"/>
                <w:lang w:val="es-ES"/>
              </w:rPr>
            </w:pPr>
            <w:r w:rsidRPr="00B83E1A">
              <w:rPr>
                <w:bCs/>
                <w:sz w:val="18"/>
                <w:szCs w:val="18"/>
                <w:lang w:val="es-ES"/>
              </w:rPr>
              <w:t>Seminario sobre la utilización de la propiedad intelectual en los sectores privado y público para mejorar la productividad agrícola</w:t>
            </w:r>
          </w:p>
          <w:p w14:paraId="41CA192C" w14:textId="77777777" w:rsidR="00067534" w:rsidRPr="00B83E1A" w:rsidRDefault="00067534" w:rsidP="004E65E7">
            <w:pPr>
              <w:spacing w:after="120"/>
              <w:rPr>
                <w:sz w:val="18"/>
                <w:szCs w:val="18"/>
                <w:lang w:val="es-ES"/>
              </w:rPr>
            </w:pPr>
            <w:r w:rsidRPr="00B83E1A">
              <w:rPr>
                <w:bCs/>
                <w:sz w:val="18"/>
                <w:szCs w:val="18"/>
                <w:lang w:val="es-ES"/>
              </w:rPr>
              <w:t xml:space="preserve">Sesión de la Conferencia Técnica Internacional de la FAO sobre Biotecnologías Agrícolas en los Países en Desarrollo, México  </w:t>
            </w:r>
          </w:p>
        </w:tc>
      </w:tr>
      <w:tr w:rsidR="00067534" w:rsidRPr="00B83E1A" w14:paraId="7CCE5257" w14:textId="77777777" w:rsidTr="004E65E7">
        <w:trPr>
          <w:trHeight w:val="195"/>
          <w:jc w:val="center"/>
        </w:trPr>
        <w:tc>
          <w:tcPr>
            <w:tcW w:w="1713" w:type="dxa"/>
            <w:vMerge/>
          </w:tcPr>
          <w:p w14:paraId="56088B20" w14:textId="77777777" w:rsidR="00067534" w:rsidRPr="00B83E1A" w:rsidRDefault="00067534" w:rsidP="004E65E7">
            <w:pPr>
              <w:rPr>
                <w:b/>
                <w:bCs/>
                <w:sz w:val="18"/>
                <w:szCs w:val="18"/>
                <w:lang w:val="es-ES"/>
              </w:rPr>
            </w:pPr>
          </w:p>
        </w:tc>
        <w:tc>
          <w:tcPr>
            <w:tcW w:w="2409" w:type="dxa"/>
            <w:vMerge/>
          </w:tcPr>
          <w:p w14:paraId="20CE3C5F" w14:textId="77777777" w:rsidR="00067534" w:rsidRPr="00B83E1A" w:rsidRDefault="00067534" w:rsidP="004E65E7">
            <w:pPr>
              <w:rPr>
                <w:b/>
                <w:bCs/>
                <w:sz w:val="18"/>
                <w:szCs w:val="18"/>
                <w:lang w:val="es-ES"/>
              </w:rPr>
            </w:pPr>
          </w:p>
        </w:tc>
        <w:tc>
          <w:tcPr>
            <w:tcW w:w="2410" w:type="dxa"/>
          </w:tcPr>
          <w:p w14:paraId="22EEBD1D" w14:textId="480FEC99" w:rsidR="00067534" w:rsidRPr="00B83E1A" w:rsidRDefault="00067534" w:rsidP="004E65E7">
            <w:pPr>
              <w:rPr>
                <w:bCs/>
                <w:sz w:val="18"/>
                <w:szCs w:val="18"/>
                <w:lang w:val="es-ES"/>
              </w:rPr>
            </w:pPr>
            <w:r w:rsidRPr="00B83E1A">
              <w:rPr>
                <w:bCs/>
                <w:sz w:val="18"/>
                <w:szCs w:val="18"/>
                <w:lang w:val="es-ES"/>
              </w:rPr>
              <w:t>Mayor participación de la OMPI en otros foros para el debate de políticas con el fin de estrechar las relaciones con los asociados actuales y con otros nuevos</w:t>
            </w:r>
            <w:r w:rsidR="009A700A" w:rsidRPr="00B83E1A">
              <w:rPr>
                <w:bCs/>
                <w:sz w:val="18"/>
                <w:szCs w:val="18"/>
                <w:lang w:val="es-ES"/>
              </w:rPr>
              <w:t>.  O</w:t>
            </w:r>
            <w:r w:rsidRPr="00B83E1A">
              <w:rPr>
                <w:bCs/>
                <w:sz w:val="18"/>
                <w:szCs w:val="18"/>
                <w:lang w:val="es-ES"/>
              </w:rPr>
              <w:t>bjetivo:  Fortalecer el diálogo con seis asociados actuales e iniciarlo con seis nuevos.</w:t>
            </w:r>
          </w:p>
        </w:tc>
        <w:tc>
          <w:tcPr>
            <w:tcW w:w="3101" w:type="dxa"/>
            <w:gridSpan w:val="2"/>
          </w:tcPr>
          <w:p w14:paraId="3BD9C8A5" w14:textId="77777777" w:rsidR="00067534" w:rsidRPr="00B83E1A" w:rsidRDefault="00067534" w:rsidP="004E65E7">
            <w:pPr>
              <w:rPr>
                <w:bCs/>
                <w:sz w:val="18"/>
                <w:szCs w:val="18"/>
                <w:lang w:val="es-ES"/>
              </w:rPr>
            </w:pPr>
            <w:r w:rsidRPr="00B83E1A">
              <w:rPr>
                <w:bCs/>
                <w:sz w:val="18"/>
                <w:szCs w:val="18"/>
                <w:lang w:val="es-ES"/>
              </w:rPr>
              <w:t>Apoyo constante (OMS) a la aplicación de la Estrategia mundial y plan de acción sobre salud pública, innovación y propiedad intelectual y al proceso de preparación para una gripe pandémica.</w:t>
            </w:r>
          </w:p>
          <w:p w14:paraId="2CF323E1" w14:textId="77777777" w:rsidR="00067534" w:rsidRPr="00B83E1A" w:rsidRDefault="00067534" w:rsidP="004E65E7">
            <w:pPr>
              <w:rPr>
                <w:bCs/>
                <w:sz w:val="18"/>
                <w:szCs w:val="18"/>
                <w:lang w:val="es-ES"/>
              </w:rPr>
            </w:pPr>
            <w:r w:rsidRPr="00B83E1A">
              <w:rPr>
                <w:bCs/>
                <w:sz w:val="18"/>
                <w:szCs w:val="18"/>
                <w:lang w:val="es-ES"/>
              </w:rPr>
              <w:t>Colaboración permanente en talleres de la OMC y en seminarios sobre el Acuerdo sobre los ADPIC y salud pública y en otras reuniones conexas</w:t>
            </w:r>
          </w:p>
          <w:p w14:paraId="06B44296" w14:textId="77777777" w:rsidR="00067534" w:rsidRPr="00B83E1A" w:rsidRDefault="00067534" w:rsidP="004E65E7">
            <w:pPr>
              <w:rPr>
                <w:bCs/>
                <w:sz w:val="18"/>
                <w:szCs w:val="18"/>
                <w:lang w:val="es-ES"/>
              </w:rPr>
            </w:pPr>
            <w:r w:rsidRPr="00B83E1A">
              <w:rPr>
                <w:bCs/>
                <w:sz w:val="18"/>
                <w:szCs w:val="18"/>
                <w:lang w:val="es-ES"/>
              </w:rPr>
              <w:t>Cooperación trilateral, coordinación periódica y organización conjunta de dos simposios (</w:t>
            </w:r>
            <w:r w:rsidRPr="00B83E1A">
              <w:rPr>
                <w:bCs/>
                <w:i/>
                <w:sz w:val="18"/>
                <w:szCs w:val="18"/>
                <w:lang w:val="es-ES"/>
              </w:rPr>
              <w:t>vid. supra</w:t>
            </w:r>
            <w:r w:rsidRPr="00B83E1A">
              <w:rPr>
                <w:bCs/>
                <w:sz w:val="18"/>
                <w:szCs w:val="18"/>
                <w:lang w:val="es-ES"/>
              </w:rPr>
              <w:t>) entre la OMS, la OMPI y la OMC.</w:t>
            </w:r>
          </w:p>
          <w:p w14:paraId="4C6B31C8" w14:textId="77777777" w:rsidR="00067534" w:rsidRPr="00B83E1A" w:rsidRDefault="00067534" w:rsidP="004E65E7">
            <w:pPr>
              <w:rPr>
                <w:bCs/>
                <w:sz w:val="18"/>
                <w:szCs w:val="18"/>
                <w:lang w:val="es-ES"/>
              </w:rPr>
            </w:pPr>
            <w:r w:rsidRPr="00B83E1A">
              <w:rPr>
                <w:bCs/>
                <w:sz w:val="18"/>
                <w:szCs w:val="18"/>
                <w:lang w:val="es-ES"/>
              </w:rPr>
              <w:t>Participación en las reuniones de la Junta Ejecutiva de UNITAID y apoyo a la labor de crear la fundación Medicines Patent Pool (MPP).</w:t>
            </w:r>
          </w:p>
          <w:p w14:paraId="4761B5D3" w14:textId="77777777" w:rsidR="00067534" w:rsidRPr="00B83E1A" w:rsidRDefault="00067534" w:rsidP="004E65E7">
            <w:pPr>
              <w:rPr>
                <w:bCs/>
                <w:sz w:val="18"/>
                <w:szCs w:val="18"/>
                <w:lang w:val="es-ES"/>
              </w:rPr>
            </w:pPr>
            <w:r w:rsidRPr="00B83E1A">
              <w:rPr>
                <w:bCs/>
                <w:sz w:val="18"/>
                <w:szCs w:val="18"/>
                <w:lang w:val="es-ES"/>
              </w:rPr>
              <w:t>Participación sostenida en las reuniones de la CMNUCC y cooperación con la Secretaría de la CMNUCC, con ONUDI, PNUMA, InfoDev, organizaciones no gubernamentales y sectores de actividad en cuestiones de P.I. relativas al cambio climático Se inició el contacto con CESPAP.</w:t>
            </w:r>
          </w:p>
          <w:p w14:paraId="72E6ABF7" w14:textId="77777777" w:rsidR="00B35257" w:rsidRPr="00B83E1A" w:rsidRDefault="00067534" w:rsidP="004E65E7">
            <w:pPr>
              <w:rPr>
                <w:bCs/>
                <w:sz w:val="18"/>
                <w:szCs w:val="18"/>
                <w:lang w:val="es-ES"/>
              </w:rPr>
            </w:pPr>
            <w:r w:rsidRPr="00B83E1A">
              <w:rPr>
                <w:bCs/>
                <w:sz w:val="18"/>
                <w:szCs w:val="18"/>
                <w:lang w:val="es-ES"/>
              </w:rPr>
              <w:t>Participación continua en el Comité Interinstitucional de las Naciones Unidas sobre Bioética</w:t>
            </w:r>
            <w:r w:rsidR="00B35257" w:rsidRPr="00B83E1A">
              <w:rPr>
                <w:bCs/>
                <w:sz w:val="18"/>
                <w:szCs w:val="18"/>
                <w:lang w:val="es-ES"/>
              </w:rPr>
              <w:t>.</w:t>
            </w:r>
          </w:p>
          <w:p w14:paraId="4CF3CE01" w14:textId="15337A47" w:rsidR="00067534" w:rsidRPr="00B83E1A" w:rsidRDefault="00067534" w:rsidP="004E65E7">
            <w:pPr>
              <w:rPr>
                <w:bCs/>
                <w:sz w:val="18"/>
                <w:szCs w:val="18"/>
                <w:lang w:val="es-ES"/>
              </w:rPr>
            </w:pPr>
            <w:r w:rsidRPr="00B83E1A">
              <w:rPr>
                <w:bCs/>
                <w:sz w:val="18"/>
                <w:szCs w:val="18"/>
                <w:lang w:val="es-ES"/>
              </w:rPr>
              <w:t xml:space="preserve">Cooperación con el Instituto Universitario de Altos Estudios Internacionales y Desarrollo de Ginebra para la preparación del Quinto Simposio de Alto Nivel sobre Diplomacia Sanitaria Mundial (diez años después de Doha), en </w:t>
            </w:r>
            <w:r w:rsidRPr="00B83E1A">
              <w:rPr>
                <w:bCs/>
                <w:sz w:val="18"/>
                <w:szCs w:val="18"/>
                <w:lang w:val="es-ES"/>
              </w:rPr>
              <w:lastRenderedPageBreak/>
              <w:t>estrecha colaboración entre la OMS, la OMPI y la OMC.</w:t>
            </w:r>
          </w:p>
          <w:p w14:paraId="4032ED81" w14:textId="77777777" w:rsidR="00067534" w:rsidRPr="00B83E1A" w:rsidRDefault="00067534" w:rsidP="004E65E7">
            <w:pPr>
              <w:spacing w:after="120"/>
              <w:rPr>
                <w:sz w:val="18"/>
                <w:szCs w:val="18"/>
                <w:lang w:val="es-ES"/>
              </w:rPr>
            </w:pPr>
            <w:r w:rsidRPr="00B83E1A">
              <w:rPr>
                <w:bCs/>
                <w:sz w:val="18"/>
                <w:szCs w:val="18"/>
                <w:lang w:val="es-ES"/>
              </w:rPr>
              <w:t xml:space="preserve">Cooperación con 30 nuevos colaboradores en el contexto de WIPO Re:Search y 10 nuevos colaboradores en el contexto de </w:t>
            </w:r>
            <w:r w:rsidRPr="00B83E1A">
              <w:rPr>
                <w:bCs/>
                <w:i/>
                <w:sz w:val="18"/>
                <w:szCs w:val="18"/>
                <w:lang w:val="es-ES"/>
              </w:rPr>
              <w:t xml:space="preserve">wipo green </w:t>
            </w:r>
            <w:r w:rsidRPr="00B83E1A">
              <w:rPr>
                <w:bCs/>
                <w:sz w:val="18"/>
                <w:szCs w:val="18"/>
                <w:lang w:val="es-ES"/>
              </w:rPr>
              <w:t>(</w:t>
            </w:r>
            <w:r w:rsidRPr="00B83E1A">
              <w:rPr>
                <w:bCs/>
                <w:i/>
                <w:sz w:val="18"/>
                <w:szCs w:val="18"/>
                <w:lang w:val="es-ES"/>
              </w:rPr>
              <w:t>vid. infra</w:t>
            </w:r>
            <w:r w:rsidRPr="00B83E1A">
              <w:rPr>
                <w:bCs/>
                <w:sz w:val="18"/>
                <w:szCs w:val="18"/>
                <w:lang w:val="es-ES"/>
              </w:rPr>
              <w:t xml:space="preserve">). </w:t>
            </w:r>
          </w:p>
        </w:tc>
      </w:tr>
      <w:tr w:rsidR="00916327" w:rsidRPr="00B83E1A" w14:paraId="356413DE" w14:textId="77777777" w:rsidTr="00916327">
        <w:trPr>
          <w:trHeight w:val="3775"/>
          <w:jc w:val="center"/>
        </w:trPr>
        <w:tc>
          <w:tcPr>
            <w:tcW w:w="1713" w:type="dxa"/>
            <w:vMerge/>
          </w:tcPr>
          <w:p w14:paraId="1239C3B4" w14:textId="77777777" w:rsidR="00067534" w:rsidRPr="00B83E1A" w:rsidRDefault="00067534" w:rsidP="004E65E7">
            <w:pPr>
              <w:rPr>
                <w:b/>
                <w:bCs/>
                <w:sz w:val="18"/>
                <w:szCs w:val="18"/>
                <w:lang w:val="es-ES"/>
              </w:rPr>
            </w:pPr>
          </w:p>
        </w:tc>
        <w:tc>
          <w:tcPr>
            <w:tcW w:w="2409" w:type="dxa"/>
            <w:vMerge/>
          </w:tcPr>
          <w:p w14:paraId="4D1579AD" w14:textId="77777777" w:rsidR="00067534" w:rsidRPr="00B83E1A" w:rsidRDefault="00067534" w:rsidP="004E65E7">
            <w:pPr>
              <w:rPr>
                <w:b/>
                <w:bCs/>
                <w:sz w:val="18"/>
                <w:szCs w:val="18"/>
                <w:lang w:val="es-ES"/>
              </w:rPr>
            </w:pPr>
          </w:p>
        </w:tc>
        <w:tc>
          <w:tcPr>
            <w:tcW w:w="2410" w:type="dxa"/>
          </w:tcPr>
          <w:p w14:paraId="4BE9BEE8" w14:textId="77777777" w:rsidR="00067534" w:rsidRPr="00B83E1A" w:rsidRDefault="00067534" w:rsidP="004E65E7">
            <w:pPr>
              <w:rPr>
                <w:bCs/>
                <w:sz w:val="18"/>
                <w:szCs w:val="18"/>
                <w:lang w:val="es-ES"/>
              </w:rPr>
            </w:pPr>
            <w:r w:rsidRPr="00B83E1A">
              <w:rPr>
                <w:bCs/>
                <w:sz w:val="18"/>
                <w:szCs w:val="18"/>
                <w:lang w:val="es-ES"/>
              </w:rPr>
              <w:t xml:space="preserve">Examen de los resultados obtenidos y repercusión de los foros para el debate de políticas celebrados por la OMPI.  Objetivo:  Dar una imagen positiva en las publicaciones externas relativas a cada actividad </w:t>
            </w:r>
          </w:p>
        </w:tc>
        <w:tc>
          <w:tcPr>
            <w:tcW w:w="3101" w:type="dxa"/>
            <w:gridSpan w:val="2"/>
          </w:tcPr>
          <w:p w14:paraId="614DBB0C" w14:textId="77777777" w:rsidR="00067534" w:rsidRPr="00B83E1A" w:rsidRDefault="00067534" w:rsidP="004E65E7">
            <w:pPr>
              <w:rPr>
                <w:rFonts w:eastAsia="MS Mincho"/>
                <w:sz w:val="18"/>
                <w:szCs w:val="18"/>
                <w:lang w:val="es-ES" w:eastAsia="ja-JP" w:bidi="th-TH"/>
              </w:rPr>
            </w:pPr>
            <w:r w:rsidRPr="00B83E1A">
              <w:rPr>
                <w:rFonts w:eastAsia="MS Mincho"/>
                <w:sz w:val="18"/>
                <w:szCs w:val="18"/>
                <w:lang w:val="es-ES" w:eastAsia="ja-JP" w:bidi="th-TH"/>
              </w:rPr>
              <w:t>Los participantes en las actividades organizadas por la OMPI valoraron el amplio y equilibrado abanico de temas tratados y el enfoque empírico.</w:t>
            </w:r>
          </w:p>
          <w:p w14:paraId="0FAE8655" w14:textId="75623D4C" w:rsidR="000156E6" w:rsidRPr="00B83E1A" w:rsidRDefault="00067534" w:rsidP="00916327">
            <w:pPr>
              <w:rPr>
                <w:sz w:val="18"/>
                <w:szCs w:val="18"/>
                <w:lang w:val="es-ES"/>
              </w:rPr>
            </w:pPr>
            <w:r w:rsidRPr="00B83E1A">
              <w:rPr>
                <w:rFonts w:eastAsia="MS Mincho"/>
                <w:sz w:val="18"/>
                <w:szCs w:val="18"/>
                <w:lang w:val="es-ES" w:eastAsia="ja-JP" w:bidi="th-TH"/>
              </w:rPr>
              <w:t>A la presentación de WIPO Re:Search asistieron unos 18 periodistas y se informó del acto en unas 100 agencias de noticias y periódicos.</w:t>
            </w:r>
            <w:r w:rsidR="00020D52" w:rsidRPr="00B83E1A">
              <w:rPr>
                <w:rFonts w:eastAsia="MS Mincho"/>
                <w:sz w:val="18"/>
                <w:szCs w:val="18"/>
                <w:lang w:val="es-ES" w:eastAsia="ja-JP" w:bidi="th-TH"/>
              </w:rPr>
              <w:t xml:space="preserve">  </w:t>
            </w:r>
            <w:r w:rsidRPr="00B83E1A">
              <w:rPr>
                <w:bCs/>
                <w:sz w:val="18"/>
                <w:szCs w:val="18"/>
                <w:lang w:val="es-ES"/>
              </w:rPr>
              <w:t>Los Estados miembros de la OMS y la OMC remitieron a actividades de la OMPI en sus reuniones, como la Junta Ejecutiva de la OMS, la Asamblea Mundial de la Salud o el Consejo de los ADPIC de la OMC.</w:t>
            </w:r>
          </w:p>
        </w:tc>
      </w:tr>
      <w:tr w:rsidR="00067534" w:rsidRPr="00B83E1A" w14:paraId="141E0EFE" w14:textId="77777777" w:rsidTr="004E65E7">
        <w:trPr>
          <w:trHeight w:val="195"/>
          <w:jc w:val="center"/>
        </w:trPr>
        <w:tc>
          <w:tcPr>
            <w:tcW w:w="9633" w:type="dxa"/>
            <w:gridSpan w:val="5"/>
            <w:shd w:val="clear" w:color="auto" w:fill="C4BC96" w:themeFill="background2" w:themeFillShade="BF"/>
          </w:tcPr>
          <w:p w14:paraId="5B5AECD6" w14:textId="12A8EDCC" w:rsidR="00067534" w:rsidRPr="00B83E1A" w:rsidRDefault="00067534" w:rsidP="004E65E7">
            <w:pPr>
              <w:rPr>
                <w:b/>
                <w:bCs/>
                <w:sz w:val="18"/>
                <w:szCs w:val="18"/>
                <w:lang w:val="es-ES"/>
              </w:rPr>
            </w:pPr>
            <w:r w:rsidRPr="00B83E1A">
              <w:rPr>
                <w:b/>
                <w:bCs/>
                <w:sz w:val="18"/>
                <w:szCs w:val="18"/>
                <w:lang w:val="es-ES"/>
              </w:rPr>
              <w:t>ODM - Objetiv</w:t>
            </w:r>
            <w:r w:rsidR="009A700A" w:rsidRPr="00B83E1A">
              <w:rPr>
                <w:b/>
                <w:bCs/>
                <w:sz w:val="18"/>
                <w:szCs w:val="18"/>
                <w:lang w:val="es-ES"/>
              </w:rPr>
              <w:t>o 6</w:t>
            </w:r>
            <w:r w:rsidRPr="00B83E1A">
              <w:rPr>
                <w:b/>
                <w:bCs/>
                <w:sz w:val="18"/>
                <w:szCs w:val="18"/>
                <w:lang w:val="es-ES"/>
              </w:rPr>
              <w:t>:  Combatir el VIH/SIDA, el paludismo y otras enfermedades</w:t>
            </w:r>
          </w:p>
          <w:p w14:paraId="4A3CA8A1" w14:textId="77777777" w:rsidR="00067534" w:rsidRPr="00B83E1A" w:rsidRDefault="00067534" w:rsidP="004E65E7">
            <w:pPr>
              <w:rPr>
                <w:sz w:val="18"/>
                <w:szCs w:val="18"/>
                <w:lang w:val="es-ES"/>
              </w:rPr>
            </w:pPr>
          </w:p>
        </w:tc>
      </w:tr>
      <w:tr w:rsidR="00067534" w:rsidRPr="00B83E1A" w14:paraId="54722EB6" w14:textId="77777777" w:rsidTr="000156E6">
        <w:trPr>
          <w:trHeight w:val="1190"/>
          <w:jc w:val="center"/>
        </w:trPr>
        <w:tc>
          <w:tcPr>
            <w:tcW w:w="9633" w:type="dxa"/>
            <w:gridSpan w:val="5"/>
            <w:shd w:val="clear" w:color="auto" w:fill="DDD9C3" w:themeFill="background2" w:themeFillShade="E6"/>
          </w:tcPr>
          <w:p w14:paraId="6031EC54" w14:textId="5F6C5C04" w:rsidR="00067534" w:rsidRPr="00B83E1A" w:rsidRDefault="00067534" w:rsidP="004E65E7">
            <w:pPr>
              <w:rPr>
                <w:b/>
                <w:sz w:val="18"/>
                <w:szCs w:val="18"/>
                <w:lang w:val="es-ES"/>
              </w:rPr>
            </w:pPr>
            <w:r w:rsidRPr="00B83E1A">
              <w:rPr>
                <w:b/>
                <w:sz w:val="18"/>
                <w:szCs w:val="18"/>
                <w:lang w:val="es-ES"/>
              </w:rPr>
              <w:t>Targe</w:t>
            </w:r>
            <w:r w:rsidR="009A700A" w:rsidRPr="00B83E1A">
              <w:rPr>
                <w:b/>
                <w:sz w:val="18"/>
                <w:szCs w:val="18"/>
                <w:lang w:val="es-ES"/>
              </w:rPr>
              <w:t>t 6</w:t>
            </w:r>
            <w:r w:rsidRPr="00B83E1A">
              <w:rPr>
                <w:b/>
                <w:sz w:val="18"/>
                <w:szCs w:val="18"/>
                <w:lang w:val="es-ES"/>
              </w:rPr>
              <w:t>.B:  Lograr, par</w:t>
            </w:r>
            <w:r w:rsidR="009A700A" w:rsidRPr="00B83E1A">
              <w:rPr>
                <w:b/>
                <w:sz w:val="18"/>
                <w:szCs w:val="18"/>
                <w:lang w:val="es-ES"/>
              </w:rPr>
              <w:t>a 2</w:t>
            </w:r>
            <w:r w:rsidRPr="00B83E1A">
              <w:rPr>
                <w:b/>
                <w:sz w:val="18"/>
                <w:szCs w:val="18"/>
                <w:lang w:val="es-ES"/>
              </w:rPr>
              <w:t>010, el acceso universal al tratamiento de la infección por VIH a quienes lo necesiten</w:t>
            </w:r>
          </w:p>
          <w:p w14:paraId="3531D982" w14:textId="12314462" w:rsidR="00067534" w:rsidRPr="00B83E1A" w:rsidRDefault="00067534" w:rsidP="000156E6">
            <w:pPr>
              <w:rPr>
                <w:sz w:val="18"/>
                <w:szCs w:val="18"/>
                <w:lang w:val="es-ES"/>
              </w:rPr>
            </w:pPr>
            <w:r w:rsidRPr="00B83E1A">
              <w:rPr>
                <w:b/>
                <w:sz w:val="18"/>
                <w:szCs w:val="18"/>
                <w:lang w:val="es-ES"/>
              </w:rPr>
              <w:t>Targe</w:t>
            </w:r>
            <w:r w:rsidR="009A700A" w:rsidRPr="00B83E1A">
              <w:rPr>
                <w:b/>
                <w:sz w:val="18"/>
                <w:szCs w:val="18"/>
                <w:lang w:val="es-ES"/>
              </w:rPr>
              <w:t>t 6</w:t>
            </w:r>
            <w:r w:rsidRPr="00B83E1A">
              <w:rPr>
                <w:b/>
                <w:sz w:val="18"/>
                <w:szCs w:val="18"/>
                <w:lang w:val="es-ES"/>
              </w:rPr>
              <w:t>.C:  Haber comenzado a reducir, para el añ</w:t>
            </w:r>
            <w:r w:rsidR="009A700A" w:rsidRPr="00B83E1A">
              <w:rPr>
                <w:b/>
                <w:sz w:val="18"/>
                <w:szCs w:val="18"/>
                <w:lang w:val="es-ES"/>
              </w:rPr>
              <w:t>o 2</w:t>
            </w:r>
            <w:r w:rsidRPr="00B83E1A">
              <w:rPr>
                <w:b/>
                <w:sz w:val="18"/>
                <w:szCs w:val="18"/>
                <w:lang w:val="es-ES"/>
              </w:rPr>
              <w:t>015, la incidencia del paludismo y otras enfermedades graves</w:t>
            </w:r>
          </w:p>
        </w:tc>
      </w:tr>
      <w:tr w:rsidR="00067534" w:rsidRPr="00B83E1A" w14:paraId="53439704" w14:textId="77777777" w:rsidTr="004E65E7">
        <w:trPr>
          <w:trHeight w:val="195"/>
          <w:jc w:val="center"/>
        </w:trPr>
        <w:tc>
          <w:tcPr>
            <w:tcW w:w="1713" w:type="dxa"/>
            <w:shd w:val="clear" w:color="auto" w:fill="C6D9F1" w:themeFill="text2" w:themeFillTint="33"/>
            <w:vAlign w:val="center"/>
          </w:tcPr>
          <w:p w14:paraId="3B76D7D4" w14:textId="77777777" w:rsidR="00067534" w:rsidRPr="00B83E1A" w:rsidRDefault="00067534" w:rsidP="004E65E7">
            <w:pPr>
              <w:spacing w:after="120"/>
              <w:rPr>
                <w:b/>
                <w:bCs/>
                <w:sz w:val="18"/>
                <w:szCs w:val="18"/>
                <w:lang w:val="es-ES"/>
              </w:rPr>
            </w:pPr>
            <w:r w:rsidRPr="00B83E1A">
              <w:rPr>
                <w:b/>
                <w:bCs/>
                <w:sz w:val="18"/>
                <w:szCs w:val="18"/>
                <w:lang w:val="es-ES"/>
              </w:rPr>
              <w:t>Meta estratégica de la OMPI</w:t>
            </w:r>
          </w:p>
        </w:tc>
        <w:tc>
          <w:tcPr>
            <w:tcW w:w="2409" w:type="dxa"/>
            <w:shd w:val="clear" w:color="auto" w:fill="C6D9F1" w:themeFill="text2" w:themeFillTint="33"/>
            <w:vAlign w:val="center"/>
          </w:tcPr>
          <w:p w14:paraId="5942C671" w14:textId="77777777" w:rsidR="00067534" w:rsidRPr="00B83E1A" w:rsidRDefault="00067534" w:rsidP="004E65E7">
            <w:pPr>
              <w:rPr>
                <w:b/>
                <w:bCs/>
                <w:sz w:val="18"/>
                <w:szCs w:val="18"/>
                <w:lang w:val="es-ES"/>
              </w:rPr>
            </w:pPr>
            <w:r w:rsidRPr="00B83E1A">
              <w:rPr>
                <w:b/>
                <w:bCs/>
                <w:sz w:val="18"/>
                <w:szCs w:val="18"/>
                <w:lang w:val="es-ES"/>
              </w:rPr>
              <w:t>Resultado previsto de la OMPI pertinente - 2010/11</w:t>
            </w:r>
          </w:p>
        </w:tc>
        <w:tc>
          <w:tcPr>
            <w:tcW w:w="2694" w:type="dxa"/>
            <w:gridSpan w:val="2"/>
            <w:shd w:val="clear" w:color="auto" w:fill="C6D9F1" w:themeFill="text2" w:themeFillTint="33"/>
            <w:vAlign w:val="center"/>
          </w:tcPr>
          <w:p w14:paraId="71C3C280" w14:textId="77777777" w:rsidR="00067534" w:rsidRPr="00B83E1A" w:rsidRDefault="00067534" w:rsidP="004E65E7">
            <w:pPr>
              <w:rPr>
                <w:b/>
                <w:bCs/>
                <w:sz w:val="18"/>
                <w:szCs w:val="18"/>
                <w:lang w:val="es-ES"/>
              </w:rPr>
            </w:pPr>
            <w:r w:rsidRPr="00B83E1A">
              <w:rPr>
                <w:b/>
                <w:bCs/>
                <w:sz w:val="18"/>
                <w:szCs w:val="18"/>
                <w:lang w:val="es-ES"/>
              </w:rPr>
              <w:t>Indicadores de rendimiento</w:t>
            </w:r>
          </w:p>
        </w:tc>
        <w:tc>
          <w:tcPr>
            <w:tcW w:w="2817" w:type="dxa"/>
            <w:shd w:val="clear" w:color="auto" w:fill="C6D9F1" w:themeFill="text2" w:themeFillTint="33"/>
            <w:vAlign w:val="center"/>
          </w:tcPr>
          <w:p w14:paraId="7E09A673" w14:textId="77777777" w:rsidR="00067534" w:rsidRPr="00B83E1A" w:rsidRDefault="00067534" w:rsidP="004E65E7">
            <w:pPr>
              <w:rPr>
                <w:sz w:val="18"/>
                <w:szCs w:val="18"/>
                <w:lang w:val="es-ES"/>
              </w:rPr>
            </w:pPr>
            <w:r w:rsidRPr="00B83E1A">
              <w:rPr>
                <w:b/>
                <w:bCs/>
                <w:sz w:val="18"/>
                <w:szCs w:val="18"/>
                <w:lang w:val="es-ES"/>
              </w:rPr>
              <w:t>Datos sobre el rendimiento</w:t>
            </w:r>
          </w:p>
        </w:tc>
      </w:tr>
      <w:tr w:rsidR="00067534" w:rsidRPr="00B83E1A" w14:paraId="15FBB0A8" w14:textId="77777777" w:rsidTr="004E65E7">
        <w:trPr>
          <w:trHeight w:val="195"/>
          <w:jc w:val="center"/>
        </w:trPr>
        <w:tc>
          <w:tcPr>
            <w:tcW w:w="1713" w:type="dxa"/>
            <w:vMerge w:val="restart"/>
          </w:tcPr>
          <w:p w14:paraId="63055D6D" w14:textId="77777777" w:rsidR="00067534" w:rsidRPr="00B83E1A" w:rsidRDefault="00067534" w:rsidP="004E65E7">
            <w:pPr>
              <w:rPr>
                <w:i/>
                <w:sz w:val="18"/>
                <w:szCs w:val="18"/>
                <w:lang w:val="es-ES"/>
              </w:rPr>
            </w:pPr>
            <w:r w:rsidRPr="00B83E1A">
              <w:rPr>
                <w:i/>
                <w:sz w:val="18"/>
                <w:szCs w:val="18"/>
                <w:lang w:val="es-ES"/>
              </w:rPr>
              <w:t>Meta estratégica III:  Facilitar el uso de la P.I. en aras del desarrollo</w:t>
            </w:r>
          </w:p>
          <w:p w14:paraId="5FDE0ACB" w14:textId="77777777" w:rsidR="00067534" w:rsidRPr="00B83E1A" w:rsidRDefault="00067534" w:rsidP="004E65E7">
            <w:pPr>
              <w:rPr>
                <w:b/>
                <w:bCs/>
                <w:sz w:val="18"/>
                <w:szCs w:val="18"/>
                <w:lang w:val="es-ES"/>
              </w:rPr>
            </w:pPr>
          </w:p>
        </w:tc>
        <w:tc>
          <w:tcPr>
            <w:tcW w:w="2409" w:type="dxa"/>
          </w:tcPr>
          <w:p w14:paraId="6450F2AC" w14:textId="77777777" w:rsidR="00067534" w:rsidRPr="00B83E1A" w:rsidRDefault="00067534" w:rsidP="004E65E7">
            <w:pPr>
              <w:rPr>
                <w:b/>
                <w:bCs/>
                <w:sz w:val="18"/>
                <w:szCs w:val="18"/>
                <w:lang w:val="es-ES"/>
              </w:rPr>
            </w:pPr>
            <w:r w:rsidRPr="00B83E1A">
              <w:rPr>
                <w:sz w:val="18"/>
                <w:szCs w:val="18"/>
                <w:lang w:val="es-ES"/>
              </w:rPr>
              <w:t>Resultado i) Mayor conciencia de los principios jurídicos, las prácticas y las flexibilidades del sistema de patentes.</w:t>
            </w:r>
          </w:p>
        </w:tc>
        <w:tc>
          <w:tcPr>
            <w:tcW w:w="2694" w:type="dxa"/>
            <w:gridSpan w:val="2"/>
          </w:tcPr>
          <w:p w14:paraId="107AA407" w14:textId="77777777" w:rsidR="00067534" w:rsidRPr="00B83E1A" w:rsidRDefault="00067534" w:rsidP="004E65E7">
            <w:pPr>
              <w:rPr>
                <w:b/>
                <w:bCs/>
                <w:sz w:val="18"/>
                <w:szCs w:val="18"/>
                <w:lang w:val="es-ES"/>
              </w:rPr>
            </w:pPr>
            <w:r w:rsidRPr="00B83E1A">
              <w:rPr>
                <w:sz w:val="18"/>
                <w:szCs w:val="18"/>
                <w:lang w:val="es-ES"/>
              </w:rPr>
              <w:t>Mayor número de debates sobre los principios jurídicos y las prácticas del sistema de patentes, y mayor utilización de dichos principios y prácticas.</w:t>
            </w:r>
          </w:p>
        </w:tc>
        <w:tc>
          <w:tcPr>
            <w:tcW w:w="2817" w:type="dxa"/>
          </w:tcPr>
          <w:p w14:paraId="4BF35777" w14:textId="77777777" w:rsidR="00067534" w:rsidRPr="00B83E1A" w:rsidRDefault="00067534" w:rsidP="004E65E7">
            <w:pPr>
              <w:rPr>
                <w:spacing w:val="-2"/>
                <w:sz w:val="18"/>
                <w:szCs w:val="18"/>
                <w:lang w:val="es-ES"/>
              </w:rPr>
            </w:pPr>
            <w:r w:rsidRPr="00B83E1A">
              <w:rPr>
                <w:sz w:val="18"/>
                <w:szCs w:val="18"/>
                <w:lang w:val="es-ES"/>
              </w:rPr>
              <w:t>A través del asesoramiento jurídico y político neutral y equilibrado, los Estados miembros (Bangladesh, Bosnia y Herzegovina, Bhután, Colombia, Ecuador, Egipto, Emiratos Árabes Unidos, Iraq, Islas Cook, Jamaica, Lituania, Líbano, Maldivas, Mauricio, Nigeria, Sudán y Sierra Leona), un grupo regional (COMESA) y una oficina regional (GCC) han recibido apoyo para poder determinar adecuadamente el marco jurídico en materia de patentes/modelos de utilidad /información reservada/ circuitos integrados que se ajusta a sus necesidades.</w:t>
            </w:r>
          </w:p>
          <w:p w14:paraId="364B3CC5" w14:textId="77777777" w:rsidR="00067534" w:rsidRPr="00B83E1A" w:rsidRDefault="00067534" w:rsidP="004E65E7">
            <w:pPr>
              <w:rPr>
                <w:sz w:val="18"/>
                <w:szCs w:val="18"/>
                <w:lang w:val="es-ES"/>
              </w:rPr>
            </w:pPr>
            <w:r w:rsidRPr="00B83E1A">
              <w:rPr>
                <w:sz w:val="18"/>
                <w:szCs w:val="18"/>
                <w:lang w:val="es-ES"/>
              </w:rPr>
              <w:t xml:space="preserve">En el CDIP se han debatido dos documentos sobre flexibilidades en materia de patentes;  en la región de Asia se celebró el primero de una serie de seminarios regionales orientados a promover el intercambio de experiencias en </w:t>
            </w:r>
            <w:r w:rsidRPr="00B83E1A">
              <w:rPr>
                <w:sz w:val="18"/>
                <w:szCs w:val="18"/>
                <w:lang w:val="es-ES"/>
              </w:rPr>
              <w:lastRenderedPageBreak/>
              <w:t>la puesta en práctica de flexibilidades en materia de patentes.</w:t>
            </w:r>
          </w:p>
          <w:p w14:paraId="34D09CC1" w14:textId="77777777" w:rsidR="00067534" w:rsidRPr="00B83E1A" w:rsidRDefault="00067534" w:rsidP="004E65E7">
            <w:pPr>
              <w:rPr>
                <w:sz w:val="18"/>
                <w:szCs w:val="18"/>
                <w:lang w:val="es-ES"/>
              </w:rPr>
            </w:pPr>
            <w:r w:rsidRPr="00B83E1A">
              <w:rPr>
                <w:sz w:val="18"/>
                <w:szCs w:val="18"/>
                <w:lang w:val="es-ES"/>
              </w:rPr>
              <w:t>Las consultas sobre una serie de derechos y políticas en materia de patente en las capitales (Beirut, Bogotá, Argel, Quito, la Oficina del GCC en Riad, COMESA en Lusaka, Daca) y las reuniones en Ginebra (con delegaciones de Colombia, Omán, las Islas Cook, Mauricio, Túnez, COMESA y Bangladesh) facilitaron una mejor comprensión del sistema y el derecho de patentes.  A ese mismo fin contribuyó la participación en seminarios/talleres nacionales/internacionales sobre política y derecho de patentes que se organizaron conjuntamente con administraciones de P.I. de los siguientes Estados miembros:  Colombia, Costa Rica, el Ecuador, Guatemala, Kenya, el Líbano, Panamá, Samoa, Siria y el Uruguay.</w:t>
            </w:r>
          </w:p>
          <w:p w14:paraId="7D49491C" w14:textId="77777777" w:rsidR="00B35257" w:rsidRPr="00B83E1A" w:rsidRDefault="00067534" w:rsidP="004E65E7">
            <w:pPr>
              <w:rPr>
                <w:sz w:val="18"/>
                <w:szCs w:val="18"/>
                <w:lang w:val="es-ES"/>
              </w:rPr>
            </w:pPr>
            <w:r w:rsidRPr="00B83E1A">
              <w:rPr>
                <w:sz w:val="18"/>
                <w:szCs w:val="18"/>
                <w:lang w:val="es-ES"/>
              </w:rPr>
              <w:t>Se proporcionaron directrices y otras aportaciones en forma de 12 respuestas escritas a consultas o documentos de políticas enviados para la formulación de observaciones (estrategias y/o planes de P.I.)</w:t>
            </w:r>
            <w:r w:rsidR="00B35257" w:rsidRPr="00B83E1A">
              <w:rPr>
                <w:sz w:val="18"/>
                <w:szCs w:val="18"/>
                <w:lang w:val="es-ES"/>
              </w:rPr>
              <w:t>.</w:t>
            </w:r>
          </w:p>
          <w:p w14:paraId="35B16E79" w14:textId="16600916" w:rsidR="00067534" w:rsidRPr="00B83E1A" w:rsidRDefault="00067534" w:rsidP="004E65E7">
            <w:pPr>
              <w:rPr>
                <w:sz w:val="18"/>
                <w:szCs w:val="18"/>
                <w:lang w:val="es-ES"/>
              </w:rPr>
            </w:pPr>
            <w:r w:rsidRPr="00B83E1A">
              <w:rPr>
                <w:sz w:val="18"/>
                <w:szCs w:val="18"/>
                <w:lang w:val="es-ES"/>
              </w:rPr>
              <w:t>Debates sobre varias cuestiones en materia de patentes en el SCP en los que participaron activamente los Estados miembros mediante el envío de observaciones, entre periodos de sesiones, y propuestas, en las sesiones del SCP.</w:t>
            </w:r>
          </w:p>
          <w:p w14:paraId="6E7D8C50" w14:textId="77777777" w:rsidR="00B35257" w:rsidRPr="00B83E1A" w:rsidRDefault="00067534" w:rsidP="004E65E7">
            <w:pPr>
              <w:rPr>
                <w:sz w:val="18"/>
                <w:szCs w:val="18"/>
                <w:lang w:val="es-ES"/>
              </w:rPr>
            </w:pPr>
            <w:r w:rsidRPr="00B83E1A">
              <w:rPr>
                <w:sz w:val="18"/>
                <w:szCs w:val="18"/>
                <w:lang w:val="es-ES"/>
              </w:rPr>
              <w:t>Más de 70 Estados miembros y oficinas de patentes regionales respondieron a un cuestionario sobre excepciones y limitaciones del derecho de patentes</w:t>
            </w:r>
            <w:r w:rsidR="00B35257" w:rsidRPr="00B83E1A">
              <w:rPr>
                <w:sz w:val="18"/>
                <w:szCs w:val="18"/>
                <w:lang w:val="es-ES"/>
              </w:rPr>
              <w:t>.</w:t>
            </w:r>
          </w:p>
          <w:p w14:paraId="452441E6" w14:textId="77777777" w:rsidR="00067534" w:rsidRPr="00B83E1A" w:rsidRDefault="00067534" w:rsidP="00916327">
            <w:pPr>
              <w:rPr>
                <w:sz w:val="18"/>
                <w:szCs w:val="18"/>
                <w:lang w:val="es-ES"/>
              </w:rPr>
            </w:pPr>
            <w:r w:rsidRPr="00B83E1A">
              <w:rPr>
                <w:sz w:val="18"/>
                <w:szCs w:val="18"/>
                <w:lang w:val="es-ES"/>
              </w:rPr>
              <w:t>El CDIP debatió un estudio sobre las patentes y el dominio público y se aprobó la puesta en marcha de un proyecto sobre patentes y dominio público.</w:t>
            </w:r>
          </w:p>
          <w:p w14:paraId="3E4FC9C0" w14:textId="54D687CA" w:rsidR="00916327" w:rsidRPr="00B83E1A" w:rsidRDefault="00916327" w:rsidP="00916327">
            <w:pPr>
              <w:rPr>
                <w:sz w:val="18"/>
                <w:szCs w:val="18"/>
                <w:lang w:val="es-ES"/>
              </w:rPr>
            </w:pPr>
          </w:p>
        </w:tc>
      </w:tr>
      <w:tr w:rsidR="00067534" w:rsidRPr="00B83E1A" w14:paraId="1DECFE85" w14:textId="77777777" w:rsidTr="004E65E7">
        <w:trPr>
          <w:trHeight w:val="195"/>
          <w:jc w:val="center"/>
        </w:trPr>
        <w:tc>
          <w:tcPr>
            <w:tcW w:w="1713" w:type="dxa"/>
            <w:vMerge/>
          </w:tcPr>
          <w:p w14:paraId="73B4D1B4" w14:textId="77777777" w:rsidR="00067534" w:rsidRPr="00B83E1A" w:rsidRDefault="00067534" w:rsidP="004E65E7">
            <w:pPr>
              <w:rPr>
                <w:b/>
                <w:bCs/>
                <w:sz w:val="18"/>
                <w:szCs w:val="18"/>
                <w:lang w:val="es-ES"/>
              </w:rPr>
            </w:pPr>
          </w:p>
        </w:tc>
        <w:tc>
          <w:tcPr>
            <w:tcW w:w="2409" w:type="dxa"/>
          </w:tcPr>
          <w:p w14:paraId="7ADDDAD3" w14:textId="77777777" w:rsidR="00067534" w:rsidRPr="00B83E1A" w:rsidRDefault="00067534" w:rsidP="004E65E7">
            <w:pPr>
              <w:rPr>
                <w:sz w:val="18"/>
                <w:szCs w:val="18"/>
                <w:lang w:val="es-ES"/>
              </w:rPr>
            </w:pPr>
            <w:r w:rsidRPr="00B83E1A">
              <w:rPr>
                <w:sz w:val="18"/>
                <w:szCs w:val="18"/>
                <w:lang w:val="es-ES"/>
              </w:rPr>
              <w:t>Resultado ii) Eficacia en la aplicación de la Agenda para el Desarrollo mediante proyectos concretos.</w:t>
            </w:r>
          </w:p>
          <w:p w14:paraId="2C20DB59" w14:textId="77777777" w:rsidR="00067534" w:rsidRPr="00B83E1A" w:rsidRDefault="00067534" w:rsidP="004E65E7">
            <w:pPr>
              <w:rPr>
                <w:b/>
                <w:bCs/>
                <w:sz w:val="18"/>
                <w:szCs w:val="18"/>
                <w:lang w:val="es-ES"/>
              </w:rPr>
            </w:pPr>
          </w:p>
        </w:tc>
        <w:tc>
          <w:tcPr>
            <w:tcW w:w="2694" w:type="dxa"/>
            <w:gridSpan w:val="2"/>
          </w:tcPr>
          <w:p w14:paraId="038BA134" w14:textId="77777777" w:rsidR="00067534" w:rsidRPr="00B83E1A" w:rsidRDefault="00067534" w:rsidP="004E65E7">
            <w:pPr>
              <w:rPr>
                <w:b/>
                <w:bCs/>
                <w:sz w:val="18"/>
                <w:szCs w:val="18"/>
                <w:lang w:val="es-ES"/>
              </w:rPr>
            </w:pPr>
            <w:r w:rsidRPr="00B83E1A">
              <w:rPr>
                <w:bCs/>
                <w:sz w:val="18"/>
                <w:szCs w:val="18"/>
                <w:lang w:val="es-ES"/>
              </w:rPr>
              <w:lastRenderedPageBreak/>
              <w:t>Número de recomendaciones de la Agenda para el Desarrollo que se están aplicando con éxito mediante proyectos y actividades.</w:t>
            </w:r>
          </w:p>
        </w:tc>
        <w:tc>
          <w:tcPr>
            <w:tcW w:w="2817" w:type="dxa"/>
          </w:tcPr>
          <w:p w14:paraId="1EB40064" w14:textId="77777777" w:rsidR="00067534" w:rsidRPr="00B83E1A" w:rsidRDefault="00067534" w:rsidP="004E65E7">
            <w:pPr>
              <w:rPr>
                <w:bCs/>
                <w:sz w:val="18"/>
                <w:szCs w:val="18"/>
                <w:lang w:val="es-ES"/>
              </w:rPr>
            </w:pPr>
            <w:r w:rsidRPr="00B83E1A">
              <w:rPr>
                <w:bCs/>
                <w:sz w:val="18"/>
                <w:szCs w:val="18"/>
                <w:lang w:val="es-ES"/>
              </w:rPr>
              <w:t>Se siguen aplicando con éxito 19 recomendaciones:</w:t>
            </w:r>
          </w:p>
          <w:p w14:paraId="7A7FAE27" w14:textId="77777777" w:rsidR="00067534" w:rsidRPr="00B83E1A" w:rsidRDefault="00067534" w:rsidP="00067534">
            <w:pPr>
              <w:numPr>
                <w:ilvl w:val="0"/>
                <w:numId w:val="10"/>
              </w:numPr>
              <w:rPr>
                <w:bCs/>
                <w:sz w:val="18"/>
                <w:szCs w:val="18"/>
                <w:lang w:val="es-ES"/>
              </w:rPr>
            </w:pPr>
            <w:r w:rsidRPr="00B83E1A">
              <w:rPr>
                <w:bCs/>
                <w:sz w:val="18"/>
                <w:szCs w:val="18"/>
                <w:lang w:val="es-ES"/>
              </w:rPr>
              <w:t xml:space="preserve">Nueve proyectos sobre asistencia técnica </w:t>
            </w:r>
            <w:r w:rsidRPr="00B83E1A">
              <w:rPr>
                <w:bCs/>
                <w:sz w:val="18"/>
                <w:szCs w:val="18"/>
                <w:lang w:val="es-ES"/>
              </w:rPr>
              <w:lastRenderedPageBreak/>
              <w:t>(referentes a las recomendaciones 2,5,8,9 y 10)</w:t>
            </w:r>
          </w:p>
          <w:p w14:paraId="0F49065B" w14:textId="77777777" w:rsidR="00067534" w:rsidRPr="00B83E1A" w:rsidRDefault="00067534" w:rsidP="00067534">
            <w:pPr>
              <w:numPr>
                <w:ilvl w:val="0"/>
                <w:numId w:val="10"/>
              </w:numPr>
              <w:rPr>
                <w:bCs/>
                <w:sz w:val="18"/>
                <w:szCs w:val="18"/>
                <w:lang w:val="es-ES"/>
              </w:rPr>
            </w:pPr>
            <w:r w:rsidRPr="00B83E1A">
              <w:rPr>
                <w:bCs/>
                <w:sz w:val="18"/>
                <w:szCs w:val="18"/>
                <w:lang w:val="es-ES"/>
              </w:rPr>
              <w:t>Cinco proyectos temáticos referentes a las recomendaciones 7, 16, 19, 20, 23, 24, 27, 30, 31, 32, 33, 38 y 41.</w:t>
            </w:r>
          </w:p>
          <w:p w14:paraId="7F859205" w14:textId="35BF69C3" w:rsidR="00067534" w:rsidRPr="00B83E1A" w:rsidRDefault="00067534" w:rsidP="00067534">
            <w:pPr>
              <w:numPr>
                <w:ilvl w:val="0"/>
                <w:numId w:val="10"/>
              </w:numPr>
              <w:rPr>
                <w:bCs/>
                <w:sz w:val="18"/>
                <w:szCs w:val="18"/>
                <w:lang w:val="es-ES"/>
              </w:rPr>
            </w:pPr>
            <w:r w:rsidRPr="00B83E1A">
              <w:rPr>
                <w:bCs/>
                <w:sz w:val="18"/>
                <w:szCs w:val="18"/>
                <w:lang w:val="es-ES"/>
              </w:rPr>
              <w:t>Nueve proyectos temáticos aprobados durante el bienio (referentes a las recomendaciones 1, 4, 10, 11, 13, 16, 19, 20, 25, 26, 28, 30, 31, 34, 35, 36, 37, 39, y 40)</w:t>
            </w:r>
          </w:p>
          <w:p w14:paraId="213C35E9" w14:textId="77777777" w:rsidR="00067534" w:rsidRPr="00B83E1A" w:rsidRDefault="00067534" w:rsidP="004E65E7">
            <w:pPr>
              <w:rPr>
                <w:sz w:val="18"/>
                <w:szCs w:val="18"/>
                <w:lang w:val="es-ES"/>
              </w:rPr>
            </w:pPr>
          </w:p>
        </w:tc>
      </w:tr>
      <w:tr w:rsidR="00067534" w:rsidRPr="00B83E1A" w14:paraId="486112BB" w14:textId="77777777" w:rsidTr="004E65E7">
        <w:trPr>
          <w:trHeight w:val="195"/>
          <w:jc w:val="center"/>
        </w:trPr>
        <w:tc>
          <w:tcPr>
            <w:tcW w:w="1713" w:type="dxa"/>
            <w:vMerge/>
          </w:tcPr>
          <w:p w14:paraId="27ECE3BF" w14:textId="77777777" w:rsidR="00067534" w:rsidRPr="00B83E1A" w:rsidRDefault="00067534" w:rsidP="004E65E7">
            <w:pPr>
              <w:rPr>
                <w:b/>
                <w:bCs/>
                <w:sz w:val="18"/>
                <w:szCs w:val="18"/>
                <w:lang w:val="es-ES"/>
              </w:rPr>
            </w:pPr>
          </w:p>
        </w:tc>
        <w:tc>
          <w:tcPr>
            <w:tcW w:w="2409" w:type="dxa"/>
            <w:vMerge w:val="restart"/>
          </w:tcPr>
          <w:p w14:paraId="45E9EF67" w14:textId="77777777" w:rsidR="00067534" w:rsidRPr="00B83E1A" w:rsidRDefault="00067534" w:rsidP="004E65E7">
            <w:pPr>
              <w:rPr>
                <w:b/>
                <w:bCs/>
                <w:sz w:val="18"/>
                <w:szCs w:val="18"/>
                <w:lang w:val="es-ES"/>
              </w:rPr>
            </w:pPr>
            <w:r w:rsidRPr="00B83E1A">
              <w:rPr>
                <w:sz w:val="18"/>
                <w:szCs w:val="18"/>
                <w:lang w:val="es-ES"/>
              </w:rPr>
              <w:t>Resultado i) Políticas y estrategias nacionales de P.I. y planes de acción por país que estén en concordancia con los planes y prioridades de desarrollo.</w:t>
            </w:r>
          </w:p>
        </w:tc>
        <w:tc>
          <w:tcPr>
            <w:tcW w:w="2694" w:type="dxa"/>
            <w:gridSpan w:val="2"/>
          </w:tcPr>
          <w:p w14:paraId="3A92142A" w14:textId="77777777" w:rsidR="00067534" w:rsidRPr="00B83E1A" w:rsidRDefault="00067534" w:rsidP="004E65E7">
            <w:pPr>
              <w:rPr>
                <w:sz w:val="18"/>
                <w:szCs w:val="18"/>
                <w:lang w:val="es-ES"/>
              </w:rPr>
            </w:pPr>
            <w:r w:rsidRPr="00B83E1A">
              <w:rPr>
                <w:sz w:val="18"/>
                <w:szCs w:val="18"/>
                <w:lang w:val="es-ES"/>
              </w:rPr>
              <w:t>Hasta cinco países han iniciado el proceso de formulación de políticas y estrategias de P.I., cuatro países han adoptado políticas y estrategias de P.I. y tres países están ejecutando planes nacionales de P.I.</w:t>
            </w:r>
          </w:p>
        </w:tc>
        <w:tc>
          <w:tcPr>
            <w:tcW w:w="2817" w:type="dxa"/>
          </w:tcPr>
          <w:p w14:paraId="111C6F9E" w14:textId="77777777" w:rsidR="00067534" w:rsidRPr="00B83E1A" w:rsidRDefault="00067534" w:rsidP="004E65E7">
            <w:pPr>
              <w:rPr>
                <w:bCs/>
                <w:sz w:val="18"/>
                <w:szCs w:val="18"/>
                <w:lang w:val="es-ES"/>
              </w:rPr>
            </w:pPr>
            <w:r w:rsidRPr="00B83E1A">
              <w:rPr>
                <w:bCs/>
                <w:sz w:val="18"/>
                <w:szCs w:val="18"/>
                <w:u w:val="single"/>
                <w:lang w:val="es-ES"/>
              </w:rPr>
              <w:t>Se inició el proceso de formulación de políticas/estrategias de P.I. en:</w:t>
            </w:r>
            <w:r w:rsidRPr="00B83E1A">
              <w:rPr>
                <w:bCs/>
                <w:sz w:val="18"/>
                <w:szCs w:val="18"/>
                <w:lang w:val="es-ES"/>
              </w:rPr>
              <w:t xml:space="preserve">  Botswana, Burundi, el Camerún, el Congo, Ghana, Lesotho, Malí, Nigeria, la República Centroafricana, la República Democrática del Congo, Tanzanía, el Togo y Sierra Leona (13 países).</w:t>
            </w:r>
          </w:p>
          <w:p w14:paraId="0AF2CA82" w14:textId="77777777" w:rsidR="00067534" w:rsidRPr="00B83E1A" w:rsidRDefault="00067534" w:rsidP="004E65E7">
            <w:pPr>
              <w:rPr>
                <w:bCs/>
                <w:sz w:val="18"/>
                <w:szCs w:val="18"/>
                <w:lang w:val="es-ES"/>
              </w:rPr>
            </w:pPr>
            <w:r w:rsidRPr="00B83E1A">
              <w:rPr>
                <w:bCs/>
                <w:sz w:val="18"/>
                <w:szCs w:val="18"/>
                <w:u w:val="single"/>
                <w:lang w:val="es-ES"/>
              </w:rPr>
              <w:t>Se aprobaron políticas/estrategias de P.I. en:</w:t>
            </w:r>
            <w:r w:rsidRPr="00B83E1A">
              <w:rPr>
                <w:bCs/>
                <w:sz w:val="18"/>
                <w:szCs w:val="18"/>
                <w:lang w:val="es-ES"/>
              </w:rPr>
              <w:t xml:space="preserve"> </w:t>
            </w:r>
            <w:r w:rsidRPr="00B83E1A">
              <w:rPr>
                <w:bCs/>
                <w:sz w:val="18"/>
                <w:szCs w:val="18"/>
                <w:u w:val="single"/>
                <w:lang w:val="es-ES"/>
              </w:rPr>
              <w:t xml:space="preserve"> </w:t>
            </w:r>
            <w:r w:rsidRPr="00B83E1A">
              <w:rPr>
                <w:bCs/>
                <w:sz w:val="18"/>
                <w:szCs w:val="18"/>
                <w:lang w:val="es-ES"/>
              </w:rPr>
              <w:t>Mauricio, Rwanda, el Senegal y Seychelles (4 países).</w:t>
            </w:r>
          </w:p>
          <w:p w14:paraId="1F4F82FE" w14:textId="77777777" w:rsidR="00067534" w:rsidRPr="00B83E1A" w:rsidRDefault="00067534" w:rsidP="004E65E7">
            <w:pPr>
              <w:spacing w:after="120"/>
              <w:rPr>
                <w:sz w:val="18"/>
                <w:szCs w:val="18"/>
                <w:lang w:val="es-ES"/>
              </w:rPr>
            </w:pPr>
            <w:r w:rsidRPr="00B83E1A">
              <w:rPr>
                <w:bCs/>
                <w:sz w:val="18"/>
                <w:szCs w:val="18"/>
                <w:u w:val="single"/>
                <w:lang w:val="es-ES"/>
              </w:rPr>
              <w:t xml:space="preserve">Se están aplicando políticas/estrategias de P.I. en </w:t>
            </w:r>
            <w:r w:rsidRPr="00B83E1A">
              <w:rPr>
                <w:bCs/>
                <w:sz w:val="18"/>
                <w:szCs w:val="18"/>
                <w:lang w:val="es-ES"/>
              </w:rPr>
              <w:t>Liberia, Mauricio, Rwanda, el Senegal, Seychelles y Zambia (6 países).</w:t>
            </w:r>
          </w:p>
        </w:tc>
      </w:tr>
      <w:tr w:rsidR="00067534" w:rsidRPr="00B83E1A" w14:paraId="01D90D90" w14:textId="77777777" w:rsidTr="004E65E7">
        <w:trPr>
          <w:trHeight w:val="195"/>
          <w:jc w:val="center"/>
        </w:trPr>
        <w:tc>
          <w:tcPr>
            <w:tcW w:w="1713" w:type="dxa"/>
            <w:vMerge/>
          </w:tcPr>
          <w:p w14:paraId="4F185C36" w14:textId="77777777" w:rsidR="00067534" w:rsidRPr="00B83E1A" w:rsidRDefault="00067534" w:rsidP="004E65E7">
            <w:pPr>
              <w:rPr>
                <w:b/>
                <w:bCs/>
                <w:sz w:val="18"/>
                <w:szCs w:val="18"/>
                <w:lang w:val="es-ES"/>
              </w:rPr>
            </w:pPr>
          </w:p>
        </w:tc>
        <w:tc>
          <w:tcPr>
            <w:tcW w:w="2409" w:type="dxa"/>
            <w:vMerge/>
          </w:tcPr>
          <w:p w14:paraId="74965A02" w14:textId="77777777" w:rsidR="00067534" w:rsidRPr="00B83E1A" w:rsidRDefault="00067534" w:rsidP="004E65E7">
            <w:pPr>
              <w:rPr>
                <w:b/>
                <w:bCs/>
                <w:sz w:val="18"/>
                <w:szCs w:val="18"/>
                <w:lang w:val="es-ES"/>
              </w:rPr>
            </w:pPr>
          </w:p>
        </w:tc>
        <w:tc>
          <w:tcPr>
            <w:tcW w:w="2694" w:type="dxa"/>
            <w:gridSpan w:val="2"/>
          </w:tcPr>
          <w:p w14:paraId="4707E920" w14:textId="77777777" w:rsidR="00067534" w:rsidRPr="00B83E1A" w:rsidRDefault="00067534" w:rsidP="004E65E7">
            <w:pPr>
              <w:rPr>
                <w:sz w:val="18"/>
                <w:szCs w:val="18"/>
                <w:lang w:val="es-ES"/>
              </w:rPr>
            </w:pPr>
            <w:r w:rsidRPr="00B83E1A">
              <w:rPr>
                <w:sz w:val="18"/>
                <w:szCs w:val="18"/>
                <w:lang w:val="es-ES"/>
              </w:rPr>
              <w:t>Dos planes de acción para respaldar las políticas/estrategias regionales en el ámbito de los conocimientos tradicionales y las expresiones culturales tradicionales en el marco de la OAPI y la ARIPO.</w:t>
            </w:r>
          </w:p>
        </w:tc>
        <w:tc>
          <w:tcPr>
            <w:tcW w:w="2817" w:type="dxa"/>
          </w:tcPr>
          <w:p w14:paraId="158747C5" w14:textId="77777777" w:rsidR="00067534" w:rsidRPr="00B83E1A" w:rsidRDefault="00067534" w:rsidP="004E65E7">
            <w:pPr>
              <w:spacing w:after="120"/>
              <w:rPr>
                <w:sz w:val="18"/>
                <w:szCs w:val="18"/>
                <w:lang w:val="es-ES"/>
              </w:rPr>
            </w:pPr>
            <w:r w:rsidRPr="00B83E1A">
              <w:rPr>
                <w:sz w:val="18"/>
                <w:szCs w:val="18"/>
                <w:lang w:val="es-ES"/>
              </w:rPr>
              <w:t xml:space="preserve">Se aprobó el protocolo de la ARIPO sobre conocimientos tradicionales y expresiones del folklore y un plan de trabajo para la aplicación del protocolo;  la aplicación se inició en 2011 con la formación de los altos funcionarios para facilitar la promulgación de legislación nacional. </w:t>
            </w:r>
          </w:p>
        </w:tc>
      </w:tr>
      <w:tr w:rsidR="00067534" w:rsidRPr="00B83E1A" w14:paraId="00669948" w14:textId="77777777" w:rsidTr="000156E6">
        <w:trPr>
          <w:trHeight w:val="1635"/>
          <w:jc w:val="center"/>
        </w:trPr>
        <w:tc>
          <w:tcPr>
            <w:tcW w:w="1713" w:type="dxa"/>
            <w:vMerge/>
          </w:tcPr>
          <w:p w14:paraId="7EE9FB3D" w14:textId="77777777" w:rsidR="00067534" w:rsidRPr="00B83E1A" w:rsidRDefault="00067534" w:rsidP="004E65E7">
            <w:pPr>
              <w:rPr>
                <w:b/>
                <w:bCs/>
                <w:sz w:val="18"/>
                <w:szCs w:val="18"/>
                <w:lang w:val="es-ES"/>
              </w:rPr>
            </w:pPr>
          </w:p>
        </w:tc>
        <w:tc>
          <w:tcPr>
            <w:tcW w:w="2409" w:type="dxa"/>
            <w:vMerge/>
          </w:tcPr>
          <w:p w14:paraId="715860A0" w14:textId="77777777" w:rsidR="00067534" w:rsidRPr="00B83E1A" w:rsidRDefault="00067534" w:rsidP="004E65E7">
            <w:pPr>
              <w:rPr>
                <w:b/>
                <w:bCs/>
                <w:sz w:val="18"/>
                <w:szCs w:val="18"/>
                <w:lang w:val="es-ES"/>
              </w:rPr>
            </w:pPr>
          </w:p>
        </w:tc>
        <w:tc>
          <w:tcPr>
            <w:tcW w:w="2694" w:type="dxa"/>
            <w:gridSpan w:val="2"/>
          </w:tcPr>
          <w:p w14:paraId="2BE92228" w14:textId="77777777" w:rsidR="00B35257" w:rsidRPr="00B83E1A" w:rsidRDefault="00067534" w:rsidP="004E65E7">
            <w:pPr>
              <w:rPr>
                <w:sz w:val="18"/>
                <w:szCs w:val="18"/>
                <w:lang w:val="es-ES"/>
              </w:rPr>
            </w:pPr>
            <w:r w:rsidRPr="00B83E1A">
              <w:rPr>
                <w:sz w:val="18"/>
                <w:szCs w:val="18"/>
                <w:lang w:val="es-ES"/>
              </w:rPr>
              <w:t>Nueve países más han formulado o adoptado políticas/estrategias/planes nacionales de P.I</w:t>
            </w:r>
            <w:r w:rsidR="00B35257" w:rsidRPr="00B83E1A">
              <w:rPr>
                <w:sz w:val="18"/>
                <w:szCs w:val="18"/>
                <w:lang w:val="es-ES"/>
              </w:rPr>
              <w:t>.</w:t>
            </w:r>
          </w:p>
          <w:p w14:paraId="4F4138C8" w14:textId="6F9E6DD9" w:rsidR="00067534" w:rsidRPr="00B83E1A" w:rsidRDefault="00067534" w:rsidP="004E65E7">
            <w:pPr>
              <w:rPr>
                <w:b/>
                <w:bCs/>
                <w:sz w:val="18"/>
                <w:szCs w:val="18"/>
                <w:lang w:val="es-ES"/>
              </w:rPr>
            </w:pPr>
          </w:p>
        </w:tc>
        <w:tc>
          <w:tcPr>
            <w:tcW w:w="2817" w:type="dxa"/>
          </w:tcPr>
          <w:p w14:paraId="142C3E81" w14:textId="77777777" w:rsidR="00067534" w:rsidRPr="00B83E1A" w:rsidRDefault="00067534" w:rsidP="004E65E7">
            <w:pPr>
              <w:rPr>
                <w:sz w:val="18"/>
                <w:szCs w:val="18"/>
                <w:lang w:val="es-ES"/>
              </w:rPr>
            </w:pPr>
            <w:r w:rsidRPr="00B83E1A">
              <w:rPr>
                <w:sz w:val="18"/>
                <w:szCs w:val="18"/>
                <w:lang w:val="es-ES"/>
              </w:rPr>
              <w:t>Se aprobaron políticas/estrategias sobre P.I. en Fiji y Papua Nueva Guinea, y se formularon las de Bhután, Mongolia y Viet Nam.  Se elaboró un plan de acción en materia de P.I. para Maldivas.</w:t>
            </w:r>
          </w:p>
        </w:tc>
      </w:tr>
      <w:tr w:rsidR="00067534" w:rsidRPr="00B83E1A" w14:paraId="7F0EAC6C" w14:textId="77777777" w:rsidTr="004E65E7">
        <w:trPr>
          <w:trHeight w:val="195"/>
          <w:jc w:val="center"/>
        </w:trPr>
        <w:tc>
          <w:tcPr>
            <w:tcW w:w="1713" w:type="dxa"/>
            <w:vMerge/>
          </w:tcPr>
          <w:p w14:paraId="7B131E64" w14:textId="77777777" w:rsidR="00067534" w:rsidRPr="00B83E1A" w:rsidRDefault="00067534" w:rsidP="004E65E7">
            <w:pPr>
              <w:rPr>
                <w:b/>
                <w:bCs/>
                <w:sz w:val="18"/>
                <w:szCs w:val="18"/>
                <w:lang w:val="es-ES"/>
              </w:rPr>
            </w:pPr>
          </w:p>
        </w:tc>
        <w:tc>
          <w:tcPr>
            <w:tcW w:w="2409" w:type="dxa"/>
          </w:tcPr>
          <w:p w14:paraId="2781EE39" w14:textId="77777777" w:rsidR="00067534" w:rsidRPr="00B83E1A" w:rsidRDefault="00067534" w:rsidP="004E65E7">
            <w:pPr>
              <w:rPr>
                <w:sz w:val="18"/>
                <w:szCs w:val="18"/>
                <w:lang w:val="es-ES"/>
              </w:rPr>
            </w:pPr>
            <w:r w:rsidRPr="00B83E1A">
              <w:rPr>
                <w:sz w:val="18"/>
                <w:szCs w:val="18"/>
                <w:lang w:val="es-ES"/>
              </w:rPr>
              <w:t>Resultado iv) Marco jurídico nacional de P.I. que esté en concordancia con los objetivos de desarrollo y la política pública, fortalecimiento de la infraestructura técnica.</w:t>
            </w:r>
          </w:p>
          <w:p w14:paraId="3E9CC75D" w14:textId="77777777" w:rsidR="00067534" w:rsidRPr="00B83E1A" w:rsidRDefault="00067534" w:rsidP="004E65E7">
            <w:pPr>
              <w:rPr>
                <w:b/>
                <w:bCs/>
                <w:sz w:val="18"/>
                <w:szCs w:val="18"/>
                <w:lang w:val="es-ES"/>
              </w:rPr>
            </w:pPr>
          </w:p>
        </w:tc>
        <w:tc>
          <w:tcPr>
            <w:tcW w:w="2694" w:type="dxa"/>
            <w:gridSpan w:val="2"/>
          </w:tcPr>
          <w:p w14:paraId="1F991FA4" w14:textId="77777777" w:rsidR="00067534" w:rsidRPr="00B83E1A" w:rsidRDefault="00067534" w:rsidP="004E65E7">
            <w:pPr>
              <w:rPr>
                <w:sz w:val="18"/>
                <w:szCs w:val="18"/>
                <w:lang w:val="es-ES"/>
              </w:rPr>
            </w:pPr>
            <w:r w:rsidRPr="00B83E1A">
              <w:rPr>
                <w:sz w:val="18"/>
                <w:szCs w:val="18"/>
                <w:lang w:val="es-ES"/>
              </w:rPr>
              <w:lastRenderedPageBreak/>
              <w:t>Hasta cinco países que cuenten con un marco jurídico sobre P.I. moderno.</w:t>
            </w:r>
          </w:p>
        </w:tc>
        <w:tc>
          <w:tcPr>
            <w:tcW w:w="2817" w:type="dxa"/>
          </w:tcPr>
          <w:p w14:paraId="505F9CC9" w14:textId="77777777" w:rsidR="00067534" w:rsidRPr="00B83E1A" w:rsidRDefault="00067534" w:rsidP="004E65E7">
            <w:pPr>
              <w:spacing w:after="120"/>
              <w:rPr>
                <w:sz w:val="18"/>
                <w:szCs w:val="18"/>
                <w:lang w:val="es-ES"/>
              </w:rPr>
            </w:pPr>
            <w:r w:rsidRPr="00B83E1A">
              <w:rPr>
                <w:sz w:val="18"/>
                <w:szCs w:val="18"/>
                <w:lang w:val="es-ES"/>
              </w:rPr>
              <w:t xml:space="preserve">El asesoramiento técnico y jurídico prestado a Colombia y la República Dominicana ha dado lugar a iniciativas legislativas para adherirse al Protocolo de Madrid;  también se está avanzando en la modernización legislativa como </w:t>
            </w:r>
            <w:r w:rsidRPr="00B83E1A">
              <w:rPr>
                <w:sz w:val="18"/>
                <w:szCs w:val="18"/>
                <w:lang w:val="es-ES"/>
              </w:rPr>
              <w:lastRenderedPageBreak/>
              <w:t xml:space="preserve">resultado de la asistencia técnica y jurídica prestada a seis países de Centro América y Colombia, el Ecuador y el Perú (relativa al Tratado sobre el Derecho de Marcas), y a la República Dominica, Honduras, Nicaragua y Panamá (sobre modernización de la legislación en materia de marcas y patentes para el cumplimiento de los acuerdos comerciales)  </w:t>
            </w:r>
          </w:p>
        </w:tc>
      </w:tr>
      <w:tr w:rsidR="00067534" w:rsidRPr="00B83E1A" w14:paraId="613CCAD5" w14:textId="77777777" w:rsidTr="004E65E7">
        <w:trPr>
          <w:trHeight w:val="195"/>
          <w:jc w:val="center"/>
        </w:trPr>
        <w:tc>
          <w:tcPr>
            <w:tcW w:w="1713" w:type="dxa"/>
            <w:vMerge/>
          </w:tcPr>
          <w:p w14:paraId="70F9B087" w14:textId="77777777" w:rsidR="00067534" w:rsidRPr="00B83E1A" w:rsidRDefault="00067534" w:rsidP="004E65E7">
            <w:pPr>
              <w:rPr>
                <w:b/>
                <w:bCs/>
                <w:sz w:val="18"/>
                <w:szCs w:val="18"/>
                <w:lang w:val="es-ES"/>
              </w:rPr>
            </w:pPr>
          </w:p>
        </w:tc>
        <w:tc>
          <w:tcPr>
            <w:tcW w:w="2409" w:type="dxa"/>
            <w:vMerge w:val="restart"/>
          </w:tcPr>
          <w:p w14:paraId="35F630A4" w14:textId="77777777" w:rsidR="00067534" w:rsidRPr="00B83E1A" w:rsidRDefault="00067534" w:rsidP="004E65E7">
            <w:pPr>
              <w:rPr>
                <w:sz w:val="18"/>
                <w:szCs w:val="18"/>
                <w:lang w:val="es-ES"/>
              </w:rPr>
            </w:pPr>
            <w:r w:rsidRPr="00B83E1A">
              <w:rPr>
                <w:sz w:val="18"/>
                <w:szCs w:val="18"/>
                <w:lang w:val="es-ES"/>
              </w:rPr>
              <w:t>Resultado v) Mejora del acceso a los recursos de información generados a partir de los sistemas de P.I.</w:t>
            </w:r>
          </w:p>
          <w:p w14:paraId="40B4D853" w14:textId="77777777" w:rsidR="00067534" w:rsidRPr="00B83E1A" w:rsidRDefault="00067534" w:rsidP="004E65E7">
            <w:pPr>
              <w:rPr>
                <w:b/>
                <w:bCs/>
                <w:sz w:val="18"/>
                <w:szCs w:val="18"/>
                <w:lang w:val="es-ES"/>
              </w:rPr>
            </w:pPr>
          </w:p>
        </w:tc>
        <w:tc>
          <w:tcPr>
            <w:tcW w:w="2694" w:type="dxa"/>
            <w:gridSpan w:val="2"/>
          </w:tcPr>
          <w:p w14:paraId="74DBAC56" w14:textId="77777777" w:rsidR="00067534" w:rsidRPr="00B83E1A" w:rsidRDefault="00067534" w:rsidP="004E65E7">
            <w:pPr>
              <w:spacing w:after="120"/>
              <w:rPr>
                <w:bCs/>
                <w:sz w:val="18"/>
                <w:szCs w:val="18"/>
                <w:lang w:val="es-ES"/>
              </w:rPr>
            </w:pPr>
            <w:r w:rsidRPr="00B83E1A">
              <w:rPr>
                <w:bCs/>
                <w:sz w:val="18"/>
                <w:szCs w:val="18"/>
                <w:lang w:val="es-ES"/>
              </w:rPr>
              <w:t>Contribución de los nuevos servicios de búsqueda de PATENTSCOPE® al aumento del número de usuarios</w:t>
            </w:r>
          </w:p>
        </w:tc>
        <w:tc>
          <w:tcPr>
            <w:tcW w:w="2817" w:type="dxa"/>
          </w:tcPr>
          <w:p w14:paraId="2A6F4452" w14:textId="77777777" w:rsidR="00067534" w:rsidRPr="00B83E1A" w:rsidRDefault="00067534" w:rsidP="004E65E7">
            <w:pPr>
              <w:rPr>
                <w:bCs/>
                <w:sz w:val="18"/>
                <w:szCs w:val="18"/>
                <w:lang w:val="es-ES"/>
              </w:rPr>
            </w:pPr>
            <w:r w:rsidRPr="00B83E1A">
              <w:rPr>
                <w:bCs/>
                <w:sz w:val="18"/>
                <w:szCs w:val="18"/>
                <w:lang w:val="es-ES"/>
              </w:rPr>
              <w:t>Primer trimestre de 2010 – 156.271 usuarios distintos</w:t>
            </w:r>
          </w:p>
          <w:p w14:paraId="099CD8FB" w14:textId="77777777" w:rsidR="00067534" w:rsidRPr="00B83E1A" w:rsidRDefault="00067534" w:rsidP="004E65E7">
            <w:pPr>
              <w:spacing w:after="120"/>
              <w:rPr>
                <w:sz w:val="18"/>
                <w:szCs w:val="18"/>
                <w:lang w:val="es-ES"/>
              </w:rPr>
            </w:pPr>
            <w:r w:rsidRPr="00B83E1A">
              <w:rPr>
                <w:bCs/>
                <w:sz w:val="18"/>
                <w:szCs w:val="18"/>
                <w:lang w:val="es-ES"/>
              </w:rPr>
              <w:t>Cuarto trimestre de 2010 – 216.290 usuarios distintos</w:t>
            </w:r>
          </w:p>
        </w:tc>
      </w:tr>
      <w:tr w:rsidR="00067534" w:rsidRPr="00B83E1A" w14:paraId="61FE3D87" w14:textId="77777777" w:rsidTr="004E65E7">
        <w:trPr>
          <w:trHeight w:val="195"/>
          <w:jc w:val="center"/>
        </w:trPr>
        <w:tc>
          <w:tcPr>
            <w:tcW w:w="1713" w:type="dxa"/>
            <w:vMerge/>
          </w:tcPr>
          <w:p w14:paraId="743E2950" w14:textId="77777777" w:rsidR="00067534" w:rsidRPr="00B83E1A" w:rsidRDefault="00067534" w:rsidP="004E65E7">
            <w:pPr>
              <w:rPr>
                <w:b/>
                <w:bCs/>
                <w:sz w:val="18"/>
                <w:szCs w:val="18"/>
                <w:lang w:val="es-ES"/>
              </w:rPr>
            </w:pPr>
          </w:p>
        </w:tc>
        <w:tc>
          <w:tcPr>
            <w:tcW w:w="2409" w:type="dxa"/>
            <w:vMerge/>
          </w:tcPr>
          <w:p w14:paraId="0FC3DD66" w14:textId="77777777" w:rsidR="00067534" w:rsidRPr="00B83E1A" w:rsidRDefault="00067534" w:rsidP="004E65E7">
            <w:pPr>
              <w:rPr>
                <w:b/>
                <w:bCs/>
                <w:sz w:val="18"/>
                <w:szCs w:val="18"/>
                <w:lang w:val="es-ES"/>
              </w:rPr>
            </w:pPr>
          </w:p>
        </w:tc>
        <w:tc>
          <w:tcPr>
            <w:tcW w:w="2694" w:type="dxa"/>
            <w:gridSpan w:val="2"/>
          </w:tcPr>
          <w:p w14:paraId="681144EE" w14:textId="77777777" w:rsidR="00067534" w:rsidRPr="00B83E1A" w:rsidRDefault="00067534" w:rsidP="004E65E7">
            <w:pPr>
              <w:rPr>
                <w:bCs/>
                <w:sz w:val="18"/>
                <w:szCs w:val="18"/>
                <w:lang w:val="es-ES"/>
              </w:rPr>
            </w:pPr>
            <w:r w:rsidRPr="00B83E1A">
              <w:rPr>
                <w:bCs/>
                <w:sz w:val="18"/>
                <w:szCs w:val="18"/>
                <w:lang w:val="es-ES"/>
              </w:rPr>
              <w:t xml:space="preserve">Aumento del número de usuarios que tienen acceso a bases de datos especializadas y servicios de apoyo conexos en los países en desarrollo y los PMA </w:t>
            </w:r>
          </w:p>
        </w:tc>
        <w:tc>
          <w:tcPr>
            <w:tcW w:w="2817" w:type="dxa"/>
          </w:tcPr>
          <w:p w14:paraId="798E451C" w14:textId="77777777" w:rsidR="00067534" w:rsidRPr="00B83E1A" w:rsidRDefault="00067534" w:rsidP="004E65E7">
            <w:pPr>
              <w:spacing w:after="120"/>
              <w:rPr>
                <w:sz w:val="18"/>
                <w:szCs w:val="18"/>
                <w:lang w:val="es-ES"/>
              </w:rPr>
            </w:pPr>
            <w:r w:rsidRPr="00B83E1A">
              <w:rPr>
                <w:bCs/>
                <w:sz w:val="18"/>
                <w:szCs w:val="18"/>
                <w:lang w:val="es-ES"/>
              </w:rPr>
              <w:t>El programa ARDI permite consultar más de 200 revistas científicas y técnicas (cuatro veces más que en 2010) de forma gratuita a 77 países en desarrollo y a 28 por un precio muy reducido.  ARDI abrió la posibilidad de acceder a más revistas asociándose con Research4Life (R4L), que permite consultar más de 8.000 revistas revisadas por expertos en del programa HINARI de la OMS (revistas de salud y biomedicina), el programa AGORA de la FAO (revistas sobre agricultura) y el programa OARE de la PNUMA (cuestiones medio ambientales).  La ASPI permite consultar 6 de las bases comerciales sobre patentes más importantes del mundo, de forma gratuita para 49 PMAs y a un precio muy reducido para otros 66 países en desarrollo.</w:t>
            </w:r>
          </w:p>
        </w:tc>
      </w:tr>
      <w:tr w:rsidR="00067534" w:rsidRPr="00B83E1A" w14:paraId="71F3498B" w14:textId="77777777" w:rsidTr="004E65E7">
        <w:trPr>
          <w:trHeight w:val="195"/>
          <w:jc w:val="center"/>
        </w:trPr>
        <w:tc>
          <w:tcPr>
            <w:tcW w:w="1713" w:type="dxa"/>
            <w:vMerge/>
          </w:tcPr>
          <w:p w14:paraId="718B55B5" w14:textId="77777777" w:rsidR="00067534" w:rsidRPr="00B83E1A" w:rsidRDefault="00067534" w:rsidP="004E65E7">
            <w:pPr>
              <w:rPr>
                <w:b/>
                <w:bCs/>
                <w:sz w:val="18"/>
                <w:szCs w:val="18"/>
                <w:lang w:val="es-ES"/>
              </w:rPr>
            </w:pPr>
          </w:p>
        </w:tc>
        <w:tc>
          <w:tcPr>
            <w:tcW w:w="2409" w:type="dxa"/>
            <w:vMerge/>
          </w:tcPr>
          <w:p w14:paraId="0963EFA7" w14:textId="77777777" w:rsidR="00067534" w:rsidRPr="00B83E1A" w:rsidRDefault="00067534" w:rsidP="004E65E7">
            <w:pPr>
              <w:rPr>
                <w:b/>
                <w:bCs/>
                <w:sz w:val="18"/>
                <w:szCs w:val="18"/>
                <w:lang w:val="es-ES"/>
              </w:rPr>
            </w:pPr>
          </w:p>
        </w:tc>
        <w:tc>
          <w:tcPr>
            <w:tcW w:w="2694" w:type="dxa"/>
            <w:gridSpan w:val="2"/>
          </w:tcPr>
          <w:p w14:paraId="59ED868C" w14:textId="77777777" w:rsidR="00067534" w:rsidRPr="00B83E1A" w:rsidRDefault="00067534" w:rsidP="004E65E7">
            <w:pPr>
              <w:rPr>
                <w:bCs/>
                <w:sz w:val="18"/>
                <w:szCs w:val="18"/>
                <w:lang w:val="es-ES"/>
              </w:rPr>
            </w:pPr>
            <w:r w:rsidRPr="00B83E1A">
              <w:rPr>
                <w:bCs/>
                <w:sz w:val="18"/>
                <w:szCs w:val="18"/>
                <w:lang w:val="es-ES"/>
              </w:rPr>
              <w:t>Número de beneficiarios de Centros de Apoyo a la Tecnología y la Innovación (CATI) que consideran que los CATI constituyen el punto central en materia de información sobre patentes y tecnologías por país.</w:t>
            </w:r>
          </w:p>
        </w:tc>
        <w:tc>
          <w:tcPr>
            <w:tcW w:w="2817" w:type="dxa"/>
          </w:tcPr>
          <w:p w14:paraId="084FA17F" w14:textId="77777777" w:rsidR="00067534" w:rsidRPr="00B83E1A" w:rsidRDefault="00067534" w:rsidP="004E65E7">
            <w:pPr>
              <w:spacing w:after="120"/>
              <w:rPr>
                <w:sz w:val="18"/>
                <w:szCs w:val="18"/>
                <w:lang w:val="es-ES"/>
              </w:rPr>
            </w:pPr>
            <w:r w:rsidRPr="00B83E1A">
              <w:rPr>
                <w:bCs/>
                <w:sz w:val="18"/>
                <w:szCs w:val="18"/>
                <w:lang w:val="es-ES"/>
              </w:rPr>
              <w:t xml:space="preserve">Creación de redes de CATI en 20 países durante el bienio:  Argelia, Cuba, el Ecuador, Egipto, Georgia, Guatemala, Honduras, Kenya, Kirguistán, Madagascar, Marruecos, Mozambique, Nigeria, Filipinas, la República del Congo, la República Democrática del Congo, la República Dominicana, el Senegal, Túnez y Viet Nam. </w:t>
            </w:r>
          </w:p>
        </w:tc>
      </w:tr>
      <w:tr w:rsidR="00067534" w:rsidRPr="00B83E1A" w14:paraId="3B17BB36" w14:textId="77777777" w:rsidTr="004E65E7">
        <w:trPr>
          <w:trHeight w:val="195"/>
          <w:jc w:val="center"/>
        </w:trPr>
        <w:tc>
          <w:tcPr>
            <w:tcW w:w="1713" w:type="dxa"/>
            <w:vMerge/>
          </w:tcPr>
          <w:p w14:paraId="1D59537B" w14:textId="77777777" w:rsidR="00067534" w:rsidRPr="00B83E1A" w:rsidRDefault="00067534" w:rsidP="004E65E7">
            <w:pPr>
              <w:rPr>
                <w:b/>
                <w:bCs/>
                <w:sz w:val="18"/>
                <w:szCs w:val="18"/>
                <w:lang w:val="es-ES"/>
              </w:rPr>
            </w:pPr>
          </w:p>
        </w:tc>
        <w:tc>
          <w:tcPr>
            <w:tcW w:w="2409" w:type="dxa"/>
            <w:vMerge/>
          </w:tcPr>
          <w:p w14:paraId="06E46470" w14:textId="77777777" w:rsidR="00067534" w:rsidRPr="00B83E1A" w:rsidRDefault="00067534" w:rsidP="004E65E7">
            <w:pPr>
              <w:rPr>
                <w:b/>
                <w:bCs/>
                <w:sz w:val="18"/>
                <w:szCs w:val="18"/>
                <w:lang w:val="es-ES"/>
              </w:rPr>
            </w:pPr>
          </w:p>
        </w:tc>
        <w:tc>
          <w:tcPr>
            <w:tcW w:w="2694" w:type="dxa"/>
            <w:gridSpan w:val="2"/>
          </w:tcPr>
          <w:p w14:paraId="02EDCC7F" w14:textId="77777777" w:rsidR="00067534" w:rsidRPr="00B83E1A" w:rsidRDefault="00067534" w:rsidP="004E65E7">
            <w:pPr>
              <w:rPr>
                <w:bCs/>
                <w:sz w:val="18"/>
                <w:szCs w:val="18"/>
                <w:lang w:val="es-ES"/>
              </w:rPr>
            </w:pPr>
            <w:r w:rsidRPr="00B83E1A">
              <w:rPr>
                <w:bCs/>
                <w:sz w:val="18"/>
                <w:szCs w:val="18"/>
                <w:lang w:val="es-ES"/>
              </w:rPr>
              <w:t xml:space="preserve">Porcentaje de usuarios de bases de datos mundiales sobre P.I. y de bases de datos de servicios en materia de P.I. que consideran que gracias a dichas bases realizan una labor más eficaz </w:t>
            </w:r>
          </w:p>
        </w:tc>
        <w:tc>
          <w:tcPr>
            <w:tcW w:w="2817" w:type="dxa"/>
          </w:tcPr>
          <w:p w14:paraId="77CAD343" w14:textId="77777777" w:rsidR="00067534" w:rsidRPr="00B83E1A" w:rsidRDefault="00067534" w:rsidP="004E65E7">
            <w:pPr>
              <w:spacing w:after="120"/>
              <w:rPr>
                <w:sz w:val="18"/>
                <w:szCs w:val="18"/>
                <w:lang w:val="es-ES"/>
              </w:rPr>
            </w:pPr>
            <w:r w:rsidRPr="00B83E1A">
              <w:rPr>
                <w:rFonts w:eastAsia="Batang"/>
                <w:sz w:val="18"/>
                <w:szCs w:val="18"/>
                <w:lang w:val="es-ES" w:eastAsia="ja-JP"/>
              </w:rPr>
              <w:t>Véase «Cuestionario de evaluación de las necesidades y el avance de los Centros de Apoyo a la Tecnología y la Innovación (CATI)», diciembre de 2011 – Informe resumido de evaluación (en inglés)</w:t>
            </w:r>
            <w:r w:rsidRPr="00B83E1A">
              <w:rPr>
                <w:rFonts w:eastAsia="Batang"/>
                <w:sz w:val="18"/>
                <w:szCs w:val="18"/>
                <w:u w:val="single"/>
                <w:lang w:val="es-ES" w:eastAsia="ja-JP"/>
              </w:rPr>
              <w:t xml:space="preserve"> </w:t>
            </w:r>
            <w:r w:rsidRPr="00B83E1A">
              <w:rPr>
                <w:rFonts w:eastAsia="Batang"/>
                <w:i/>
                <w:sz w:val="18"/>
                <w:szCs w:val="18"/>
                <w:u w:val="single"/>
                <w:lang w:val="es-ES" w:eastAsia="ja-JP"/>
              </w:rPr>
              <w:lastRenderedPageBreak/>
              <w:t>http://www.wipo.int/export/sites/www/patentscope/en/programs/tisc/doc/TISC_2011_2012_Survey_Summary_Report.pdf</w:t>
            </w:r>
          </w:p>
        </w:tc>
      </w:tr>
      <w:tr w:rsidR="00067534" w:rsidRPr="00B83E1A" w14:paraId="415F0BD2" w14:textId="77777777" w:rsidTr="004E65E7">
        <w:trPr>
          <w:trHeight w:val="195"/>
          <w:jc w:val="center"/>
        </w:trPr>
        <w:tc>
          <w:tcPr>
            <w:tcW w:w="1713" w:type="dxa"/>
            <w:vMerge/>
          </w:tcPr>
          <w:p w14:paraId="1875D991" w14:textId="77777777" w:rsidR="00067534" w:rsidRPr="00B83E1A" w:rsidRDefault="00067534" w:rsidP="004E65E7">
            <w:pPr>
              <w:rPr>
                <w:b/>
                <w:bCs/>
                <w:sz w:val="18"/>
                <w:szCs w:val="18"/>
                <w:lang w:val="es-ES"/>
              </w:rPr>
            </w:pPr>
          </w:p>
        </w:tc>
        <w:tc>
          <w:tcPr>
            <w:tcW w:w="2409" w:type="dxa"/>
            <w:vMerge w:val="restart"/>
          </w:tcPr>
          <w:p w14:paraId="7C284612" w14:textId="77777777" w:rsidR="00067534" w:rsidRPr="00B83E1A" w:rsidRDefault="00067534" w:rsidP="004E65E7">
            <w:pPr>
              <w:rPr>
                <w:sz w:val="18"/>
                <w:szCs w:val="18"/>
                <w:lang w:val="es-ES"/>
              </w:rPr>
            </w:pPr>
            <w:r w:rsidRPr="00B83E1A">
              <w:rPr>
                <w:sz w:val="18"/>
                <w:szCs w:val="18"/>
                <w:lang w:val="es-ES"/>
              </w:rPr>
              <w:t>Resultado i) Perfeccionamiento de los servicios de apoyo para la búsqueda en materia de patentes que presta la OMPI a las oficinas de P.I. de los Estados miembros.</w:t>
            </w:r>
          </w:p>
          <w:p w14:paraId="30151BCC" w14:textId="77777777" w:rsidR="00067534" w:rsidRPr="00B83E1A" w:rsidRDefault="00067534" w:rsidP="004E65E7">
            <w:pPr>
              <w:rPr>
                <w:b/>
                <w:bCs/>
                <w:sz w:val="18"/>
                <w:szCs w:val="18"/>
                <w:lang w:val="es-ES"/>
              </w:rPr>
            </w:pPr>
          </w:p>
        </w:tc>
        <w:tc>
          <w:tcPr>
            <w:tcW w:w="2694" w:type="dxa"/>
            <w:gridSpan w:val="2"/>
          </w:tcPr>
          <w:p w14:paraId="34D8334F" w14:textId="77777777" w:rsidR="00067534" w:rsidRPr="00B83E1A" w:rsidRDefault="00067534" w:rsidP="004E65E7">
            <w:pPr>
              <w:keepNext/>
              <w:keepLines/>
              <w:rPr>
                <w:bCs/>
                <w:sz w:val="18"/>
                <w:szCs w:val="18"/>
                <w:lang w:val="es-ES"/>
              </w:rPr>
            </w:pPr>
            <w:r w:rsidRPr="00B83E1A">
              <w:rPr>
                <w:bCs/>
                <w:sz w:val="18"/>
                <w:szCs w:val="18"/>
                <w:lang w:val="es-ES"/>
              </w:rPr>
              <w:t>Número de inventores locales de los países en desarrollo y PMA que se han beneficiado del programa de creación de capacidad en relación con las búsquedas del estado de la técnica</w:t>
            </w:r>
          </w:p>
        </w:tc>
        <w:tc>
          <w:tcPr>
            <w:tcW w:w="2817" w:type="dxa"/>
          </w:tcPr>
          <w:p w14:paraId="65351B23" w14:textId="77777777" w:rsidR="00067534" w:rsidRPr="00B83E1A" w:rsidRDefault="00067534" w:rsidP="004E65E7">
            <w:pPr>
              <w:spacing w:after="120"/>
              <w:rPr>
                <w:sz w:val="18"/>
                <w:szCs w:val="18"/>
                <w:lang w:val="es-ES"/>
              </w:rPr>
            </w:pPr>
            <w:r w:rsidRPr="00B83E1A">
              <w:rPr>
                <w:bCs/>
                <w:sz w:val="18"/>
                <w:szCs w:val="18"/>
                <w:lang w:val="es-ES"/>
              </w:rPr>
              <w:t xml:space="preserve">Los servicios de búsqueda WPIS ya no se promocionan dado que los servicios que ofrecen los CATI deben reemplazarlos parcialmente.  Por tanto, el número de usuarios ha disminuido. </w:t>
            </w:r>
          </w:p>
        </w:tc>
      </w:tr>
      <w:tr w:rsidR="00067534" w:rsidRPr="00B83E1A" w14:paraId="54658413" w14:textId="77777777" w:rsidTr="004E65E7">
        <w:trPr>
          <w:trHeight w:val="195"/>
          <w:jc w:val="center"/>
        </w:trPr>
        <w:tc>
          <w:tcPr>
            <w:tcW w:w="1713" w:type="dxa"/>
            <w:vMerge/>
          </w:tcPr>
          <w:p w14:paraId="765545A9" w14:textId="77777777" w:rsidR="00067534" w:rsidRPr="00B83E1A" w:rsidRDefault="00067534" w:rsidP="004E65E7">
            <w:pPr>
              <w:rPr>
                <w:b/>
                <w:bCs/>
                <w:sz w:val="18"/>
                <w:szCs w:val="18"/>
                <w:lang w:val="es-ES"/>
              </w:rPr>
            </w:pPr>
          </w:p>
        </w:tc>
        <w:tc>
          <w:tcPr>
            <w:tcW w:w="2409" w:type="dxa"/>
            <w:vMerge/>
          </w:tcPr>
          <w:p w14:paraId="405E6473" w14:textId="77777777" w:rsidR="00067534" w:rsidRPr="00B83E1A" w:rsidRDefault="00067534" w:rsidP="004E65E7">
            <w:pPr>
              <w:rPr>
                <w:b/>
                <w:bCs/>
                <w:sz w:val="18"/>
                <w:szCs w:val="18"/>
                <w:lang w:val="es-ES"/>
              </w:rPr>
            </w:pPr>
          </w:p>
        </w:tc>
        <w:tc>
          <w:tcPr>
            <w:tcW w:w="2694" w:type="dxa"/>
            <w:gridSpan w:val="2"/>
          </w:tcPr>
          <w:p w14:paraId="00405397" w14:textId="77777777" w:rsidR="00067534" w:rsidRPr="00B83E1A" w:rsidRDefault="00067534" w:rsidP="004E65E7">
            <w:pPr>
              <w:spacing w:after="120"/>
              <w:rPr>
                <w:bCs/>
                <w:sz w:val="18"/>
                <w:szCs w:val="18"/>
                <w:lang w:val="es-ES"/>
              </w:rPr>
            </w:pPr>
            <w:r w:rsidRPr="00B83E1A">
              <w:rPr>
                <w:bCs/>
                <w:sz w:val="18"/>
                <w:szCs w:val="18"/>
                <w:lang w:val="es-ES"/>
              </w:rPr>
              <w:t>Reformulación del servicio ICSEI a los fines de introducir nuevas mejoras en el marco del sistema del PCT y de un mejor acceso al sistema del PCT para los inventores de los países en desarrollo y PMA</w:t>
            </w:r>
          </w:p>
        </w:tc>
        <w:tc>
          <w:tcPr>
            <w:tcW w:w="2817" w:type="dxa"/>
          </w:tcPr>
          <w:p w14:paraId="3ED38A18" w14:textId="1C9B3B71" w:rsidR="00067534" w:rsidRPr="00B83E1A" w:rsidRDefault="00067534" w:rsidP="004E65E7">
            <w:pPr>
              <w:spacing w:after="120"/>
              <w:rPr>
                <w:sz w:val="18"/>
                <w:szCs w:val="18"/>
                <w:lang w:val="es-ES"/>
              </w:rPr>
            </w:pPr>
            <w:r w:rsidRPr="00B83E1A">
              <w:rPr>
                <w:bCs/>
                <w:sz w:val="18"/>
                <w:szCs w:val="18"/>
                <w:lang w:val="es-ES"/>
              </w:rPr>
              <w:t>Se inició la reformulación del ICSEI (ahora denominado ICE) y se amplió la gama de servicios para proporcionar también formación a los examinadores de patentes en el uso de resultados de examen externos de otras oficinas de P.I.  Se impartió un primer taller subregional para oficinas de P.I. de la región de Asia y el Pacífico en noviembre de 2011, en Kuala Lumpur</w:t>
            </w:r>
            <w:r w:rsidR="009A700A" w:rsidRPr="00B83E1A">
              <w:rPr>
                <w:bCs/>
                <w:sz w:val="18"/>
                <w:szCs w:val="18"/>
                <w:lang w:val="es-ES"/>
              </w:rPr>
              <w:t>.  C</w:t>
            </w:r>
            <w:r w:rsidRPr="00B83E1A">
              <w:rPr>
                <w:bCs/>
                <w:sz w:val="18"/>
                <w:szCs w:val="18"/>
                <w:lang w:val="es-ES"/>
              </w:rPr>
              <w:t>on el Instituto Federal de la Propiedad Intelectual de Suiza, hay un nuevo donante para la elaboración no remunerada de informes de examen.</w:t>
            </w:r>
          </w:p>
        </w:tc>
      </w:tr>
      <w:tr w:rsidR="00067534" w:rsidRPr="00B83E1A" w14:paraId="6D9A1ECC" w14:textId="77777777" w:rsidTr="004E65E7">
        <w:trPr>
          <w:trHeight w:val="195"/>
          <w:jc w:val="center"/>
        </w:trPr>
        <w:tc>
          <w:tcPr>
            <w:tcW w:w="1713" w:type="dxa"/>
            <w:vMerge/>
          </w:tcPr>
          <w:p w14:paraId="5588AE75" w14:textId="77777777" w:rsidR="00067534" w:rsidRPr="00B83E1A" w:rsidRDefault="00067534" w:rsidP="004E65E7">
            <w:pPr>
              <w:rPr>
                <w:b/>
                <w:bCs/>
                <w:sz w:val="18"/>
                <w:szCs w:val="18"/>
                <w:lang w:val="es-ES"/>
              </w:rPr>
            </w:pPr>
          </w:p>
        </w:tc>
        <w:tc>
          <w:tcPr>
            <w:tcW w:w="2409" w:type="dxa"/>
            <w:vMerge w:val="restart"/>
          </w:tcPr>
          <w:p w14:paraId="7799AB5F" w14:textId="77777777" w:rsidR="00067534" w:rsidRPr="00B83E1A" w:rsidRDefault="00067534" w:rsidP="004E65E7">
            <w:pPr>
              <w:rPr>
                <w:sz w:val="18"/>
                <w:szCs w:val="18"/>
                <w:lang w:val="es-ES"/>
              </w:rPr>
            </w:pPr>
            <w:r w:rsidRPr="00B83E1A">
              <w:rPr>
                <w:sz w:val="18"/>
                <w:szCs w:val="18"/>
                <w:lang w:val="es-ES"/>
              </w:rPr>
              <w:t>Resultado vii) Mejor utilización de la información en materia de patentes mediante análisis generales en materia de patentes y la elaboración de instrumentos conexos centrados en temas específicos.</w:t>
            </w:r>
          </w:p>
          <w:p w14:paraId="5D5058CA" w14:textId="77777777" w:rsidR="00067534" w:rsidRPr="00B83E1A" w:rsidRDefault="00067534" w:rsidP="004E65E7">
            <w:pPr>
              <w:rPr>
                <w:b/>
                <w:bCs/>
                <w:sz w:val="18"/>
                <w:szCs w:val="18"/>
                <w:lang w:val="es-ES"/>
              </w:rPr>
            </w:pPr>
          </w:p>
        </w:tc>
        <w:tc>
          <w:tcPr>
            <w:tcW w:w="2694" w:type="dxa"/>
            <w:gridSpan w:val="2"/>
          </w:tcPr>
          <w:p w14:paraId="6E6B3232" w14:textId="77777777" w:rsidR="00067534" w:rsidRPr="00B83E1A" w:rsidRDefault="00067534" w:rsidP="004E65E7">
            <w:pPr>
              <w:rPr>
                <w:bCs/>
                <w:sz w:val="18"/>
                <w:szCs w:val="18"/>
                <w:lang w:val="es-ES"/>
              </w:rPr>
            </w:pPr>
            <w:r w:rsidRPr="00B83E1A">
              <w:rPr>
                <w:bCs/>
                <w:sz w:val="18"/>
                <w:szCs w:val="18"/>
                <w:lang w:val="es-ES"/>
              </w:rPr>
              <w:t>Número de usuarios de los análisis en materia de patentes que se publiquen, en los que se aborden temas previamente concertados y que sean de interés para los Estados miembros</w:t>
            </w:r>
          </w:p>
          <w:p w14:paraId="217188D3" w14:textId="77777777" w:rsidR="00067534" w:rsidRPr="00B83E1A" w:rsidRDefault="00067534" w:rsidP="004E65E7">
            <w:pPr>
              <w:rPr>
                <w:bCs/>
                <w:sz w:val="18"/>
                <w:szCs w:val="18"/>
                <w:lang w:val="es-ES"/>
              </w:rPr>
            </w:pPr>
          </w:p>
          <w:p w14:paraId="1B9AC66B" w14:textId="77777777" w:rsidR="00067534" w:rsidRPr="00B83E1A" w:rsidRDefault="00067534" w:rsidP="004E65E7">
            <w:pPr>
              <w:rPr>
                <w:bCs/>
                <w:sz w:val="18"/>
                <w:szCs w:val="18"/>
                <w:lang w:val="es-ES"/>
              </w:rPr>
            </w:pPr>
          </w:p>
          <w:p w14:paraId="1BBAC074" w14:textId="77777777" w:rsidR="00067534" w:rsidRPr="00B83E1A" w:rsidRDefault="00067534" w:rsidP="004E65E7">
            <w:pPr>
              <w:rPr>
                <w:bCs/>
                <w:sz w:val="18"/>
                <w:szCs w:val="18"/>
                <w:lang w:val="es-ES"/>
              </w:rPr>
            </w:pPr>
          </w:p>
          <w:p w14:paraId="6675E3DA" w14:textId="77777777" w:rsidR="00067534" w:rsidRPr="00B83E1A" w:rsidRDefault="00067534" w:rsidP="004E65E7">
            <w:pPr>
              <w:rPr>
                <w:bCs/>
                <w:sz w:val="18"/>
                <w:szCs w:val="18"/>
                <w:lang w:val="es-ES"/>
              </w:rPr>
            </w:pPr>
          </w:p>
        </w:tc>
        <w:tc>
          <w:tcPr>
            <w:tcW w:w="2817" w:type="dxa"/>
          </w:tcPr>
          <w:p w14:paraId="09A8857E" w14:textId="77777777" w:rsidR="00B35257" w:rsidRPr="002D4C76" w:rsidRDefault="00067534" w:rsidP="004E65E7">
            <w:pPr>
              <w:rPr>
                <w:bCs/>
                <w:sz w:val="18"/>
                <w:szCs w:val="18"/>
                <w:lang w:val="es-ES"/>
              </w:rPr>
            </w:pPr>
            <w:r w:rsidRPr="002D4C76">
              <w:rPr>
                <w:bCs/>
                <w:sz w:val="18"/>
                <w:szCs w:val="18"/>
                <w:lang w:val="es-ES"/>
              </w:rPr>
              <w:t>Sitio Web de informes sobre análisis de la actividad en materia de patentes (4.228 visitas al sitio Web)</w:t>
            </w:r>
            <w:r w:rsidR="00B35257" w:rsidRPr="002D4C76">
              <w:rPr>
                <w:bCs/>
                <w:sz w:val="18"/>
                <w:szCs w:val="18"/>
                <w:lang w:val="es-ES"/>
              </w:rPr>
              <w:t>.</w:t>
            </w:r>
          </w:p>
          <w:p w14:paraId="628D7BA2" w14:textId="77777777" w:rsidR="00B35257" w:rsidRPr="002D4C76" w:rsidRDefault="00067534" w:rsidP="004E65E7">
            <w:pPr>
              <w:rPr>
                <w:bCs/>
                <w:sz w:val="18"/>
                <w:szCs w:val="18"/>
                <w:lang w:val="es-ES"/>
              </w:rPr>
            </w:pPr>
            <w:r w:rsidRPr="002D4C76">
              <w:rPr>
                <w:bCs/>
                <w:sz w:val="18"/>
                <w:szCs w:val="18"/>
                <w:lang w:val="es-ES"/>
              </w:rPr>
              <w:t xml:space="preserve">El año 2010 sirvió para establecer el concepto de </w:t>
            </w:r>
            <w:r w:rsidRPr="002D4C76">
              <w:rPr>
                <w:bCs/>
                <w:i/>
                <w:sz w:val="18"/>
                <w:szCs w:val="18"/>
                <w:lang w:val="es-ES"/>
              </w:rPr>
              <w:t>informes sobre análisis de la actividad en mate</w:t>
            </w:r>
            <w:bookmarkStart w:id="4" w:name="_GoBack"/>
            <w:bookmarkEnd w:id="4"/>
            <w:r w:rsidRPr="002D4C76">
              <w:rPr>
                <w:bCs/>
                <w:i/>
                <w:sz w:val="18"/>
                <w:szCs w:val="18"/>
                <w:lang w:val="es-ES"/>
              </w:rPr>
              <w:t>ria de patentes</w:t>
            </w:r>
            <w:r w:rsidRPr="002D4C76">
              <w:rPr>
                <w:bCs/>
                <w:sz w:val="18"/>
                <w:szCs w:val="18"/>
                <w:lang w:val="es-ES"/>
              </w:rPr>
              <w:t>;  se han identificado colaboradores para la cooperación y temas por tratar, y se ha delineado la metodología para la búsqueda de patentes y el procedimiento de contratación pública para la preparación de los informes</w:t>
            </w:r>
            <w:r w:rsidR="00B35257" w:rsidRPr="002D4C76">
              <w:rPr>
                <w:bCs/>
                <w:sz w:val="18"/>
                <w:szCs w:val="18"/>
                <w:lang w:val="es-ES"/>
              </w:rPr>
              <w:t>.</w:t>
            </w:r>
          </w:p>
          <w:p w14:paraId="513B5E36" w14:textId="2115F610" w:rsidR="00067534" w:rsidRPr="00B83E1A" w:rsidRDefault="00067534" w:rsidP="004E65E7">
            <w:pPr>
              <w:spacing w:after="120"/>
              <w:rPr>
                <w:sz w:val="18"/>
                <w:szCs w:val="18"/>
                <w:highlight w:val="yellow"/>
                <w:lang w:val="es-ES"/>
              </w:rPr>
            </w:pPr>
            <w:r w:rsidRPr="002D4C76">
              <w:rPr>
                <w:bCs/>
                <w:sz w:val="18"/>
                <w:szCs w:val="18"/>
                <w:lang w:val="es-ES"/>
              </w:rPr>
              <w:t>En 2011 se elaboraron nueve informes sobre el análisis de la actividad en materia de patentes, que están en proceso de publicación:  Ritonavir, Atazanavir, cocción solar, climatización solar, vacunas (panorama general y una parte sobre determinadas enfermedades), desalinización y uso de energías alternativas para la desalinización.</w:t>
            </w:r>
          </w:p>
        </w:tc>
      </w:tr>
      <w:tr w:rsidR="00067534" w:rsidRPr="00B83E1A" w14:paraId="5BE9353A" w14:textId="77777777" w:rsidTr="004E65E7">
        <w:trPr>
          <w:trHeight w:val="195"/>
          <w:jc w:val="center"/>
        </w:trPr>
        <w:tc>
          <w:tcPr>
            <w:tcW w:w="1713" w:type="dxa"/>
            <w:vMerge/>
          </w:tcPr>
          <w:p w14:paraId="4C9C6880" w14:textId="77777777" w:rsidR="00067534" w:rsidRPr="00B83E1A" w:rsidRDefault="00067534" w:rsidP="004E65E7">
            <w:pPr>
              <w:rPr>
                <w:b/>
                <w:bCs/>
                <w:sz w:val="18"/>
                <w:szCs w:val="18"/>
                <w:lang w:val="es-ES"/>
              </w:rPr>
            </w:pPr>
          </w:p>
        </w:tc>
        <w:tc>
          <w:tcPr>
            <w:tcW w:w="2409" w:type="dxa"/>
            <w:vMerge/>
          </w:tcPr>
          <w:p w14:paraId="2761E206" w14:textId="77777777" w:rsidR="00067534" w:rsidRPr="00B83E1A" w:rsidRDefault="00067534" w:rsidP="004E65E7">
            <w:pPr>
              <w:rPr>
                <w:b/>
                <w:bCs/>
                <w:sz w:val="18"/>
                <w:szCs w:val="18"/>
                <w:lang w:val="es-ES"/>
              </w:rPr>
            </w:pPr>
          </w:p>
        </w:tc>
        <w:tc>
          <w:tcPr>
            <w:tcW w:w="2694" w:type="dxa"/>
            <w:gridSpan w:val="2"/>
          </w:tcPr>
          <w:p w14:paraId="7128CCC1" w14:textId="77777777" w:rsidR="00067534" w:rsidRPr="00B83E1A" w:rsidRDefault="00067534" w:rsidP="004E65E7">
            <w:pPr>
              <w:spacing w:after="120"/>
              <w:rPr>
                <w:bCs/>
                <w:sz w:val="18"/>
                <w:szCs w:val="18"/>
                <w:lang w:val="es-ES"/>
              </w:rPr>
            </w:pPr>
            <w:r w:rsidRPr="00B83E1A">
              <w:rPr>
                <w:bCs/>
                <w:sz w:val="18"/>
                <w:szCs w:val="18"/>
                <w:lang w:val="es-ES"/>
              </w:rPr>
              <w:t xml:space="preserve">Porcentaje de participantes, por oficina, y por país, en el curso por Internet sobre información en materia de </w:t>
            </w:r>
            <w:r w:rsidRPr="00B83E1A">
              <w:rPr>
                <w:bCs/>
                <w:sz w:val="18"/>
                <w:szCs w:val="18"/>
                <w:lang w:val="es-ES"/>
              </w:rPr>
              <w:lastRenderedPageBreak/>
              <w:t>patentes y análisis en materia de patentes y conferencias regionales centradas en el análisis en materia de patentes, para los que se haya recurrido a nuevos programas de perfeccionamiento en el empleo</w:t>
            </w:r>
          </w:p>
        </w:tc>
        <w:tc>
          <w:tcPr>
            <w:tcW w:w="2817" w:type="dxa"/>
          </w:tcPr>
          <w:p w14:paraId="4543FA61" w14:textId="77777777" w:rsidR="00067534" w:rsidRPr="00B83E1A" w:rsidRDefault="00067534" w:rsidP="004E65E7">
            <w:pPr>
              <w:spacing w:after="120"/>
              <w:rPr>
                <w:sz w:val="18"/>
                <w:szCs w:val="18"/>
                <w:lang w:val="es-ES"/>
              </w:rPr>
            </w:pPr>
            <w:r w:rsidRPr="00B83E1A">
              <w:rPr>
                <w:bCs/>
                <w:sz w:val="18"/>
                <w:szCs w:val="18"/>
                <w:lang w:val="es-ES"/>
              </w:rPr>
              <w:lastRenderedPageBreak/>
              <w:t xml:space="preserve">El curso por Internet se concluirá a mediados de 2012;  se organizaron cuatro conferencias regionales durante </w:t>
            </w:r>
            <w:r w:rsidRPr="00B83E1A">
              <w:rPr>
                <w:bCs/>
                <w:sz w:val="18"/>
                <w:szCs w:val="18"/>
                <w:lang w:val="es-ES"/>
              </w:rPr>
              <w:lastRenderedPageBreak/>
              <w:t>el bienio en África (Addis Ababa), la región de Asia y el Pacífico (Singapur), en la región de Europa Central y Oriental, Asia Central y el Cáucaso (Moscú) y América Latina (Buenos Aires);  véase también el "Cuestionario de evaluación de las necesidades y el avance de los Centros de Apoyo a la Tecnología y la Innovación (CATI)", diciembre de 2011 (en inglés).</w:t>
            </w:r>
          </w:p>
        </w:tc>
      </w:tr>
      <w:tr w:rsidR="00067534" w:rsidRPr="00B83E1A" w14:paraId="112EB179" w14:textId="77777777" w:rsidTr="000156E6">
        <w:trPr>
          <w:trHeight w:val="3567"/>
          <w:jc w:val="center"/>
        </w:trPr>
        <w:tc>
          <w:tcPr>
            <w:tcW w:w="1713" w:type="dxa"/>
          </w:tcPr>
          <w:p w14:paraId="1CABD1AE" w14:textId="77777777" w:rsidR="00067534" w:rsidRPr="00B83E1A" w:rsidRDefault="00067534" w:rsidP="004E65E7">
            <w:pPr>
              <w:rPr>
                <w:i/>
                <w:sz w:val="18"/>
                <w:szCs w:val="18"/>
                <w:lang w:val="es-ES"/>
              </w:rPr>
            </w:pPr>
            <w:r w:rsidRPr="00B83E1A">
              <w:rPr>
                <w:i/>
                <w:sz w:val="18"/>
                <w:szCs w:val="18"/>
                <w:lang w:val="es-ES"/>
              </w:rPr>
              <w:lastRenderedPageBreak/>
              <w:t>Meta estratégica VI:  Cooperación internacional para cultivar el respeto por la P.I.</w:t>
            </w:r>
          </w:p>
          <w:p w14:paraId="0697D15D" w14:textId="77777777" w:rsidR="00067534" w:rsidRPr="00B83E1A" w:rsidRDefault="00067534" w:rsidP="004E65E7">
            <w:pPr>
              <w:rPr>
                <w:b/>
                <w:bCs/>
                <w:sz w:val="18"/>
                <w:szCs w:val="18"/>
                <w:lang w:val="es-ES"/>
              </w:rPr>
            </w:pPr>
          </w:p>
        </w:tc>
        <w:tc>
          <w:tcPr>
            <w:tcW w:w="2409" w:type="dxa"/>
          </w:tcPr>
          <w:p w14:paraId="09478566" w14:textId="52FD9417" w:rsidR="00067534" w:rsidRPr="00B83E1A" w:rsidRDefault="00067534" w:rsidP="004E65E7">
            <w:pPr>
              <w:rPr>
                <w:b/>
                <w:bCs/>
                <w:sz w:val="18"/>
                <w:szCs w:val="18"/>
                <w:lang w:val="es-ES"/>
              </w:rPr>
            </w:pPr>
            <w:r w:rsidRPr="00B83E1A">
              <w:rPr>
                <w:sz w:val="18"/>
                <w:szCs w:val="18"/>
                <w:lang w:val="es-ES"/>
              </w:rPr>
              <w:t>Resultado i) Según establece la recomendació</w:t>
            </w:r>
            <w:r w:rsidR="009A700A" w:rsidRPr="00B83E1A">
              <w:rPr>
                <w:sz w:val="18"/>
                <w:szCs w:val="18"/>
                <w:lang w:val="es-ES"/>
              </w:rPr>
              <w:t>n 4</w:t>
            </w:r>
            <w:r w:rsidRPr="00B83E1A">
              <w:rPr>
                <w:sz w:val="18"/>
                <w:szCs w:val="18"/>
                <w:lang w:val="es-ES"/>
              </w:rPr>
              <w:t>5 de la Agenda para el Desarrollo, puesta en marcha de un diálogo sobre políticas equilibrado y fructífero con miras a crear un entorno propicio que promueva el respeto por la P.I.</w:t>
            </w:r>
          </w:p>
        </w:tc>
        <w:tc>
          <w:tcPr>
            <w:tcW w:w="2694" w:type="dxa"/>
            <w:gridSpan w:val="2"/>
          </w:tcPr>
          <w:p w14:paraId="1A46F783" w14:textId="13DB5506" w:rsidR="00067534" w:rsidRPr="00B83E1A" w:rsidRDefault="00067534" w:rsidP="000156E6">
            <w:pPr>
              <w:rPr>
                <w:sz w:val="18"/>
                <w:szCs w:val="18"/>
                <w:lang w:val="es-ES"/>
              </w:rPr>
            </w:pPr>
            <w:r w:rsidRPr="00B83E1A">
              <w:rPr>
                <w:bCs/>
                <w:sz w:val="18"/>
                <w:szCs w:val="18"/>
                <w:lang w:val="es-ES"/>
              </w:rPr>
              <w:t>Número de estudios e investigaciones realizados según lo que se acuerde en las dos sesiones celebradas por el Comité Asesor en materia de Observancia (ACE) y los cuales tendrán un doble fin:  primeramente, dilucidar los elementos que ponen en jaque el respeto por los derechos de P.I. y luego, evaluar objetivamente las pérdidas que causan la falsificación y la piratería y determinar sus repercusiones sociales y económicas</w:t>
            </w:r>
          </w:p>
        </w:tc>
        <w:tc>
          <w:tcPr>
            <w:tcW w:w="2817" w:type="dxa"/>
          </w:tcPr>
          <w:p w14:paraId="2F920DF8" w14:textId="77777777" w:rsidR="00067534" w:rsidRPr="00B83E1A" w:rsidRDefault="00067534" w:rsidP="004E65E7">
            <w:pPr>
              <w:rPr>
                <w:sz w:val="18"/>
                <w:szCs w:val="18"/>
                <w:lang w:val="es-ES"/>
              </w:rPr>
            </w:pPr>
            <w:r w:rsidRPr="00B83E1A">
              <w:rPr>
                <w:bCs/>
                <w:sz w:val="18"/>
                <w:szCs w:val="18"/>
                <w:lang w:val="es-ES"/>
              </w:rPr>
              <w:t>A raíz de la reorientación estratégica del programa de trabajo del ACE, se presentaron 14 documentos basados en la meta estratégica VI durante la sexta y séptima sesiones del ACE, que instaron al Comité a continuar su actual programa de trabajo en su octava sesión.  Además, en la séptima sesión se produjo un ahorro significativo debido a los reducidos gastos de viaje de terceros.</w:t>
            </w:r>
          </w:p>
        </w:tc>
      </w:tr>
      <w:tr w:rsidR="00067534" w:rsidRPr="00B83E1A" w14:paraId="367841D0" w14:textId="77777777" w:rsidTr="004E65E7">
        <w:trPr>
          <w:trHeight w:val="195"/>
          <w:jc w:val="center"/>
        </w:trPr>
        <w:tc>
          <w:tcPr>
            <w:tcW w:w="1713" w:type="dxa"/>
            <w:vMerge w:val="restart"/>
          </w:tcPr>
          <w:p w14:paraId="475B2248" w14:textId="77777777" w:rsidR="00067534" w:rsidRPr="00B83E1A" w:rsidRDefault="00067534" w:rsidP="004E65E7">
            <w:pPr>
              <w:rPr>
                <w:i/>
                <w:sz w:val="18"/>
                <w:szCs w:val="18"/>
                <w:lang w:val="es-ES"/>
              </w:rPr>
            </w:pPr>
            <w:r w:rsidRPr="00B83E1A">
              <w:rPr>
                <w:i/>
                <w:sz w:val="18"/>
                <w:szCs w:val="18"/>
                <w:lang w:val="es-ES"/>
              </w:rPr>
              <w:t>Meta estratégica VII:  Vínculos entre la P.I. y los problemas mundiales de política pública</w:t>
            </w:r>
          </w:p>
          <w:p w14:paraId="0E3F0E42" w14:textId="77777777" w:rsidR="00067534" w:rsidRPr="00B83E1A" w:rsidRDefault="00067534" w:rsidP="004E65E7">
            <w:pPr>
              <w:rPr>
                <w:b/>
                <w:bCs/>
                <w:sz w:val="18"/>
                <w:szCs w:val="18"/>
                <w:lang w:val="es-ES"/>
              </w:rPr>
            </w:pPr>
          </w:p>
        </w:tc>
        <w:tc>
          <w:tcPr>
            <w:tcW w:w="2409" w:type="dxa"/>
            <w:vMerge w:val="restart"/>
          </w:tcPr>
          <w:p w14:paraId="2412B53F" w14:textId="77777777" w:rsidR="00067534" w:rsidRPr="00B83E1A" w:rsidRDefault="00067534" w:rsidP="004E65E7">
            <w:pPr>
              <w:rPr>
                <w:sz w:val="18"/>
                <w:szCs w:val="18"/>
                <w:lang w:val="es-ES"/>
              </w:rPr>
            </w:pPr>
            <w:r w:rsidRPr="00B83E1A">
              <w:rPr>
                <w:sz w:val="18"/>
                <w:szCs w:val="18"/>
                <w:lang w:val="es-ES"/>
              </w:rPr>
              <w:t>Resultado i)  Elaboración de estadísticas y de estudios rigurosos para facilitar y dar más sustancia al diálogo sobre políticas entre los gobiernos, los organismos internacionales, las instituciones de la sociedad civil y las entidades del sector privado sobre el panorama actual de la P.I. y las nuevas cuestiones que se susciten en ese terreno en el plano mundial.</w:t>
            </w:r>
          </w:p>
          <w:p w14:paraId="7CBFFF5C" w14:textId="77777777" w:rsidR="00067534" w:rsidRPr="00B83E1A" w:rsidRDefault="00067534" w:rsidP="004E65E7">
            <w:pPr>
              <w:rPr>
                <w:b/>
                <w:bCs/>
                <w:sz w:val="18"/>
                <w:szCs w:val="18"/>
                <w:lang w:val="es-ES"/>
              </w:rPr>
            </w:pPr>
          </w:p>
        </w:tc>
        <w:tc>
          <w:tcPr>
            <w:tcW w:w="2694" w:type="dxa"/>
            <w:gridSpan w:val="2"/>
          </w:tcPr>
          <w:p w14:paraId="7AE7CFA1" w14:textId="77777777" w:rsidR="000156E6" w:rsidRPr="00B83E1A" w:rsidRDefault="00067534" w:rsidP="004E65E7">
            <w:pPr>
              <w:rPr>
                <w:bCs/>
                <w:sz w:val="18"/>
                <w:szCs w:val="18"/>
                <w:lang w:val="es-ES"/>
              </w:rPr>
            </w:pPr>
            <w:r w:rsidRPr="00B83E1A">
              <w:rPr>
                <w:bCs/>
                <w:sz w:val="18"/>
                <w:szCs w:val="18"/>
                <w:lang w:val="es-ES"/>
              </w:rPr>
              <w:t>Amplitud y diversidad de la participación en los foros para el debate de polít</w:t>
            </w:r>
            <w:r w:rsidR="000156E6" w:rsidRPr="00B83E1A">
              <w:rPr>
                <w:bCs/>
                <w:sz w:val="18"/>
                <w:szCs w:val="18"/>
                <w:lang w:val="es-ES"/>
              </w:rPr>
              <w:t>icas celebrados por la OMPI.</w:t>
            </w:r>
          </w:p>
          <w:p w14:paraId="6CB46594" w14:textId="2A154DED" w:rsidR="00067534" w:rsidRPr="00B83E1A" w:rsidRDefault="00067534" w:rsidP="004E65E7">
            <w:pPr>
              <w:rPr>
                <w:bCs/>
                <w:sz w:val="18"/>
                <w:szCs w:val="18"/>
                <w:lang w:val="es-ES"/>
              </w:rPr>
            </w:pPr>
            <w:r w:rsidRPr="00B83E1A">
              <w:rPr>
                <w:bCs/>
                <w:sz w:val="18"/>
                <w:szCs w:val="18"/>
                <w:lang w:val="es-ES"/>
              </w:rPr>
              <w:t xml:space="preserve">Objetivo:  Celebrar anualmente un gran foro sobre políticas y cuatro foros sobre cuestiones específicas de las políticas </w:t>
            </w:r>
          </w:p>
        </w:tc>
        <w:tc>
          <w:tcPr>
            <w:tcW w:w="2817" w:type="dxa"/>
          </w:tcPr>
          <w:p w14:paraId="5FA9D407" w14:textId="77777777" w:rsidR="00067534" w:rsidRPr="00B83E1A" w:rsidRDefault="00067534" w:rsidP="004E65E7">
            <w:pPr>
              <w:rPr>
                <w:bCs/>
                <w:sz w:val="18"/>
                <w:szCs w:val="18"/>
                <w:lang w:val="es-ES"/>
              </w:rPr>
            </w:pPr>
            <w:r w:rsidRPr="00B83E1A">
              <w:rPr>
                <w:bCs/>
                <w:sz w:val="18"/>
                <w:szCs w:val="18"/>
                <w:lang w:val="es-ES"/>
              </w:rPr>
              <w:t xml:space="preserve">Conferencia de la OMPI sobre innovación y cambio climático </w:t>
            </w:r>
          </w:p>
          <w:p w14:paraId="1137F4BA" w14:textId="77777777" w:rsidR="00067534" w:rsidRPr="00B83E1A" w:rsidRDefault="00067534" w:rsidP="004E65E7">
            <w:pPr>
              <w:rPr>
                <w:bCs/>
                <w:sz w:val="18"/>
                <w:szCs w:val="18"/>
                <w:lang w:val="es-ES"/>
              </w:rPr>
            </w:pPr>
            <w:r w:rsidRPr="00B83E1A">
              <w:rPr>
                <w:bCs/>
                <w:sz w:val="18"/>
                <w:szCs w:val="18"/>
                <w:lang w:val="es-ES"/>
              </w:rPr>
              <w:t>Eventos paralelos en las reuniones de la CMNUCC sobre cuestiones de innovación y difusión de la tecnología</w:t>
            </w:r>
          </w:p>
          <w:p w14:paraId="2AB4316E" w14:textId="77777777" w:rsidR="00067534" w:rsidRPr="00B83E1A" w:rsidRDefault="00067534" w:rsidP="004E65E7">
            <w:pPr>
              <w:rPr>
                <w:bCs/>
                <w:sz w:val="18"/>
                <w:szCs w:val="18"/>
                <w:lang w:val="es-ES"/>
              </w:rPr>
            </w:pPr>
            <w:r w:rsidRPr="00B83E1A">
              <w:rPr>
                <w:bCs/>
                <w:sz w:val="18"/>
                <w:szCs w:val="18"/>
                <w:lang w:val="es-ES"/>
              </w:rPr>
              <w:t>Como cooperación entre la OMS y la OMPI:</w:t>
            </w:r>
          </w:p>
          <w:p w14:paraId="5DD902BB" w14:textId="77777777" w:rsidR="00067534" w:rsidRPr="00B83E1A" w:rsidRDefault="00067534" w:rsidP="00067534">
            <w:pPr>
              <w:numPr>
                <w:ilvl w:val="1"/>
                <w:numId w:val="9"/>
              </w:numPr>
              <w:rPr>
                <w:bCs/>
                <w:sz w:val="18"/>
                <w:szCs w:val="18"/>
                <w:lang w:val="es-ES"/>
              </w:rPr>
            </w:pPr>
            <w:r w:rsidRPr="00B83E1A">
              <w:rPr>
                <w:bCs/>
                <w:sz w:val="18"/>
                <w:szCs w:val="18"/>
                <w:lang w:val="es-ES"/>
              </w:rPr>
              <w:t>Un simposio técnico conjunto sobre "Acceso a los medicamentos:  Prácticas de fijación de precios y adquisición</w:t>
            </w:r>
          </w:p>
          <w:p w14:paraId="694A9B7E" w14:textId="77777777" w:rsidR="00067534" w:rsidRPr="00B83E1A" w:rsidRDefault="00067534" w:rsidP="00067534">
            <w:pPr>
              <w:numPr>
                <w:ilvl w:val="1"/>
                <w:numId w:val="9"/>
              </w:numPr>
              <w:rPr>
                <w:bCs/>
                <w:sz w:val="18"/>
                <w:szCs w:val="18"/>
                <w:lang w:val="es-ES"/>
              </w:rPr>
            </w:pPr>
            <w:r w:rsidRPr="00B83E1A">
              <w:rPr>
                <w:bCs/>
                <w:sz w:val="18"/>
                <w:szCs w:val="18"/>
                <w:lang w:val="es-ES"/>
              </w:rPr>
              <w:t>Un simposio técnico conjunto sobre acceso a los medicamentos, información sobre patentes y libertad de acción</w:t>
            </w:r>
          </w:p>
          <w:p w14:paraId="6E3C2FA0" w14:textId="77777777" w:rsidR="00067534" w:rsidRPr="00B83E1A" w:rsidRDefault="00067534" w:rsidP="00067534">
            <w:pPr>
              <w:numPr>
                <w:ilvl w:val="1"/>
                <w:numId w:val="9"/>
              </w:numPr>
              <w:rPr>
                <w:bCs/>
                <w:sz w:val="18"/>
                <w:szCs w:val="18"/>
                <w:lang w:val="es-ES"/>
              </w:rPr>
            </w:pPr>
            <w:r w:rsidRPr="00B83E1A">
              <w:rPr>
                <w:bCs/>
                <w:sz w:val="18"/>
                <w:szCs w:val="18"/>
                <w:lang w:val="es-ES"/>
              </w:rPr>
              <w:t>Un taller sobre búsqueda de patentes y la libertad para operar</w:t>
            </w:r>
          </w:p>
          <w:p w14:paraId="15FBFAD3" w14:textId="77777777" w:rsidR="00067534" w:rsidRPr="00B83E1A" w:rsidRDefault="00067534" w:rsidP="004E65E7">
            <w:pPr>
              <w:rPr>
                <w:bCs/>
                <w:sz w:val="18"/>
                <w:szCs w:val="18"/>
                <w:lang w:val="es-ES"/>
              </w:rPr>
            </w:pPr>
            <w:r w:rsidRPr="00B83E1A">
              <w:rPr>
                <w:bCs/>
                <w:sz w:val="18"/>
                <w:szCs w:val="18"/>
                <w:lang w:val="es-ES"/>
              </w:rPr>
              <w:t>En cooperación con UNITAID y la Medicines Patent Pool, se celebró un taller sobre Condiciones de concesión de licencias para Medicines Patent Pool</w:t>
            </w:r>
          </w:p>
          <w:p w14:paraId="7ED22121" w14:textId="77777777" w:rsidR="00067534" w:rsidRPr="00B83E1A" w:rsidRDefault="00067534" w:rsidP="004E65E7">
            <w:pPr>
              <w:rPr>
                <w:bCs/>
                <w:sz w:val="18"/>
                <w:szCs w:val="18"/>
                <w:lang w:val="es-ES"/>
              </w:rPr>
            </w:pPr>
            <w:r w:rsidRPr="00B83E1A">
              <w:rPr>
                <w:bCs/>
                <w:sz w:val="18"/>
                <w:szCs w:val="18"/>
                <w:lang w:val="es-ES"/>
              </w:rPr>
              <w:t xml:space="preserve">Presentación de WIPO Re:Search el 26 de octubre de 2011 </w:t>
            </w:r>
          </w:p>
          <w:p w14:paraId="5E4DDCD5" w14:textId="77777777" w:rsidR="00067534" w:rsidRPr="00B83E1A" w:rsidRDefault="00067534" w:rsidP="004E65E7">
            <w:pPr>
              <w:rPr>
                <w:bCs/>
                <w:sz w:val="18"/>
                <w:szCs w:val="18"/>
                <w:lang w:val="es-ES"/>
              </w:rPr>
            </w:pPr>
            <w:r w:rsidRPr="00B83E1A">
              <w:rPr>
                <w:bCs/>
                <w:sz w:val="18"/>
                <w:szCs w:val="18"/>
                <w:lang w:val="es-ES"/>
              </w:rPr>
              <w:t xml:space="preserve">Simposio sobre la evolución del </w:t>
            </w:r>
            <w:r w:rsidRPr="00B83E1A">
              <w:rPr>
                <w:bCs/>
                <w:sz w:val="18"/>
                <w:szCs w:val="18"/>
                <w:lang w:val="es-ES"/>
              </w:rPr>
              <w:lastRenderedPageBreak/>
              <w:t xml:space="preserve">marco reglamentario de los datos de los ensayos – de la propiedad del intelecto al intelecto de la propiedad, en la OMPI </w:t>
            </w:r>
          </w:p>
          <w:p w14:paraId="6C1DBC4E" w14:textId="77777777" w:rsidR="00067534" w:rsidRPr="00B83E1A" w:rsidRDefault="00067534" w:rsidP="004E65E7">
            <w:pPr>
              <w:rPr>
                <w:bCs/>
                <w:sz w:val="18"/>
                <w:szCs w:val="18"/>
                <w:lang w:val="es-ES"/>
              </w:rPr>
            </w:pPr>
            <w:r w:rsidRPr="00B83E1A">
              <w:rPr>
                <w:bCs/>
                <w:sz w:val="18"/>
                <w:szCs w:val="18"/>
                <w:lang w:val="es-ES"/>
              </w:rPr>
              <w:t>Seminario sobre la utilización de la propiedad intelectual en los sectores privado y público para mejorar la productividad agrícola</w:t>
            </w:r>
          </w:p>
          <w:p w14:paraId="4BCDEFE0" w14:textId="77777777" w:rsidR="00067534" w:rsidRPr="00B83E1A" w:rsidRDefault="00067534" w:rsidP="004E65E7">
            <w:pPr>
              <w:spacing w:after="120"/>
              <w:rPr>
                <w:sz w:val="18"/>
                <w:szCs w:val="18"/>
                <w:lang w:val="es-ES"/>
              </w:rPr>
            </w:pPr>
            <w:r w:rsidRPr="00B83E1A">
              <w:rPr>
                <w:bCs/>
                <w:sz w:val="18"/>
                <w:szCs w:val="18"/>
                <w:lang w:val="es-ES"/>
              </w:rPr>
              <w:t xml:space="preserve">Sesión de la Conferencia Técnica Internacional de la FAO sobre Biotecnologías Agrícolas en los Países en Desarrollo, México  </w:t>
            </w:r>
          </w:p>
        </w:tc>
      </w:tr>
      <w:tr w:rsidR="000F1837" w:rsidRPr="00B83E1A" w14:paraId="6374488F" w14:textId="77777777" w:rsidTr="000F1837">
        <w:trPr>
          <w:trHeight w:val="1355"/>
          <w:jc w:val="center"/>
        </w:trPr>
        <w:tc>
          <w:tcPr>
            <w:tcW w:w="1713" w:type="dxa"/>
            <w:vMerge/>
          </w:tcPr>
          <w:p w14:paraId="3E818F72" w14:textId="77777777" w:rsidR="00067534" w:rsidRPr="00B83E1A" w:rsidRDefault="00067534" w:rsidP="004E65E7">
            <w:pPr>
              <w:rPr>
                <w:b/>
                <w:bCs/>
                <w:sz w:val="18"/>
                <w:szCs w:val="18"/>
                <w:lang w:val="es-ES"/>
              </w:rPr>
            </w:pPr>
          </w:p>
        </w:tc>
        <w:tc>
          <w:tcPr>
            <w:tcW w:w="2409" w:type="dxa"/>
            <w:vMerge/>
          </w:tcPr>
          <w:p w14:paraId="0B68DBD0" w14:textId="77777777" w:rsidR="00067534" w:rsidRPr="00B83E1A" w:rsidRDefault="00067534" w:rsidP="004E65E7">
            <w:pPr>
              <w:rPr>
                <w:b/>
                <w:bCs/>
                <w:sz w:val="18"/>
                <w:szCs w:val="18"/>
                <w:lang w:val="es-ES"/>
              </w:rPr>
            </w:pPr>
          </w:p>
        </w:tc>
        <w:tc>
          <w:tcPr>
            <w:tcW w:w="2694" w:type="dxa"/>
            <w:gridSpan w:val="2"/>
          </w:tcPr>
          <w:p w14:paraId="50C57468" w14:textId="74BC3EA5" w:rsidR="00067534" w:rsidRPr="00B83E1A" w:rsidRDefault="00067534" w:rsidP="004E65E7">
            <w:pPr>
              <w:rPr>
                <w:bCs/>
                <w:sz w:val="18"/>
                <w:szCs w:val="18"/>
                <w:lang w:val="es-ES"/>
              </w:rPr>
            </w:pPr>
            <w:r w:rsidRPr="00B83E1A">
              <w:rPr>
                <w:bCs/>
                <w:sz w:val="18"/>
                <w:szCs w:val="18"/>
                <w:lang w:val="es-ES"/>
              </w:rPr>
              <w:t>Mayor participación de la OMPI en otros foros para el debate de políticas con el fin de estrechar las relaciones con los asociados actuales y con otros nuevos.</w:t>
            </w:r>
            <w:r w:rsidR="00320EE4" w:rsidRPr="00B83E1A">
              <w:rPr>
                <w:bCs/>
                <w:sz w:val="18"/>
                <w:szCs w:val="18"/>
                <w:lang w:val="es-ES"/>
              </w:rPr>
              <w:t xml:space="preserve"> </w:t>
            </w:r>
            <w:r w:rsidRPr="00B83E1A">
              <w:rPr>
                <w:bCs/>
                <w:sz w:val="18"/>
                <w:szCs w:val="18"/>
                <w:lang w:val="es-ES"/>
              </w:rPr>
              <w:t xml:space="preserve"> Objetivo:  Fortalecer el diálogo con seis asociados actuales e iniciarlo con seis nuevos.</w:t>
            </w:r>
          </w:p>
        </w:tc>
        <w:tc>
          <w:tcPr>
            <w:tcW w:w="2817" w:type="dxa"/>
          </w:tcPr>
          <w:p w14:paraId="420F9C50" w14:textId="77777777" w:rsidR="00067534" w:rsidRPr="00B83E1A" w:rsidRDefault="00067534" w:rsidP="004E65E7">
            <w:pPr>
              <w:rPr>
                <w:bCs/>
                <w:sz w:val="18"/>
                <w:szCs w:val="18"/>
                <w:lang w:val="es-ES"/>
              </w:rPr>
            </w:pPr>
            <w:r w:rsidRPr="00B83E1A">
              <w:rPr>
                <w:bCs/>
                <w:sz w:val="18"/>
                <w:szCs w:val="18"/>
                <w:lang w:val="es-ES"/>
              </w:rPr>
              <w:t>Apoyo constante (OMS) a la aplicación de la Estrategia mundial y plan de acción sobre salud pública, innovación y propiedad intelectual y al proceso de preparación para una gripe pandémica.</w:t>
            </w:r>
          </w:p>
          <w:p w14:paraId="6BEC7D6E" w14:textId="77777777" w:rsidR="00067534" w:rsidRPr="00B83E1A" w:rsidRDefault="00067534" w:rsidP="004E65E7">
            <w:pPr>
              <w:rPr>
                <w:bCs/>
                <w:sz w:val="18"/>
                <w:szCs w:val="18"/>
                <w:lang w:val="es-ES"/>
              </w:rPr>
            </w:pPr>
            <w:r w:rsidRPr="00B83E1A">
              <w:rPr>
                <w:bCs/>
                <w:sz w:val="18"/>
                <w:szCs w:val="18"/>
                <w:lang w:val="es-ES"/>
              </w:rPr>
              <w:t>Colaboración permanente en talleres de la OMC y en seminarios sobre el Acuerdo sobre los ADPIC y salud pública y en otras reuniones conexas</w:t>
            </w:r>
          </w:p>
          <w:p w14:paraId="6A94D307" w14:textId="77777777" w:rsidR="00067534" w:rsidRPr="00B83E1A" w:rsidRDefault="00067534" w:rsidP="004E65E7">
            <w:pPr>
              <w:rPr>
                <w:bCs/>
                <w:sz w:val="18"/>
                <w:szCs w:val="18"/>
                <w:lang w:val="es-ES"/>
              </w:rPr>
            </w:pPr>
            <w:r w:rsidRPr="00B83E1A">
              <w:rPr>
                <w:bCs/>
                <w:sz w:val="18"/>
                <w:szCs w:val="18"/>
                <w:lang w:val="es-ES"/>
              </w:rPr>
              <w:t>Cooperación trilateral, coordinación periódica y organización conjunta de dos simposios (</w:t>
            </w:r>
            <w:r w:rsidRPr="00B83E1A">
              <w:rPr>
                <w:bCs/>
                <w:i/>
                <w:sz w:val="18"/>
                <w:szCs w:val="18"/>
                <w:lang w:val="es-ES"/>
              </w:rPr>
              <w:t>vid. supra</w:t>
            </w:r>
            <w:r w:rsidRPr="00B83E1A">
              <w:rPr>
                <w:bCs/>
                <w:sz w:val="18"/>
                <w:szCs w:val="18"/>
                <w:lang w:val="es-ES"/>
              </w:rPr>
              <w:t>) entre la OMS, la OMPI y la OMC.</w:t>
            </w:r>
          </w:p>
          <w:p w14:paraId="6A70AD4D" w14:textId="77777777" w:rsidR="00067534" w:rsidRPr="00B83E1A" w:rsidRDefault="00067534" w:rsidP="004E65E7">
            <w:pPr>
              <w:rPr>
                <w:bCs/>
                <w:sz w:val="18"/>
                <w:szCs w:val="18"/>
                <w:lang w:val="es-ES"/>
              </w:rPr>
            </w:pPr>
            <w:r w:rsidRPr="00B83E1A">
              <w:rPr>
                <w:bCs/>
                <w:sz w:val="18"/>
                <w:szCs w:val="18"/>
                <w:lang w:val="es-ES"/>
              </w:rPr>
              <w:t>Participación en las reuniones de la Junta Ejecutiva de UNITAID y apoyo a la labor de crear la fundación Medicines Patent Pool (MPP).</w:t>
            </w:r>
          </w:p>
          <w:p w14:paraId="7FB5432D" w14:textId="77777777" w:rsidR="00067534" w:rsidRPr="00B83E1A" w:rsidRDefault="00067534" w:rsidP="004E65E7">
            <w:pPr>
              <w:rPr>
                <w:bCs/>
                <w:sz w:val="18"/>
                <w:szCs w:val="18"/>
                <w:lang w:val="es-ES"/>
              </w:rPr>
            </w:pPr>
            <w:r w:rsidRPr="00B83E1A">
              <w:rPr>
                <w:bCs/>
                <w:sz w:val="18"/>
                <w:szCs w:val="18"/>
                <w:lang w:val="es-ES"/>
              </w:rPr>
              <w:t>Participación sostenida en las reuniones de la CMNUCC y cooperación con la Secretaría de la CMNUCC, con ONUDI, PNUMA, InfoDev, organizaciones no gubernamentales y sectores de actividad en cuestiones de P.I. relativas al cambio climático Se inició el contacto con CESPAP.</w:t>
            </w:r>
          </w:p>
          <w:p w14:paraId="1622D5A3" w14:textId="77777777" w:rsidR="00B35257" w:rsidRPr="00B83E1A" w:rsidRDefault="00067534" w:rsidP="004E65E7">
            <w:pPr>
              <w:rPr>
                <w:bCs/>
                <w:sz w:val="18"/>
                <w:szCs w:val="18"/>
                <w:lang w:val="es-ES"/>
              </w:rPr>
            </w:pPr>
            <w:r w:rsidRPr="00B83E1A">
              <w:rPr>
                <w:bCs/>
                <w:sz w:val="18"/>
                <w:szCs w:val="18"/>
                <w:lang w:val="es-ES"/>
              </w:rPr>
              <w:t>Participación continua en el Comité Interinstitucional de las Naciones Unidas sobre Bioética</w:t>
            </w:r>
            <w:r w:rsidR="00B35257" w:rsidRPr="00B83E1A">
              <w:rPr>
                <w:bCs/>
                <w:sz w:val="18"/>
                <w:szCs w:val="18"/>
                <w:lang w:val="es-ES"/>
              </w:rPr>
              <w:t>.</w:t>
            </w:r>
          </w:p>
          <w:p w14:paraId="759804F7" w14:textId="68CCDC0D" w:rsidR="00067534" w:rsidRPr="00B83E1A" w:rsidRDefault="00067534" w:rsidP="004E65E7">
            <w:pPr>
              <w:rPr>
                <w:bCs/>
                <w:sz w:val="18"/>
                <w:szCs w:val="18"/>
                <w:lang w:val="es-ES"/>
              </w:rPr>
            </w:pPr>
            <w:r w:rsidRPr="00B83E1A">
              <w:rPr>
                <w:bCs/>
                <w:sz w:val="18"/>
                <w:szCs w:val="18"/>
                <w:lang w:val="es-ES"/>
              </w:rPr>
              <w:t>Cooperación con el Instituto Universitario de Altos Estudios Internacionales y Desarrollo de Ginebra para la preparación del Quinto Simposio de Alto Nivel sobre Diplomacia Sanitaria Mundial (diez años después de Doha), en estrecha colaboración entre la OMS, la OMPI y la OMC.</w:t>
            </w:r>
          </w:p>
          <w:p w14:paraId="727090EA" w14:textId="51B1D270" w:rsidR="00067534" w:rsidRPr="00B83E1A" w:rsidRDefault="00067534" w:rsidP="000156E6">
            <w:pPr>
              <w:rPr>
                <w:sz w:val="18"/>
                <w:szCs w:val="18"/>
                <w:lang w:val="es-ES"/>
              </w:rPr>
            </w:pPr>
            <w:r w:rsidRPr="00B83E1A">
              <w:rPr>
                <w:bCs/>
                <w:sz w:val="18"/>
                <w:szCs w:val="18"/>
                <w:lang w:val="es-ES"/>
              </w:rPr>
              <w:lastRenderedPageBreak/>
              <w:t xml:space="preserve">Cooperación con 30 nuevos colaboradores en el contexto de WIPO Re:Search y 10 nuevos colaboradores en el contexto de </w:t>
            </w:r>
            <w:r w:rsidR="00B771E4" w:rsidRPr="00B83E1A">
              <w:rPr>
                <w:bCs/>
                <w:i/>
                <w:sz w:val="18"/>
                <w:szCs w:val="18"/>
                <w:lang w:val="es-ES"/>
              </w:rPr>
              <w:t xml:space="preserve">WIPO GREEN </w:t>
            </w:r>
            <w:r w:rsidRPr="00B83E1A">
              <w:rPr>
                <w:bCs/>
                <w:sz w:val="18"/>
                <w:szCs w:val="18"/>
                <w:lang w:val="es-ES"/>
              </w:rPr>
              <w:t>(</w:t>
            </w:r>
            <w:r w:rsidRPr="00B83E1A">
              <w:rPr>
                <w:bCs/>
                <w:i/>
                <w:sz w:val="18"/>
                <w:szCs w:val="18"/>
                <w:lang w:val="es-ES"/>
              </w:rPr>
              <w:t>vid. infra</w:t>
            </w:r>
            <w:r w:rsidRPr="00B83E1A">
              <w:rPr>
                <w:bCs/>
                <w:sz w:val="18"/>
                <w:szCs w:val="18"/>
                <w:lang w:val="es-ES"/>
              </w:rPr>
              <w:t>).</w:t>
            </w:r>
          </w:p>
        </w:tc>
      </w:tr>
      <w:tr w:rsidR="000F1837" w:rsidRPr="00B83E1A" w14:paraId="4E6F0DDB" w14:textId="77777777" w:rsidTr="000F1837">
        <w:trPr>
          <w:trHeight w:val="4239"/>
          <w:jc w:val="center"/>
        </w:trPr>
        <w:tc>
          <w:tcPr>
            <w:tcW w:w="1713" w:type="dxa"/>
            <w:vMerge/>
          </w:tcPr>
          <w:p w14:paraId="7F1070FC" w14:textId="77777777" w:rsidR="00067534" w:rsidRPr="00B83E1A" w:rsidRDefault="00067534" w:rsidP="004E65E7">
            <w:pPr>
              <w:rPr>
                <w:b/>
                <w:bCs/>
                <w:sz w:val="18"/>
                <w:szCs w:val="18"/>
                <w:lang w:val="es-ES"/>
              </w:rPr>
            </w:pPr>
          </w:p>
        </w:tc>
        <w:tc>
          <w:tcPr>
            <w:tcW w:w="2409" w:type="dxa"/>
          </w:tcPr>
          <w:p w14:paraId="34CB67FD" w14:textId="77777777" w:rsidR="00067534" w:rsidRPr="00B83E1A" w:rsidRDefault="00067534" w:rsidP="004E65E7">
            <w:pPr>
              <w:rPr>
                <w:b/>
                <w:bCs/>
                <w:sz w:val="18"/>
                <w:szCs w:val="18"/>
                <w:lang w:val="es-ES"/>
              </w:rPr>
            </w:pPr>
          </w:p>
        </w:tc>
        <w:tc>
          <w:tcPr>
            <w:tcW w:w="2694" w:type="dxa"/>
            <w:gridSpan w:val="2"/>
          </w:tcPr>
          <w:p w14:paraId="7A6112DF" w14:textId="77777777" w:rsidR="00067534" w:rsidRPr="00B83E1A" w:rsidRDefault="00067534" w:rsidP="004E65E7">
            <w:pPr>
              <w:rPr>
                <w:bCs/>
                <w:sz w:val="18"/>
                <w:szCs w:val="18"/>
                <w:lang w:val="es-ES"/>
              </w:rPr>
            </w:pPr>
            <w:r w:rsidRPr="00B83E1A">
              <w:rPr>
                <w:bCs/>
                <w:sz w:val="18"/>
                <w:szCs w:val="18"/>
                <w:lang w:val="es-ES"/>
              </w:rPr>
              <w:t xml:space="preserve">Examen de los resultados obtenidos y repercusión de los foros para el debate de políticas celebrados por la OMPI.  Objetivo:  Dar una imagen positiva en las publicaciones externas relativas a cada actividad </w:t>
            </w:r>
          </w:p>
        </w:tc>
        <w:tc>
          <w:tcPr>
            <w:tcW w:w="2817" w:type="dxa"/>
          </w:tcPr>
          <w:p w14:paraId="791DFD87" w14:textId="77777777" w:rsidR="00067534" w:rsidRPr="00B83E1A" w:rsidRDefault="00067534" w:rsidP="004E65E7">
            <w:pPr>
              <w:rPr>
                <w:rFonts w:eastAsia="MS Mincho"/>
                <w:sz w:val="18"/>
                <w:szCs w:val="18"/>
                <w:lang w:val="es-ES" w:eastAsia="ja-JP" w:bidi="th-TH"/>
              </w:rPr>
            </w:pPr>
            <w:r w:rsidRPr="00B83E1A">
              <w:rPr>
                <w:rFonts w:eastAsia="MS Mincho"/>
                <w:sz w:val="18"/>
                <w:szCs w:val="18"/>
                <w:lang w:val="es-ES" w:eastAsia="ja-JP" w:bidi="th-TH"/>
              </w:rPr>
              <w:t>Los participantes en las actividades organizadas por la OMPI valoraron el amplio y equilibrado abanico de temas tratados y el enfoque empírico.</w:t>
            </w:r>
          </w:p>
          <w:p w14:paraId="63FA59BC" w14:textId="77777777" w:rsidR="00067534" w:rsidRPr="00B83E1A" w:rsidRDefault="00067534" w:rsidP="004E65E7">
            <w:pPr>
              <w:rPr>
                <w:rFonts w:eastAsia="MS Mincho"/>
                <w:sz w:val="18"/>
                <w:szCs w:val="18"/>
                <w:lang w:val="es-ES" w:eastAsia="ja-JP" w:bidi="th-TH"/>
              </w:rPr>
            </w:pPr>
            <w:r w:rsidRPr="00B83E1A">
              <w:rPr>
                <w:rFonts w:eastAsia="MS Mincho"/>
                <w:sz w:val="18"/>
                <w:szCs w:val="18"/>
                <w:lang w:val="es-ES" w:eastAsia="ja-JP" w:bidi="th-TH"/>
              </w:rPr>
              <w:t>A la presentación de WIPO Re:Search asistieron unos 18 periodistas y se informó del acto en unas 100 agencias de noticias y periódicos.</w:t>
            </w:r>
          </w:p>
          <w:p w14:paraId="165177D6" w14:textId="77777777" w:rsidR="00067534" w:rsidRPr="00B83E1A" w:rsidRDefault="00067534" w:rsidP="004E65E7">
            <w:pPr>
              <w:rPr>
                <w:sz w:val="18"/>
                <w:szCs w:val="18"/>
                <w:lang w:val="es-ES"/>
              </w:rPr>
            </w:pPr>
            <w:r w:rsidRPr="00B83E1A">
              <w:rPr>
                <w:bCs/>
                <w:sz w:val="18"/>
                <w:szCs w:val="18"/>
                <w:lang w:val="es-ES"/>
              </w:rPr>
              <w:t>Los Estados miembros de la OMS y la OMC remitieron a actividades de la OMPI en sus reuniones, como la Junta Ejecutiva de la OMS, la Asamblea Mundial de la Salud o el Consejo de los ADPIC de la OMC.</w:t>
            </w:r>
          </w:p>
        </w:tc>
      </w:tr>
      <w:tr w:rsidR="00067534" w:rsidRPr="00B83E1A" w14:paraId="1388B2E3" w14:textId="77777777" w:rsidTr="004E65E7">
        <w:trPr>
          <w:trHeight w:val="195"/>
          <w:jc w:val="center"/>
        </w:trPr>
        <w:tc>
          <w:tcPr>
            <w:tcW w:w="1713" w:type="dxa"/>
            <w:vMerge/>
          </w:tcPr>
          <w:p w14:paraId="15735E7B" w14:textId="77777777" w:rsidR="00067534" w:rsidRPr="00B83E1A" w:rsidRDefault="00067534" w:rsidP="004E65E7">
            <w:pPr>
              <w:rPr>
                <w:b/>
                <w:bCs/>
                <w:sz w:val="18"/>
                <w:szCs w:val="18"/>
                <w:lang w:val="es-ES"/>
              </w:rPr>
            </w:pPr>
          </w:p>
        </w:tc>
        <w:tc>
          <w:tcPr>
            <w:tcW w:w="2409" w:type="dxa"/>
            <w:vMerge w:val="restart"/>
          </w:tcPr>
          <w:p w14:paraId="05FC58F2" w14:textId="77777777" w:rsidR="00067534" w:rsidRPr="00B83E1A" w:rsidRDefault="00067534" w:rsidP="004E65E7">
            <w:pPr>
              <w:rPr>
                <w:sz w:val="18"/>
                <w:szCs w:val="18"/>
                <w:lang w:val="es-ES"/>
              </w:rPr>
            </w:pPr>
            <w:r w:rsidRPr="00B83E1A">
              <w:rPr>
                <w:sz w:val="18"/>
                <w:szCs w:val="18"/>
                <w:lang w:val="es-ES"/>
              </w:rPr>
              <w:t>Resultado ii) Crear para los responsables de la formulación de políticas recursos de información precisos y prácticos en los que los análisis de políticas se complementen con un uso más adecuado de la información sobre patentes, así como instrumentos prácticos para estudiar la innovación colectiva</w:t>
            </w:r>
          </w:p>
          <w:p w14:paraId="3CED0199" w14:textId="77777777" w:rsidR="00067534" w:rsidRPr="00B83E1A" w:rsidRDefault="00067534" w:rsidP="004E65E7">
            <w:pPr>
              <w:rPr>
                <w:b/>
                <w:bCs/>
                <w:sz w:val="18"/>
                <w:szCs w:val="18"/>
                <w:lang w:val="es-ES"/>
              </w:rPr>
            </w:pPr>
          </w:p>
        </w:tc>
        <w:tc>
          <w:tcPr>
            <w:tcW w:w="2694" w:type="dxa"/>
            <w:gridSpan w:val="2"/>
          </w:tcPr>
          <w:p w14:paraId="6B632192" w14:textId="77777777" w:rsidR="00067534" w:rsidRPr="00B83E1A" w:rsidRDefault="00067534" w:rsidP="004E65E7">
            <w:pPr>
              <w:rPr>
                <w:bCs/>
                <w:sz w:val="18"/>
                <w:szCs w:val="18"/>
                <w:lang w:val="es-ES"/>
              </w:rPr>
            </w:pPr>
            <w:r w:rsidRPr="00B83E1A">
              <w:rPr>
                <w:bCs/>
                <w:sz w:val="18"/>
                <w:szCs w:val="18"/>
                <w:lang w:val="es-ES"/>
              </w:rPr>
              <w:t>Número y objeto de los nuevos instrumentos y estudios en materia de políticas y análisis e instrumentos de datos en materia de información sobre patentes</w:t>
            </w:r>
          </w:p>
          <w:p w14:paraId="550BD9D2" w14:textId="77777777" w:rsidR="00067534" w:rsidRPr="00B83E1A" w:rsidRDefault="00067534" w:rsidP="004E65E7">
            <w:pPr>
              <w:rPr>
                <w:bCs/>
                <w:sz w:val="18"/>
                <w:szCs w:val="18"/>
                <w:lang w:val="es-ES"/>
              </w:rPr>
            </w:pPr>
            <w:r w:rsidRPr="00B83E1A">
              <w:rPr>
                <w:bCs/>
                <w:sz w:val="18"/>
                <w:szCs w:val="18"/>
                <w:lang w:val="es-ES"/>
              </w:rPr>
              <w:t>Objetivo:  Realizar cuatro estudios en materia de políticas en la propia Organización y encargar otros cuatro fuera de ella;  seis análisis en materia de patentes;  plataforma en marcha sobre innovación abierta y:  1, difusión de las tecnologías verdes, y 2, I+D contra enfermedades tropicales desatendidas</w:t>
            </w:r>
          </w:p>
          <w:p w14:paraId="42B029D3" w14:textId="77777777" w:rsidR="00067534" w:rsidRPr="00B83E1A" w:rsidRDefault="00067534" w:rsidP="004E65E7">
            <w:pPr>
              <w:rPr>
                <w:bCs/>
                <w:sz w:val="18"/>
                <w:szCs w:val="18"/>
                <w:lang w:val="es-ES"/>
              </w:rPr>
            </w:pPr>
          </w:p>
        </w:tc>
        <w:tc>
          <w:tcPr>
            <w:tcW w:w="2817" w:type="dxa"/>
          </w:tcPr>
          <w:p w14:paraId="7F824383" w14:textId="77777777" w:rsidR="00B35257" w:rsidRPr="00B83E1A" w:rsidRDefault="00067534" w:rsidP="004E65E7">
            <w:pPr>
              <w:rPr>
                <w:bCs/>
                <w:sz w:val="18"/>
                <w:szCs w:val="18"/>
                <w:lang w:val="es-ES"/>
              </w:rPr>
            </w:pPr>
            <w:r w:rsidRPr="00B83E1A">
              <w:rPr>
                <w:bCs/>
                <w:sz w:val="18"/>
                <w:szCs w:val="18"/>
                <w:lang w:val="es-ES"/>
              </w:rPr>
              <w:t>El nuevo consorcio WIPO Re:Search:  C</w:t>
            </w:r>
            <w:r w:rsidRPr="00B83E1A">
              <w:rPr>
                <w:bCs/>
                <w:i/>
                <w:sz w:val="18"/>
                <w:szCs w:val="18"/>
                <w:lang w:val="es-ES"/>
              </w:rPr>
              <w:t>ompartir la innovación en la lucha contra las enfermedades tropicales desatendidas</w:t>
            </w:r>
            <w:r w:rsidRPr="00B83E1A">
              <w:rPr>
                <w:bCs/>
                <w:sz w:val="18"/>
                <w:szCs w:val="18"/>
                <w:lang w:val="es-ES"/>
              </w:rPr>
              <w:t xml:space="preserve"> se presentó en octubre de 2011 (www.wiporesearch.org)</w:t>
            </w:r>
            <w:r w:rsidR="00B35257" w:rsidRPr="00B83E1A">
              <w:rPr>
                <w:bCs/>
                <w:sz w:val="18"/>
                <w:szCs w:val="18"/>
                <w:lang w:val="es-ES"/>
              </w:rPr>
              <w:t>.</w:t>
            </w:r>
          </w:p>
          <w:p w14:paraId="178C86DA" w14:textId="516A8BCE" w:rsidR="00067534" w:rsidRPr="00B83E1A" w:rsidRDefault="00067534" w:rsidP="004E65E7">
            <w:pPr>
              <w:rPr>
                <w:bCs/>
                <w:sz w:val="18"/>
                <w:szCs w:val="18"/>
                <w:lang w:val="es-ES"/>
              </w:rPr>
            </w:pPr>
            <w:r w:rsidRPr="00B83E1A">
              <w:rPr>
                <w:bCs/>
                <w:sz w:val="18"/>
                <w:szCs w:val="18"/>
                <w:lang w:val="es-ES"/>
              </w:rPr>
              <w:t xml:space="preserve">Puede consultarse en línea una nueva versión de </w:t>
            </w:r>
            <w:r w:rsidRPr="00B83E1A">
              <w:rPr>
                <w:bCs/>
                <w:i/>
                <w:sz w:val="18"/>
                <w:szCs w:val="18"/>
                <w:lang w:val="es-ES"/>
              </w:rPr>
              <w:t>wipo green - La plataforma tecnológica verde.</w:t>
            </w:r>
          </w:p>
          <w:p w14:paraId="051E0EA0" w14:textId="77777777" w:rsidR="00067534" w:rsidRPr="00B83E1A" w:rsidRDefault="00067534" w:rsidP="004E65E7">
            <w:pPr>
              <w:rPr>
                <w:bCs/>
                <w:sz w:val="18"/>
                <w:szCs w:val="18"/>
                <w:lang w:val="es-ES"/>
              </w:rPr>
            </w:pPr>
            <w:r w:rsidRPr="00B83E1A">
              <w:rPr>
                <w:bCs/>
                <w:sz w:val="18"/>
                <w:szCs w:val="18"/>
                <w:lang w:val="es-ES"/>
              </w:rPr>
              <w:t xml:space="preserve">A petición de la OMS (en diciembre de 2010), se preparó un Informe de la OMPI sobre búsqueda de patentes relacionadas con la preparación para una gripe pandémica (patentes relacionadas y solicitudes de patentes) y se presentó en la reunión de la OMS del Grupo de Trabajo de composición abierta de los Estados miembros sobre preparación para una gripe pandémica:  </w:t>
            </w:r>
            <w:r w:rsidRPr="00B83E1A">
              <w:rPr>
                <w:bCs/>
                <w:i/>
                <w:sz w:val="18"/>
                <w:szCs w:val="18"/>
                <w:lang w:val="es-ES"/>
              </w:rPr>
              <w:t>Procedimientos de intercambio de virus gripales, acceso a las vacunas y otros beneficios</w:t>
            </w:r>
            <w:r w:rsidRPr="00B83E1A">
              <w:rPr>
                <w:bCs/>
                <w:sz w:val="18"/>
                <w:szCs w:val="18"/>
                <w:lang w:val="es-ES"/>
              </w:rPr>
              <w:t>, que se celebró en abril de 2011.</w:t>
            </w:r>
          </w:p>
          <w:p w14:paraId="10B5576F" w14:textId="77777777" w:rsidR="00B35257" w:rsidRPr="00B83E1A" w:rsidRDefault="00067534" w:rsidP="004E65E7">
            <w:pPr>
              <w:rPr>
                <w:bCs/>
                <w:sz w:val="18"/>
                <w:szCs w:val="18"/>
                <w:lang w:val="es-ES"/>
              </w:rPr>
            </w:pPr>
            <w:r w:rsidRPr="00B83E1A">
              <w:rPr>
                <w:bCs/>
                <w:sz w:val="18"/>
                <w:szCs w:val="18"/>
                <w:lang w:val="es-ES"/>
              </w:rPr>
              <w:t>Los informes resumidos de los dos simposios conjuntos OMS/OMC/OMPI se prepararon y se publicaron en una colaboración entre la OMS, la OMPI y la OMC</w:t>
            </w:r>
            <w:r w:rsidR="00B35257" w:rsidRPr="00B83E1A">
              <w:rPr>
                <w:bCs/>
                <w:sz w:val="18"/>
                <w:szCs w:val="18"/>
                <w:lang w:val="es-ES"/>
              </w:rPr>
              <w:t>.</w:t>
            </w:r>
          </w:p>
          <w:p w14:paraId="0D423D15" w14:textId="4364E516" w:rsidR="00067534" w:rsidRPr="00B83E1A" w:rsidRDefault="00067534" w:rsidP="004E65E7">
            <w:pPr>
              <w:rPr>
                <w:bCs/>
                <w:sz w:val="18"/>
                <w:szCs w:val="18"/>
                <w:lang w:val="es-ES"/>
              </w:rPr>
            </w:pPr>
            <w:r w:rsidRPr="00B83E1A">
              <w:rPr>
                <w:bCs/>
                <w:sz w:val="18"/>
                <w:szCs w:val="18"/>
                <w:lang w:val="es-ES"/>
              </w:rPr>
              <w:t>Se han presentado dos nuevas colecciones de publicaciones:</w:t>
            </w:r>
          </w:p>
          <w:p w14:paraId="412E004E" w14:textId="2E1663AB" w:rsidR="00067534" w:rsidRPr="00B83E1A" w:rsidRDefault="00067534" w:rsidP="00067534">
            <w:pPr>
              <w:numPr>
                <w:ilvl w:val="1"/>
                <w:numId w:val="11"/>
              </w:numPr>
              <w:rPr>
                <w:bCs/>
                <w:sz w:val="18"/>
                <w:szCs w:val="18"/>
                <w:lang w:val="es-ES"/>
              </w:rPr>
            </w:pPr>
            <w:r w:rsidRPr="00B83E1A">
              <w:rPr>
                <w:bCs/>
                <w:sz w:val="18"/>
                <w:szCs w:val="18"/>
                <w:lang w:val="es-ES"/>
              </w:rPr>
              <w:lastRenderedPageBreak/>
              <w:t xml:space="preserve">Documento de información </w:t>
            </w:r>
            <w:r w:rsidR="009A700A" w:rsidRPr="00B83E1A">
              <w:rPr>
                <w:bCs/>
                <w:sz w:val="18"/>
                <w:szCs w:val="18"/>
                <w:lang w:val="es-ES"/>
              </w:rPr>
              <w:t>Nº </w:t>
            </w:r>
            <w:r w:rsidRPr="00B83E1A">
              <w:rPr>
                <w:bCs/>
                <w:sz w:val="18"/>
                <w:szCs w:val="18"/>
                <w:lang w:val="es-ES"/>
              </w:rPr>
              <w:t xml:space="preserve">1 sobre los desafíos mundiales: "When policy meets evidence:  What’s next in the discussion on intellectual property, technology transfer &amp; the environment?" </w:t>
            </w:r>
          </w:p>
          <w:p w14:paraId="1CCE9A96" w14:textId="3FAD177B" w:rsidR="00067534" w:rsidRPr="00B83E1A" w:rsidRDefault="00067534" w:rsidP="00067534">
            <w:pPr>
              <w:numPr>
                <w:ilvl w:val="1"/>
                <w:numId w:val="11"/>
              </w:numPr>
              <w:rPr>
                <w:bCs/>
                <w:sz w:val="18"/>
                <w:szCs w:val="18"/>
                <w:lang w:val="es-ES"/>
              </w:rPr>
            </w:pPr>
            <w:r w:rsidRPr="00B83E1A">
              <w:rPr>
                <w:bCs/>
                <w:sz w:val="18"/>
                <w:szCs w:val="18"/>
                <w:lang w:val="es-ES"/>
              </w:rPr>
              <w:t xml:space="preserve">Informe </w:t>
            </w:r>
            <w:r w:rsidR="009A700A" w:rsidRPr="00B83E1A">
              <w:rPr>
                <w:bCs/>
                <w:sz w:val="18"/>
                <w:szCs w:val="18"/>
                <w:lang w:val="es-ES"/>
              </w:rPr>
              <w:t>Nº </w:t>
            </w:r>
            <w:r w:rsidRPr="00B83E1A">
              <w:rPr>
                <w:bCs/>
                <w:sz w:val="18"/>
                <w:szCs w:val="18"/>
                <w:lang w:val="es-ES"/>
              </w:rPr>
              <w:t>1 sobre desafíos mundiales: "The Role of IP Rights in the Transfer of Environmentally Sound Technologies"</w:t>
            </w:r>
          </w:p>
          <w:p w14:paraId="3D0D35B3" w14:textId="77777777" w:rsidR="00067534" w:rsidRPr="00B83E1A" w:rsidRDefault="00067534" w:rsidP="004E65E7">
            <w:pPr>
              <w:rPr>
                <w:bCs/>
                <w:sz w:val="18"/>
                <w:szCs w:val="18"/>
                <w:lang w:val="es-ES"/>
              </w:rPr>
            </w:pPr>
            <w:r w:rsidRPr="00B83E1A">
              <w:rPr>
                <w:bCs/>
                <w:sz w:val="18"/>
                <w:szCs w:val="18"/>
                <w:lang w:val="es-ES"/>
              </w:rPr>
              <w:t>Se han publicado las actas del Seminario sobre el uso de la propiedad intelectual en el sector privado y público para mejorar la productividad agrícola</w:t>
            </w:r>
          </w:p>
          <w:p w14:paraId="3ED1D943" w14:textId="77777777" w:rsidR="00067534" w:rsidRPr="00B83E1A" w:rsidRDefault="00067534" w:rsidP="004E65E7">
            <w:pPr>
              <w:spacing w:after="120"/>
              <w:rPr>
                <w:sz w:val="18"/>
                <w:szCs w:val="18"/>
                <w:lang w:val="es-ES"/>
              </w:rPr>
            </w:pPr>
            <w:r w:rsidRPr="00B83E1A">
              <w:rPr>
                <w:bCs/>
                <w:sz w:val="18"/>
                <w:szCs w:val="18"/>
                <w:lang w:val="es-ES"/>
              </w:rPr>
              <w:t>Se elaboraron nueve informes sobre el análisis de la actividad en materia de patentes (puede encontrarse más información en el programa 14)</w:t>
            </w:r>
          </w:p>
        </w:tc>
      </w:tr>
      <w:tr w:rsidR="00067534" w:rsidRPr="00B83E1A" w14:paraId="56CFBD9C" w14:textId="77777777" w:rsidTr="0064104C">
        <w:trPr>
          <w:trHeight w:val="4320"/>
          <w:jc w:val="center"/>
        </w:trPr>
        <w:tc>
          <w:tcPr>
            <w:tcW w:w="1713" w:type="dxa"/>
            <w:vMerge/>
          </w:tcPr>
          <w:p w14:paraId="7E43763E" w14:textId="77777777" w:rsidR="00067534" w:rsidRPr="00B83E1A" w:rsidRDefault="00067534" w:rsidP="004E65E7">
            <w:pPr>
              <w:rPr>
                <w:b/>
                <w:bCs/>
                <w:sz w:val="18"/>
                <w:szCs w:val="18"/>
                <w:lang w:val="es-ES"/>
              </w:rPr>
            </w:pPr>
          </w:p>
        </w:tc>
        <w:tc>
          <w:tcPr>
            <w:tcW w:w="2409" w:type="dxa"/>
            <w:vMerge/>
          </w:tcPr>
          <w:p w14:paraId="7D1C292C" w14:textId="77777777" w:rsidR="00067534" w:rsidRPr="00B83E1A" w:rsidRDefault="00067534" w:rsidP="004E65E7">
            <w:pPr>
              <w:rPr>
                <w:b/>
                <w:bCs/>
                <w:sz w:val="18"/>
                <w:szCs w:val="18"/>
                <w:lang w:val="es-ES"/>
              </w:rPr>
            </w:pPr>
          </w:p>
        </w:tc>
        <w:tc>
          <w:tcPr>
            <w:tcW w:w="2694" w:type="dxa"/>
            <w:gridSpan w:val="2"/>
          </w:tcPr>
          <w:p w14:paraId="3C64788B" w14:textId="77777777" w:rsidR="00067534" w:rsidRPr="00B83E1A" w:rsidRDefault="00067534" w:rsidP="004E65E7">
            <w:pPr>
              <w:rPr>
                <w:bCs/>
                <w:sz w:val="18"/>
                <w:szCs w:val="18"/>
                <w:lang w:val="es-ES"/>
              </w:rPr>
            </w:pPr>
            <w:r w:rsidRPr="00B83E1A">
              <w:rPr>
                <w:bCs/>
                <w:sz w:val="18"/>
                <w:szCs w:val="18"/>
                <w:lang w:val="es-ES"/>
              </w:rPr>
              <w:t>Opiniones de usuarios y asociados sobre la calidad y pertinencia de los instrumentos creados.  Objetivo:  valoración externa en términos positivos de todo producto nuevo</w:t>
            </w:r>
          </w:p>
        </w:tc>
        <w:tc>
          <w:tcPr>
            <w:tcW w:w="2817" w:type="dxa"/>
          </w:tcPr>
          <w:p w14:paraId="75713433" w14:textId="77777777" w:rsidR="00067534" w:rsidRPr="00B83E1A" w:rsidRDefault="00067534" w:rsidP="004E65E7">
            <w:pPr>
              <w:rPr>
                <w:bCs/>
                <w:sz w:val="18"/>
                <w:szCs w:val="18"/>
                <w:lang w:val="es-ES"/>
              </w:rPr>
            </w:pPr>
            <w:r w:rsidRPr="00B83E1A">
              <w:rPr>
                <w:bCs/>
                <w:sz w:val="18"/>
                <w:szCs w:val="18"/>
                <w:lang w:val="es-ES"/>
              </w:rPr>
              <w:t>Se recibieron observaciones muy positivas y constructivas de los colaboradores de la OMPI sobre un mayor desarrollo de la plataforma de tecnología verde.  La prensa informó de manera positiva sobre la plataforma.</w:t>
            </w:r>
          </w:p>
          <w:p w14:paraId="0314FA37" w14:textId="68D57524" w:rsidR="00067534" w:rsidRPr="00B83E1A" w:rsidRDefault="00067534" w:rsidP="0064104C">
            <w:pPr>
              <w:rPr>
                <w:sz w:val="18"/>
                <w:szCs w:val="18"/>
                <w:lang w:val="es-ES"/>
              </w:rPr>
            </w:pPr>
            <w:r w:rsidRPr="00B83E1A">
              <w:rPr>
                <w:bCs/>
                <w:sz w:val="18"/>
                <w:szCs w:val="18"/>
                <w:lang w:val="es-ES"/>
              </w:rPr>
              <w:t>WIPO Re:Search:  Observaciones positivas en su presentación el 26 de octubre de 2011.  A finales de 2011, la plataforma WIPO Re:Search contaba con 30 miembros (proveedores, usuarios potenciales y colaboradores), representantes tanto de países desarrollados como de países en desarrollo.  La base de datos incluía más de 100 registros.</w:t>
            </w:r>
          </w:p>
        </w:tc>
      </w:tr>
      <w:tr w:rsidR="00067534" w:rsidRPr="00B83E1A" w14:paraId="70907D84" w14:textId="77777777" w:rsidTr="0064104C">
        <w:trPr>
          <w:trHeight w:val="414"/>
          <w:jc w:val="center"/>
        </w:trPr>
        <w:tc>
          <w:tcPr>
            <w:tcW w:w="9633" w:type="dxa"/>
            <w:gridSpan w:val="5"/>
            <w:shd w:val="clear" w:color="auto" w:fill="C4BC96" w:themeFill="background2" w:themeFillShade="BF"/>
          </w:tcPr>
          <w:p w14:paraId="66193844" w14:textId="63DA47A8" w:rsidR="00067534" w:rsidRPr="00B83E1A" w:rsidRDefault="00067534" w:rsidP="0064104C">
            <w:pPr>
              <w:rPr>
                <w:sz w:val="18"/>
                <w:szCs w:val="18"/>
                <w:lang w:val="es-ES"/>
              </w:rPr>
            </w:pPr>
            <w:r w:rsidRPr="00B83E1A">
              <w:rPr>
                <w:b/>
                <w:bCs/>
                <w:sz w:val="18"/>
                <w:szCs w:val="18"/>
                <w:lang w:val="es-ES"/>
              </w:rPr>
              <w:t>ODM - Objetiv</w:t>
            </w:r>
            <w:r w:rsidR="009A700A" w:rsidRPr="00B83E1A">
              <w:rPr>
                <w:b/>
                <w:bCs/>
                <w:sz w:val="18"/>
                <w:szCs w:val="18"/>
                <w:lang w:val="es-ES"/>
              </w:rPr>
              <w:t>o 8</w:t>
            </w:r>
            <w:r w:rsidRPr="00B83E1A">
              <w:rPr>
                <w:b/>
                <w:bCs/>
                <w:sz w:val="18"/>
                <w:szCs w:val="18"/>
                <w:lang w:val="es-ES"/>
              </w:rPr>
              <w:t>:  Fomentar una asociación mundial para el desarrollo</w:t>
            </w:r>
          </w:p>
        </w:tc>
      </w:tr>
      <w:tr w:rsidR="00067534" w:rsidRPr="00B83E1A" w14:paraId="35E34921" w14:textId="77777777" w:rsidTr="0064104C">
        <w:trPr>
          <w:trHeight w:val="419"/>
          <w:jc w:val="center"/>
        </w:trPr>
        <w:tc>
          <w:tcPr>
            <w:tcW w:w="9633" w:type="dxa"/>
            <w:gridSpan w:val="5"/>
            <w:shd w:val="clear" w:color="auto" w:fill="DDD9C3" w:themeFill="background2" w:themeFillShade="E6"/>
          </w:tcPr>
          <w:p w14:paraId="1FAC73CD" w14:textId="273A4983" w:rsidR="00067534" w:rsidRPr="00B83E1A" w:rsidRDefault="00067534" w:rsidP="0064104C">
            <w:pPr>
              <w:rPr>
                <w:sz w:val="18"/>
                <w:szCs w:val="18"/>
                <w:lang w:val="es-ES"/>
              </w:rPr>
            </w:pPr>
            <w:r w:rsidRPr="00B83E1A">
              <w:rPr>
                <w:b/>
                <w:sz w:val="18"/>
                <w:szCs w:val="18"/>
                <w:lang w:val="es-ES"/>
              </w:rPr>
              <w:t>Met</w:t>
            </w:r>
            <w:r w:rsidR="009A700A" w:rsidRPr="00B83E1A">
              <w:rPr>
                <w:b/>
                <w:sz w:val="18"/>
                <w:szCs w:val="18"/>
                <w:lang w:val="es-ES"/>
              </w:rPr>
              <w:t>a 8</w:t>
            </w:r>
            <w:r w:rsidRPr="00B83E1A">
              <w:rPr>
                <w:b/>
                <w:sz w:val="18"/>
                <w:szCs w:val="18"/>
                <w:lang w:val="es-ES"/>
              </w:rPr>
              <w:t>.B:  Atender las necesidades especiales de los países menos adelantados</w:t>
            </w:r>
          </w:p>
        </w:tc>
      </w:tr>
      <w:tr w:rsidR="00067534" w:rsidRPr="00B83E1A" w14:paraId="12CA5A2B" w14:textId="77777777" w:rsidTr="004E65E7">
        <w:trPr>
          <w:trHeight w:val="195"/>
          <w:jc w:val="center"/>
        </w:trPr>
        <w:tc>
          <w:tcPr>
            <w:tcW w:w="1713" w:type="dxa"/>
            <w:shd w:val="clear" w:color="auto" w:fill="C6D9F1" w:themeFill="text2" w:themeFillTint="33"/>
            <w:vAlign w:val="center"/>
          </w:tcPr>
          <w:p w14:paraId="6B793FAB" w14:textId="77777777" w:rsidR="00067534" w:rsidRPr="00B83E1A" w:rsidRDefault="00067534" w:rsidP="004E65E7">
            <w:pPr>
              <w:spacing w:after="120"/>
              <w:rPr>
                <w:b/>
                <w:bCs/>
                <w:sz w:val="18"/>
                <w:szCs w:val="18"/>
                <w:lang w:val="es-ES"/>
              </w:rPr>
            </w:pPr>
            <w:r w:rsidRPr="00B83E1A">
              <w:rPr>
                <w:b/>
                <w:bCs/>
                <w:sz w:val="18"/>
                <w:szCs w:val="18"/>
                <w:lang w:val="es-ES"/>
              </w:rPr>
              <w:t>Meta estratégica de la OMPI</w:t>
            </w:r>
          </w:p>
        </w:tc>
        <w:tc>
          <w:tcPr>
            <w:tcW w:w="2409" w:type="dxa"/>
            <w:shd w:val="clear" w:color="auto" w:fill="C6D9F1" w:themeFill="text2" w:themeFillTint="33"/>
            <w:vAlign w:val="center"/>
          </w:tcPr>
          <w:p w14:paraId="258C644E" w14:textId="77777777" w:rsidR="00067534" w:rsidRPr="00B83E1A" w:rsidRDefault="00067534" w:rsidP="004E65E7">
            <w:pPr>
              <w:rPr>
                <w:b/>
                <w:bCs/>
                <w:sz w:val="18"/>
                <w:szCs w:val="18"/>
                <w:lang w:val="es-ES"/>
              </w:rPr>
            </w:pPr>
            <w:r w:rsidRPr="00B83E1A">
              <w:rPr>
                <w:b/>
                <w:bCs/>
                <w:sz w:val="18"/>
                <w:szCs w:val="18"/>
                <w:lang w:val="es-ES"/>
              </w:rPr>
              <w:t>Resultado previsto de la OMPI pertinente - 2010/11</w:t>
            </w:r>
          </w:p>
        </w:tc>
        <w:tc>
          <w:tcPr>
            <w:tcW w:w="2410" w:type="dxa"/>
            <w:shd w:val="clear" w:color="auto" w:fill="C6D9F1" w:themeFill="text2" w:themeFillTint="33"/>
            <w:vAlign w:val="center"/>
          </w:tcPr>
          <w:p w14:paraId="15F0CE71" w14:textId="77777777" w:rsidR="00067534" w:rsidRPr="00B83E1A" w:rsidRDefault="00067534" w:rsidP="004E65E7">
            <w:pPr>
              <w:rPr>
                <w:b/>
                <w:bCs/>
                <w:sz w:val="18"/>
                <w:szCs w:val="18"/>
                <w:lang w:val="es-ES"/>
              </w:rPr>
            </w:pPr>
            <w:r w:rsidRPr="00B83E1A">
              <w:rPr>
                <w:b/>
                <w:bCs/>
                <w:sz w:val="18"/>
                <w:szCs w:val="18"/>
                <w:lang w:val="es-ES"/>
              </w:rPr>
              <w:t>Indicadores de rendimiento</w:t>
            </w:r>
          </w:p>
        </w:tc>
        <w:tc>
          <w:tcPr>
            <w:tcW w:w="3101" w:type="dxa"/>
            <w:gridSpan w:val="2"/>
            <w:shd w:val="clear" w:color="auto" w:fill="C6D9F1" w:themeFill="text2" w:themeFillTint="33"/>
            <w:vAlign w:val="center"/>
          </w:tcPr>
          <w:p w14:paraId="522C912D" w14:textId="77777777" w:rsidR="00067534" w:rsidRPr="00B83E1A" w:rsidRDefault="00067534" w:rsidP="004E65E7">
            <w:pPr>
              <w:rPr>
                <w:sz w:val="18"/>
                <w:szCs w:val="18"/>
                <w:lang w:val="es-ES"/>
              </w:rPr>
            </w:pPr>
            <w:r w:rsidRPr="00B83E1A">
              <w:rPr>
                <w:b/>
                <w:bCs/>
                <w:sz w:val="18"/>
                <w:szCs w:val="18"/>
                <w:lang w:val="es-ES"/>
              </w:rPr>
              <w:t>Datos sobre el rendimiento</w:t>
            </w:r>
          </w:p>
        </w:tc>
      </w:tr>
      <w:tr w:rsidR="00067534" w:rsidRPr="00B83E1A" w14:paraId="20FF422B" w14:textId="77777777" w:rsidTr="004E65E7">
        <w:trPr>
          <w:trHeight w:val="195"/>
          <w:jc w:val="center"/>
        </w:trPr>
        <w:tc>
          <w:tcPr>
            <w:tcW w:w="1713" w:type="dxa"/>
            <w:vMerge w:val="restart"/>
          </w:tcPr>
          <w:p w14:paraId="77F1EFE5" w14:textId="77777777" w:rsidR="00067534" w:rsidRPr="00B83E1A" w:rsidRDefault="00067534" w:rsidP="004E65E7">
            <w:pPr>
              <w:rPr>
                <w:i/>
                <w:sz w:val="18"/>
                <w:szCs w:val="18"/>
                <w:lang w:val="es-ES"/>
              </w:rPr>
            </w:pPr>
            <w:r w:rsidRPr="00B83E1A">
              <w:rPr>
                <w:i/>
                <w:sz w:val="18"/>
                <w:szCs w:val="18"/>
                <w:lang w:val="es-ES"/>
              </w:rPr>
              <w:t xml:space="preserve">Meta estratégica III:  Facilitar el uso de la P.I. en aras del desarrollo </w:t>
            </w:r>
          </w:p>
          <w:p w14:paraId="178D20F3" w14:textId="77777777" w:rsidR="00067534" w:rsidRPr="00B83E1A" w:rsidRDefault="00067534" w:rsidP="004E65E7">
            <w:pPr>
              <w:rPr>
                <w:b/>
                <w:bCs/>
                <w:sz w:val="18"/>
                <w:szCs w:val="18"/>
                <w:lang w:val="es-ES"/>
              </w:rPr>
            </w:pPr>
          </w:p>
        </w:tc>
        <w:tc>
          <w:tcPr>
            <w:tcW w:w="2409" w:type="dxa"/>
            <w:vMerge w:val="restart"/>
          </w:tcPr>
          <w:p w14:paraId="1C35CE64" w14:textId="77777777" w:rsidR="00067534" w:rsidRPr="00B83E1A" w:rsidRDefault="00067534" w:rsidP="004E65E7">
            <w:pPr>
              <w:rPr>
                <w:sz w:val="18"/>
                <w:szCs w:val="18"/>
                <w:lang w:val="es-ES"/>
              </w:rPr>
            </w:pPr>
            <w:r w:rsidRPr="00B83E1A">
              <w:rPr>
                <w:sz w:val="18"/>
                <w:szCs w:val="18"/>
                <w:lang w:val="es-ES"/>
              </w:rPr>
              <w:t>Resultado i) Mayor acceso a los mercados internacionales para productos y servicios de los países en desarrollo</w:t>
            </w:r>
          </w:p>
          <w:p w14:paraId="573B8A13" w14:textId="77777777" w:rsidR="00067534" w:rsidRPr="00B83E1A" w:rsidRDefault="00067534" w:rsidP="004E65E7">
            <w:pPr>
              <w:rPr>
                <w:sz w:val="18"/>
                <w:szCs w:val="18"/>
                <w:lang w:val="es-ES"/>
              </w:rPr>
            </w:pPr>
            <w:r w:rsidRPr="00B83E1A">
              <w:rPr>
                <w:sz w:val="18"/>
                <w:szCs w:val="18"/>
                <w:lang w:val="es-ES"/>
              </w:rPr>
              <w:t>Resultado ii) Eficacia en la aplicación de la Agenda para el Desarrollo mediante proyectos y actividades concretos.</w:t>
            </w:r>
          </w:p>
          <w:p w14:paraId="222CDA23" w14:textId="77777777" w:rsidR="00067534" w:rsidRPr="00B83E1A" w:rsidRDefault="00067534" w:rsidP="004E65E7">
            <w:pPr>
              <w:rPr>
                <w:b/>
                <w:bCs/>
                <w:sz w:val="18"/>
                <w:szCs w:val="18"/>
                <w:lang w:val="es-ES"/>
              </w:rPr>
            </w:pPr>
          </w:p>
        </w:tc>
        <w:tc>
          <w:tcPr>
            <w:tcW w:w="2410" w:type="dxa"/>
          </w:tcPr>
          <w:p w14:paraId="2DB94563" w14:textId="77777777" w:rsidR="00067534" w:rsidRPr="00B83E1A" w:rsidRDefault="00067534" w:rsidP="004E65E7">
            <w:pPr>
              <w:rPr>
                <w:sz w:val="18"/>
                <w:szCs w:val="18"/>
                <w:lang w:val="es-ES"/>
              </w:rPr>
            </w:pPr>
            <w:r w:rsidRPr="00B83E1A">
              <w:rPr>
                <w:b/>
                <w:bCs/>
                <w:sz w:val="18"/>
                <w:szCs w:val="18"/>
                <w:lang w:val="es-ES"/>
              </w:rPr>
              <w:lastRenderedPageBreak/>
              <w:t>Clave de colores</w:t>
            </w:r>
          </w:p>
        </w:tc>
        <w:tc>
          <w:tcPr>
            <w:tcW w:w="3101" w:type="dxa"/>
            <w:gridSpan w:val="2"/>
          </w:tcPr>
          <w:p w14:paraId="37A7A42F" w14:textId="74D31EBD" w:rsidR="00067534" w:rsidRPr="00B83E1A" w:rsidRDefault="00067534" w:rsidP="004E65E7">
            <w:pPr>
              <w:spacing w:before="180"/>
              <w:rPr>
                <w:bCs/>
                <w:sz w:val="18"/>
                <w:szCs w:val="18"/>
                <w:lang w:val="es-ES"/>
              </w:rPr>
            </w:pPr>
            <w:r w:rsidRPr="00B83E1A">
              <w:rPr>
                <w:bCs/>
                <w:sz w:val="18"/>
                <w:szCs w:val="18"/>
                <w:lang w:val="es-ES"/>
              </w:rPr>
              <w:t>6,9% (2010)</w:t>
            </w:r>
            <w:r w:rsidR="00320EE4" w:rsidRPr="00B83E1A">
              <w:rPr>
                <w:bCs/>
                <w:sz w:val="18"/>
                <w:szCs w:val="18"/>
                <w:lang w:val="es-ES"/>
              </w:rPr>
              <w:t xml:space="preserve"> </w:t>
            </w:r>
            <w:r w:rsidRPr="00B83E1A">
              <w:rPr>
                <w:bCs/>
                <w:sz w:val="18"/>
                <w:szCs w:val="18"/>
                <w:lang w:val="es-ES"/>
              </w:rPr>
              <w:t>7,4% (2011)  (Madrid)</w:t>
            </w:r>
          </w:p>
          <w:p w14:paraId="355261E9" w14:textId="77777777" w:rsidR="00067534" w:rsidRPr="00B83E1A" w:rsidRDefault="00067534" w:rsidP="004E65E7">
            <w:pPr>
              <w:spacing w:before="60"/>
              <w:rPr>
                <w:bCs/>
                <w:sz w:val="18"/>
                <w:szCs w:val="18"/>
                <w:lang w:val="es-ES"/>
              </w:rPr>
            </w:pPr>
            <w:r w:rsidRPr="00B83E1A">
              <w:rPr>
                <w:bCs/>
                <w:sz w:val="18"/>
                <w:szCs w:val="18"/>
                <w:lang w:val="es-ES"/>
              </w:rPr>
              <w:t>0,85% del total de solicitudes recibidas en 2010-2011 (La Haya).</w:t>
            </w:r>
          </w:p>
          <w:p w14:paraId="34830262" w14:textId="77777777" w:rsidR="00067534" w:rsidRPr="00B83E1A" w:rsidRDefault="00067534" w:rsidP="004E65E7">
            <w:pPr>
              <w:spacing w:after="120"/>
              <w:rPr>
                <w:sz w:val="18"/>
                <w:szCs w:val="18"/>
                <w:lang w:val="es-ES"/>
              </w:rPr>
            </w:pPr>
            <w:r w:rsidRPr="00B83E1A">
              <w:rPr>
                <w:bCs/>
                <w:sz w:val="18"/>
                <w:szCs w:val="18"/>
                <w:lang w:val="es-ES"/>
              </w:rPr>
              <w:t>Finales de 2011, 58 en vigor procedentes de países en desarrollo (de 795) (Lisboa).</w:t>
            </w:r>
          </w:p>
        </w:tc>
      </w:tr>
      <w:tr w:rsidR="00067534" w:rsidRPr="00B83E1A" w14:paraId="1CCFC6C6" w14:textId="77777777" w:rsidTr="004E65E7">
        <w:trPr>
          <w:trHeight w:val="195"/>
          <w:jc w:val="center"/>
        </w:trPr>
        <w:tc>
          <w:tcPr>
            <w:tcW w:w="1713" w:type="dxa"/>
            <w:vMerge/>
          </w:tcPr>
          <w:p w14:paraId="7B9A39EB" w14:textId="77777777" w:rsidR="00067534" w:rsidRPr="00B83E1A" w:rsidRDefault="00067534" w:rsidP="004E65E7">
            <w:pPr>
              <w:rPr>
                <w:b/>
                <w:bCs/>
                <w:sz w:val="18"/>
                <w:szCs w:val="18"/>
                <w:lang w:val="es-ES"/>
              </w:rPr>
            </w:pPr>
          </w:p>
        </w:tc>
        <w:tc>
          <w:tcPr>
            <w:tcW w:w="2409" w:type="dxa"/>
            <w:vMerge/>
          </w:tcPr>
          <w:p w14:paraId="66ACE574" w14:textId="77777777" w:rsidR="00067534" w:rsidRPr="00B83E1A" w:rsidRDefault="00067534" w:rsidP="004E65E7">
            <w:pPr>
              <w:rPr>
                <w:b/>
                <w:bCs/>
                <w:sz w:val="18"/>
                <w:szCs w:val="18"/>
                <w:lang w:val="es-ES"/>
              </w:rPr>
            </w:pPr>
          </w:p>
        </w:tc>
        <w:tc>
          <w:tcPr>
            <w:tcW w:w="2410" w:type="dxa"/>
          </w:tcPr>
          <w:p w14:paraId="11EB815D" w14:textId="77777777" w:rsidR="00067534" w:rsidRPr="00B83E1A" w:rsidRDefault="00067534" w:rsidP="004E65E7">
            <w:pPr>
              <w:rPr>
                <w:b/>
                <w:bCs/>
                <w:sz w:val="18"/>
                <w:szCs w:val="18"/>
                <w:lang w:val="es-ES"/>
              </w:rPr>
            </w:pPr>
            <w:r w:rsidRPr="00B83E1A">
              <w:rPr>
                <w:bCs/>
                <w:sz w:val="18"/>
                <w:szCs w:val="18"/>
                <w:lang w:val="es-ES"/>
              </w:rPr>
              <w:t xml:space="preserve">Número de recomendaciones de la Agenda para el Desarrollo </w:t>
            </w:r>
            <w:r w:rsidRPr="00B83E1A">
              <w:rPr>
                <w:bCs/>
                <w:sz w:val="18"/>
                <w:szCs w:val="18"/>
                <w:lang w:val="es-ES"/>
              </w:rPr>
              <w:lastRenderedPageBreak/>
              <w:t>que se están aplicando con éxito mediante proyectos y actividades.</w:t>
            </w:r>
          </w:p>
        </w:tc>
        <w:tc>
          <w:tcPr>
            <w:tcW w:w="3101" w:type="dxa"/>
            <w:gridSpan w:val="2"/>
          </w:tcPr>
          <w:p w14:paraId="12CE87AF" w14:textId="77777777" w:rsidR="00067534" w:rsidRPr="00B83E1A" w:rsidRDefault="00067534" w:rsidP="004E65E7">
            <w:pPr>
              <w:rPr>
                <w:bCs/>
                <w:sz w:val="18"/>
                <w:szCs w:val="18"/>
                <w:lang w:val="es-ES"/>
              </w:rPr>
            </w:pPr>
            <w:r w:rsidRPr="00B83E1A">
              <w:rPr>
                <w:bCs/>
                <w:sz w:val="18"/>
                <w:szCs w:val="18"/>
                <w:lang w:val="es-ES"/>
              </w:rPr>
              <w:lastRenderedPageBreak/>
              <w:t>Se siguen aplicando con éxito 19 recomendaciones:</w:t>
            </w:r>
          </w:p>
          <w:p w14:paraId="1837EF36" w14:textId="77777777" w:rsidR="00067534" w:rsidRPr="00B83E1A" w:rsidRDefault="00067534" w:rsidP="00067534">
            <w:pPr>
              <w:numPr>
                <w:ilvl w:val="0"/>
                <w:numId w:val="10"/>
              </w:numPr>
              <w:rPr>
                <w:bCs/>
                <w:sz w:val="18"/>
                <w:szCs w:val="18"/>
                <w:lang w:val="es-ES"/>
              </w:rPr>
            </w:pPr>
            <w:r w:rsidRPr="00B83E1A">
              <w:rPr>
                <w:bCs/>
                <w:sz w:val="18"/>
                <w:szCs w:val="18"/>
                <w:lang w:val="es-ES"/>
              </w:rPr>
              <w:lastRenderedPageBreak/>
              <w:t>Nueve proyectos sobre asistencia técnica (referentes a las recomendaciones 2,5,8,9 y 10)</w:t>
            </w:r>
          </w:p>
          <w:p w14:paraId="34E0ABA8" w14:textId="77777777" w:rsidR="00067534" w:rsidRPr="00B83E1A" w:rsidRDefault="00067534" w:rsidP="00067534">
            <w:pPr>
              <w:numPr>
                <w:ilvl w:val="0"/>
                <w:numId w:val="10"/>
              </w:numPr>
              <w:rPr>
                <w:bCs/>
                <w:sz w:val="18"/>
                <w:szCs w:val="18"/>
                <w:lang w:val="es-ES"/>
              </w:rPr>
            </w:pPr>
            <w:r w:rsidRPr="00B83E1A">
              <w:rPr>
                <w:bCs/>
                <w:sz w:val="18"/>
                <w:szCs w:val="18"/>
                <w:lang w:val="es-ES"/>
              </w:rPr>
              <w:t>Cinco proyectos temáticos referentes a las recomendaciones 7, 16, 19, 20, 23, 24, 27, 30, 31, 32, 33, 38 y 41.</w:t>
            </w:r>
          </w:p>
          <w:p w14:paraId="129943EE" w14:textId="1AB345F4" w:rsidR="00067534" w:rsidRPr="00B83E1A" w:rsidRDefault="00067534" w:rsidP="0064104C">
            <w:pPr>
              <w:numPr>
                <w:ilvl w:val="0"/>
                <w:numId w:val="10"/>
              </w:numPr>
              <w:spacing w:after="120"/>
              <w:rPr>
                <w:sz w:val="18"/>
                <w:szCs w:val="18"/>
                <w:lang w:val="es-ES"/>
              </w:rPr>
            </w:pPr>
            <w:r w:rsidRPr="00B83E1A">
              <w:rPr>
                <w:bCs/>
                <w:sz w:val="18"/>
                <w:szCs w:val="18"/>
                <w:lang w:val="es-ES"/>
              </w:rPr>
              <w:t>Nueve proyectos temáticos aprobados durante el bienio (referentes a las recomendaciones 1, 4, 10, 11, 13, 16, 19, 20, 25, 26, 28, 30, 31, 34, 35, 36, 37, 39, y 40)</w:t>
            </w:r>
          </w:p>
        </w:tc>
      </w:tr>
      <w:tr w:rsidR="00067534" w:rsidRPr="00B83E1A" w14:paraId="708BD0D0" w14:textId="77777777" w:rsidTr="004E65E7">
        <w:trPr>
          <w:trHeight w:val="195"/>
          <w:jc w:val="center"/>
        </w:trPr>
        <w:tc>
          <w:tcPr>
            <w:tcW w:w="1713" w:type="dxa"/>
            <w:vMerge w:val="restart"/>
          </w:tcPr>
          <w:p w14:paraId="6A094E14" w14:textId="75655E83" w:rsidR="00067534" w:rsidRPr="00B83E1A" w:rsidRDefault="00067534" w:rsidP="004E65E7">
            <w:pPr>
              <w:rPr>
                <w:i/>
                <w:sz w:val="18"/>
                <w:szCs w:val="18"/>
                <w:lang w:val="es-ES"/>
              </w:rPr>
            </w:pPr>
            <w:r w:rsidRPr="00B83E1A">
              <w:rPr>
                <w:i/>
                <w:sz w:val="18"/>
                <w:szCs w:val="18"/>
                <w:lang w:val="es-ES"/>
              </w:rPr>
              <w:lastRenderedPageBreak/>
              <w:t>Meta estratégica VII</w:t>
            </w:r>
            <w:r w:rsidR="009A700A" w:rsidRPr="00B83E1A">
              <w:rPr>
                <w:i/>
                <w:sz w:val="18"/>
                <w:szCs w:val="18"/>
                <w:lang w:val="es-ES"/>
              </w:rPr>
              <w:t>:  V</w:t>
            </w:r>
            <w:r w:rsidRPr="00B83E1A">
              <w:rPr>
                <w:i/>
                <w:sz w:val="18"/>
                <w:szCs w:val="18"/>
                <w:lang w:val="es-ES"/>
              </w:rPr>
              <w:t>ínculos entre la P.I. y los problemas mundiales de política pública</w:t>
            </w:r>
          </w:p>
          <w:p w14:paraId="02053F4B" w14:textId="77777777" w:rsidR="00067534" w:rsidRPr="00B83E1A" w:rsidRDefault="00067534" w:rsidP="004E65E7">
            <w:pPr>
              <w:rPr>
                <w:b/>
                <w:bCs/>
                <w:sz w:val="18"/>
                <w:szCs w:val="18"/>
                <w:lang w:val="es-ES"/>
              </w:rPr>
            </w:pPr>
          </w:p>
        </w:tc>
        <w:tc>
          <w:tcPr>
            <w:tcW w:w="2409" w:type="dxa"/>
            <w:vMerge w:val="restart"/>
          </w:tcPr>
          <w:p w14:paraId="1E59D48C" w14:textId="77777777" w:rsidR="00067534" w:rsidRPr="00B83E1A" w:rsidRDefault="00067534" w:rsidP="004E65E7">
            <w:pPr>
              <w:rPr>
                <w:b/>
                <w:bCs/>
                <w:sz w:val="18"/>
                <w:szCs w:val="18"/>
                <w:lang w:val="es-ES"/>
              </w:rPr>
            </w:pPr>
            <w:r w:rsidRPr="00B83E1A">
              <w:rPr>
                <w:bCs/>
                <w:sz w:val="18"/>
                <w:szCs w:val="18"/>
                <w:lang w:val="es-ES"/>
              </w:rPr>
              <w:t>Resultado i) Mejoramiento de la capacidad y la comprensión de los Estados miembros en lo que atañe a la innovación y gestión y la transferencia de tecnología.</w:t>
            </w:r>
          </w:p>
        </w:tc>
        <w:tc>
          <w:tcPr>
            <w:tcW w:w="2410" w:type="dxa"/>
          </w:tcPr>
          <w:p w14:paraId="773BD075" w14:textId="77777777" w:rsidR="00067534" w:rsidRPr="00B83E1A" w:rsidRDefault="00067534" w:rsidP="004E65E7">
            <w:pPr>
              <w:spacing w:after="120"/>
              <w:rPr>
                <w:bCs/>
                <w:sz w:val="18"/>
                <w:szCs w:val="18"/>
                <w:lang w:val="es-ES"/>
              </w:rPr>
            </w:pPr>
            <w:r w:rsidRPr="00B83E1A">
              <w:rPr>
                <w:bCs/>
                <w:sz w:val="18"/>
                <w:szCs w:val="18"/>
                <w:lang w:val="es-ES"/>
              </w:rPr>
              <w:t>Aumento del número de Estados miembros que han formulado, aplicado y evaluado estrategias nacionales de P.I. en aras de la promoción de la innovación y la gestión de activos de P.I.</w:t>
            </w:r>
          </w:p>
        </w:tc>
        <w:tc>
          <w:tcPr>
            <w:tcW w:w="3101" w:type="dxa"/>
            <w:gridSpan w:val="2"/>
          </w:tcPr>
          <w:p w14:paraId="4CB901ED" w14:textId="0DBC6A16" w:rsidR="00067534" w:rsidRPr="00B83E1A" w:rsidRDefault="00067534" w:rsidP="004E65E7">
            <w:pPr>
              <w:spacing w:after="120"/>
              <w:rPr>
                <w:sz w:val="18"/>
                <w:szCs w:val="18"/>
                <w:lang w:val="es-ES"/>
              </w:rPr>
            </w:pPr>
            <w:r w:rsidRPr="00B83E1A">
              <w:rPr>
                <w:bCs/>
                <w:sz w:val="18"/>
                <w:szCs w:val="18"/>
                <w:lang w:val="es-ES"/>
              </w:rPr>
              <w:t xml:space="preserve">En 2010-2011, siete países (Argelia, el Camerún, Mauricio, Nigeria, Omán y el Pakistán) aplicaron o estaban en vías de aplicar estrategias nacionales de P.I. nacional en aras de promover la innovación y la gestión de los activos de P.I. tras el asesoramiento dados por la OMPI conforme al instrumento Guía de Evaluación de la P.I.  (publicación </w:t>
            </w:r>
            <w:r w:rsidR="009A700A" w:rsidRPr="00B83E1A">
              <w:rPr>
                <w:bCs/>
                <w:sz w:val="18"/>
                <w:szCs w:val="18"/>
                <w:lang w:val="es-ES"/>
              </w:rPr>
              <w:t>Nº </w:t>
            </w:r>
            <w:r w:rsidRPr="00B83E1A">
              <w:rPr>
                <w:bCs/>
                <w:sz w:val="18"/>
                <w:szCs w:val="18"/>
                <w:lang w:val="es-ES"/>
              </w:rPr>
              <w:t>927).</w:t>
            </w:r>
          </w:p>
        </w:tc>
      </w:tr>
      <w:tr w:rsidR="00067534" w:rsidRPr="00B83E1A" w14:paraId="465D3647" w14:textId="77777777" w:rsidTr="004E65E7">
        <w:trPr>
          <w:trHeight w:val="195"/>
          <w:jc w:val="center"/>
        </w:trPr>
        <w:tc>
          <w:tcPr>
            <w:tcW w:w="1713" w:type="dxa"/>
            <w:vMerge/>
          </w:tcPr>
          <w:p w14:paraId="3ED6B519" w14:textId="77777777" w:rsidR="00067534" w:rsidRPr="00B83E1A" w:rsidRDefault="00067534" w:rsidP="004E65E7">
            <w:pPr>
              <w:rPr>
                <w:b/>
                <w:bCs/>
                <w:sz w:val="18"/>
                <w:szCs w:val="18"/>
                <w:lang w:val="es-ES"/>
              </w:rPr>
            </w:pPr>
          </w:p>
        </w:tc>
        <w:tc>
          <w:tcPr>
            <w:tcW w:w="2409" w:type="dxa"/>
            <w:vMerge/>
          </w:tcPr>
          <w:p w14:paraId="4DEE4B89" w14:textId="77777777" w:rsidR="00067534" w:rsidRPr="00B83E1A" w:rsidRDefault="00067534" w:rsidP="004E65E7">
            <w:pPr>
              <w:rPr>
                <w:b/>
                <w:bCs/>
                <w:sz w:val="18"/>
                <w:szCs w:val="18"/>
                <w:lang w:val="es-ES"/>
              </w:rPr>
            </w:pPr>
          </w:p>
        </w:tc>
        <w:tc>
          <w:tcPr>
            <w:tcW w:w="2410" w:type="dxa"/>
          </w:tcPr>
          <w:p w14:paraId="49D49D3D" w14:textId="34E5251A" w:rsidR="00067534" w:rsidRPr="00B83E1A" w:rsidRDefault="00067534" w:rsidP="004E65E7">
            <w:pPr>
              <w:spacing w:after="120"/>
              <w:rPr>
                <w:bCs/>
                <w:sz w:val="18"/>
                <w:szCs w:val="18"/>
                <w:lang w:val="es-ES"/>
              </w:rPr>
            </w:pPr>
            <w:r w:rsidRPr="00B83E1A">
              <w:rPr>
                <w:bCs/>
                <w:sz w:val="18"/>
                <w:szCs w:val="18"/>
                <w:lang w:val="es-ES"/>
              </w:rPr>
              <w:t xml:space="preserve">Aumento en el número de instituciones de I+D, universidades y demás partícipes del sistema de innovación que, en </w:t>
            </w:r>
            <w:r w:rsidR="00B83E1A" w:rsidRPr="00B83E1A">
              <w:rPr>
                <w:bCs/>
                <w:sz w:val="18"/>
                <w:szCs w:val="18"/>
                <w:lang w:val="es-ES"/>
              </w:rPr>
              <w:t>los</w:t>
            </w:r>
            <w:r w:rsidRPr="00B83E1A">
              <w:rPr>
                <w:bCs/>
                <w:sz w:val="18"/>
                <w:szCs w:val="18"/>
                <w:lang w:val="es-ES"/>
              </w:rPr>
              <w:t xml:space="preserve"> Estados miembros, han adquirido y aplicado conocimientos prácticos y aptitudes en las esfera del fomento de los activos de P.I., su gestión y transferencia</w:t>
            </w:r>
          </w:p>
        </w:tc>
        <w:tc>
          <w:tcPr>
            <w:tcW w:w="3101" w:type="dxa"/>
            <w:gridSpan w:val="2"/>
          </w:tcPr>
          <w:p w14:paraId="7CA0F829" w14:textId="15503C10" w:rsidR="00067534" w:rsidRPr="00B83E1A" w:rsidRDefault="00067534" w:rsidP="004E65E7">
            <w:pPr>
              <w:spacing w:after="120"/>
              <w:rPr>
                <w:sz w:val="18"/>
                <w:szCs w:val="18"/>
                <w:lang w:val="es-ES"/>
              </w:rPr>
            </w:pPr>
            <w:r w:rsidRPr="00B83E1A">
              <w:rPr>
                <w:bCs/>
                <w:sz w:val="18"/>
                <w:szCs w:val="18"/>
                <w:lang w:val="es-ES"/>
              </w:rPr>
              <w:t>En 2010-2011, más de 1.080 coordinadores de P.I., administradores de tecnologías, científicos, investigadores y encargados de la formulación de políticas se beneficiaron del programa Iniciativa Universitaria de la OMPI y la OMPI prestó asistencia a más de 31 instituciones de investigación durante el proceso de establecer sus unidades de gestión de P.I. y/o sus Oficinas de transferencia de tecnología (TTO)</w:t>
            </w:r>
            <w:r w:rsidR="009A700A" w:rsidRPr="00B83E1A">
              <w:rPr>
                <w:bCs/>
                <w:sz w:val="18"/>
                <w:szCs w:val="18"/>
                <w:lang w:val="es-ES"/>
              </w:rPr>
              <w:t>.  S</w:t>
            </w:r>
            <w:r w:rsidRPr="00B83E1A">
              <w:rPr>
                <w:bCs/>
                <w:sz w:val="18"/>
                <w:szCs w:val="18"/>
                <w:lang w:val="es-ES"/>
              </w:rPr>
              <w:t>e creó una Oficina de transferencia de tecnología (Mauricio).</w:t>
            </w:r>
          </w:p>
        </w:tc>
      </w:tr>
      <w:tr w:rsidR="00067534" w:rsidRPr="00B83E1A" w14:paraId="1FE7E4E1" w14:textId="77777777" w:rsidTr="004E65E7">
        <w:trPr>
          <w:trHeight w:val="195"/>
          <w:jc w:val="center"/>
        </w:trPr>
        <w:tc>
          <w:tcPr>
            <w:tcW w:w="1713" w:type="dxa"/>
            <w:vMerge/>
          </w:tcPr>
          <w:p w14:paraId="00F82587" w14:textId="77777777" w:rsidR="00067534" w:rsidRPr="00B83E1A" w:rsidRDefault="00067534" w:rsidP="004E65E7">
            <w:pPr>
              <w:rPr>
                <w:b/>
                <w:bCs/>
                <w:sz w:val="18"/>
                <w:szCs w:val="18"/>
                <w:lang w:val="es-ES"/>
              </w:rPr>
            </w:pPr>
          </w:p>
        </w:tc>
        <w:tc>
          <w:tcPr>
            <w:tcW w:w="2409" w:type="dxa"/>
            <w:vMerge/>
          </w:tcPr>
          <w:p w14:paraId="4AC45674" w14:textId="77777777" w:rsidR="00067534" w:rsidRPr="00B83E1A" w:rsidRDefault="00067534" w:rsidP="004E65E7">
            <w:pPr>
              <w:rPr>
                <w:b/>
                <w:bCs/>
                <w:sz w:val="18"/>
                <w:szCs w:val="18"/>
                <w:lang w:val="es-ES"/>
              </w:rPr>
            </w:pPr>
          </w:p>
        </w:tc>
        <w:tc>
          <w:tcPr>
            <w:tcW w:w="2410" w:type="dxa"/>
          </w:tcPr>
          <w:p w14:paraId="6A8F56D6" w14:textId="77777777" w:rsidR="00067534" w:rsidRPr="00B83E1A" w:rsidRDefault="00067534" w:rsidP="004E65E7">
            <w:pPr>
              <w:keepNext/>
              <w:keepLines/>
              <w:spacing w:after="120"/>
              <w:rPr>
                <w:bCs/>
                <w:sz w:val="18"/>
                <w:szCs w:val="18"/>
                <w:lang w:val="es-ES"/>
              </w:rPr>
            </w:pPr>
            <w:r w:rsidRPr="00B83E1A">
              <w:rPr>
                <w:bCs/>
                <w:sz w:val="18"/>
                <w:szCs w:val="18"/>
                <w:lang w:val="es-ES"/>
              </w:rPr>
              <w:t>Aumento en el número de usuarios, por grupos de destinatarios, de los instrumentos prácticos, los modelos, el material y la información sobre esferas relacionadas con la gestión de los activos de P.I. elaborados por la OMPI para los responsables de la formulación de políticas, las instituciones de I+D y otros partícipes del sistema de innovación</w:t>
            </w:r>
          </w:p>
          <w:p w14:paraId="3C89DBE4" w14:textId="77777777" w:rsidR="0064104C" w:rsidRPr="00B83E1A" w:rsidRDefault="0064104C" w:rsidP="004E65E7">
            <w:pPr>
              <w:keepNext/>
              <w:keepLines/>
              <w:spacing w:after="120"/>
              <w:rPr>
                <w:bCs/>
                <w:sz w:val="18"/>
                <w:szCs w:val="18"/>
                <w:lang w:val="es-ES"/>
              </w:rPr>
            </w:pPr>
          </w:p>
          <w:p w14:paraId="693572A3" w14:textId="77777777" w:rsidR="000F1837" w:rsidRPr="00B83E1A" w:rsidRDefault="000F1837" w:rsidP="004E65E7">
            <w:pPr>
              <w:keepNext/>
              <w:keepLines/>
              <w:spacing w:after="120"/>
              <w:rPr>
                <w:bCs/>
                <w:sz w:val="18"/>
                <w:szCs w:val="18"/>
                <w:lang w:val="es-ES"/>
              </w:rPr>
            </w:pPr>
          </w:p>
        </w:tc>
        <w:tc>
          <w:tcPr>
            <w:tcW w:w="3101" w:type="dxa"/>
            <w:gridSpan w:val="2"/>
          </w:tcPr>
          <w:p w14:paraId="427BBBFE" w14:textId="77777777" w:rsidR="00067534" w:rsidRPr="00B83E1A" w:rsidRDefault="00067534" w:rsidP="004E65E7">
            <w:pPr>
              <w:rPr>
                <w:sz w:val="18"/>
                <w:szCs w:val="18"/>
                <w:lang w:val="es-ES"/>
              </w:rPr>
            </w:pPr>
            <w:r w:rsidRPr="00B83E1A">
              <w:rPr>
                <w:bCs/>
                <w:sz w:val="18"/>
                <w:szCs w:val="18"/>
                <w:lang w:val="es-ES"/>
              </w:rPr>
              <w:t>En 2010-2011, unos 800 investigadores, administradores de tecnología, científicos y abogados adquirieron conocimientos prácticos en el campo de la redacción de patentes, y más de 520 participantes asistieron al programa de formación "Negociación de licencias tecnológicas (STL)".</w:t>
            </w:r>
          </w:p>
        </w:tc>
      </w:tr>
      <w:tr w:rsidR="00067534" w:rsidRPr="00B83E1A" w14:paraId="6C075100" w14:textId="77777777" w:rsidTr="004E65E7">
        <w:trPr>
          <w:trHeight w:val="195"/>
          <w:jc w:val="center"/>
        </w:trPr>
        <w:tc>
          <w:tcPr>
            <w:tcW w:w="9633" w:type="dxa"/>
            <w:gridSpan w:val="5"/>
            <w:shd w:val="clear" w:color="auto" w:fill="C4BC96" w:themeFill="background2" w:themeFillShade="BF"/>
          </w:tcPr>
          <w:p w14:paraId="1E444AE8" w14:textId="59183D63" w:rsidR="00067534" w:rsidRPr="00B83E1A" w:rsidRDefault="00067534" w:rsidP="004E65E7">
            <w:pPr>
              <w:rPr>
                <w:b/>
                <w:bCs/>
                <w:sz w:val="18"/>
                <w:szCs w:val="18"/>
                <w:lang w:val="es-ES"/>
              </w:rPr>
            </w:pPr>
            <w:r w:rsidRPr="00B83E1A">
              <w:rPr>
                <w:b/>
                <w:bCs/>
                <w:sz w:val="18"/>
                <w:szCs w:val="18"/>
                <w:lang w:val="es-ES"/>
              </w:rPr>
              <w:lastRenderedPageBreak/>
              <w:t>ODM - Objetiv</w:t>
            </w:r>
            <w:r w:rsidR="009A700A" w:rsidRPr="00B83E1A">
              <w:rPr>
                <w:b/>
                <w:bCs/>
                <w:sz w:val="18"/>
                <w:szCs w:val="18"/>
                <w:lang w:val="es-ES"/>
              </w:rPr>
              <w:t>o 8</w:t>
            </w:r>
            <w:r w:rsidRPr="00B83E1A">
              <w:rPr>
                <w:b/>
                <w:bCs/>
                <w:sz w:val="18"/>
                <w:szCs w:val="18"/>
                <w:lang w:val="es-ES"/>
              </w:rPr>
              <w:t>:  Fomentar una asociación mundial para el desarrollo</w:t>
            </w:r>
          </w:p>
          <w:p w14:paraId="3CFA5E7A" w14:textId="77777777" w:rsidR="00067534" w:rsidRPr="00B83E1A" w:rsidRDefault="00067534" w:rsidP="004E65E7">
            <w:pPr>
              <w:rPr>
                <w:sz w:val="18"/>
                <w:szCs w:val="18"/>
                <w:lang w:val="es-ES"/>
              </w:rPr>
            </w:pPr>
          </w:p>
        </w:tc>
      </w:tr>
      <w:tr w:rsidR="00067534" w:rsidRPr="00B83E1A" w14:paraId="0DA9A468" w14:textId="77777777" w:rsidTr="0064104C">
        <w:trPr>
          <w:trHeight w:val="699"/>
          <w:jc w:val="center"/>
        </w:trPr>
        <w:tc>
          <w:tcPr>
            <w:tcW w:w="9633" w:type="dxa"/>
            <w:gridSpan w:val="5"/>
            <w:shd w:val="clear" w:color="auto" w:fill="DDD9C3" w:themeFill="background2" w:themeFillShade="E6"/>
          </w:tcPr>
          <w:p w14:paraId="7FDE4929" w14:textId="0959A4B8" w:rsidR="00067534" w:rsidRPr="00B83E1A" w:rsidRDefault="00067534" w:rsidP="0064104C">
            <w:pPr>
              <w:rPr>
                <w:b/>
                <w:sz w:val="18"/>
                <w:szCs w:val="18"/>
                <w:lang w:val="es-ES"/>
              </w:rPr>
            </w:pPr>
            <w:r w:rsidRPr="00B83E1A">
              <w:rPr>
                <w:b/>
                <w:sz w:val="18"/>
                <w:szCs w:val="18"/>
                <w:lang w:val="es-ES"/>
              </w:rPr>
              <w:t>Met</w:t>
            </w:r>
            <w:r w:rsidR="009A700A" w:rsidRPr="00B83E1A">
              <w:rPr>
                <w:b/>
                <w:sz w:val="18"/>
                <w:szCs w:val="18"/>
                <w:lang w:val="es-ES"/>
              </w:rPr>
              <w:t>a 8</w:t>
            </w:r>
            <w:r w:rsidRPr="00B83E1A">
              <w:rPr>
                <w:b/>
                <w:sz w:val="18"/>
                <w:szCs w:val="18"/>
                <w:lang w:val="es-ES"/>
              </w:rPr>
              <w:t>.E:  En cooperación con las empresas farmacéuticas, proporcionar acceso a los medicamentos esenciales en los países en desarrollo</w:t>
            </w:r>
          </w:p>
        </w:tc>
      </w:tr>
      <w:tr w:rsidR="00067534" w:rsidRPr="00B83E1A" w14:paraId="1A9EA494" w14:textId="77777777" w:rsidTr="004E65E7">
        <w:trPr>
          <w:trHeight w:val="195"/>
          <w:jc w:val="center"/>
        </w:trPr>
        <w:tc>
          <w:tcPr>
            <w:tcW w:w="1713" w:type="dxa"/>
            <w:shd w:val="clear" w:color="auto" w:fill="C6D9F1" w:themeFill="text2" w:themeFillTint="33"/>
            <w:vAlign w:val="center"/>
          </w:tcPr>
          <w:p w14:paraId="4014DCA8" w14:textId="77777777" w:rsidR="00067534" w:rsidRPr="00B83E1A" w:rsidRDefault="00067534" w:rsidP="004E65E7">
            <w:pPr>
              <w:spacing w:after="120"/>
              <w:rPr>
                <w:b/>
                <w:bCs/>
                <w:sz w:val="18"/>
                <w:szCs w:val="18"/>
                <w:lang w:val="es-ES"/>
              </w:rPr>
            </w:pPr>
            <w:r w:rsidRPr="00B83E1A">
              <w:rPr>
                <w:b/>
                <w:bCs/>
                <w:sz w:val="18"/>
                <w:szCs w:val="18"/>
                <w:lang w:val="es-ES"/>
              </w:rPr>
              <w:t>Meta estratégica de la OMPI</w:t>
            </w:r>
          </w:p>
        </w:tc>
        <w:tc>
          <w:tcPr>
            <w:tcW w:w="2409" w:type="dxa"/>
            <w:shd w:val="clear" w:color="auto" w:fill="C6D9F1" w:themeFill="text2" w:themeFillTint="33"/>
            <w:vAlign w:val="center"/>
          </w:tcPr>
          <w:p w14:paraId="7B61FFAE" w14:textId="77777777" w:rsidR="00067534" w:rsidRPr="00B83E1A" w:rsidRDefault="00067534" w:rsidP="004E65E7">
            <w:pPr>
              <w:rPr>
                <w:b/>
                <w:bCs/>
                <w:sz w:val="18"/>
                <w:szCs w:val="18"/>
                <w:lang w:val="es-ES"/>
              </w:rPr>
            </w:pPr>
            <w:r w:rsidRPr="00B83E1A">
              <w:rPr>
                <w:b/>
                <w:bCs/>
                <w:sz w:val="18"/>
                <w:szCs w:val="18"/>
                <w:lang w:val="es-ES"/>
              </w:rPr>
              <w:t>Resultado previsto de la OMPI pertinente - 2010/11</w:t>
            </w:r>
          </w:p>
        </w:tc>
        <w:tc>
          <w:tcPr>
            <w:tcW w:w="2410" w:type="dxa"/>
            <w:shd w:val="clear" w:color="auto" w:fill="C6D9F1" w:themeFill="text2" w:themeFillTint="33"/>
            <w:vAlign w:val="center"/>
          </w:tcPr>
          <w:p w14:paraId="799AB091" w14:textId="77777777" w:rsidR="00067534" w:rsidRPr="00B83E1A" w:rsidRDefault="00067534" w:rsidP="004E65E7">
            <w:pPr>
              <w:rPr>
                <w:b/>
                <w:bCs/>
                <w:sz w:val="18"/>
                <w:szCs w:val="18"/>
                <w:lang w:val="es-ES"/>
              </w:rPr>
            </w:pPr>
            <w:r w:rsidRPr="00B83E1A">
              <w:rPr>
                <w:b/>
                <w:bCs/>
                <w:sz w:val="18"/>
                <w:szCs w:val="18"/>
                <w:lang w:val="es-ES"/>
              </w:rPr>
              <w:t>Indicadores de rendimiento</w:t>
            </w:r>
          </w:p>
        </w:tc>
        <w:tc>
          <w:tcPr>
            <w:tcW w:w="3101" w:type="dxa"/>
            <w:gridSpan w:val="2"/>
            <w:shd w:val="clear" w:color="auto" w:fill="C6D9F1" w:themeFill="text2" w:themeFillTint="33"/>
            <w:vAlign w:val="center"/>
          </w:tcPr>
          <w:p w14:paraId="3E749C58" w14:textId="77777777" w:rsidR="00067534" w:rsidRPr="00B83E1A" w:rsidRDefault="00067534" w:rsidP="004E65E7">
            <w:pPr>
              <w:rPr>
                <w:sz w:val="18"/>
                <w:szCs w:val="18"/>
                <w:lang w:val="es-ES"/>
              </w:rPr>
            </w:pPr>
            <w:r w:rsidRPr="00B83E1A">
              <w:rPr>
                <w:b/>
                <w:bCs/>
                <w:sz w:val="18"/>
                <w:szCs w:val="18"/>
                <w:lang w:val="es-ES"/>
              </w:rPr>
              <w:t>Datos sobre el rendimiento</w:t>
            </w:r>
          </w:p>
        </w:tc>
      </w:tr>
      <w:tr w:rsidR="00067534" w:rsidRPr="00B83E1A" w14:paraId="7B0E9E4F" w14:textId="77777777" w:rsidTr="004E65E7">
        <w:trPr>
          <w:trHeight w:val="195"/>
          <w:jc w:val="center"/>
        </w:trPr>
        <w:tc>
          <w:tcPr>
            <w:tcW w:w="1713" w:type="dxa"/>
            <w:vMerge w:val="restart"/>
          </w:tcPr>
          <w:p w14:paraId="531C759D" w14:textId="77777777" w:rsidR="00067534" w:rsidRPr="00B83E1A" w:rsidRDefault="00067534" w:rsidP="004E65E7">
            <w:pPr>
              <w:rPr>
                <w:i/>
                <w:sz w:val="18"/>
                <w:szCs w:val="18"/>
                <w:lang w:val="es-ES"/>
              </w:rPr>
            </w:pPr>
            <w:r w:rsidRPr="00B83E1A">
              <w:rPr>
                <w:i/>
                <w:sz w:val="18"/>
                <w:szCs w:val="18"/>
                <w:lang w:val="es-ES"/>
              </w:rPr>
              <w:t>Meta estratégica III:  Facilitar el uso de la P.I. en aras del desarrollo</w:t>
            </w:r>
          </w:p>
          <w:p w14:paraId="05D8FC8D" w14:textId="77777777" w:rsidR="00067534" w:rsidRPr="00B83E1A" w:rsidRDefault="00067534" w:rsidP="004E65E7">
            <w:pPr>
              <w:rPr>
                <w:b/>
                <w:bCs/>
                <w:sz w:val="18"/>
                <w:szCs w:val="18"/>
                <w:lang w:val="es-ES"/>
              </w:rPr>
            </w:pPr>
          </w:p>
        </w:tc>
        <w:tc>
          <w:tcPr>
            <w:tcW w:w="2409" w:type="dxa"/>
            <w:vMerge w:val="restart"/>
          </w:tcPr>
          <w:p w14:paraId="705D7201" w14:textId="77777777" w:rsidR="00067534" w:rsidRPr="00B83E1A" w:rsidRDefault="00067534" w:rsidP="004E65E7">
            <w:pPr>
              <w:rPr>
                <w:b/>
                <w:bCs/>
                <w:sz w:val="18"/>
                <w:szCs w:val="18"/>
                <w:lang w:val="es-ES"/>
              </w:rPr>
            </w:pPr>
            <w:r w:rsidRPr="00B83E1A">
              <w:rPr>
                <w:sz w:val="18"/>
                <w:szCs w:val="18"/>
                <w:lang w:val="es-ES"/>
              </w:rPr>
              <w:t>Resultado i) Políticas y estrategias nacionales de P.I. y planes de acción por país que estén en concordancia con los planes y prioridades de desarrollo.</w:t>
            </w:r>
          </w:p>
        </w:tc>
        <w:tc>
          <w:tcPr>
            <w:tcW w:w="2410" w:type="dxa"/>
          </w:tcPr>
          <w:p w14:paraId="4BEB86D3" w14:textId="77777777" w:rsidR="00067534" w:rsidRPr="00B83E1A" w:rsidRDefault="00067534" w:rsidP="004E65E7">
            <w:pPr>
              <w:rPr>
                <w:sz w:val="18"/>
                <w:szCs w:val="18"/>
                <w:lang w:val="es-ES"/>
              </w:rPr>
            </w:pPr>
            <w:r w:rsidRPr="00B83E1A">
              <w:rPr>
                <w:sz w:val="18"/>
                <w:szCs w:val="18"/>
                <w:lang w:val="es-ES"/>
              </w:rPr>
              <w:t>Hasta cinco países han iniciado el proceso de formulación de políticas y estrategias de P.I., cuatro países han adoptado políticas y estrategias de P.I. y tres países están ejecutando planes nacionales de P.I.</w:t>
            </w:r>
          </w:p>
        </w:tc>
        <w:tc>
          <w:tcPr>
            <w:tcW w:w="3101" w:type="dxa"/>
            <w:gridSpan w:val="2"/>
          </w:tcPr>
          <w:p w14:paraId="25A02D3D" w14:textId="77777777" w:rsidR="00067534" w:rsidRPr="00B83E1A" w:rsidRDefault="00067534" w:rsidP="004E65E7">
            <w:pPr>
              <w:rPr>
                <w:bCs/>
                <w:sz w:val="18"/>
                <w:szCs w:val="18"/>
                <w:lang w:val="es-ES"/>
              </w:rPr>
            </w:pPr>
            <w:r w:rsidRPr="00B83E1A">
              <w:rPr>
                <w:bCs/>
                <w:sz w:val="18"/>
                <w:szCs w:val="18"/>
                <w:u w:val="single"/>
                <w:lang w:val="es-ES"/>
              </w:rPr>
              <w:t>Se inició el proceso de formulación de políticas/estrategias de P.I. en:</w:t>
            </w:r>
            <w:r w:rsidRPr="00B83E1A">
              <w:rPr>
                <w:bCs/>
                <w:sz w:val="18"/>
                <w:szCs w:val="18"/>
                <w:lang w:val="es-ES"/>
              </w:rPr>
              <w:t xml:space="preserve">  Botswana, Burundi, el Camerún, el Congo, Ghana, Lesotho, Malí, Nigeria, la República Centroafricana, la República Democrática del Congo, Tanzanía, el Togo y Sierra Leona (13 países).</w:t>
            </w:r>
          </w:p>
          <w:p w14:paraId="0CF435CF" w14:textId="77777777" w:rsidR="00067534" w:rsidRPr="00B83E1A" w:rsidRDefault="00067534" w:rsidP="004E65E7">
            <w:pPr>
              <w:rPr>
                <w:bCs/>
                <w:sz w:val="18"/>
                <w:szCs w:val="18"/>
                <w:lang w:val="es-ES"/>
              </w:rPr>
            </w:pPr>
            <w:r w:rsidRPr="00B83E1A">
              <w:rPr>
                <w:bCs/>
                <w:sz w:val="18"/>
                <w:szCs w:val="18"/>
                <w:u w:val="single"/>
                <w:lang w:val="es-ES"/>
              </w:rPr>
              <w:t>Se aprobaron políticas/estrategias de P.I. en:</w:t>
            </w:r>
            <w:r w:rsidRPr="00B83E1A">
              <w:rPr>
                <w:bCs/>
                <w:sz w:val="18"/>
                <w:szCs w:val="18"/>
                <w:lang w:val="es-ES"/>
              </w:rPr>
              <w:t xml:space="preserve"> </w:t>
            </w:r>
            <w:r w:rsidRPr="00B83E1A">
              <w:rPr>
                <w:bCs/>
                <w:sz w:val="18"/>
                <w:szCs w:val="18"/>
                <w:u w:val="single"/>
                <w:lang w:val="es-ES"/>
              </w:rPr>
              <w:t xml:space="preserve"> </w:t>
            </w:r>
            <w:r w:rsidRPr="00B83E1A">
              <w:rPr>
                <w:bCs/>
                <w:sz w:val="18"/>
                <w:szCs w:val="18"/>
                <w:lang w:val="es-ES"/>
              </w:rPr>
              <w:t>Mauricio, Rwanda, el Senegal y Seychelles (4 países).</w:t>
            </w:r>
          </w:p>
          <w:p w14:paraId="0FC105F7" w14:textId="77777777" w:rsidR="00067534" w:rsidRPr="00B83E1A" w:rsidRDefault="00067534" w:rsidP="004E65E7">
            <w:pPr>
              <w:spacing w:after="120"/>
              <w:rPr>
                <w:sz w:val="18"/>
                <w:szCs w:val="18"/>
                <w:lang w:val="es-ES"/>
              </w:rPr>
            </w:pPr>
            <w:r w:rsidRPr="00B83E1A">
              <w:rPr>
                <w:bCs/>
                <w:sz w:val="18"/>
                <w:szCs w:val="18"/>
                <w:u w:val="single"/>
                <w:lang w:val="es-ES"/>
              </w:rPr>
              <w:t xml:space="preserve">Se están aplicando políticas/estrategias de P.I. en </w:t>
            </w:r>
            <w:r w:rsidRPr="00B83E1A">
              <w:rPr>
                <w:bCs/>
                <w:sz w:val="18"/>
                <w:szCs w:val="18"/>
                <w:lang w:val="es-ES"/>
              </w:rPr>
              <w:t>Liberia, Mauricio, Rwanda, el Senegal, Seychelles y Zambia (6 países).</w:t>
            </w:r>
          </w:p>
        </w:tc>
      </w:tr>
      <w:tr w:rsidR="00067534" w:rsidRPr="00B83E1A" w14:paraId="5E46CD90" w14:textId="77777777" w:rsidTr="004E65E7">
        <w:trPr>
          <w:trHeight w:val="195"/>
          <w:jc w:val="center"/>
        </w:trPr>
        <w:tc>
          <w:tcPr>
            <w:tcW w:w="1713" w:type="dxa"/>
            <w:vMerge/>
          </w:tcPr>
          <w:p w14:paraId="7ADC24C5" w14:textId="77777777" w:rsidR="00067534" w:rsidRPr="00B83E1A" w:rsidRDefault="00067534" w:rsidP="004E65E7">
            <w:pPr>
              <w:rPr>
                <w:b/>
                <w:bCs/>
                <w:sz w:val="18"/>
                <w:szCs w:val="18"/>
                <w:lang w:val="es-ES"/>
              </w:rPr>
            </w:pPr>
          </w:p>
        </w:tc>
        <w:tc>
          <w:tcPr>
            <w:tcW w:w="2409" w:type="dxa"/>
            <w:vMerge/>
          </w:tcPr>
          <w:p w14:paraId="6A7BA54E" w14:textId="77777777" w:rsidR="00067534" w:rsidRPr="00B83E1A" w:rsidRDefault="00067534" w:rsidP="004E65E7">
            <w:pPr>
              <w:rPr>
                <w:b/>
                <w:bCs/>
                <w:sz w:val="18"/>
                <w:szCs w:val="18"/>
                <w:lang w:val="es-ES"/>
              </w:rPr>
            </w:pPr>
          </w:p>
        </w:tc>
        <w:tc>
          <w:tcPr>
            <w:tcW w:w="2410" w:type="dxa"/>
          </w:tcPr>
          <w:p w14:paraId="24819866" w14:textId="77777777" w:rsidR="00067534" w:rsidRPr="00B83E1A" w:rsidRDefault="00067534" w:rsidP="004E65E7">
            <w:pPr>
              <w:rPr>
                <w:sz w:val="18"/>
                <w:szCs w:val="18"/>
                <w:lang w:val="es-ES"/>
              </w:rPr>
            </w:pPr>
            <w:r w:rsidRPr="00B83E1A">
              <w:rPr>
                <w:sz w:val="18"/>
                <w:szCs w:val="18"/>
                <w:lang w:val="es-ES"/>
              </w:rPr>
              <w:t>Dos planes de acción para respaldar las políticas/estrategias regionales en el ámbito de los conocimientos tradicionales y las expresiones culturales tradicionales en el marco de la OAPI y la ARIPO.</w:t>
            </w:r>
          </w:p>
        </w:tc>
        <w:tc>
          <w:tcPr>
            <w:tcW w:w="3101" w:type="dxa"/>
            <w:gridSpan w:val="2"/>
          </w:tcPr>
          <w:p w14:paraId="1AC04C96" w14:textId="77777777" w:rsidR="00067534" w:rsidRPr="00B83E1A" w:rsidRDefault="00067534" w:rsidP="004E65E7">
            <w:pPr>
              <w:spacing w:after="120"/>
              <w:rPr>
                <w:sz w:val="18"/>
                <w:szCs w:val="18"/>
                <w:lang w:val="es-ES"/>
              </w:rPr>
            </w:pPr>
            <w:r w:rsidRPr="00B83E1A">
              <w:rPr>
                <w:sz w:val="18"/>
                <w:szCs w:val="18"/>
                <w:lang w:val="es-ES"/>
              </w:rPr>
              <w:t xml:space="preserve">Se aprobó el protocolo de la ARIPO sobre conocimientos tradicionales y expresiones del folklore y un plan de trabajo para la aplicación del protocolo;  la aplicación se inició en 2011 con la formación de los altos funcionarios para facilitar la promulgación de legislación nacional. </w:t>
            </w:r>
          </w:p>
        </w:tc>
      </w:tr>
      <w:tr w:rsidR="00067534" w:rsidRPr="00B83E1A" w14:paraId="72F39B1B" w14:textId="77777777" w:rsidTr="004E65E7">
        <w:trPr>
          <w:trHeight w:val="195"/>
          <w:jc w:val="center"/>
        </w:trPr>
        <w:tc>
          <w:tcPr>
            <w:tcW w:w="1713" w:type="dxa"/>
            <w:vMerge/>
          </w:tcPr>
          <w:p w14:paraId="5D48FA8E" w14:textId="77777777" w:rsidR="00067534" w:rsidRPr="00B83E1A" w:rsidRDefault="00067534" w:rsidP="004E65E7">
            <w:pPr>
              <w:rPr>
                <w:b/>
                <w:bCs/>
                <w:sz w:val="18"/>
                <w:szCs w:val="18"/>
                <w:lang w:val="es-ES"/>
              </w:rPr>
            </w:pPr>
          </w:p>
        </w:tc>
        <w:tc>
          <w:tcPr>
            <w:tcW w:w="2409" w:type="dxa"/>
            <w:vMerge/>
          </w:tcPr>
          <w:p w14:paraId="53C11358" w14:textId="77777777" w:rsidR="00067534" w:rsidRPr="00B83E1A" w:rsidRDefault="00067534" w:rsidP="004E65E7">
            <w:pPr>
              <w:rPr>
                <w:b/>
                <w:bCs/>
                <w:sz w:val="18"/>
                <w:szCs w:val="18"/>
                <w:lang w:val="es-ES"/>
              </w:rPr>
            </w:pPr>
          </w:p>
        </w:tc>
        <w:tc>
          <w:tcPr>
            <w:tcW w:w="2410" w:type="dxa"/>
          </w:tcPr>
          <w:p w14:paraId="310FF72E" w14:textId="77777777" w:rsidR="00067534" w:rsidRPr="00B83E1A" w:rsidRDefault="00067534" w:rsidP="004E65E7">
            <w:pPr>
              <w:rPr>
                <w:b/>
                <w:bCs/>
                <w:sz w:val="18"/>
                <w:szCs w:val="18"/>
                <w:lang w:val="es-ES"/>
              </w:rPr>
            </w:pPr>
            <w:r w:rsidRPr="00B83E1A">
              <w:rPr>
                <w:sz w:val="18"/>
                <w:szCs w:val="18"/>
                <w:lang w:val="es-ES"/>
              </w:rPr>
              <w:t xml:space="preserve">Nueve países más han formulado o adoptado políticas/estrategias/planes nacionales de P.I.  </w:t>
            </w:r>
          </w:p>
        </w:tc>
        <w:tc>
          <w:tcPr>
            <w:tcW w:w="3101" w:type="dxa"/>
            <w:gridSpan w:val="2"/>
          </w:tcPr>
          <w:p w14:paraId="4C8A5BE1" w14:textId="77777777" w:rsidR="00067534" w:rsidRPr="00B83E1A" w:rsidRDefault="00067534" w:rsidP="004E65E7">
            <w:pPr>
              <w:spacing w:after="120"/>
              <w:rPr>
                <w:sz w:val="18"/>
                <w:szCs w:val="18"/>
                <w:lang w:val="es-ES"/>
              </w:rPr>
            </w:pPr>
            <w:r w:rsidRPr="00B83E1A">
              <w:rPr>
                <w:sz w:val="18"/>
                <w:szCs w:val="18"/>
                <w:lang w:val="es-ES"/>
              </w:rPr>
              <w:t>Se aprobaron políticas/estrategias sobre P.I. en Fiji y Papua Nueva Guinea, y se formularon las de Bhután, Mongolia y Viet Nam.  Se elaboró un plan de acción en materia de P.I. para Maldivas.</w:t>
            </w:r>
          </w:p>
        </w:tc>
      </w:tr>
      <w:tr w:rsidR="00067534" w:rsidRPr="00B83E1A" w14:paraId="498F8A0D" w14:textId="77777777" w:rsidTr="00CA4023">
        <w:trPr>
          <w:trHeight w:val="2270"/>
          <w:jc w:val="center"/>
        </w:trPr>
        <w:tc>
          <w:tcPr>
            <w:tcW w:w="1713" w:type="dxa"/>
            <w:vMerge/>
          </w:tcPr>
          <w:p w14:paraId="069248E2" w14:textId="77777777" w:rsidR="00067534" w:rsidRPr="00B83E1A" w:rsidRDefault="00067534" w:rsidP="004E65E7">
            <w:pPr>
              <w:rPr>
                <w:b/>
                <w:bCs/>
                <w:sz w:val="18"/>
                <w:szCs w:val="18"/>
                <w:lang w:val="es-ES"/>
              </w:rPr>
            </w:pPr>
          </w:p>
        </w:tc>
        <w:tc>
          <w:tcPr>
            <w:tcW w:w="2409" w:type="dxa"/>
          </w:tcPr>
          <w:p w14:paraId="3502B322" w14:textId="77777777" w:rsidR="00067534" w:rsidRPr="00B83E1A" w:rsidRDefault="00067534" w:rsidP="004E65E7">
            <w:pPr>
              <w:rPr>
                <w:b/>
                <w:bCs/>
                <w:sz w:val="18"/>
                <w:szCs w:val="18"/>
                <w:lang w:val="es-ES"/>
              </w:rPr>
            </w:pPr>
            <w:r w:rsidRPr="00B83E1A">
              <w:rPr>
                <w:sz w:val="18"/>
                <w:szCs w:val="18"/>
                <w:lang w:val="es-ES"/>
              </w:rPr>
              <w:t>Resultado ii) Legislación nacional sobre P.I. que esté en concordancia con los objetivos de desarrollo nacionales, así como con los tratados y acuerdos internacionales sobre P.I., según el caso, teniendo en cuenta las flexibilidades previstas.</w:t>
            </w:r>
          </w:p>
        </w:tc>
        <w:tc>
          <w:tcPr>
            <w:tcW w:w="2410" w:type="dxa"/>
          </w:tcPr>
          <w:p w14:paraId="439EFF8F" w14:textId="77777777" w:rsidR="00067534" w:rsidRPr="00B83E1A" w:rsidRDefault="00067534" w:rsidP="004E65E7">
            <w:pPr>
              <w:rPr>
                <w:b/>
                <w:bCs/>
                <w:sz w:val="18"/>
                <w:szCs w:val="18"/>
                <w:lang w:val="es-ES"/>
              </w:rPr>
            </w:pPr>
            <w:r w:rsidRPr="00B83E1A">
              <w:rPr>
                <w:sz w:val="18"/>
                <w:szCs w:val="18"/>
                <w:lang w:val="es-ES"/>
              </w:rPr>
              <w:t xml:space="preserve">Proyectos de ley o comentarios sobre proyectos de ley preparados 0 presentados a cinco países, según lo soliciten. </w:t>
            </w:r>
          </w:p>
        </w:tc>
        <w:tc>
          <w:tcPr>
            <w:tcW w:w="3101" w:type="dxa"/>
            <w:gridSpan w:val="2"/>
          </w:tcPr>
          <w:p w14:paraId="45BEF37B" w14:textId="77777777" w:rsidR="00067534" w:rsidRPr="00B83E1A" w:rsidRDefault="00067534" w:rsidP="004E65E7">
            <w:pPr>
              <w:rPr>
                <w:sz w:val="18"/>
                <w:szCs w:val="18"/>
                <w:lang w:val="es-ES"/>
              </w:rPr>
            </w:pPr>
            <w:r w:rsidRPr="00B83E1A">
              <w:rPr>
                <w:sz w:val="18"/>
                <w:szCs w:val="18"/>
                <w:lang w:val="es-ES"/>
              </w:rPr>
              <w:t>Se facilitó asesoramiento jurídico por escrito y se formularon observaciones para 11 países:  Bangladesh, Bhután, Camboya, las Islas Cook, Indonesia, Malasia, Maldivas, Mongolia, el Pakistán, Tailandia y Sri Lanka.</w:t>
            </w:r>
          </w:p>
        </w:tc>
      </w:tr>
      <w:tr w:rsidR="00067534" w:rsidRPr="00B83E1A" w14:paraId="3F28210E" w14:textId="77777777" w:rsidTr="004E65E7">
        <w:trPr>
          <w:trHeight w:val="195"/>
          <w:jc w:val="center"/>
        </w:trPr>
        <w:tc>
          <w:tcPr>
            <w:tcW w:w="1713" w:type="dxa"/>
          </w:tcPr>
          <w:p w14:paraId="22B002CB" w14:textId="77777777" w:rsidR="00067534" w:rsidRPr="00B83E1A" w:rsidRDefault="00067534" w:rsidP="004E65E7">
            <w:pPr>
              <w:rPr>
                <w:i/>
                <w:sz w:val="18"/>
                <w:szCs w:val="18"/>
                <w:lang w:val="es-ES"/>
              </w:rPr>
            </w:pPr>
            <w:r w:rsidRPr="00B83E1A">
              <w:rPr>
                <w:i/>
                <w:sz w:val="18"/>
                <w:szCs w:val="18"/>
                <w:lang w:val="es-ES"/>
              </w:rPr>
              <w:t>Meta estratégica VI:  Cooperación internacional para cultivar el respeto por la P.I.</w:t>
            </w:r>
          </w:p>
          <w:p w14:paraId="5567F911" w14:textId="77777777" w:rsidR="00067534" w:rsidRPr="00B83E1A" w:rsidRDefault="00067534" w:rsidP="004E65E7">
            <w:pPr>
              <w:rPr>
                <w:b/>
                <w:bCs/>
                <w:sz w:val="18"/>
                <w:szCs w:val="18"/>
                <w:lang w:val="es-ES"/>
              </w:rPr>
            </w:pPr>
          </w:p>
        </w:tc>
        <w:tc>
          <w:tcPr>
            <w:tcW w:w="2409" w:type="dxa"/>
          </w:tcPr>
          <w:p w14:paraId="10CADA6B" w14:textId="5B16843F" w:rsidR="00067534" w:rsidRPr="00B83E1A" w:rsidRDefault="00067534" w:rsidP="004E65E7">
            <w:pPr>
              <w:rPr>
                <w:b/>
                <w:bCs/>
                <w:sz w:val="18"/>
                <w:szCs w:val="18"/>
                <w:lang w:val="es-ES"/>
              </w:rPr>
            </w:pPr>
            <w:r w:rsidRPr="00B83E1A">
              <w:rPr>
                <w:sz w:val="18"/>
                <w:szCs w:val="18"/>
                <w:lang w:val="es-ES"/>
              </w:rPr>
              <w:t>Resultado i) Según establece la recomendació</w:t>
            </w:r>
            <w:r w:rsidR="009A700A" w:rsidRPr="00B83E1A">
              <w:rPr>
                <w:sz w:val="18"/>
                <w:szCs w:val="18"/>
                <w:lang w:val="es-ES"/>
              </w:rPr>
              <w:t>n 4</w:t>
            </w:r>
            <w:r w:rsidRPr="00B83E1A">
              <w:rPr>
                <w:sz w:val="18"/>
                <w:szCs w:val="18"/>
                <w:lang w:val="es-ES"/>
              </w:rPr>
              <w:t>5 de la Agenda para el Desarrollo, puesta en marcha de un diálogo sobre políticas equilibrado y fructífero con miras a crear un entorno propicio que promueva el respeto por la P.I.</w:t>
            </w:r>
          </w:p>
        </w:tc>
        <w:tc>
          <w:tcPr>
            <w:tcW w:w="2410" w:type="dxa"/>
          </w:tcPr>
          <w:p w14:paraId="5129FB29" w14:textId="77777777" w:rsidR="00067534" w:rsidRPr="00B83E1A" w:rsidRDefault="00067534" w:rsidP="004E65E7">
            <w:pPr>
              <w:spacing w:after="120"/>
              <w:rPr>
                <w:sz w:val="18"/>
                <w:szCs w:val="18"/>
                <w:lang w:val="es-ES"/>
              </w:rPr>
            </w:pPr>
            <w:r w:rsidRPr="00B83E1A">
              <w:rPr>
                <w:bCs/>
                <w:sz w:val="18"/>
                <w:szCs w:val="18"/>
                <w:lang w:val="es-ES"/>
              </w:rPr>
              <w:t xml:space="preserve">Número de estudios e investigaciones realizados según lo que se acuerde en las dos sesiones celebradas por el Comité Asesor en materia de Observancia (ACE) y los cuales tendrán un doble fin:  primeramente, dilucidar los elementos que </w:t>
            </w:r>
            <w:r w:rsidRPr="00B83E1A">
              <w:rPr>
                <w:bCs/>
                <w:sz w:val="18"/>
                <w:szCs w:val="18"/>
                <w:lang w:val="es-ES"/>
              </w:rPr>
              <w:lastRenderedPageBreak/>
              <w:t>ponen en jaque el respeto por los derechos de P.I. y luego, evaluar objetivamente las pérdidas que causan la falsificación y la piratería y determinar sus repercusiones sociales y económicas</w:t>
            </w:r>
          </w:p>
        </w:tc>
        <w:tc>
          <w:tcPr>
            <w:tcW w:w="3101" w:type="dxa"/>
            <w:gridSpan w:val="2"/>
          </w:tcPr>
          <w:p w14:paraId="529527E3" w14:textId="77777777" w:rsidR="00067534" w:rsidRPr="00B83E1A" w:rsidRDefault="00067534" w:rsidP="004E65E7">
            <w:pPr>
              <w:rPr>
                <w:sz w:val="18"/>
                <w:szCs w:val="18"/>
                <w:lang w:val="es-ES"/>
              </w:rPr>
            </w:pPr>
            <w:r w:rsidRPr="00B83E1A">
              <w:rPr>
                <w:bCs/>
                <w:sz w:val="18"/>
                <w:szCs w:val="18"/>
                <w:lang w:val="es-ES"/>
              </w:rPr>
              <w:lastRenderedPageBreak/>
              <w:t xml:space="preserve">A raíz de la reorientación estratégica del programa de trabajo del ACE, se presentaron 14 documentos basados en la meta estratégica VI durante la sexta y séptima sesiones del ACE, que instaron al Comité a continuar su actual programa de trabajo en su octava sesión.  Además, en la séptima sesión se produjo un </w:t>
            </w:r>
            <w:r w:rsidRPr="00B83E1A">
              <w:rPr>
                <w:bCs/>
                <w:sz w:val="18"/>
                <w:szCs w:val="18"/>
                <w:lang w:val="es-ES"/>
              </w:rPr>
              <w:lastRenderedPageBreak/>
              <w:t>ahorro significativo debido a los reducidos gastos de viaje de terceros.</w:t>
            </w:r>
          </w:p>
        </w:tc>
      </w:tr>
      <w:tr w:rsidR="00067534" w:rsidRPr="00B83E1A" w14:paraId="1E22214E" w14:textId="77777777" w:rsidTr="004E65E7">
        <w:trPr>
          <w:trHeight w:val="195"/>
          <w:jc w:val="center"/>
        </w:trPr>
        <w:tc>
          <w:tcPr>
            <w:tcW w:w="1713" w:type="dxa"/>
            <w:vMerge w:val="restart"/>
          </w:tcPr>
          <w:p w14:paraId="0188FE04" w14:textId="706680B2" w:rsidR="00067534" w:rsidRPr="00B83E1A" w:rsidRDefault="00067534" w:rsidP="004E65E7">
            <w:pPr>
              <w:rPr>
                <w:i/>
                <w:sz w:val="18"/>
                <w:szCs w:val="18"/>
                <w:lang w:val="es-ES"/>
              </w:rPr>
            </w:pPr>
            <w:r w:rsidRPr="00B83E1A">
              <w:rPr>
                <w:i/>
                <w:sz w:val="18"/>
                <w:szCs w:val="18"/>
                <w:lang w:val="es-ES"/>
              </w:rPr>
              <w:lastRenderedPageBreak/>
              <w:t>Meta estratégica VII</w:t>
            </w:r>
            <w:r w:rsidR="009A700A" w:rsidRPr="00B83E1A">
              <w:rPr>
                <w:i/>
                <w:sz w:val="18"/>
                <w:szCs w:val="18"/>
                <w:lang w:val="es-ES"/>
              </w:rPr>
              <w:t>:  V</w:t>
            </w:r>
            <w:r w:rsidRPr="00B83E1A">
              <w:rPr>
                <w:i/>
                <w:sz w:val="18"/>
                <w:szCs w:val="18"/>
                <w:lang w:val="es-ES"/>
              </w:rPr>
              <w:t>ínculos entre la P.I. y los problemas mundiales de política pública</w:t>
            </w:r>
          </w:p>
          <w:p w14:paraId="7F859074" w14:textId="77777777" w:rsidR="00067534" w:rsidRPr="00B83E1A" w:rsidRDefault="00067534" w:rsidP="004E65E7">
            <w:pPr>
              <w:rPr>
                <w:b/>
                <w:bCs/>
                <w:sz w:val="18"/>
                <w:szCs w:val="18"/>
                <w:lang w:val="es-ES"/>
              </w:rPr>
            </w:pPr>
          </w:p>
        </w:tc>
        <w:tc>
          <w:tcPr>
            <w:tcW w:w="2409" w:type="dxa"/>
            <w:vMerge w:val="restart"/>
          </w:tcPr>
          <w:p w14:paraId="4203AA67" w14:textId="77777777" w:rsidR="00067534" w:rsidRPr="00B83E1A" w:rsidRDefault="00067534" w:rsidP="004E65E7">
            <w:pPr>
              <w:rPr>
                <w:sz w:val="18"/>
                <w:szCs w:val="18"/>
                <w:lang w:val="es-ES"/>
              </w:rPr>
            </w:pPr>
            <w:r w:rsidRPr="00B83E1A">
              <w:rPr>
                <w:sz w:val="18"/>
                <w:szCs w:val="18"/>
                <w:lang w:val="es-ES"/>
              </w:rPr>
              <w:t>Resultado i) Elaboración de estadísticas y de estudios rigurosos para facilitar y dar más sustancia al diálogo sobre políticas entre los gobiernos, los organismos internacionales, las instituciones de la sociedad civil y las entidades del sector privado sobre el panorama actual de la P.I. y las nuevas cuestiones que se susciten en ese terreno en el plano mundial</w:t>
            </w:r>
          </w:p>
          <w:p w14:paraId="21AD04F7" w14:textId="77777777" w:rsidR="00067534" w:rsidRPr="00B83E1A" w:rsidRDefault="00067534" w:rsidP="004E65E7">
            <w:pPr>
              <w:rPr>
                <w:b/>
                <w:bCs/>
                <w:sz w:val="18"/>
                <w:szCs w:val="18"/>
                <w:lang w:val="es-ES"/>
              </w:rPr>
            </w:pPr>
          </w:p>
        </w:tc>
        <w:tc>
          <w:tcPr>
            <w:tcW w:w="2410" w:type="dxa"/>
          </w:tcPr>
          <w:p w14:paraId="05A43F84" w14:textId="112BEBBB" w:rsidR="00067534" w:rsidRPr="00B83E1A" w:rsidRDefault="00067534" w:rsidP="004E65E7">
            <w:pPr>
              <w:rPr>
                <w:bCs/>
                <w:sz w:val="18"/>
                <w:szCs w:val="18"/>
                <w:lang w:val="es-ES"/>
              </w:rPr>
            </w:pPr>
            <w:r w:rsidRPr="00B83E1A">
              <w:rPr>
                <w:bCs/>
                <w:sz w:val="18"/>
                <w:szCs w:val="18"/>
                <w:lang w:val="es-ES"/>
              </w:rPr>
              <w:t>Amplitud y diversidad de la participación en los foros para el debate de políticas celebrados por la OMPI.</w:t>
            </w:r>
            <w:r w:rsidR="00320EE4" w:rsidRPr="00B83E1A">
              <w:rPr>
                <w:bCs/>
                <w:sz w:val="18"/>
                <w:szCs w:val="18"/>
                <w:lang w:val="es-ES"/>
              </w:rPr>
              <w:t xml:space="preserve"> </w:t>
            </w:r>
            <w:r w:rsidRPr="00B83E1A">
              <w:rPr>
                <w:bCs/>
                <w:sz w:val="18"/>
                <w:szCs w:val="18"/>
                <w:lang w:val="es-ES"/>
              </w:rPr>
              <w:t xml:space="preserve"> Objetivo:  Celebrar anualmente un gran foro sobre políticas y cuatro foros sobre cuestiones específicas de las políticas </w:t>
            </w:r>
          </w:p>
        </w:tc>
        <w:tc>
          <w:tcPr>
            <w:tcW w:w="3101" w:type="dxa"/>
            <w:gridSpan w:val="2"/>
          </w:tcPr>
          <w:p w14:paraId="09255EE2" w14:textId="77777777" w:rsidR="00067534" w:rsidRPr="00B83E1A" w:rsidRDefault="00067534" w:rsidP="004E65E7">
            <w:pPr>
              <w:rPr>
                <w:bCs/>
                <w:sz w:val="18"/>
                <w:szCs w:val="18"/>
                <w:lang w:val="es-ES"/>
              </w:rPr>
            </w:pPr>
            <w:r w:rsidRPr="00B83E1A">
              <w:rPr>
                <w:bCs/>
                <w:sz w:val="18"/>
                <w:szCs w:val="18"/>
                <w:lang w:val="es-ES"/>
              </w:rPr>
              <w:t xml:space="preserve">Conferencia de la OMPI sobre innovación y cambio climático </w:t>
            </w:r>
          </w:p>
          <w:p w14:paraId="79B5B2DB" w14:textId="77777777" w:rsidR="00067534" w:rsidRPr="00B83E1A" w:rsidRDefault="00067534" w:rsidP="004E65E7">
            <w:pPr>
              <w:rPr>
                <w:bCs/>
                <w:sz w:val="18"/>
                <w:szCs w:val="18"/>
                <w:lang w:val="es-ES"/>
              </w:rPr>
            </w:pPr>
            <w:r w:rsidRPr="00B83E1A">
              <w:rPr>
                <w:bCs/>
                <w:sz w:val="18"/>
                <w:szCs w:val="18"/>
                <w:lang w:val="es-ES"/>
              </w:rPr>
              <w:t>Eventos paralelos en las reuniones de la CMNUCC sobre cuestiones de innovación y difusión de la tecnología</w:t>
            </w:r>
          </w:p>
          <w:p w14:paraId="4A9B6296" w14:textId="77777777" w:rsidR="00067534" w:rsidRPr="00B83E1A" w:rsidRDefault="00067534" w:rsidP="004E65E7">
            <w:pPr>
              <w:rPr>
                <w:bCs/>
                <w:sz w:val="18"/>
                <w:szCs w:val="18"/>
                <w:lang w:val="es-ES"/>
              </w:rPr>
            </w:pPr>
            <w:r w:rsidRPr="00B83E1A">
              <w:rPr>
                <w:bCs/>
                <w:sz w:val="18"/>
                <w:szCs w:val="18"/>
                <w:lang w:val="es-ES"/>
              </w:rPr>
              <w:t>Como cooperación entre la OMS y la OMPI:</w:t>
            </w:r>
          </w:p>
          <w:p w14:paraId="4621E50A" w14:textId="77777777" w:rsidR="00067534" w:rsidRPr="00B83E1A" w:rsidRDefault="00067534" w:rsidP="00067534">
            <w:pPr>
              <w:numPr>
                <w:ilvl w:val="1"/>
                <w:numId w:val="9"/>
              </w:numPr>
              <w:rPr>
                <w:bCs/>
                <w:sz w:val="18"/>
                <w:szCs w:val="18"/>
                <w:lang w:val="es-ES"/>
              </w:rPr>
            </w:pPr>
            <w:r w:rsidRPr="00B83E1A">
              <w:rPr>
                <w:bCs/>
                <w:sz w:val="18"/>
                <w:szCs w:val="18"/>
                <w:lang w:val="es-ES"/>
              </w:rPr>
              <w:t>Un simposio técnico conjunto sobre "Acceso a los medicamentos:  Prácticas de fijación de precios y adquisición</w:t>
            </w:r>
          </w:p>
          <w:p w14:paraId="1D5C9497" w14:textId="77777777" w:rsidR="00067534" w:rsidRPr="00B83E1A" w:rsidRDefault="00067534" w:rsidP="00067534">
            <w:pPr>
              <w:numPr>
                <w:ilvl w:val="1"/>
                <w:numId w:val="9"/>
              </w:numPr>
              <w:rPr>
                <w:bCs/>
                <w:sz w:val="18"/>
                <w:szCs w:val="18"/>
                <w:lang w:val="es-ES"/>
              </w:rPr>
            </w:pPr>
            <w:r w:rsidRPr="00B83E1A">
              <w:rPr>
                <w:bCs/>
                <w:sz w:val="18"/>
                <w:szCs w:val="18"/>
                <w:lang w:val="es-ES"/>
              </w:rPr>
              <w:t>Un simposio técnico conjunto sobre acceso a los medicamentos, información sobre patentes y libertad de acción</w:t>
            </w:r>
          </w:p>
          <w:p w14:paraId="03BD242D" w14:textId="77777777" w:rsidR="00067534" w:rsidRPr="00B83E1A" w:rsidRDefault="00067534" w:rsidP="00067534">
            <w:pPr>
              <w:numPr>
                <w:ilvl w:val="1"/>
                <w:numId w:val="9"/>
              </w:numPr>
              <w:rPr>
                <w:bCs/>
                <w:sz w:val="18"/>
                <w:szCs w:val="18"/>
                <w:lang w:val="es-ES"/>
              </w:rPr>
            </w:pPr>
            <w:r w:rsidRPr="00B83E1A">
              <w:rPr>
                <w:bCs/>
                <w:sz w:val="18"/>
                <w:szCs w:val="18"/>
                <w:lang w:val="es-ES"/>
              </w:rPr>
              <w:t>Un taller sobre búsqueda de patentes y la libertad para operar</w:t>
            </w:r>
          </w:p>
          <w:p w14:paraId="0A21721F" w14:textId="77777777" w:rsidR="00067534" w:rsidRPr="00B83E1A" w:rsidRDefault="00067534" w:rsidP="004E65E7">
            <w:pPr>
              <w:rPr>
                <w:bCs/>
                <w:sz w:val="18"/>
                <w:szCs w:val="18"/>
                <w:lang w:val="es-ES"/>
              </w:rPr>
            </w:pPr>
            <w:r w:rsidRPr="00B83E1A">
              <w:rPr>
                <w:bCs/>
                <w:sz w:val="18"/>
                <w:szCs w:val="18"/>
                <w:lang w:val="es-ES"/>
              </w:rPr>
              <w:t>En cooperación con UNITAID y la Medicines Patent Pool, se celebró un taller sobre Condiciones de concesión de licencias para Medicines Patent Pool</w:t>
            </w:r>
          </w:p>
          <w:p w14:paraId="4023C356" w14:textId="77777777" w:rsidR="00067534" w:rsidRPr="00B83E1A" w:rsidRDefault="00067534" w:rsidP="004E65E7">
            <w:pPr>
              <w:rPr>
                <w:bCs/>
                <w:sz w:val="18"/>
                <w:szCs w:val="18"/>
                <w:lang w:val="es-ES"/>
              </w:rPr>
            </w:pPr>
            <w:r w:rsidRPr="00B83E1A">
              <w:rPr>
                <w:bCs/>
                <w:sz w:val="18"/>
                <w:szCs w:val="18"/>
                <w:lang w:val="es-ES"/>
              </w:rPr>
              <w:t xml:space="preserve">Presentación de WIPO Re:Search el 26 de octubre de 2011 </w:t>
            </w:r>
          </w:p>
          <w:p w14:paraId="37099D4C" w14:textId="77777777" w:rsidR="00067534" w:rsidRPr="00B83E1A" w:rsidRDefault="00067534" w:rsidP="004E65E7">
            <w:pPr>
              <w:rPr>
                <w:bCs/>
                <w:sz w:val="18"/>
                <w:szCs w:val="18"/>
                <w:lang w:val="es-ES"/>
              </w:rPr>
            </w:pPr>
            <w:r w:rsidRPr="00B83E1A">
              <w:rPr>
                <w:bCs/>
                <w:sz w:val="18"/>
                <w:szCs w:val="18"/>
                <w:lang w:val="es-ES"/>
              </w:rPr>
              <w:t xml:space="preserve">Simposio sobre la evolución del marco reglamentario de los datos de los ensayos – de la propiedad del intelecto al intelecto de la propiedad, en la OMPI </w:t>
            </w:r>
          </w:p>
          <w:p w14:paraId="06E44B66" w14:textId="77777777" w:rsidR="00067534" w:rsidRPr="00B83E1A" w:rsidRDefault="00067534" w:rsidP="004E65E7">
            <w:pPr>
              <w:rPr>
                <w:bCs/>
                <w:sz w:val="18"/>
                <w:szCs w:val="18"/>
                <w:lang w:val="es-ES"/>
              </w:rPr>
            </w:pPr>
            <w:r w:rsidRPr="00B83E1A">
              <w:rPr>
                <w:bCs/>
                <w:sz w:val="18"/>
                <w:szCs w:val="18"/>
                <w:lang w:val="es-ES"/>
              </w:rPr>
              <w:t>Seminario sobre la utilización de la propiedad intelectual en los sectores privado y público para mejorar la productividad agrícola</w:t>
            </w:r>
          </w:p>
          <w:p w14:paraId="040710F4" w14:textId="362E1369" w:rsidR="00067534" w:rsidRPr="00B83E1A" w:rsidRDefault="00067534" w:rsidP="00CA4023">
            <w:pPr>
              <w:spacing w:after="120"/>
              <w:rPr>
                <w:sz w:val="18"/>
                <w:szCs w:val="18"/>
                <w:lang w:val="es-ES"/>
              </w:rPr>
            </w:pPr>
            <w:r w:rsidRPr="00B83E1A">
              <w:rPr>
                <w:bCs/>
                <w:sz w:val="18"/>
                <w:szCs w:val="18"/>
                <w:lang w:val="es-ES"/>
              </w:rPr>
              <w:t>Sesión de la Conferencia Técnica Internacional de la FAO sobre Biotecnologías Agrícolas en los Países en Desarrollo, México</w:t>
            </w:r>
          </w:p>
        </w:tc>
      </w:tr>
      <w:tr w:rsidR="00067534" w:rsidRPr="00B83E1A" w14:paraId="2824677F" w14:textId="77777777" w:rsidTr="004E65E7">
        <w:trPr>
          <w:trHeight w:val="195"/>
          <w:jc w:val="center"/>
        </w:trPr>
        <w:tc>
          <w:tcPr>
            <w:tcW w:w="1713" w:type="dxa"/>
            <w:vMerge/>
          </w:tcPr>
          <w:p w14:paraId="1E647DD0" w14:textId="77777777" w:rsidR="00067534" w:rsidRPr="00B83E1A" w:rsidRDefault="00067534" w:rsidP="004E65E7">
            <w:pPr>
              <w:rPr>
                <w:b/>
                <w:bCs/>
                <w:sz w:val="18"/>
                <w:szCs w:val="18"/>
                <w:lang w:val="es-ES"/>
              </w:rPr>
            </w:pPr>
          </w:p>
        </w:tc>
        <w:tc>
          <w:tcPr>
            <w:tcW w:w="2409" w:type="dxa"/>
            <w:vMerge/>
          </w:tcPr>
          <w:p w14:paraId="103B4B30" w14:textId="77777777" w:rsidR="00067534" w:rsidRPr="00B83E1A" w:rsidRDefault="00067534" w:rsidP="004E65E7">
            <w:pPr>
              <w:rPr>
                <w:b/>
                <w:bCs/>
                <w:sz w:val="18"/>
                <w:szCs w:val="18"/>
                <w:lang w:val="es-ES"/>
              </w:rPr>
            </w:pPr>
          </w:p>
        </w:tc>
        <w:tc>
          <w:tcPr>
            <w:tcW w:w="2410" w:type="dxa"/>
          </w:tcPr>
          <w:p w14:paraId="4DC033DF" w14:textId="404CF1D8" w:rsidR="00067534" w:rsidRPr="00B83E1A" w:rsidRDefault="00067534" w:rsidP="004E65E7">
            <w:pPr>
              <w:rPr>
                <w:bCs/>
                <w:sz w:val="18"/>
                <w:szCs w:val="18"/>
                <w:lang w:val="es-ES"/>
              </w:rPr>
            </w:pPr>
            <w:r w:rsidRPr="00B83E1A">
              <w:rPr>
                <w:bCs/>
                <w:sz w:val="18"/>
                <w:szCs w:val="18"/>
                <w:lang w:val="es-ES"/>
              </w:rPr>
              <w:t>Mayor participación de la OMPI en otros foros para el debate de políticas con el fin de estrechar las relaciones con los asociados actuales y con otros nuevos.</w:t>
            </w:r>
            <w:r w:rsidR="00320EE4" w:rsidRPr="00B83E1A">
              <w:rPr>
                <w:bCs/>
                <w:sz w:val="18"/>
                <w:szCs w:val="18"/>
                <w:lang w:val="es-ES"/>
              </w:rPr>
              <w:t xml:space="preserve"> </w:t>
            </w:r>
            <w:r w:rsidRPr="00B83E1A">
              <w:rPr>
                <w:bCs/>
                <w:sz w:val="18"/>
                <w:szCs w:val="18"/>
                <w:lang w:val="es-ES"/>
              </w:rPr>
              <w:t xml:space="preserve"> Objetivo:  Fortalecer el diálogo con seis asociados actuales e iniciarlo con seis nuevos.</w:t>
            </w:r>
          </w:p>
        </w:tc>
        <w:tc>
          <w:tcPr>
            <w:tcW w:w="3101" w:type="dxa"/>
            <w:gridSpan w:val="2"/>
          </w:tcPr>
          <w:p w14:paraId="6192DE22" w14:textId="77777777" w:rsidR="00067534" w:rsidRPr="00B83E1A" w:rsidRDefault="00067534" w:rsidP="004E65E7">
            <w:pPr>
              <w:rPr>
                <w:bCs/>
                <w:sz w:val="18"/>
                <w:szCs w:val="18"/>
                <w:lang w:val="es-ES"/>
              </w:rPr>
            </w:pPr>
            <w:r w:rsidRPr="00B83E1A">
              <w:rPr>
                <w:bCs/>
                <w:sz w:val="18"/>
                <w:szCs w:val="18"/>
                <w:lang w:val="es-ES"/>
              </w:rPr>
              <w:t>Apoyo constante (OMS) a la aplicación de la Estrategia mundial y plan de acción sobre salud pública, innovación y propiedad intelectual y al proceso de preparación para una gripe pandémica.</w:t>
            </w:r>
          </w:p>
          <w:p w14:paraId="5A609C4F" w14:textId="77777777" w:rsidR="00067534" w:rsidRPr="00B83E1A" w:rsidRDefault="00067534" w:rsidP="004E65E7">
            <w:pPr>
              <w:rPr>
                <w:bCs/>
                <w:sz w:val="18"/>
                <w:szCs w:val="18"/>
                <w:lang w:val="es-ES"/>
              </w:rPr>
            </w:pPr>
            <w:r w:rsidRPr="00B83E1A">
              <w:rPr>
                <w:bCs/>
                <w:sz w:val="18"/>
                <w:szCs w:val="18"/>
                <w:lang w:val="es-ES"/>
              </w:rPr>
              <w:t xml:space="preserve">Colaboración permanente en talleres de la OMC y en seminarios sobre el Acuerdo sobre los ADPIC y </w:t>
            </w:r>
            <w:r w:rsidRPr="00B83E1A">
              <w:rPr>
                <w:bCs/>
                <w:sz w:val="18"/>
                <w:szCs w:val="18"/>
                <w:lang w:val="es-ES"/>
              </w:rPr>
              <w:lastRenderedPageBreak/>
              <w:t>salud pública y en otras reuniones conexas</w:t>
            </w:r>
          </w:p>
          <w:p w14:paraId="47597A5C" w14:textId="77777777" w:rsidR="00067534" w:rsidRPr="00B83E1A" w:rsidRDefault="00067534" w:rsidP="004E65E7">
            <w:pPr>
              <w:rPr>
                <w:bCs/>
                <w:sz w:val="18"/>
                <w:szCs w:val="18"/>
                <w:lang w:val="es-ES"/>
              </w:rPr>
            </w:pPr>
            <w:r w:rsidRPr="00B83E1A">
              <w:rPr>
                <w:bCs/>
                <w:sz w:val="18"/>
                <w:szCs w:val="18"/>
                <w:lang w:val="es-ES"/>
              </w:rPr>
              <w:t>Cooperación trilateral, coordinación periódica y organización conjunta de dos simposios (</w:t>
            </w:r>
            <w:r w:rsidRPr="00B83E1A">
              <w:rPr>
                <w:bCs/>
                <w:i/>
                <w:sz w:val="18"/>
                <w:szCs w:val="18"/>
                <w:lang w:val="es-ES"/>
              </w:rPr>
              <w:t>vid. supra</w:t>
            </w:r>
            <w:r w:rsidRPr="00B83E1A">
              <w:rPr>
                <w:bCs/>
                <w:sz w:val="18"/>
                <w:szCs w:val="18"/>
                <w:lang w:val="es-ES"/>
              </w:rPr>
              <w:t>) entre la OMS, la OMPI y la OMC.</w:t>
            </w:r>
          </w:p>
          <w:p w14:paraId="4EB7F855" w14:textId="77777777" w:rsidR="00067534" w:rsidRPr="00B83E1A" w:rsidRDefault="00067534" w:rsidP="004E65E7">
            <w:pPr>
              <w:rPr>
                <w:bCs/>
                <w:sz w:val="18"/>
                <w:szCs w:val="18"/>
                <w:lang w:val="es-ES"/>
              </w:rPr>
            </w:pPr>
            <w:r w:rsidRPr="00B83E1A">
              <w:rPr>
                <w:bCs/>
                <w:sz w:val="18"/>
                <w:szCs w:val="18"/>
                <w:lang w:val="es-ES"/>
              </w:rPr>
              <w:t>Participación en las reuniones de la Junta Ejecutiva de UNITAID y apoyo a la labor de crear la fundación Medicines Patent Pool (MPP).</w:t>
            </w:r>
          </w:p>
          <w:p w14:paraId="02BEB7B7" w14:textId="77777777" w:rsidR="00067534" w:rsidRPr="00B83E1A" w:rsidRDefault="00067534" w:rsidP="004E65E7">
            <w:pPr>
              <w:rPr>
                <w:bCs/>
                <w:sz w:val="18"/>
                <w:szCs w:val="18"/>
                <w:lang w:val="es-ES"/>
              </w:rPr>
            </w:pPr>
            <w:r w:rsidRPr="00B83E1A">
              <w:rPr>
                <w:bCs/>
                <w:sz w:val="18"/>
                <w:szCs w:val="18"/>
                <w:lang w:val="es-ES"/>
              </w:rPr>
              <w:t>Participación sostenida en las reuniones de la CMNUCC y cooperación con la Secretaría de la CMNUCC, con ONUDI, PNUMA, InfoDev, organizaciones no gubernamentales y sectores de actividad en cuestiones de P.I. relativas al cambio climático Se inició el contacto con CESPAP.</w:t>
            </w:r>
          </w:p>
          <w:p w14:paraId="396F4A3D" w14:textId="77777777" w:rsidR="00B35257" w:rsidRPr="00B83E1A" w:rsidRDefault="00067534" w:rsidP="004E65E7">
            <w:pPr>
              <w:rPr>
                <w:bCs/>
                <w:sz w:val="18"/>
                <w:szCs w:val="18"/>
                <w:lang w:val="es-ES"/>
              </w:rPr>
            </w:pPr>
            <w:r w:rsidRPr="00B83E1A">
              <w:rPr>
                <w:bCs/>
                <w:sz w:val="18"/>
                <w:szCs w:val="18"/>
                <w:lang w:val="es-ES"/>
              </w:rPr>
              <w:t>Participación continua en el Comité Interinstitucional de las Naciones Unidas sobre Bioética</w:t>
            </w:r>
            <w:r w:rsidR="00B35257" w:rsidRPr="00B83E1A">
              <w:rPr>
                <w:bCs/>
                <w:sz w:val="18"/>
                <w:szCs w:val="18"/>
                <w:lang w:val="es-ES"/>
              </w:rPr>
              <w:t>.</w:t>
            </w:r>
          </w:p>
          <w:p w14:paraId="68D33639" w14:textId="17E7FA05" w:rsidR="00067534" w:rsidRPr="00B83E1A" w:rsidRDefault="00067534" w:rsidP="004E65E7">
            <w:pPr>
              <w:rPr>
                <w:bCs/>
                <w:sz w:val="18"/>
                <w:szCs w:val="18"/>
                <w:lang w:val="es-ES"/>
              </w:rPr>
            </w:pPr>
            <w:r w:rsidRPr="00B83E1A">
              <w:rPr>
                <w:bCs/>
                <w:sz w:val="18"/>
                <w:szCs w:val="18"/>
                <w:lang w:val="es-ES"/>
              </w:rPr>
              <w:t>Cooperación con el Instituto Universitario de Altos Estudios Internacionales y Desarrollo de Ginebra para la preparación del Quinto Simposio de Alto Nivel sobre Diplomacia Sanitaria Mundial (diez años después de Doha), en estrecha colaboración entre la OMS, la OMPI y la OMC.</w:t>
            </w:r>
          </w:p>
          <w:p w14:paraId="09D41488" w14:textId="77777777" w:rsidR="00067534" w:rsidRPr="00B83E1A" w:rsidRDefault="00067534" w:rsidP="004E65E7">
            <w:pPr>
              <w:spacing w:after="120"/>
              <w:rPr>
                <w:sz w:val="18"/>
                <w:szCs w:val="18"/>
                <w:lang w:val="es-ES"/>
              </w:rPr>
            </w:pPr>
            <w:r w:rsidRPr="00B83E1A">
              <w:rPr>
                <w:bCs/>
                <w:sz w:val="18"/>
                <w:szCs w:val="18"/>
                <w:lang w:val="es-ES"/>
              </w:rPr>
              <w:t xml:space="preserve">Cooperación con 30 nuevos colaboradores en el contexto de WIPO Re:Search y 10 nuevos colaboradores en el contexto de </w:t>
            </w:r>
            <w:r w:rsidRPr="00B83E1A">
              <w:rPr>
                <w:bCs/>
                <w:i/>
                <w:sz w:val="18"/>
                <w:szCs w:val="18"/>
                <w:lang w:val="es-ES"/>
              </w:rPr>
              <w:t xml:space="preserve">wipo green </w:t>
            </w:r>
            <w:r w:rsidRPr="00B83E1A">
              <w:rPr>
                <w:bCs/>
                <w:sz w:val="18"/>
                <w:szCs w:val="18"/>
                <w:lang w:val="es-ES"/>
              </w:rPr>
              <w:t>(</w:t>
            </w:r>
            <w:r w:rsidRPr="00B83E1A">
              <w:rPr>
                <w:bCs/>
                <w:i/>
                <w:sz w:val="18"/>
                <w:szCs w:val="18"/>
                <w:lang w:val="es-ES"/>
              </w:rPr>
              <w:t>vid. infra</w:t>
            </w:r>
            <w:r w:rsidRPr="00B83E1A">
              <w:rPr>
                <w:bCs/>
                <w:sz w:val="18"/>
                <w:szCs w:val="18"/>
                <w:lang w:val="es-ES"/>
              </w:rPr>
              <w:t xml:space="preserve">). </w:t>
            </w:r>
          </w:p>
        </w:tc>
      </w:tr>
      <w:tr w:rsidR="00067534" w:rsidRPr="00B83E1A" w14:paraId="2B3A6523" w14:textId="77777777" w:rsidTr="00CA4023">
        <w:trPr>
          <w:trHeight w:val="3901"/>
          <w:jc w:val="center"/>
        </w:trPr>
        <w:tc>
          <w:tcPr>
            <w:tcW w:w="1713" w:type="dxa"/>
            <w:vMerge/>
          </w:tcPr>
          <w:p w14:paraId="17A32E8F" w14:textId="77777777" w:rsidR="00067534" w:rsidRPr="00B83E1A" w:rsidRDefault="00067534" w:rsidP="004E65E7">
            <w:pPr>
              <w:rPr>
                <w:b/>
                <w:bCs/>
                <w:sz w:val="18"/>
                <w:szCs w:val="18"/>
                <w:lang w:val="es-ES"/>
              </w:rPr>
            </w:pPr>
          </w:p>
        </w:tc>
        <w:tc>
          <w:tcPr>
            <w:tcW w:w="2409" w:type="dxa"/>
            <w:vMerge/>
          </w:tcPr>
          <w:p w14:paraId="6A3DD8FF" w14:textId="77777777" w:rsidR="00067534" w:rsidRPr="00B83E1A" w:rsidRDefault="00067534" w:rsidP="004E65E7">
            <w:pPr>
              <w:rPr>
                <w:b/>
                <w:bCs/>
                <w:sz w:val="18"/>
                <w:szCs w:val="18"/>
                <w:lang w:val="es-ES"/>
              </w:rPr>
            </w:pPr>
          </w:p>
        </w:tc>
        <w:tc>
          <w:tcPr>
            <w:tcW w:w="2410" w:type="dxa"/>
          </w:tcPr>
          <w:p w14:paraId="61BA9F8D" w14:textId="77777777" w:rsidR="00067534" w:rsidRPr="00B83E1A" w:rsidRDefault="00067534" w:rsidP="004E65E7">
            <w:pPr>
              <w:rPr>
                <w:bCs/>
                <w:sz w:val="18"/>
                <w:szCs w:val="18"/>
                <w:lang w:val="es-ES"/>
              </w:rPr>
            </w:pPr>
            <w:r w:rsidRPr="00B83E1A">
              <w:rPr>
                <w:bCs/>
                <w:sz w:val="18"/>
                <w:szCs w:val="18"/>
                <w:lang w:val="es-ES"/>
              </w:rPr>
              <w:t xml:space="preserve">Examen de los resultados obtenidos y repercusión de los foros para el debate de políticas celebrados por la OMPI.  Objetivo:  Dar una imagen positiva en las publicaciones externas relativas a cada actividad </w:t>
            </w:r>
          </w:p>
        </w:tc>
        <w:tc>
          <w:tcPr>
            <w:tcW w:w="3101" w:type="dxa"/>
            <w:gridSpan w:val="2"/>
          </w:tcPr>
          <w:p w14:paraId="4F87DA29" w14:textId="77777777" w:rsidR="00067534" w:rsidRPr="00B83E1A" w:rsidRDefault="00067534" w:rsidP="004E65E7">
            <w:pPr>
              <w:rPr>
                <w:rFonts w:eastAsia="MS Mincho"/>
                <w:sz w:val="18"/>
                <w:szCs w:val="18"/>
                <w:lang w:val="es-ES" w:eastAsia="ja-JP" w:bidi="th-TH"/>
              </w:rPr>
            </w:pPr>
            <w:r w:rsidRPr="00B83E1A">
              <w:rPr>
                <w:rFonts w:eastAsia="MS Mincho"/>
                <w:sz w:val="18"/>
                <w:szCs w:val="18"/>
                <w:lang w:val="es-ES" w:eastAsia="ja-JP" w:bidi="th-TH"/>
              </w:rPr>
              <w:t>Los participantes en las actividades organizadas por la OMPI valoraron el amplio y equilibrado abanico de temas tratados y el enfoque empírico.</w:t>
            </w:r>
          </w:p>
          <w:p w14:paraId="25CFB470" w14:textId="77777777" w:rsidR="00067534" w:rsidRPr="00B83E1A" w:rsidRDefault="00067534" w:rsidP="004E65E7">
            <w:pPr>
              <w:rPr>
                <w:rFonts w:eastAsia="MS Mincho"/>
                <w:sz w:val="18"/>
                <w:szCs w:val="18"/>
                <w:lang w:val="es-ES" w:eastAsia="ja-JP" w:bidi="th-TH"/>
              </w:rPr>
            </w:pPr>
            <w:r w:rsidRPr="00B83E1A">
              <w:rPr>
                <w:rFonts w:eastAsia="MS Mincho"/>
                <w:sz w:val="18"/>
                <w:szCs w:val="18"/>
                <w:lang w:val="es-ES" w:eastAsia="ja-JP" w:bidi="th-TH"/>
              </w:rPr>
              <w:t>A la presentación de WIPO Re:Search asistieron unos 18 periodistas y se informó del acto en unas 100 agencias de noticias y periódicos.</w:t>
            </w:r>
          </w:p>
          <w:p w14:paraId="2C49EDF4" w14:textId="77777777" w:rsidR="00067534" w:rsidRPr="00B83E1A" w:rsidRDefault="00067534" w:rsidP="004E65E7">
            <w:pPr>
              <w:rPr>
                <w:sz w:val="18"/>
                <w:szCs w:val="18"/>
                <w:lang w:val="es-ES"/>
              </w:rPr>
            </w:pPr>
            <w:r w:rsidRPr="00B83E1A">
              <w:rPr>
                <w:bCs/>
                <w:sz w:val="18"/>
                <w:szCs w:val="18"/>
                <w:lang w:val="es-ES"/>
              </w:rPr>
              <w:t>Los Estados miembros de la OMS y la OMC remitieron a actividades de la OMPI en sus reuniones, como la Junta Ejecutiva de la OMS, la Asamblea Mundial de la Salud o el Consejo de los ADPIC de la OMC.</w:t>
            </w:r>
          </w:p>
        </w:tc>
      </w:tr>
      <w:tr w:rsidR="00067534" w:rsidRPr="00B83E1A" w14:paraId="043711BC" w14:textId="77777777" w:rsidTr="004E65E7">
        <w:trPr>
          <w:trHeight w:val="699"/>
          <w:jc w:val="center"/>
        </w:trPr>
        <w:tc>
          <w:tcPr>
            <w:tcW w:w="9633" w:type="dxa"/>
            <w:gridSpan w:val="5"/>
            <w:shd w:val="clear" w:color="auto" w:fill="C4BC96" w:themeFill="background2" w:themeFillShade="BF"/>
            <w:vAlign w:val="center"/>
          </w:tcPr>
          <w:p w14:paraId="7A46ABBB" w14:textId="6BD4FBBD" w:rsidR="00067534" w:rsidRPr="00B83E1A" w:rsidRDefault="00067534" w:rsidP="00CA4023">
            <w:pPr>
              <w:keepNext/>
              <w:rPr>
                <w:b/>
                <w:bCs/>
                <w:sz w:val="18"/>
                <w:szCs w:val="18"/>
                <w:lang w:val="es-ES"/>
              </w:rPr>
            </w:pPr>
            <w:r w:rsidRPr="00B83E1A">
              <w:rPr>
                <w:b/>
                <w:bCs/>
                <w:sz w:val="18"/>
                <w:szCs w:val="18"/>
                <w:lang w:val="es-ES"/>
              </w:rPr>
              <w:lastRenderedPageBreak/>
              <w:t>ODM - Objetiv</w:t>
            </w:r>
            <w:r w:rsidR="009A700A" w:rsidRPr="00B83E1A">
              <w:rPr>
                <w:b/>
                <w:bCs/>
                <w:sz w:val="18"/>
                <w:szCs w:val="18"/>
                <w:lang w:val="es-ES"/>
              </w:rPr>
              <w:t>o 8</w:t>
            </w:r>
            <w:r w:rsidRPr="00B83E1A">
              <w:rPr>
                <w:b/>
                <w:bCs/>
                <w:sz w:val="18"/>
                <w:szCs w:val="18"/>
                <w:lang w:val="es-ES"/>
              </w:rPr>
              <w:t>:  Fomentar una asociación mundial para el desarrollo</w:t>
            </w:r>
          </w:p>
        </w:tc>
      </w:tr>
      <w:tr w:rsidR="00067534" w:rsidRPr="00B83E1A" w14:paraId="2E6B6AAD" w14:textId="77777777" w:rsidTr="004E65E7">
        <w:trPr>
          <w:trHeight w:val="567"/>
          <w:jc w:val="center"/>
        </w:trPr>
        <w:tc>
          <w:tcPr>
            <w:tcW w:w="9633" w:type="dxa"/>
            <w:gridSpan w:val="5"/>
            <w:shd w:val="clear" w:color="auto" w:fill="DDD9C3" w:themeFill="background2" w:themeFillShade="E6"/>
            <w:vAlign w:val="center"/>
          </w:tcPr>
          <w:p w14:paraId="4FB002E2" w14:textId="3506FB98" w:rsidR="00067534" w:rsidRPr="00B83E1A" w:rsidRDefault="00067534" w:rsidP="00CA4023">
            <w:pPr>
              <w:keepNext/>
              <w:spacing w:after="120"/>
              <w:rPr>
                <w:b/>
                <w:sz w:val="18"/>
                <w:szCs w:val="18"/>
                <w:lang w:val="es-ES"/>
              </w:rPr>
            </w:pPr>
            <w:r w:rsidRPr="00B83E1A">
              <w:rPr>
                <w:b/>
                <w:sz w:val="18"/>
                <w:szCs w:val="18"/>
                <w:lang w:val="es-ES"/>
              </w:rPr>
              <w:t>Met</w:t>
            </w:r>
            <w:r w:rsidR="009A700A" w:rsidRPr="00B83E1A">
              <w:rPr>
                <w:b/>
                <w:sz w:val="18"/>
                <w:szCs w:val="18"/>
                <w:lang w:val="es-ES"/>
              </w:rPr>
              <w:t>a 8</w:t>
            </w:r>
            <w:r w:rsidRPr="00B83E1A">
              <w:rPr>
                <w:b/>
                <w:sz w:val="18"/>
                <w:szCs w:val="18"/>
                <w:lang w:val="es-ES"/>
              </w:rPr>
              <w:t>.F:  En colaboración con el sector privado, velar por que se puedan aprovechar los beneficios de las nuevas tecnologías, en particular de las tecnologías de la información y de las comunicaciones</w:t>
            </w:r>
          </w:p>
        </w:tc>
      </w:tr>
      <w:tr w:rsidR="00067534" w:rsidRPr="00B83E1A" w14:paraId="72901331" w14:textId="77777777" w:rsidTr="004E65E7">
        <w:trPr>
          <w:trHeight w:val="195"/>
          <w:jc w:val="center"/>
        </w:trPr>
        <w:tc>
          <w:tcPr>
            <w:tcW w:w="1713" w:type="dxa"/>
            <w:shd w:val="clear" w:color="auto" w:fill="C6D9F1" w:themeFill="text2" w:themeFillTint="33"/>
            <w:vAlign w:val="center"/>
          </w:tcPr>
          <w:p w14:paraId="69E828C4" w14:textId="77777777" w:rsidR="00067534" w:rsidRPr="00B83E1A" w:rsidRDefault="00067534" w:rsidP="00CA4023">
            <w:pPr>
              <w:keepNext/>
              <w:spacing w:after="120"/>
              <w:rPr>
                <w:b/>
                <w:bCs/>
                <w:sz w:val="18"/>
                <w:szCs w:val="18"/>
                <w:lang w:val="es-ES"/>
              </w:rPr>
            </w:pPr>
            <w:r w:rsidRPr="00B83E1A">
              <w:rPr>
                <w:b/>
                <w:bCs/>
                <w:sz w:val="18"/>
                <w:szCs w:val="18"/>
                <w:lang w:val="es-ES"/>
              </w:rPr>
              <w:t>Meta estratégica de la OMPI</w:t>
            </w:r>
          </w:p>
        </w:tc>
        <w:tc>
          <w:tcPr>
            <w:tcW w:w="2409" w:type="dxa"/>
            <w:shd w:val="clear" w:color="auto" w:fill="C6D9F1" w:themeFill="text2" w:themeFillTint="33"/>
            <w:vAlign w:val="center"/>
          </w:tcPr>
          <w:p w14:paraId="0A70D0B5" w14:textId="77777777" w:rsidR="00067534" w:rsidRPr="00B83E1A" w:rsidRDefault="00067534" w:rsidP="00CA4023">
            <w:pPr>
              <w:keepNext/>
              <w:rPr>
                <w:b/>
                <w:bCs/>
                <w:sz w:val="18"/>
                <w:szCs w:val="18"/>
                <w:lang w:val="es-ES"/>
              </w:rPr>
            </w:pPr>
            <w:r w:rsidRPr="00B83E1A">
              <w:rPr>
                <w:b/>
                <w:bCs/>
                <w:sz w:val="18"/>
                <w:szCs w:val="18"/>
                <w:lang w:val="es-ES"/>
              </w:rPr>
              <w:t>Resultado previsto de la OMPI pertinente - 2010/11</w:t>
            </w:r>
          </w:p>
        </w:tc>
        <w:tc>
          <w:tcPr>
            <w:tcW w:w="2410" w:type="dxa"/>
            <w:shd w:val="clear" w:color="auto" w:fill="C6D9F1" w:themeFill="text2" w:themeFillTint="33"/>
            <w:vAlign w:val="center"/>
          </w:tcPr>
          <w:p w14:paraId="250359A4" w14:textId="77777777" w:rsidR="00067534" w:rsidRPr="00B83E1A" w:rsidRDefault="00067534" w:rsidP="00CA4023">
            <w:pPr>
              <w:keepNext/>
              <w:rPr>
                <w:b/>
                <w:bCs/>
                <w:sz w:val="18"/>
                <w:szCs w:val="18"/>
                <w:lang w:val="es-ES"/>
              </w:rPr>
            </w:pPr>
            <w:r w:rsidRPr="00B83E1A">
              <w:rPr>
                <w:b/>
                <w:bCs/>
                <w:sz w:val="18"/>
                <w:szCs w:val="18"/>
                <w:lang w:val="es-ES"/>
              </w:rPr>
              <w:t>Indicadores de rendimiento</w:t>
            </w:r>
          </w:p>
        </w:tc>
        <w:tc>
          <w:tcPr>
            <w:tcW w:w="3101" w:type="dxa"/>
            <w:gridSpan w:val="2"/>
            <w:shd w:val="clear" w:color="auto" w:fill="C6D9F1" w:themeFill="text2" w:themeFillTint="33"/>
            <w:vAlign w:val="center"/>
          </w:tcPr>
          <w:p w14:paraId="0C92B0AA" w14:textId="77777777" w:rsidR="00067534" w:rsidRPr="00B83E1A" w:rsidRDefault="00067534" w:rsidP="00CA4023">
            <w:pPr>
              <w:keepNext/>
              <w:rPr>
                <w:sz w:val="18"/>
                <w:szCs w:val="18"/>
                <w:lang w:val="es-ES"/>
              </w:rPr>
            </w:pPr>
            <w:r w:rsidRPr="00B83E1A">
              <w:rPr>
                <w:b/>
                <w:bCs/>
                <w:sz w:val="18"/>
                <w:szCs w:val="18"/>
                <w:lang w:val="es-ES"/>
              </w:rPr>
              <w:t>Datos sobre el rendimiento</w:t>
            </w:r>
          </w:p>
        </w:tc>
      </w:tr>
      <w:tr w:rsidR="00067534" w:rsidRPr="00B83E1A" w14:paraId="2F2C341D" w14:textId="77777777" w:rsidTr="004E65E7">
        <w:trPr>
          <w:trHeight w:val="195"/>
          <w:jc w:val="center"/>
        </w:trPr>
        <w:tc>
          <w:tcPr>
            <w:tcW w:w="1713" w:type="dxa"/>
            <w:vMerge w:val="restart"/>
          </w:tcPr>
          <w:p w14:paraId="1C3D29CD" w14:textId="77777777" w:rsidR="00067534" w:rsidRPr="00B83E1A" w:rsidRDefault="00067534" w:rsidP="004E65E7">
            <w:pPr>
              <w:rPr>
                <w:i/>
                <w:sz w:val="18"/>
                <w:szCs w:val="18"/>
                <w:lang w:val="es-ES"/>
              </w:rPr>
            </w:pPr>
            <w:r w:rsidRPr="00B83E1A">
              <w:rPr>
                <w:i/>
                <w:sz w:val="18"/>
                <w:szCs w:val="18"/>
                <w:lang w:val="es-ES"/>
              </w:rPr>
              <w:t>Meta estratégica I:  Evolución equilibrada del marco normativo internacional de P.I.</w:t>
            </w:r>
          </w:p>
          <w:p w14:paraId="71795FA2" w14:textId="77777777" w:rsidR="00067534" w:rsidRPr="00B83E1A" w:rsidRDefault="00067534" w:rsidP="004E65E7">
            <w:pPr>
              <w:rPr>
                <w:b/>
                <w:bCs/>
                <w:sz w:val="18"/>
                <w:szCs w:val="18"/>
                <w:lang w:val="es-ES"/>
              </w:rPr>
            </w:pPr>
          </w:p>
        </w:tc>
        <w:tc>
          <w:tcPr>
            <w:tcW w:w="2409" w:type="dxa"/>
            <w:vMerge w:val="restart"/>
          </w:tcPr>
          <w:p w14:paraId="5856B29A" w14:textId="77777777" w:rsidR="00067534" w:rsidRPr="00B83E1A" w:rsidRDefault="00067534" w:rsidP="004E65E7">
            <w:pPr>
              <w:rPr>
                <w:sz w:val="18"/>
                <w:szCs w:val="18"/>
                <w:lang w:val="es-ES"/>
              </w:rPr>
            </w:pPr>
            <w:r w:rsidRPr="00B83E1A">
              <w:rPr>
                <w:sz w:val="18"/>
                <w:szCs w:val="18"/>
                <w:lang w:val="es-ES"/>
              </w:rPr>
              <w:t>Resultado i) Mayor cooperación entre los Estados miembros en el ámbito del desarrollo del sistema internacional de P.I.</w:t>
            </w:r>
          </w:p>
          <w:p w14:paraId="110E9564" w14:textId="77777777" w:rsidR="00067534" w:rsidRPr="00B83E1A" w:rsidRDefault="00067534" w:rsidP="004E65E7">
            <w:pPr>
              <w:rPr>
                <w:b/>
                <w:bCs/>
                <w:sz w:val="18"/>
                <w:szCs w:val="18"/>
                <w:lang w:val="es-ES"/>
              </w:rPr>
            </w:pPr>
          </w:p>
        </w:tc>
        <w:tc>
          <w:tcPr>
            <w:tcW w:w="2410" w:type="dxa"/>
          </w:tcPr>
          <w:p w14:paraId="7785CFD4" w14:textId="77777777" w:rsidR="00067534" w:rsidRPr="00B83E1A" w:rsidRDefault="00067534" w:rsidP="004E65E7">
            <w:pPr>
              <w:rPr>
                <w:sz w:val="18"/>
                <w:szCs w:val="18"/>
                <w:lang w:val="es-ES"/>
              </w:rPr>
            </w:pPr>
            <w:r w:rsidRPr="00B83E1A">
              <w:rPr>
                <w:sz w:val="18"/>
                <w:szCs w:val="18"/>
                <w:lang w:val="es-ES"/>
              </w:rPr>
              <w:t>Acuerdo sobre un programa de trabajo del SCP y comienzo de su aplicación, y avances en cuestiones de interés común</w:t>
            </w:r>
          </w:p>
        </w:tc>
        <w:tc>
          <w:tcPr>
            <w:tcW w:w="3101" w:type="dxa"/>
            <w:gridSpan w:val="2"/>
          </w:tcPr>
          <w:p w14:paraId="6382E230" w14:textId="77777777" w:rsidR="00067534" w:rsidRPr="00B83E1A" w:rsidRDefault="00067534" w:rsidP="004E65E7">
            <w:pPr>
              <w:spacing w:after="120"/>
              <w:rPr>
                <w:sz w:val="18"/>
                <w:szCs w:val="18"/>
                <w:lang w:val="es-ES"/>
              </w:rPr>
            </w:pPr>
            <w:r w:rsidRPr="00B83E1A">
              <w:rPr>
                <w:sz w:val="18"/>
                <w:szCs w:val="18"/>
                <w:lang w:val="es-ES"/>
              </w:rPr>
              <w:t xml:space="preserve">El SCP ha centrado sus debates en las siguientes cuestiones:  i) excepciones y limitaciones a los derechos de patente (elaboración de un proyecto de cuestionario);  ii) calidad de las patentes, incluidos los procedimientos de oposición;  iii) patentes y salud;  iv) confidencialidad de las comunicaciones entre asesores de patente y sus clientes;  y v)  transferencia de tecnología.  </w:t>
            </w:r>
          </w:p>
        </w:tc>
      </w:tr>
      <w:tr w:rsidR="00067534" w:rsidRPr="00B83E1A" w14:paraId="25E8CEB2" w14:textId="77777777" w:rsidTr="002D0860">
        <w:trPr>
          <w:trHeight w:val="1268"/>
          <w:jc w:val="center"/>
        </w:trPr>
        <w:tc>
          <w:tcPr>
            <w:tcW w:w="1713" w:type="dxa"/>
            <w:vMerge/>
          </w:tcPr>
          <w:p w14:paraId="4DD80CDC" w14:textId="77777777" w:rsidR="00067534" w:rsidRPr="00B83E1A" w:rsidRDefault="00067534" w:rsidP="004E65E7">
            <w:pPr>
              <w:rPr>
                <w:b/>
                <w:bCs/>
                <w:sz w:val="18"/>
                <w:szCs w:val="18"/>
                <w:lang w:val="es-ES"/>
              </w:rPr>
            </w:pPr>
          </w:p>
        </w:tc>
        <w:tc>
          <w:tcPr>
            <w:tcW w:w="2409" w:type="dxa"/>
            <w:vMerge/>
          </w:tcPr>
          <w:p w14:paraId="747222F8" w14:textId="77777777" w:rsidR="00067534" w:rsidRPr="00B83E1A" w:rsidRDefault="00067534" w:rsidP="004E65E7">
            <w:pPr>
              <w:rPr>
                <w:b/>
                <w:bCs/>
                <w:sz w:val="18"/>
                <w:szCs w:val="18"/>
                <w:lang w:val="es-ES"/>
              </w:rPr>
            </w:pPr>
          </w:p>
        </w:tc>
        <w:tc>
          <w:tcPr>
            <w:tcW w:w="2410" w:type="dxa"/>
          </w:tcPr>
          <w:p w14:paraId="59B47622" w14:textId="77777777" w:rsidR="00067534" w:rsidRPr="00B83E1A" w:rsidRDefault="00067534" w:rsidP="004E65E7">
            <w:pPr>
              <w:rPr>
                <w:sz w:val="18"/>
                <w:szCs w:val="18"/>
                <w:lang w:val="es-ES"/>
              </w:rPr>
            </w:pPr>
            <w:r w:rsidRPr="00B83E1A">
              <w:rPr>
                <w:sz w:val="18"/>
                <w:szCs w:val="18"/>
                <w:lang w:val="es-ES"/>
              </w:rPr>
              <w:t>Mayor número de Partes Contratantes de los tratados administrados por la OMPI en el ámbito de las patentes</w:t>
            </w:r>
          </w:p>
        </w:tc>
        <w:tc>
          <w:tcPr>
            <w:tcW w:w="3101" w:type="dxa"/>
            <w:gridSpan w:val="2"/>
          </w:tcPr>
          <w:p w14:paraId="50FA1AF3" w14:textId="054B8AD8" w:rsidR="00067534" w:rsidRPr="00B83E1A" w:rsidRDefault="00067534" w:rsidP="004E65E7">
            <w:pPr>
              <w:rPr>
                <w:sz w:val="18"/>
                <w:szCs w:val="18"/>
                <w:lang w:val="es-ES"/>
              </w:rPr>
            </w:pPr>
            <w:r w:rsidRPr="00B83E1A">
              <w:rPr>
                <w:sz w:val="18"/>
                <w:szCs w:val="18"/>
                <w:lang w:val="es-ES"/>
              </w:rPr>
              <w:t>Finales de 2011:174 (Convenio de París)75 (Tratado de Budapest)30 (Tratado sobre el Derecho de Patentes)</w:t>
            </w:r>
          </w:p>
        </w:tc>
      </w:tr>
      <w:tr w:rsidR="00067534" w:rsidRPr="00B83E1A" w14:paraId="4C851DBA" w14:textId="77777777" w:rsidTr="004E65E7">
        <w:trPr>
          <w:trHeight w:val="195"/>
          <w:jc w:val="center"/>
        </w:trPr>
        <w:tc>
          <w:tcPr>
            <w:tcW w:w="1713" w:type="dxa"/>
            <w:vMerge/>
          </w:tcPr>
          <w:p w14:paraId="6F4E4426" w14:textId="77777777" w:rsidR="00067534" w:rsidRPr="00B83E1A" w:rsidRDefault="00067534" w:rsidP="004E65E7">
            <w:pPr>
              <w:rPr>
                <w:b/>
                <w:bCs/>
                <w:sz w:val="18"/>
                <w:szCs w:val="18"/>
                <w:lang w:val="es-ES"/>
              </w:rPr>
            </w:pPr>
          </w:p>
        </w:tc>
        <w:tc>
          <w:tcPr>
            <w:tcW w:w="2409" w:type="dxa"/>
          </w:tcPr>
          <w:p w14:paraId="28995C91" w14:textId="77777777" w:rsidR="00067534" w:rsidRPr="00B83E1A" w:rsidRDefault="00067534" w:rsidP="004E65E7">
            <w:pPr>
              <w:rPr>
                <w:sz w:val="18"/>
                <w:szCs w:val="18"/>
                <w:lang w:val="es-ES"/>
              </w:rPr>
            </w:pPr>
            <w:r w:rsidRPr="00B83E1A">
              <w:rPr>
                <w:sz w:val="18"/>
                <w:szCs w:val="18"/>
                <w:lang w:val="es-ES"/>
              </w:rPr>
              <w:t>Resultado ii) Mayor conciencia de los principios jurídicos, las prácticas y las flexibilidades del sistema de patentes.</w:t>
            </w:r>
          </w:p>
          <w:p w14:paraId="1E80FCC5" w14:textId="77777777" w:rsidR="00067534" w:rsidRPr="00B83E1A" w:rsidRDefault="00067534" w:rsidP="004E65E7">
            <w:pPr>
              <w:rPr>
                <w:b/>
                <w:bCs/>
                <w:sz w:val="18"/>
                <w:szCs w:val="18"/>
                <w:lang w:val="es-ES"/>
              </w:rPr>
            </w:pPr>
          </w:p>
        </w:tc>
        <w:tc>
          <w:tcPr>
            <w:tcW w:w="2410" w:type="dxa"/>
          </w:tcPr>
          <w:p w14:paraId="556DE017" w14:textId="77777777" w:rsidR="00067534" w:rsidRPr="00B83E1A" w:rsidRDefault="00067534" w:rsidP="004E65E7">
            <w:pPr>
              <w:rPr>
                <w:b/>
                <w:bCs/>
                <w:sz w:val="18"/>
                <w:szCs w:val="18"/>
                <w:lang w:val="es-ES"/>
              </w:rPr>
            </w:pPr>
            <w:r w:rsidRPr="00B83E1A">
              <w:rPr>
                <w:sz w:val="18"/>
                <w:szCs w:val="18"/>
                <w:lang w:val="es-ES"/>
              </w:rPr>
              <w:t>Mayor número de debates sobre los principios jurídicos y las prácticas del sistema de patentes, y mayor utilización de dichos principios y prácticas,</w:t>
            </w:r>
          </w:p>
        </w:tc>
        <w:tc>
          <w:tcPr>
            <w:tcW w:w="3101" w:type="dxa"/>
            <w:gridSpan w:val="2"/>
          </w:tcPr>
          <w:p w14:paraId="733AB9FA" w14:textId="77777777" w:rsidR="00067534" w:rsidRPr="00B83E1A" w:rsidRDefault="00067534" w:rsidP="004E65E7">
            <w:pPr>
              <w:rPr>
                <w:spacing w:val="-2"/>
                <w:sz w:val="18"/>
                <w:szCs w:val="18"/>
                <w:lang w:val="es-ES"/>
              </w:rPr>
            </w:pPr>
            <w:r w:rsidRPr="00B83E1A">
              <w:rPr>
                <w:sz w:val="18"/>
                <w:szCs w:val="18"/>
                <w:lang w:val="es-ES"/>
              </w:rPr>
              <w:t>A través del asesoramiento jurídico y político neutral y equilibrado, los Estados miembros (Bangladesh, Bosnia y Herzegovina, Bhután, Colombia, Ecuador, Egipto, Emiratos Árabes Unidos, Iraq, Islas Cook, Jamaica, Lituania, Líbano, Maldivas, Mauricio, Nigeria, Sudán y Sierra Leona), un grupo regional (COMESA) y una oficina regional (GCC) han recibido apoyo para poder determinar adecuadamente el marco jurídico en materia de patentes/modelos de utilidad /información reservada/ circuitos integrados que se ajusta a sus necesidades.</w:t>
            </w:r>
          </w:p>
          <w:p w14:paraId="55F0C62A" w14:textId="77777777" w:rsidR="00067534" w:rsidRPr="00B83E1A" w:rsidRDefault="00067534" w:rsidP="004E65E7">
            <w:pPr>
              <w:rPr>
                <w:sz w:val="18"/>
                <w:szCs w:val="18"/>
                <w:lang w:val="es-ES"/>
              </w:rPr>
            </w:pPr>
            <w:r w:rsidRPr="00B83E1A">
              <w:rPr>
                <w:sz w:val="18"/>
                <w:szCs w:val="18"/>
                <w:lang w:val="es-ES"/>
              </w:rPr>
              <w:t>En el CDIP se han debatido dos documentos sobre flexibilidades en materia de patentes;  en la región de Asia se celebró el primero de una serie de seminarios regionales orientados a promover el intercambio de experiencias en la puesta en práctica de flexibilidades en materia de patentes.</w:t>
            </w:r>
          </w:p>
          <w:p w14:paraId="3DEAA132" w14:textId="77777777" w:rsidR="00067534" w:rsidRPr="00B83E1A" w:rsidRDefault="00067534" w:rsidP="004E65E7">
            <w:pPr>
              <w:rPr>
                <w:sz w:val="18"/>
                <w:szCs w:val="18"/>
                <w:lang w:val="es-ES"/>
              </w:rPr>
            </w:pPr>
            <w:r w:rsidRPr="00B83E1A">
              <w:rPr>
                <w:sz w:val="18"/>
                <w:szCs w:val="18"/>
                <w:lang w:val="es-ES"/>
              </w:rPr>
              <w:t xml:space="preserve">Las consultas sobre una serie de derechos y políticas en materia de patente en las capitales (Beirut, Bogotá, Argel, Quito, la Oficina del GCC en Riad, COMESA en Lusaka, Daca) y las reuniones en Ginebra (con delegaciones de Colombia, Omán, las Islas Cook, Mauricio, Túnez, COMESA y Bangladesh) facilitaron una mejor comprensión </w:t>
            </w:r>
            <w:r w:rsidRPr="00B83E1A">
              <w:rPr>
                <w:sz w:val="18"/>
                <w:szCs w:val="18"/>
                <w:lang w:val="es-ES"/>
              </w:rPr>
              <w:lastRenderedPageBreak/>
              <w:t>del sistema y el derecho de patentes.  A ese mismo fin contribuyó la participación en seminarios/talleres nacionales/internacionales sobre política y derecho de patentes que se organizaron conjuntamente con administraciones de P.I. de los siguientes Estados miembros:  Colombia, Costa Rica, el Ecuador, Guatemala, Kenya, el Líbano, Panamá, Samoa, Siria y el Uruguay.</w:t>
            </w:r>
          </w:p>
          <w:p w14:paraId="6A9C4449" w14:textId="77777777" w:rsidR="00067534" w:rsidRPr="00B83E1A" w:rsidRDefault="00067534" w:rsidP="004E65E7">
            <w:pPr>
              <w:rPr>
                <w:sz w:val="18"/>
                <w:szCs w:val="18"/>
                <w:lang w:val="es-ES"/>
              </w:rPr>
            </w:pPr>
            <w:r w:rsidRPr="00B83E1A">
              <w:rPr>
                <w:sz w:val="18"/>
                <w:szCs w:val="18"/>
                <w:lang w:val="es-ES"/>
              </w:rPr>
              <w:t>Se proporcionaron directrices y otras aportaciones en forma de 12 respuestas escritas a consultas o documentos de políticas enviados para la formulación de observaciones (estrategias y/o planes de P.I.).</w:t>
            </w:r>
          </w:p>
          <w:p w14:paraId="4B8ECAD9" w14:textId="77777777" w:rsidR="00067534" w:rsidRPr="00B83E1A" w:rsidRDefault="00067534" w:rsidP="004E65E7">
            <w:pPr>
              <w:rPr>
                <w:sz w:val="18"/>
                <w:szCs w:val="18"/>
                <w:lang w:val="es-ES"/>
              </w:rPr>
            </w:pPr>
            <w:r w:rsidRPr="00B83E1A">
              <w:rPr>
                <w:sz w:val="18"/>
                <w:szCs w:val="18"/>
                <w:lang w:val="es-ES"/>
              </w:rPr>
              <w:t>Debates sobre varias cuestiones en materia de patentes en el SCP en los que participaron activamente los Estados miembros mediante el envío de observaciones, entre periodos de sesiones, y propuestas, en las sesiones del SCP.</w:t>
            </w:r>
          </w:p>
          <w:p w14:paraId="2C76A08C" w14:textId="77777777" w:rsidR="00B35257" w:rsidRPr="00B83E1A" w:rsidRDefault="00067534" w:rsidP="004E65E7">
            <w:pPr>
              <w:rPr>
                <w:sz w:val="18"/>
                <w:szCs w:val="18"/>
                <w:lang w:val="es-ES"/>
              </w:rPr>
            </w:pPr>
            <w:r w:rsidRPr="00B83E1A">
              <w:rPr>
                <w:sz w:val="18"/>
                <w:szCs w:val="18"/>
                <w:lang w:val="es-ES"/>
              </w:rPr>
              <w:t>Más de 70 Estados miembros y oficinas de patentes regionales respondieron a un cuestionario sobre excepciones y limitaciones del derecho de patentes</w:t>
            </w:r>
            <w:r w:rsidR="00B35257" w:rsidRPr="00B83E1A">
              <w:rPr>
                <w:sz w:val="18"/>
                <w:szCs w:val="18"/>
                <w:lang w:val="es-ES"/>
              </w:rPr>
              <w:t>.</w:t>
            </w:r>
          </w:p>
          <w:p w14:paraId="411B39CC" w14:textId="7D7FD761" w:rsidR="00067534" w:rsidRPr="00B83E1A" w:rsidRDefault="00067534" w:rsidP="002D0860">
            <w:pPr>
              <w:rPr>
                <w:sz w:val="18"/>
                <w:szCs w:val="18"/>
                <w:lang w:val="es-ES"/>
              </w:rPr>
            </w:pPr>
            <w:r w:rsidRPr="00B83E1A">
              <w:rPr>
                <w:sz w:val="18"/>
                <w:szCs w:val="18"/>
                <w:lang w:val="es-ES"/>
              </w:rPr>
              <w:t>El CDIP debatió un estudio sobre las patentes y el dominio público y se aprobó la puesta en marcha de un proyecto sobre patentes y dominio público.</w:t>
            </w:r>
          </w:p>
        </w:tc>
      </w:tr>
      <w:tr w:rsidR="00067534" w:rsidRPr="00B83E1A" w14:paraId="6A88FC0F" w14:textId="77777777" w:rsidTr="002D0860">
        <w:trPr>
          <w:trHeight w:val="4264"/>
          <w:jc w:val="center"/>
        </w:trPr>
        <w:tc>
          <w:tcPr>
            <w:tcW w:w="1713" w:type="dxa"/>
            <w:vMerge w:val="restart"/>
          </w:tcPr>
          <w:p w14:paraId="29D24183" w14:textId="77777777" w:rsidR="00067534" w:rsidRPr="00B83E1A" w:rsidRDefault="00067534" w:rsidP="004E65E7">
            <w:pPr>
              <w:rPr>
                <w:i/>
                <w:sz w:val="18"/>
                <w:szCs w:val="18"/>
                <w:lang w:val="es-ES"/>
              </w:rPr>
            </w:pPr>
            <w:r w:rsidRPr="00B83E1A">
              <w:rPr>
                <w:i/>
                <w:sz w:val="18"/>
                <w:szCs w:val="18"/>
                <w:lang w:val="es-ES"/>
              </w:rPr>
              <w:lastRenderedPageBreak/>
              <w:t>Meta estratégica III:  Facilitar el uso de la P.I. en aras del desarrollo</w:t>
            </w:r>
          </w:p>
          <w:p w14:paraId="0228095F" w14:textId="77777777" w:rsidR="00067534" w:rsidRPr="00B83E1A" w:rsidRDefault="00067534" w:rsidP="004E65E7">
            <w:pPr>
              <w:rPr>
                <w:b/>
                <w:bCs/>
                <w:sz w:val="18"/>
                <w:szCs w:val="18"/>
                <w:lang w:val="es-ES"/>
              </w:rPr>
            </w:pPr>
          </w:p>
        </w:tc>
        <w:tc>
          <w:tcPr>
            <w:tcW w:w="2409" w:type="dxa"/>
          </w:tcPr>
          <w:p w14:paraId="54FC3FA0" w14:textId="77777777" w:rsidR="00067534" w:rsidRPr="00B83E1A" w:rsidRDefault="00067534" w:rsidP="004E65E7">
            <w:pPr>
              <w:rPr>
                <w:b/>
                <w:bCs/>
                <w:sz w:val="18"/>
                <w:szCs w:val="18"/>
                <w:lang w:val="es-ES"/>
              </w:rPr>
            </w:pPr>
            <w:r w:rsidRPr="00B83E1A">
              <w:rPr>
                <w:sz w:val="18"/>
                <w:szCs w:val="18"/>
                <w:lang w:val="es-ES"/>
              </w:rPr>
              <w:t>Resultado i) Los principios de la Agenda para el Desarrollo siguen incorporándose en los programas y actividades de la Organización.</w:t>
            </w:r>
          </w:p>
        </w:tc>
        <w:tc>
          <w:tcPr>
            <w:tcW w:w="2410" w:type="dxa"/>
          </w:tcPr>
          <w:p w14:paraId="6C21CD38" w14:textId="77777777" w:rsidR="00067534" w:rsidRPr="00B83E1A" w:rsidRDefault="00067534" w:rsidP="004E65E7">
            <w:pPr>
              <w:rPr>
                <w:sz w:val="18"/>
                <w:szCs w:val="18"/>
                <w:lang w:val="es-ES"/>
              </w:rPr>
            </w:pPr>
            <w:r w:rsidRPr="00B83E1A">
              <w:rPr>
                <w:bCs/>
                <w:sz w:val="18"/>
                <w:szCs w:val="18"/>
                <w:lang w:val="es-ES"/>
              </w:rPr>
              <w:t>Todas las actividades de la OMPI se emprenden en sintonía con los principios de la Agenda para el Desarrollo.</w:t>
            </w:r>
          </w:p>
        </w:tc>
        <w:tc>
          <w:tcPr>
            <w:tcW w:w="3101" w:type="dxa"/>
            <w:gridSpan w:val="2"/>
          </w:tcPr>
          <w:p w14:paraId="55677427" w14:textId="77777777" w:rsidR="00B35257" w:rsidRPr="00B83E1A" w:rsidRDefault="00067534" w:rsidP="004E65E7">
            <w:pPr>
              <w:rPr>
                <w:bCs/>
                <w:sz w:val="18"/>
                <w:szCs w:val="18"/>
                <w:lang w:val="es-ES"/>
              </w:rPr>
            </w:pPr>
            <w:r w:rsidRPr="00B83E1A">
              <w:rPr>
                <w:bCs/>
                <w:sz w:val="18"/>
                <w:szCs w:val="18"/>
                <w:lang w:val="es-ES"/>
              </w:rPr>
              <w:t>40 de los 60 resultados esperados (en las siete metas estratégicas sustantivas) en el presupuesto por programas del bienio 2012-2013 tienen una cuota asignada al desarrollo</w:t>
            </w:r>
            <w:r w:rsidR="00B35257" w:rsidRPr="00B83E1A">
              <w:rPr>
                <w:bCs/>
                <w:sz w:val="18"/>
                <w:szCs w:val="18"/>
                <w:lang w:val="es-ES"/>
              </w:rPr>
              <w:t>.</w:t>
            </w:r>
          </w:p>
          <w:p w14:paraId="68CDE1C7" w14:textId="5DF9DB85" w:rsidR="00067534" w:rsidRPr="00B83E1A" w:rsidRDefault="00067534" w:rsidP="004E65E7">
            <w:pPr>
              <w:rPr>
                <w:bCs/>
                <w:sz w:val="18"/>
                <w:szCs w:val="18"/>
                <w:lang w:val="es-ES"/>
              </w:rPr>
            </w:pPr>
          </w:p>
          <w:p w14:paraId="3D5B8ED2" w14:textId="77777777" w:rsidR="00067534" w:rsidRPr="00B83E1A" w:rsidRDefault="00067534" w:rsidP="004E65E7">
            <w:pPr>
              <w:rPr>
                <w:bCs/>
                <w:sz w:val="18"/>
                <w:szCs w:val="18"/>
                <w:lang w:val="es-ES"/>
              </w:rPr>
            </w:pPr>
            <w:r w:rsidRPr="00B83E1A">
              <w:rPr>
                <w:bCs/>
                <w:sz w:val="18"/>
                <w:szCs w:val="18"/>
                <w:lang w:val="es-ES"/>
              </w:rPr>
              <w:t>Se incorporaron las 45 recomendaciones de la Agenda para el Desarrollo al plan estratégico a mediano plazo.</w:t>
            </w:r>
          </w:p>
          <w:p w14:paraId="7C82EDF8" w14:textId="77777777" w:rsidR="00067534" w:rsidRPr="00B83E1A" w:rsidRDefault="00067534" w:rsidP="004E65E7">
            <w:pPr>
              <w:rPr>
                <w:bCs/>
                <w:sz w:val="18"/>
                <w:szCs w:val="18"/>
                <w:lang w:val="es-ES"/>
              </w:rPr>
            </w:pPr>
          </w:p>
          <w:p w14:paraId="2D106F42" w14:textId="75D9D30E" w:rsidR="00067534" w:rsidRPr="00B83E1A" w:rsidRDefault="00067534" w:rsidP="002D0860">
            <w:pPr>
              <w:rPr>
                <w:sz w:val="18"/>
                <w:szCs w:val="18"/>
                <w:lang w:val="es-ES"/>
              </w:rPr>
            </w:pPr>
            <w:r w:rsidRPr="00B83E1A">
              <w:rPr>
                <w:bCs/>
                <w:sz w:val="18"/>
                <w:szCs w:val="18"/>
                <w:lang w:val="es-ES"/>
              </w:rPr>
              <w:t>El informe sobre el rendimiento incluía una sección para recoger la aplicación de las recomendaciones y los proyectos de la Agenda para el Desarrollo.</w:t>
            </w:r>
          </w:p>
        </w:tc>
      </w:tr>
      <w:tr w:rsidR="00067534" w:rsidRPr="00B83E1A" w14:paraId="7A46FBC2" w14:textId="77777777" w:rsidTr="004E65E7">
        <w:trPr>
          <w:trHeight w:val="195"/>
          <w:jc w:val="center"/>
        </w:trPr>
        <w:tc>
          <w:tcPr>
            <w:tcW w:w="1713" w:type="dxa"/>
            <w:vMerge/>
          </w:tcPr>
          <w:p w14:paraId="243AB76C" w14:textId="77777777" w:rsidR="00067534" w:rsidRPr="00B83E1A" w:rsidRDefault="00067534" w:rsidP="004E65E7">
            <w:pPr>
              <w:rPr>
                <w:b/>
                <w:bCs/>
                <w:sz w:val="18"/>
                <w:szCs w:val="18"/>
                <w:lang w:val="es-ES"/>
              </w:rPr>
            </w:pPr>
          </w:p>
        </w:tc>
        <w:tc>
          <w:tcPr>
            <w:tcW w:w="2409" w:type="dxa"/>
            <w:vMerge w:val="restart"/>
          </w:tcPr>
          <w:p w14:paraId="7B9B7A41" w14:textId="77777777" w:rsidR="00067534" w:rsidRPr="00B83E1A" w:rsidRDefault="00067534" w:rsidP="004E65E7">
            <w:pPr>
              <w:rPr>
                <w:b/>
                <w:bCs/>
                <w:sz w:val="18"/>
                <w:szCs w:val="18"/>
                <w:lang w:val="es-ES"/>
              </w:rPr>
            </w:pPr>
            <w:r w:rsidRPr="00B83E1A">
              <w:rPr>
                <w:sz w:val="18"/>
                <w:szCs w:val="18"/>
                <w:lang w:val="es-ES"/>
              </w:rPr>
              <w:t>Resultado ii) Eficacia en la supervisión, evaluación y presentación de informes sobre las recomendaciones de la Agenda para el Desarrollo.</w:t>
            </w:r>
          </w:p>
        </w:tc>
        <w:tc>
          <w:tcPr>
            <w:tcW w:w="2410" w:type="dxa"/>
          </w:tcPr>
          <w:p w14:paraId="16AE0F85" w14:textId="77777777" w:rsidR="00067534" w:rsidRPr="00B83E1A" w:rsidRDefault="00067534" w:rsidP="004E65E7">
            <w:pPr>
              <w:rPr>
                <w:bCs/>
                <w:sz w:val="18"/>
                <w:szCs w:val="18"/>
                <w:lang w:val="es-ES"/>
              </w:rPr>
            </w:pPr>
            <w:r w:rsidRPr="00B83E1A">
              <w:rPr>
                <w:bCs/>
                <w:sz w:val="18"/>
                <w:szCs w:val="18"/>
                <w:lang w:val="es-ES"/>
              </w:rPr>
              <w:t>Los sistemas de supervisión se utilizan en todos los proyectos y se aplican para la toma de decisiones.</w:t>
            </w:r>
          </w:p>
        </w:tc>
        <w:tc>
          <w:tcPr>
            <w:tcW w:w="3101" w:type="dxa"/>
            <w:gridSpan w:val="2"/>
          </w:tcPr>
          <w:p w14:paraId="2E961731" w14:textId="77777777" w:rsidR="00067534" w:rsidRPr="00B83E1A" w:rsidRDefault="00067534" w:rsidP="004E65E7">
            <w:pPr>
              <w:rPr>
                <w:bCs/>
                <w:sz w:val="18"/>
                <w:szCs w:val="18"/>
                <w:lang w:val="es-ES"/>
              </w:rPr>
            </w:pPr>
            <w:r w:rsidRPr="00B83E1A">
              <w:rPr>
                <w:bCs/>
                <w:sz w:val="18"/>
                <w:szCs w:val="18"/>
                <w:lang w:val="es-ES"/>
              </w:rPr>
              <w:t>Los directores de proyecto utilizaron un sistema sólido de supervisión para el seguimiento de la ejecución de los 23 proyectos en curso.</w:t>
            </w:r>
          </w:p>
          <w:p w14:paraId="4082B1D4" w14:textId="77777777" w:rsidR="002D0860" w:rsidRPr="00B83E1A" w:rsidRDefault="002D0860" w:rsidP="004E65E7">
            <w:pPr>
              <w:rPr>
                <w:bCs/>
                <w:sz w:val="18"/>
                <w:szCs w:val="18"/>
                <w:lang w:val="es-ES"/>
              </w:rPr>
            </w:pPr>
          </w:p>
          <w:p w14:paraId="4F047D47" w14:textId="77777777" w:rsidR="00067534" w:rsidRPr="00B83E1A" w:rsidRDefault="00067534" w:rsidP="004E65E7">
            <w:pPr>
              <w:spacing w:after="120"/>
              <w:rPr>
                <w:sz w:val="18"/>
                <w:szCs w:val="18"/>
                <w:lang w:val="es-ES"/>
              </w:rPr>
            </w:pPr>
            <w:r w:rsidRPr="00B83E1A">
              <w:rPr>
                <w:bCs/>
                <w:sz w:val="18"/>
                <w:szCs w:val="18"/>
                <w:lang w:val="es-ES"/>
              </w:rPr>
              <w:lastRenderedPageBreak/>
              <w:t>Se inició la evaluación externa de seis proyectos concluidos.</w:t>
            </w:r>
          </w:p>
        </w:tc>
      </w:tr>
      <w:tr w:rsidR="00067534" w:rsidRPr="00B83E1A" w14:paraId="372BB97F" w14:textId="77777777" w:rsidTr="004E65E7">
        <w:trPr>
          <w:trHeight w:val="195"/>
          <w:jc w:val="center"/>
        </w:trPr>
        <w:tc>
          <w:tcPr>
            <w:tcW w:w="1713" w:type="dxa"/>
            <w:vMerge/>
          </w:tcPr>
          <w:p w14:paraId="1035420F" w14:textId="77777777" w:rsidR="00067534" w:rsidRPr="00B83E1A" w:rsidRDefault="00067534" w:rsidP="004E65E7">
            <w:pPr>
              <w:rPr>
                <w:b/>
                <w:bCs/>
                <w:sz w:val="18"/>
                <w:szCs w:val="18"/>
                <w:lang w:val="es-ES"/>
              </w:rPr>
            </w:pPr>
          </w:p>
        </w:tc>
        <w:tc>
          <w:tcPr>
            <w:tcW w:w="2409" w:type="dxa"/>
            <w:vMerge/>
          </w:tcPr>
          <w:p w14:paraId="6633E13C" w14:textId="77777777" w:rsidR="00067534" w:rsidRPr="00B83E1A" w:rsidRDefault="00067534" w:rsidP="004E65E7">
            <w:pPr>
              <w:rPr>
                <w:b/>
                <w:bCs/>
                <w:sz w:val="18"/>
                <w:szCs w:val="18"/>
                <w:lang w:val="es-ES"/>
              </w:rPr>
            </w:pPr>
          </w:p>
        </w:tc>
        <w:tc>
          <w:tcPr>
            <w:tcW w:w="2410" w:type="dxa"/>
          </w:tcPr>
          <w:p w14:paraId="6F54A5F1" w14:textId="77777777" w:rsidR="00067534" w:rsidRPr="00B83E1A" w:rsidRDefault="00067534" w:rsidP="004E65E7">
            <w:pPr>
              <w:rPr>
                <w:bCs/>
                <w:sz w:val="18"/>
                <w:szCs w:val="18"/>
                <w:lang w:val="es-ES"/>
              </w:rPr>
            </w:pPr>
            <w:r w:rsidRPr="00B83E1A">
              <w:rPr>
                <w:bCs/>
                <w:sz w:val="18"/>
                <w:szCs w:val="18"/>
                <w:lang w:val="es-ES"/>
              </w:rPr>
              <w:t>Las recomendaciones resultantes de la supervisión y la evaluación se aplican con éxito.</w:t>
            </w:r>
          </w:p>
        </w:tc>
        <w:tc>
          <w:tcPr>
            <w:tcW w:w="3101" w:type="dxa"/>
            <w:gridSpan w:val="2"/>
          </w:tcPr>
          <w:p w14:paraId="1D6F0504" w14:textId="77777777" w:rsidR="00067534" w:rsidRPr="00B83E1A" w:rsidRDefault="00067534" w:rsidP="004E65E7">
            <w:pPr>
              <w:rPr>
                <w:bCs/>
                <w:sz w:val="18"/>
                <w:szCs w:val="18"/>
                <w:lang w:val="es-ES"/>
              </w:rPr>
            </w:pPr>
            <w:r w:rsidRPr="00B83E1A">
              <w:rPr>
                <w:bCs/>
                <w:sz w:val="18"/>
                <w:szCs w:val="18"/>
                <w:lang w:val="es-ES"/>
              </w:rPr>
              <w:t>Se presentaron dos Informes del Director General sobre la aplicación de la Agenda para el Desarrollo en la quinta y séptima sesiones del CDIP.</w:t>
            </w:r>
          </w:p>
          <w:p w14:paraId="472024AC" w14:textId="4B00592D" w:rsidR="00067534" w:rsidRPr="00B83E1A" w:rsidRDefault="00067534" w:rsidP="004E65E7">
            <w:pPr>
              <w:spacing w:after="120"/>
              <w:rPr>
                <w:sz w:val="18"/>
                <w:szCs w:val="18"/>
                <w:lang w:val="es-ES"/>
              </w:rPr>
            </w:pPr>
            <w:r w:rsidRPr="00B83E1A">
              <w:rPr>
                <w:bCs/>
                <w:sz w:val="18"/>
                <w:szCs w:val="18"/>
                <w:lang w:val="es-ES"/>
              </w:rPr>
              <w:t>Se presentaron cuatro informes sobre la marcha de la labor relativa a las recomendaciones que deben aplicarse inmediatamente y sobre proyectos de la Agenda para el Desarrollo en la sexta y octava sesiones del CDIP</w:t>
            </w:r>
            <w:r w:rsidR="009A700A" w:rsidRPr="00B83E1A">
              <w:rPr>
                <w:bCs/>
                <w:sz w:val="18"/>
                <w:szCs w:val="18"/>
                <w:lang w:val="es-ES"/>
              </w:rPr>
              <w:t>.  C</w:t>
            </w:r>
            <w:r w:rsidRPr="00B83E1A">
              <w:rPr>
                <w:bCs/>
                <w:sz w:val="18"/>
                <w:szCs w:val="18"/>
                <w:lang w:val="es-ES"/>
              </w:rPr>
              <w:t>ada uno de los informes tuvo ocasión de recibir orientación de los Estados miembros en relación al contenido y la presentación.</w:t>
            </w:r>
          </w:p>
        </w:tc>
      </w:tr>
      <w:tr w:rsidR="00067534" w:rsidRPr="00B83E1A" w14:paraId="3038E264" w14:textId="77777777" w:rsidTr="004E65E7">
        <w:trPr>
          <w:trHeight w:val="195"/>
          <w:jc w:val="center"/>
        </w:trPr>
        <w:tc>
          <w:tcPr>
            <w:tcW w:w="1713" w:type="dxa"/>
            <w:vMerge/>
          </w:tcPr>
          <w:p w14:paraId="2377FCE7" w14:textId="77777777" w:rsidR="00067534" w:rsidRPr="00B83E1A" w:rsidRDefault="00067534" w:rsidP="004E65E7">
            <w:pPr>
              <w:rPr>
                <w:b/>
                <w:bCs/>
                <w:sz w:val="18"/>
                <w:szCs w:val="18"/>
                <w:lang w:val="es-ES"/>
              </w:rPr>
            </w:pPr>
          </w:p>
        </w:tc>
        <w:tc>
          <w:tcPr>
            <w:tcW w:w="2409" w:type="dxa"/>
            <w:vMerge/>
          </w:tcPr>
          <w:p w14:paraId="4D2DF37F" w14:textId="77777777" w:rsidR="00067534" w:rsidRPr="00B83E1A" w:rsidRDefault="00067534" w:rsidP="004E65E7">
            <w:pPr>
              <w:rPr>
                <w:b/>
                <w:bCs/>
                <w:sz w:val="18"/>
                <w:szCs w:val="18"/>
                <w:lang w:val="es-ES"/>
              </w:rPr>
            </w:pPr>
          </w:p>
        </w:tc>
        <w:tc>
          <w:tcPr>
            <w:tcW w:w="2410" w:type="dxa"/>
          </w:tcPr>
          <w:p w14:paraId="76E33736" w14:textId="77777777" w:rsidR="00067534" w:rsidRPr="00B83E1A" w:rsidRDefault="00067534" w:rsidP="004E65E7">
            <w:pPr>
              <w:spacing w:after="120"/>
              <w:rPr>
                <w:bCs/>
                <w:sz w:val="18"/>
                <w:szCs w:val="18"/>
                <w:lang w:val="es-ES"/>
              </w:rPr>
            </w:pPr>
            <w:r w:rsidRPr="00B83E1A">
              <w:rPr>
                <w:bCs/>
                <w:sz w:val="18"/>
                <w:szCs w:val="18"/>
                <w:lang w:val="es-ES"/>
              </w:rPr>
              <w:t>Número de evaluaciones internas e independientes realizadas durante el bienio.</w:t>
            </w:r>
          </w:p>
        </w:tc>
        <w:tc>
          <w:tcPr>
            <w:tcW w:w="3101" w:type="dxa"/>
            <w:gridSpan w:val="2"/>
          </w:tcPr>
          <w:p w14:paraId="05C9F7ED" w14:textId="77777777" w:rsidR="00067534" w:rsidRPr="00B83E1A" w:rsidRDefault="00067534" w:rsidP="004E65E7">
            <w:pPr>
              <w:rPr>
                <w:sz w:val="18"/>
                <w:szCs w:val="18"/>
                <w:lang w:val="es-ES"/>
              </w:rPr>
            </w:pPr>
            <w:r w:rsidRPr="00B83E1A">
              <w:rPr>
                <w:bCs/>
                <w:sz w:val="18"/>
                <w:szCs w:val="18"/>
                <w:lang w:val="es-ES"/>
              </w:rPr>
              <w:t>Durante el bienio se realizaron 19 autoevaluaciones de proyectos de la Agenda para el Desarrollo.</w:t>
            </w:r>
          </w:p>
        </w:tc>
      </w:tr>
      <w:tr w:rsidR="00067534" w:rsidRPr="00B83E1A" w14:paraId="6243567D" w14:textId="77777777" w:rsidTr="002D0860">
        <w:trPr>
          <w:trHeight w:val="3730"/>
          <w:jc w:val="center"/>
        </w:trPr>
        <w:tc>
          <w:tcPr>
            <w:tcW w:w="1713" w:type="dxa"/>
            <w:vMerge/>
          </w:tcPr>
          <w:p w14:paraId="1151DF03" w14:textId="77777777" w:rsidR="00067534" w:rsidRPr="00B83E1A" w:rsidRDefault="00067534" w:rsidP="004E65E7">
            <w:pPr>
              <w:rPr>
                <w:b/>
                <w:bCs/>
                <w:sz w:val="18"/>
                <w:szCs w:val="18"/>
                <w:lang w:val="es-ES"/>
              </w:rPr>
            </w:pPr>
          </w:p>
        </w:tc>
        <w:tc>
          <w:tcPr>
            <w:tcW w:w="2409" w:type="dxa"/>
            <w:vMerge w:val="restart"/>
          </w:tcPr>
          <w:p w14:paraId="0CE530E9" w14:textId="77777777" w:rsidR="00067534" w:rsidRPr="00B83E1A" w:rsidRDefault="00067534" w:rsidP="004E65E7">
            <w:pPr>
              <w:rPr>
                <w:b/>
                <w:bCs/>
                <w:sz w:val="18"/>
                <w:szCs w:val="18"/>
                <w:lang w:val="es-ES"/>
              </w:rPr>
            </w:pPr>
            <w:r w:rsidRPr="00B83E1A">
              <w:rPr>
                <w:sz w:val="18"/>
                <w:szCs w:val="18"/>
                <w:lang w:val="es-ES"/>
              </w:rPr>
              <w:t>Resultado i) Políticas y estrategias nacionales de P.I. y planes de acción por país que estén en concordancia con los planes y prioridades de desarrollo.</w:t>
            </w:r>
          </w:p>
        </w:tc>
        <w:tc>
          <w:tcPr>
            <w:tcW w:w="2410" w:type="dxa"/>
          </w:tcPr>
          <w:p w14:paraId="4F9224AC" w14:textId="77777777" w:rsidR="00067534" w:rsidRPr="00B83E1A" w:rsidRDefault="00067534" w:rsidP="004E65E7">
            <w:pPr>
              <w:rPr>
                <w:sz w:val="18"/>
                <w:szCs w:val="18"/>
                <w:lang w:val="es-ES"/>
              </w:rPr>
            </w:pPr>
            <w:r w:rsidRPr="00B83E1A">
              <w:rPr>
                <w:sz w:val="18"/>
                <w:szCs w:val="18"/>
                <w:lang w:val="es-ES"/>
              </w:rPr>
              <w:t>Hasta cinco países han iniciado el proceso de formulación de políticas y estrategias de P.I., cuatro países han adoptado políticas y estrategias de P.I. y tres países están ejecutando planes nacionales de P.I.</w:t>
            </w:r>
          </w:p>
        </w:tc>
        <w:tc>
          <w:tcPr>
            <w:tcW w:w="3101" w:type="dxa"/>
            <w:gridSpan w:val="2"/>
          </w:tcPr>
          <w:p w14:paraId="3495C602" w14:textId="77777777" w:rsidR="00067534" w:rsidRPr="00B83E1A" w:rsidRDefault="00067534" w:rsidP="004E65E7">
            <w:pPr>
              <w:rPr>
                <w:bCs/>
                <w:sz w:val="18"/>
                <w:szCs w:val="18"/>
                <w:lang w:val="es-ES"/>
              </w:rPr>
            </w:pPr>
            <w:r w:rsidRPr="00B83E1A">
              <w:rPr>
                <w:bCs/>
                <w:sz w:val="18"/>
                <w:szCs w:val="18"/>
                <w:u w:val="single"/>
                <w:lang w:val="es-ES"/>
              </w:rPr>
              <w:t>Se inició el proceso de formulación de políticas/estrategias de P.I. en:</w:t>
            </w:r>
            <w:r w:rsidRPr="00B83E1A">
              <w:rPr>
                <w:bCs/>
                <w:sz w:val="18"/>
                <w:szCs w:val="18"/>
                <w:lang w:val="es-ES"/>
              </w:rPr>
              <w:t xml:space="preserve">  Botswana, Burundi, el Camerún, el Congo, Ghana, Lesotho, Malí, Nigeria, la República Centroafricana, la República Democrática del Congo, Tanzanía, el Togo y Sierra Leona (13 países).</w:t>
            </w:r>
          </w:p>
          <w:p w14:paraId="70DA074D" w14:textId="77777777" w:rsidR="00067534" w:rsidRPr="00B83E1A" w:rsidRDefault="00067534" w:rsidP="004E65E7">
            <w:pPr>
              <w:rPr>
                <w:bCs/>
                <w:sz w:val="18"/>
                <w:szCs w:val="18"/>
                <w:lang w:val="es-ES"/>
              </w:rPr>
            </w:pPr>
            <w:r w:rsidRPr="00B83E1A">
              <w:rPr>
                <w:bCs/>
                <w:sz w:val="18"/>
                <w:szCs w:val="18"/>
                <w:u w:val="single"/>
                <w:lang w:val="es-ES"/>
              </w:rPr>
              <w:t>Se aprobaron políticas/estrategias de P.I. en:</w:t>
            </w:r>
            <w:r w:rsidRPr="00B83E1A">
              <w:rPr>
                <w:bCs/>
                <w:sz w:val="18"/>
                <w:szCs w:val="18"/>
                <w:lang w:val="es-ES"/>
              </w:rPr>
              <w:t xml:space="preserve"> </w:t>
            </w:r>
            <w:r w:rsidRPr="00B83E1A">
              <w:rPr>
                <w:bCs/>
                <w:sz w:val="18"/>
                <w:szCs w:val="18"/>
                <w:u w:val="single"/>
                <w:lang w:val="es-ES"/>
              </w:rPr>
              <w:t xml:space="preserve"> </w:t>
            </w:r>
            <w:r w:rsidRPr="00B83E1A">
              <w:rPr>
                <w:bCs/>
                <w:sz w:val="18"/>
                <w:szCs w:val="18"/>
                <w:lang w:val="es-ES"/>
              </w:rPr>
              <w:t>Mauricio, Rwanda, el Senegal y Seychelles (4 países).</w:t>
            </w:r>
          </w:p>
          <w:p w14:paraId="60BD8926" w14:textId="70ECF897" w:rsidR="00067534" w:rsidRPr="00B83E1A" w:rsidRDefault="00067534" w:rsidP="004E65E7">
            <w:pPr>
              <w:rPr>
                <w:sz w:val="18"/>
                <w:szCs w:val="18"/>
                <w:lang w:val="es-ES"/>
              </w:rPr>
            </w:pPr>
            <w:r w:rsidRPr="00B83E1A">
              <w:rPr>
                <w:bCs/>
                <w:sz w:val="18"/>
                <w:szCs w:val="18"/>
                <w:u w:val="single"/>
                <w:lang w:val="es-ES"/>
              </w:rPr>
              <w:t xml:space="preserve">Se están aplicando políticas/estrategias de P.I. en </w:t>
            </w:r>
            <w:r w:rsidRPr="00B83E1A">
              <w:rPr>
                <w:bCs/>
                <w:sz w:val="18"/>
                <w:szCs w:val="18"/>
                <w:lang w:val="es-ES"/>
              </w:rPr>
              <w:t>Liberia, Mauricio, Rwanda, el Senegal, Seychelles y Zambia (6 países).</w:t>
            </w:r>
          </w:p>
        </w:tc>
      </w:tr>
      <w:tr w:rsidR="00067534" w:rsidRPr="00B83E1A" w14:paraId="57F78468" w14:textId="77777777" w:rsidTr="002D0860">
        <w:trPr>
          <w:trHeight w:val="2110"/>
          <w:jc w:val="center"/>
        </w:trPr>
        <w:tc>
          <w:tcPr>
            <w:tcW w:w="1713" w:type="dxa"/>
            <w:vMerge/>
          </w:tcPr>
          <w:p w14:paraId="4C59D187" w14:textId="77777777" w:rsidR="00067534" w:rsidRPr="00B83E1A" w:rsidRDefault="00067534" w:rsidP="004E65E7">
            <w:pPr>
              <w:rPr>
                <w:b/>
                <w:bCs/>
                <w:sz w:val="18"/>
                <w:szCs w:val="18"/>
                <w:lang w:val="es-ES"/>
              </w:rPr>
            </w:pPr>
          </w:p>
        </w:tc>
        <w:tc>
          <w:tcPr>
            <w:tcW w:w="2409" w:type="dxa"/>
            <w:vMerge/>
          </w:tcPr>
          <w:p w14:paraId="2CC7F2E6" w14:textId="77777777" w:rsidR="00067534" w:rsidRPr="00B83E1A" w:rsidRDefault="00067534" w:rsidP="004E65E7">
            <w:pPr>
              <w:rPr>
                <w:b/>
                <w:bCs/>
                <w:sz w:val="18"/>
                <w:szCs w:val="18"/>
                <w:lang w:val="es-ES"/>
              </w:rPr>
            </w:pPr>
          </w:p>
        </w:tc>
        <w:tc>
          <w:tcPr>
            <w:tcW w:w="2410" w:type="dxa"/>
          </w:tcPr>
          <w:p w14:paraId="0DBE26A4" w14:textId="77777777" w:rsidR="00067534" w:rsidRPr="00B83E1A" w:rsidRDefault="00067534" w:rsidP="004E65E7">
            <w:pPr>
              <w:rPr>
                <w:sz w:val="18"/>
                <w:szCs w:val="18"/>
                <w:lang w:val="es-ES"/>
              </w:rPr>
            </w:pPr>
            <w:r w:rsidRPr="00B83E1A">
              <w:rPr>
                <w:sz w:val="18"/>
                <w:szCs w:val="18"/>
                <w:lang w:val="es-ES"/>
              </w:rPr>
              <w:t>Dos planes de acción para respaldar las políticas/estrategias regionales en el ámbito de los conocimientos tradicionales y las expresiones culturales tradicionales en el marco de la OAPI y la ARIPO.</w:t>
            </w:r>
          </w:p>
        </w:tc>
        <w:tc>
          <w:tcPr>
            <w:tcW w:w="3101" w:type="dxa"/>
            <w:gridSpan w:val="2"/>
          </w:tcPr>
          <w:p w14:paraId="09352C77" w14:textId="4E09AC3F" w:rsidR="00067534" w:rsidRPr="00B83E1A" w:rsidRDefault="00067534" w:rsidP="002D0860">
            <w:pPr>
              <w:rPr>
                <w:sz w:val="18"/>
                <w:szCs w:val="18"/>
                <w:lang w:val="es-ES"/>
              </w:rPr>
            </w:pPr>
            <w:r w:rsidRPr="00B83E1A">
              <w:rPr>
                <w:sz w:val="18"/>
                <w:szCs w:val="18"/>
                <w:lang w:val="es-ES"/>
              </w:rPr>
              <w:t xml:space="preserve">Se aprobó el protocolo de la ARIPO sobre conocimientos tradicionales y expresiones del folklore y un plan de trabajo para la aplicación del protocolo;  la aplicación se inició en 2011 con la formación de los altos funcionarios para facilitar la promulgación de legislación nacional. </w:t>
            </w:r>
          </w:p>
        </w:tc>
      </w:tr>
      <w:tr w:rsidR="00067534" w:rsidRPr="00B83E1A" w14:paraId="1963B0F3" w14:textId="77777777" w:rsidTr="004E65E7">
        <w:trPr>
          <w:trHeight w:val="195"/>
          <w:jc w:val="center"/>
        </w:trPr>
        <w:tc>
          <w:tcPr>
            <w:tcW w:w="1713" w:type="dxa"/>
            <w:vMerge/>
          </w:tcPr>
          <w:p w14:paraId="4D9F65F1" w14:textId="77777777" w:rsidR="00067534" w:rsidRPr="00B83E1A" w:rsidRDefault="00067534" w:rsidP="004E65E7">
            <w:pPr>
              <w:rPr>
                <w:b/>
                <w:bCs/>
                <w:sz w:val="18"/>
                <w:szCs w:val="18"/>
                <w:lang w:val="es-ES"/>
              </w:rPr>
            </w:pPr>
          </w:p>
        </w:tc>
        <w:tc>
          <w:tcPr>
            <w:tcW w:w="2409" w:type="dxa"/>
            <w:vMerge/>
          </w:tcPr>
          <w:p w14:paraId="7716B86C" w14:textId="77777777" w:rsidR="00067534" w:rsidRPr="00B83E1A" w:rsidRDefault="00067534" w:rsidP="004E65E7">
            <w:pPr>
              <w:rPr>
                <w:b/>
                <w:bCs/>
                <w:sz w:val="18"/>
                <w:szCs w:val="18"/>
                <w:lang w:val="es-ES"/>
              </w:rPr>
            </w:pPr>
          </w:p>
        </w:tc>
        <w:tc>
          <w:tcPr>
            <w:tcW w:w="2410" w:type="dxa"/>
          </w:tcPr>
          <w:p w14:paraId="3DADFA53" w14:textId="77777777" w:rsidR="00067534" w:rsidRPr="00B83E1A" w:rsidRDefault="00067534" w:rsidP="004E65E7">
            <w:pPr>
              <w:rPr>
                <w:b/>
                <w:bCs/>
                <w:sz w:val="18"/>
                <w:szCs w:val="18"/>
                <w:lang w:val="es-ES"/>
              </w:rPr>
            </w:pPr>
            <w:r w:rsidRPr="00B83E1A">
              <w:rPr>
                <w:sz w:val="18"/>
                <w:szCs w:val="18"/>
                <w:lang w:val="es-ES"/>
              </w:rPr>
              <w:t xml:space="preserve">Nueve países más han formulado o adoptado políticas/estrategias/planes nacionales de P.I.  </w:t>
            </w:r>
          </w:p>
        </w:tc>
        <w:tc>
          <w:tcPr>
            <w:tcW w:w="3101" w:type="dxa"/>
            <w:gridSpan w:val="2"/>
          </w:tcPr>
          <w:p w14:paraId="56691BFE" w14:textId="77777777" w:rsidR="00067534" w:rsidRPr="00B83E1A" w:rsidRDefault="00067534" w:rsidP="004E65E7">
            <w:pPr>
              <w:spacing w:after="120"/>
              <w:rPr>
                <w:sz w:val="18"/>
                <w:szCs w:val="18"/>
                <w:lang w:val="es-ES"/>
              </w:rPr>
            </w:pPr>
            <w:r w:rsidRPr="00B83E1A">
              <w:rPr>
                <w:sz w:val="18"/>
                <w:szCs w:val="18"/>
                <w:lang w:val="es-ES"/>
              </w:rPr>
              <w:t>Se aprobaron políticas/estrategias sobre P.I. en Fiji y Papua Nueva Guinea, y se formularon las de Bhután, Mongolia y Viet Nam.  Se elaboró un plan de acción en materia de P.I. para Maldivas.</w:t>
            </w:r>
          </w:p>
        </w:tc>
      </w:tr>
      <w:tr w:rsidR="00067534" w:rsidRPr="00B83E1A" w14:paraId="75CB240C" w14:textId="77777777" w:rsidTr="004E65E7">
        <w:trPr>
          <w:trHeight w:val="195"/>
          <w:jc w:val="center"/>
        </w:trPr>
        <w:tc>
          <w:tcPr>
            <w:tcW w:w="1713" w:type="dxa"/>
            <w:vMerge/>
          </w:tcPr>
          <w:p w14:paraId="20880D4E" w14:textId="77777777" w:rsidR="00067534" w:rsidRPr="00B83E1A" w:rsidRDefault="00067534" w:rsidP="004E65E7">
            <w:pPr>
              <w:rPr>
                <w:b/>
                <w:bCs/>
                <w:sz w:val="18"/>
                <w:szCs w:val="18"/>
                <w:lang w:val="es-ES"/>
              </w:rPr>
            </w:pPr>
          </w:p>
        </w:tc>
        <w:tc>
          <w:tcPr>
            <w:tcW w:w="2409" w:type="dxa"/>
          </w:tcPr>
          <w:p w14:paraId="1E733790" w14:textId="77777777" w:rsidR="00067534" w:rsidRPr="00B83E1A" w:rsidRDefault="00067534" w:rsidP="004E65E7">
            <w:pPr>
              <w:spacing w:after="120"/>
              <w:rPr>
                <w:b/>
                <w:bCs/>
                <w:sz w:val="18"/>
                <w:szCs w:val="18"/>
                <w:lang w:val="es-ES"/>
              </w:rPr>
            </w:pPr>
            <w:r w:rsidRPr="00B83E1A">
              <w:rPr>
                <w:sz w:val="18"/>
                <w:szCs w:val="18"/>
                <w:lang w:val="es-ES"/>
              </w:rPr>
              <w:t xml:space="preserve">Resultado ii) Legislación nacional sobre P.I. que esté en concordancia con los objetivos de desarrollo nacionales, así como con </w:t>
            </w:r>
            <w:r w:rsidRPr="00B83E1A">
              <w:rPr>
                <w:sz w:val="18"/>
                <w:szCs w:val="18"/>
                <w:lang w:val="es-ES"/>
              </w:rPr>
              <w:lastRenderedPageBreak/>
              <w:t>los tratados y acuerdos internacionales sobre P.I., según el caso, teniendo en cuenta las flexibilidades previstas.</w:t>
            </w:r>
          </w:p>
        </w:tc>
        <w:tc>
          <w:tcPr>
            <w:tcW w:w="2410" w:type="dxa"/>
          </w:tcPr>
          <w:p w14:paraId="45275B11" w14:textId="77777777" w:rsidR="00067534" w:rsidRPr="00B83E1A" w:rsidRDefault="00067534" w:rsidP="004E65E7">
            <w:pPr>
              <w:rPr>
                <w:b/>
                <w:bCs/>
                <w:sz w:val="18"/>
                <w:szCs w:val="18"/>
                <w:lang w:val="es-ES"/>
              </w:rPr>
            </w:pPr>
            <w:r w:rsidRPr="00B83E1A">
              <w:rPr>
                <w:sz w:val="18"/>
                <w:szCs w:val="18"/>
                <w:lang w:val="es-ES"/>
              </w:rPr>
              <w:lastRenderedPageBreak/>
              <w:t xml:space="preserve">Proyectos de ley o comentarios sobre proyectos de ley preparados 0 presentados a cinco países, según lo </w:t>
            </w:r>
            <w:r w:rsidRPr="00B83E1A">
              <w:rPr>
                <w:sz w:val="18"/>
                <w:szCs w:val="18"/>
                <w:lang w:val="es-ES"/>
              </w:rPr>
              <w:lastRenderedPageBreak/>
              <w:t xml:space="preserve">soliciten.  </w:t>
            </w:r>
          </w:p>
        </w:tc>
        <w:tc>
          <w:tcPr>
            <w:tcW w:w="3101" w:type="dxa"/>
            <w:gridSpan w:val="2"/>
          </w:tcPr>
          <w:p w14:paraId="11DD6728" w14:textId="77777777" w:rsidR="00067534" w:rsidRPr="00B83E1A" w:rsidRDefault="00067534" w:rsidP="004E65E7">
            <w:pPr>
              <w:rPr>
                <w:sz w:val="18"/>
                <w:szCs w:val="18"/>
                <w:lang w:val="es-ES"/>
              </w:rPr>
            </w:pPr>
            <w:r w:rsidRPr="00B83E1A">
              <w:rPr>
                <w:sz w:val="18"/>
                <w:szCs w:val="18"/>
                <w:lang w:val="es-ES"/>
              </w:rPr>
              <w:lastRenderedPageBreak/>
              <w:t xml:space="preserve">Se facilitó asesoramiento jurídico por escrito y se formularon observaciones para 11 países:  Bangladesh, Bhután, Camboya, las Islas Cook, Indonesia, Malasia, </w:t>
            </w:r>
            <w:r w:rsidRPr="00B83E1A">
              <w:rPr>
                <w:sz w:val="18"/>
                <w:szCs w:val="18"/>
                <w:lang w:val="es-ES"/>
              </w:rPr>
              <w:lastRenderedPageBreak/>
              <w:t>Maldivas, Mongolia, el Pakistán, Tailandia y Sri Lanka.</w:t>
            </w:r>
          </w:p>
        </w:tc>
      </w:tr>
      <w:tr w:rsidR="00067534" w:rsidRPr="00B83E1A" w14:paraId="6C6FDFBD" w14:textId="77777777" w:rsidTr="004E65E7">
        <w:trPr>
          <w:trHeight w:val="195"/>
          <w:jc w:val="center"/>
        </w:trPr>
        <w:tc>
          <w:tcPr>
            <w:tcW w:w="1713" w:type="dxa"/>
            <w:vMerge/>
          </w:tcPr>
          <w:p w14:paraId="0D32DB3F" w14:textId="77777777" w:rsidR="00067534" w:rsidRPr="00B83E1A" w:rsidRDefault="00067534" w:rsidP="004E65E7">
            <w:pPr>
              <w:rPr>
                <w:b/>
                <w:bCs/>
                <w:sz w:val="18"/>
                <w:szCs w:val="18"/>
                <w:lang w:val="es-ES"/>
              </w:rPr>
            </w:pPr>
          </w:p>
        </w:tc>
        <w:tc>
          <w:tcPr>
            <w:tcW w:w="2409" w:type="dxa"/>
            <w:vMerge w:val="restart"/>
          </w:tcPr>
          <w:p w14:paraId="7311AF2A" w14:textId="77777777" w:rsidR="00067534" w:rsidRPr="00B83E1A" w:rsidRDefault="00067534" w:rsidP="004E65E7">
            <w:pPr>
              <w:rPr>
                <w:sz w:val="18"/>
                <w:szCs w:val="18"/>
                <w:lang w:val="es-ES"/>
              </w:rPr>
            </w:pPr>
            <w:r w:rsidRPr="00B83E1A">
              <w:rPr>
                <w:sz w:val="18"/>
                <w:szCs w:val="18"/>
                <w:lang w:val="es-ES"/>
              </w:rPr>
              <w:t>Resultado v) Perfeccionamiento de la capacidad de los responsables de la formulación de políticas para elaborar políticas, así como para elaborar y ejecutar proyectos sobre la gestión de los activos de P.I.</w:t>
            </w:r>
          </w:p>
          <w:p w14:paraId="0879CFB4" w14:textId="77777777" w:rsidR="00067534" w:rsidRPr="00B83E1A" w:rsidRDefault="00067534" w:rsidP="004E65E7">
            <w:pPr>
              <w:rPr>
                <w:b/>
                <w:bCs/>
                <w:sz w:val="18"/>
                <w:szCs w:val="18"/>
                <w:lang w:val="es-ES"/>
              </w:rPr>
            </w:pPr>
          </w:p>
        </w:tc>
        <w:tc>
          <w:tcPr>
            <w:tcW w:w="2410" w:type="dxa"/>
          </w:tcPr>
          <w:p w14:paraId="4421E02B" w14:textId="77777777" w:rsidR="00067534" w:rsidRPr="00B83E1A" w:rsidRDefault="00067534" w:rsidP="004E65E7">
            <w:pPr>
              <w:rPr>
                <w:sz w:val="18"/>
                <w:szCs w:val="18"/>
                <w:lang w:val="es-ES"/>
              </w:rPr>
            </w:pPr>
            <w:r w:rsidRPr="00B83E1A">
              <w:rPr>
                <w:sz w:val="18"/>
                <w:szCs w:val="18"/>
                <w:lang w:val="es-ES"/>
              </w:rPr>
              <w:t xml:space="preserve">Aumento de referencias a la gestión de los activos de P.I. en las declaraciones, discursos y directivas de los responsables de la formulación de políticas </w:t>
            </w:r>
          </w:p>
        </w:tc>
        <w:tc>
          <w:tcPr>
            <w:tcW w:w="3101" w:type="dxa"/>
            <w:gridSpan w:val="2"/>
          </w:tcPr>
          <w:p w14:paraId="62A198CD" w14:textId="77777777" w:rsidR="00067534" w:rsidRPr="00B83E1A" w:rsidRDefault="00067534" w:rsidP="004E65E7">
            <w:pPr>
              <w:spacing w:after="120"/>
              <w:rPr>
                <w:sz w:val="18"/>
                <w:szCs w:val="18"/>
                <w:lang w:val="es-ES"/>
              </w:rPr>
            </w:pPr>
            <w:r w:rsidRPr="00B83E1A">
              <w:rPr>
                <w:sz w:val="18"/>
                <w:szCs w:val="18"/>
                <w:lang w:val="es-ES"/>
              </w:rPr>
              <w:t>Varios estudios nacionales y regionales y declaraciones en materia de política económica de encargados de la formulación de políticas remiten a la necesidad de que las Pymes comprendan y gestionen mejor los activos de P.I. para potenciar su competitividad.</w:t>
            </w:r>
          </w:p>
        </w:tc>
      </w:tr>
      <w:tr w:rsidR="00067534" w:rsidRPr="00B83E1A" w14:paraId="0E0BC063" w14:textId="77777777" w:rsidTr="004E65E7">
        <w:trPr>
          <w:trHeight w:val="195"/>
          <w:jc w:val="center"/>
        </w:trPr>
        <w:tc>
          <w:tcPr>
            <w:tcW w:w="1713" w:type="dxa"/>
            <w:vMerge/>
          </w:tcPr>
          <w:p w14:paraId="1AE74BC0" w14:textId="77777777" w:rsidR="00067534" w:rsidRPr="00B83E1A" w:rsidRDefault="00067534" w:rsidP="004E65E7">
            <w:pPr>
              <w:rPr>
                <w:b/>
                <w:bCs/>
                <w:sz w:val="18"/>
                <w:szCs w:val="18"/>
                <w:lang w:val="es-ES"/>
              </w:rPr>
            </w:pPr>
          </w:p>
        </w:tc>
        <w:tc>
          <w:tcPr>
            <w:tcW w:w="2409" w:type="dxa"/>
            <w:vMerge/>
          </w:tcPr>
          <w:p w14:paraId="3651C26B" w14:textId="77777777" w:rsidR="00067534" w:rsidRPr="00B83E1A" w:rsidRDefault="00067534" w:rsidP="004E65E7">
            <w:pPr>
              <w:rPr>
                <w:b/>
                <w:bCs/>
                <w:sz w:val="18"/>
                <w:szCs w:val="18"/>
                <w:lang w:val="es-ES"/>
              </w:rPr>
            </w:pPr>
          </w:p>
        </w:tc>
        <w:tc>
          <w:tcPr>
            <w:tcW w:w="2410" w:type="dxa"/>
          </w:tcPr>
          <w:p w14:paraId="799C4927" w14:textId="77777777" w:rsidR="00067534" w:rsidRPr="00B83E1A" w:rsidRDefault="00067534" w:rsidP="004E65E7">
            <w:pPr>
              <w:spacing w:after="120"/>
              <w:rPr>
                <w:sz w:val="18"/>
                <w:szCs w:val="18"/>
                <w:lang w:val="es-ES"/>
              </w:rPr>
            </w:pPr>
            <w:r w:rsidRPr="00B83E1A">
              <w:rPr>
                <w:sz w:val="18"/>
                <w:szCs w:val="18"/>
                <w:lang w:val="es-ES"/>
              </w:rPr>
              <w:t>Número de proyectos elaborados y ejecutados por los gobiernos nacionales para promover la capacidad empresarial basada en la P.I.</w:t>
            </w:r>
          </w:p>
        </w:tc>
        <w:tc>
          <w:tcPr>
            <w:tcW w:w="3101" w:type="dxa"/>
            <w:gridSpan w:val="2"/>
          </w:tcPr>
          <w:p w14:paraId="7BAF458A" w14:textId="77777777" w:rsidR="00067534" w:rsidRPr="00B83E1A" w:rsidRDefault="00067534" w:rsidP="004E65E7">
            <w:pPr>
              <w:rPr>
                <w:sz w:val="18"/>
                <w:szCs w:val="18"/>
                <w:lang w:val="es-ES"/>
              </w:rPr>
            </w:pPr>
            <w:r w:rsidRPr="00B83E1A">
              <w:rPr>
                <w:sz w:val="18"/>
                <w:szCs w:val="18"/>
                <w:lang w:val="es-ES"/>
              </w:rPr>
              <w:t>No se dispone de datos.</w:t>
            </w:r>
          </w:p>
        </w:tc>
      </w:tr>
      <w:tr w:rsidR="00067534" w:rsidRPr="00B83E1A" w14:paraId="35250E89" w14:textId="77777777" w:rsidTr="002D0860">
        <w:trPr>
          <w:trHeight w:val="2469"/>
          <w:jc w:val="center"/>
        </w:trPr>
        <w:tc>
          <w:tcPr>
            <w:tcW w:w="1713" w:type="dxa"/>
            <w:vMerge w:val="restart"/>
          </w:tcPr>
          <w:p w14:paraId="73E0562D" w14:textId="77777777" w:rsidR="00067534" w:rsidRPr="00B83E1A" w:rsidRDefault="00067534" w:rsidP="004E65E7">
            <w:pPr>
              <w:rPr>
                <w:i/>
                <w:sz w:val="18"/>
                <w:szCs w:val="18"/>
                <w:lang w:val="es-ES"/>
              </w:rPr>
            </w:pPr>
            <w:r w:rsidRPr="00B83E1A">
              <w:rPr>
                <w:i/>
                <w:sz w:val="18"/>
                <w:szCs w:val="18"/>
                <w:lang w:val="es-ES"/>
              </w:rPr>
              <w:t>Meta estratégica IV:  Coordinación y desarrollo de la infraestructura mundial de P.I.</w:t>
            </w:r>
          </w:p>
          <w:p w14:paraId="0056EFBE" w14:textId="77777777" w:rsidR="00067534" w:rsidRPr="00B83E1A" w:rsidRDefault="00067534" w:rsidP="004E65E7">
            <w:pPr>
              <w:rPr>
                <w:b/>
                <w:bCs/>
                <w:sz w:val="18"/>
                <w:szCs w:val="18"/>
                <w:lang w:val="es-ES"/>
              </w:rPr>
            </w:pPr>
          </w:p>
        </w:tc>
        <w:tc>
          <w:tcPr>
            <w:tcW w:w="2409" w:type="dxa"/>
          </w:tcPr>
          <w:p w14:paraId="2237F503" w14:textId="77777777" w:rsidR="00067534" w:rsidRPr="00B83E1A" w:rsidRDefault="00067534" w:rsidP="004E65E7">
            <w:pPr>
              <w:spacing w:after="120"/>
              <w:rPr>
                <w:sz w:val="18"/>
                <w:szCs w:val="18"/>
                <w:lang w:val="es-ES"/>
              </w:rPr>
            </w:pPr>
            <w:r w:rsidRPr="00B83E1A">
              <w:rPr>
                <w:sz w:val="18"/>
                <w:szCs w:val="18"/>
                <w:lang w:val="es-ES"/>
              </w:rPr>
              <w:t>Resultado i) Información jurídica y tecnológica más accesible sobre solicitudes bien redactadas a disposición de los Estados miembros, los solicitantes del PCT, las instituciones de investigación y el público en general.</w:t>
            </w:r>
          </w:p>
          <w:p w14:paraId="57BF3547" w14:textId="77777777" w:rsidR="00067534" w:rsidRPr="00B83E1A" w:rsidRDefault="00067534" w:rsidP="004E65E7">
            <w:pPr>
              <w:spacing w:after="120"/>
              <w:rPr>
                <w:b/>
                <w:bCs/>
                <w:sz w:val="18"/>
                <w:szCs w:val="18"/>
                <w:lang w:val="es-ES"/>
              </w:rPr>
            </w:pPr>
          </w:p>
        </w:tc>
        <w:tc>
          <w:tcPr>
            <w:tcW w:w="2410" w:type="dxa"/>
          </w:tcPr>
          <w:p w14:paraId="5D6BCE11" w14:textId="77777777" w:rsidR="00067534" w:rsidRPr="00B83E1A" w:rsidRDefault="00067534" w:rsidP="004E65E7">
            <w:pPr>
              <w:rPr>
                <w:sz w:val="18"/>
                <w:szCs w:val="18"/>
                <w:lang w:val="es-ES"/>
              </w:rPr>
            </w:pPr>
            <w:r w:rsidRPr="00B83E1A">
              <w:rPr>
                <w:bCs/>
                <w:sz w:val="18"/>
                <w:szCs w:val="18"/>
                <w:lang w:val="es-ES"/>
              </w:rPr>
              <w:t>Publicación puntual de toda la información disponible sobre solicitudes PCT</w:t>
            </w:r>
          </w:p>
        </w:tc>
        <w:tc>
          <w:tcPr>
            <w:tcW w:w="3101" w:type="dxa"/>
            <w:gridSpan w:val="2"/>
          </w:tcPr>
          <w:p w14:paraId="5CB2098B" w14:textId="6421BC3C" w:rsidR="00067534" w:rsidRPr="00B83E1A" w:rsidRDefault="00067534" w:rsidP="002D0860">
            <w:pPr>
              <w:rPr>
                <w:sz w:val="18"/>
                <w:szCs w:val="18"/>
                <w:lang w:val="es-ES"/>
              </w:rPr>
            </w:pPr>
            <w:r w:rsidRPr="00B83E1A">
              <w:rPr>
                <w:sz w:val="18"/>
                <w:szCs w:val="18"/>
                <w:lang w:val="es-ES" w:eastAsia="ja-JP"/>
              </w:rPr>
              <w:t>En julio de 2010, todas las solicitudes en formato XML presentadas en chino estaban disponibles en el portal PATENTSCOPE.  En julio de 2011, se habían incorporado también al portal PATENTSCOPE todas las solicitudes en formato XML de todas las oficinas receptoras, incluida la OEP y la Oficina Internacional.</w:t>
            </w:r>
          </w:p>
        </w:tc>
      </w:tr>
      <w:tr w:rsidR="00067534" w:rsidRPr="00B83E1A" w14:paraId="040B88EC" w14:textId="77777777" w:rsidTr="004E65E7">
        <w:trPr>
          <w:trHeight w:val="195"/>
          <w:jc w:val="center"/>
        </w:trPr>
        <w:tc>
          <w:tcPr>
            <w:tcW w:w="1713" w:type="dxa"/>
            <w:vMerge/>
          </w:tcPr>
          <w:p w14:paraId="69AB6CF7" w14:textId="77777777" w:rsidR="00067534" w:rsidRPr="00B83E1A" w:rsidRDefault="00067534" w:rsidP="004E65E7">
            <w:pPr>
              <w:rPr>
                <w:b/>
                <w:bCs/>
                <w:sz w:val="18"/>
                <w:szCs w:val="18"/>
                <w:lang w:val="es-ES"/>
              </w:rPr>
            </w:pPr>
          </w:p>
        </w:tc>
        <w:tc>
          <w:tcPr>
            <w:tcW w:w="2409" w:type="dxa"/>
            <w:vMerge w:val="restart"/>
          </w:tcPr>
          <w:p w14:paraId="70803FB5" w14:textId="77777777" w:rsidR="00067534" w:rsidRPr="00B83E1A" w:rsidRDefault="00067534" w:rsidP="004E65E7">
            <w:pPr>
              <w:rPr>
                <w:sz w:val="18"/>
                <w:szCs w:val="18"/>
                <w:lang w:val="es-ES"/>
              </w:rPr>
            </w:pPr>
            <w:r w:rsidRPr="00B83E1A">
              <w:rPr>
                <w:sz w:val="18"/>
                <w:szCs w:val="18"/>
                <w:lang w:val="es-ES"/>
              </w:rPr>
              <w:t>Resultado ii) Mejora del acceso a los recursos de información generados a partir de los sistemas de P.I.</w:t>
            </w:r>
          </w:p>
          <w:p w14:paraId="0318E5E3" w14:textId="77777777" w:rsidR="00067534" w:rsidRPr="00B83E1A" w:rsidRDefault="00067534" w:rsidP="004E65E7">
            <w:pPr>
              <w:spacing w:after="80"/>
              <w:rPr>
                <w:b/>
                <w:bCs/>
                <w:sz w:val="18"/>
                <w:szCs w:val="18"/>
                <w:lang w:val="es-ES"/>
              </w:rPr>
            </w:pPr>
          </w:p>
        </w:tc>
        <w:tc>
          <w:tcPr>
            <w:tcW w:w="2410" w:type="dxa"/>
          </w:tcPr>
          <w:p w14:paraId="6D37F4ED" w14:textId="77777777" w:rsidR="00067534" w:rsidRPr="00B83E1A" w:rsidRDefault="00067534" w:rsidP="004E65E7">
            <w:pPr>
              <w:spacing w:after="120"/>
              <w:rPr>
                <w:bCs/>
                <w:sz w:val="18"/>
                <w:szCs w:val="18"/>
                <w:lang w:val="es-ES"/>
              </w:rPr>
            </w:pPr>
            <w:r w:rsidRPr="00B83E1A">
              <w:rPr>
                <w:bCs/>
                <w:sz w:val="18"/>
                <w:szCs w:val="18"/>
                <w:lang w:val="es-ES"/>
              </w:rPr>
              <w:t>Contribución de los nuevos servicios de búsqueda de PATENTSCOPE® al aumento del número de usuarios</w:t>
            </w:r>
          </w:p>
        </w:tc>
        <w:tc>
          <w:tcPr>
            <w:tcW w:w="3101" w:type="dxa"/>
            <w:gridSpan w:val="2"/>
          </w:tcPr>
          <w:p w14:paraId="16BC2289" w14:textId="77777777" w:rsidR="00067534" w:rsidRPr="00B83E1A" w:rsidRDefault="00067534" w:rsidP="004E65E7">
            <w:pPr>
              <w:rPr>
                <w:bCs/>
                <w:sz w:val="18"/>
                <w:szCs w:val="18"/>
                <w:lang w:val="es-ES"/>
              </w:rPr>
            </w:pPr>
            <w:r w:rsidRPr="00B83E1A">
              <w:rPr>
                <w:bCs/>
                <w:sz w:val="18"/>
                <w:szCs w:val="18"/>
                <w:lang w:val="es-ES"/>
              </w:rPr>
              <w:t>Primer trimestre de 2010 – 156.271 usuarios distintos</w:t>
            </w:r>
          </w:p>
          <w:p w14:paraId="4A85A4AE" w14:textId="77777777" w:rsidR="00067534" w:rsidRPr="00B83E1A" w:rsidRDefault="00067534" w:rsidP="004E65E7">
            <w:pPr>
              <w:spacing w:after="120"/>
              <w:rPr>
                <w:sz w:val="18"/>
                <w:szCs w:val="18"/>
                <w:lang w:val="es-ES"/>
              </w:rPr>
            </w:pPr>
            <w:r w:rsidRPr="00B83E1A">
              <w:rPr>
                <w:bCs/>
                <w:sz w:val="18"/>
                <w:szCs w:val="18"/>
                <w:lang w:val="es-ES"/>
              </w:rPr>
              <w:t>Cuarto trimestre de 2010 – 216.290 usuarios distintos</w:t>
            </w:r>
          </w:p>
        </w:tc>
      </w:tr>
      <w:tr w:rsidR="00067534" w:rsidRPr="00B83E1A" w14:paraId="448F6B37" w14:textId="77777777" w:rsidTr="004E65E7">
        <w:trPr>
          <w:trHeight w:val="1295"/>
          <w:jc w:val="center"/>
        </w:trPr>
        <w:tc>
          <w:tcPr>
            <w:tcW w:w="1713" w:type="dxa"/>
            <w:vMerge/>
          </w:tcPr>
          <w:p w14:paraId="499073D1" w14:textId="77777777" w:rsidR="00067534" w:rsidRPr="00B83E1A" w:rsidRDefault="00067534" w:rsidP="004E65E7">
            <w:pPr>
              <w:rPr>
                <w:b/>
                <w:bCs/>
                <w:sz w:val="18"/>
                <w:szCs w:val="18"/>
                <w:lang w:val="es-ES"/>
              </w:rPr>
            </w:pPr>
          </w:p>
        </w:tc>
        <w:tc>
          <w:tcPr>
            <w:tcW w:w="2409" w:type="dxa"/>
            <w:vMerge/>
          </w:tcPr>
          <w:p w14:paraId="45B7E79A" w14:textId="77777777" w:rsidR="00067534" w:rsidRPr="00B83E1A" w:rsidRDefault="00067534" w:rsidP="004E65E7">
            <w:pPr>
              <w:rPr>
                <w:b/>
                <w:bCs/>
                <w:sz w:val="18"/>
                <w:szCs w:val="18"/>
                <w:lang w:val="es-ES"/>
              </w:rPr>
            </w:pPr>
          </w:p>
        </w:tc>
        <w:tc>
          <w:tcPr>
            <w:tcW w:w="2410" w:type="dxa"/>
          </w:tcPr>
          <w:p w14:paraId="3B3CCE25" w14:textId="77777777" w:rsidR="00067534" w:rsidRPr="00B83E1A" w:rsidRDefault="00067534" w:rsidP="004E65E7">
            <w:pPr>
              <w:rPr>
                <w:bCs/>
                <w:sz w:val="18"/>
                <w:szCs w:val="18"/>
                <w:lang w:val="es-ES"/>
              </w:rPr>
            </w:pPr>
            <w:r w:rsidRPr="00B83E1A">
              <w:rPr>
                <w:bCs/>
                <w:sz w:val="18"/>
                <w:szCs w:val="18"/>
                <w:lang w:val="es-ES"/>
              </w:rPr>
              <w:t xml:space="preserve">Aumento del número de usuarios que tienen acceso a bases de datos especializadas y servicios de apoyo conexos en los países en desarrollo y los PMA </w:t>
            </w:r>
          </w:p>
        </w:tc>
        <w:tc>
          <w:tcPr>
            <w:tcW w:w="3101" w:type="dxa"/>
            <w:gridSpan w:val="2"/>
          </w:tcPr>
          <w:p w14:paraId="7D3F3158" w14:textId="77777777" w:rsidR="00067534" w:rsidRPr="00B83E1A" w:rsidRDefault="00067534" w:rsidP="004E65E7">
            <w:pPr>
              <w:spacing w:after="120"/>
              <w:rPr>
                <w:bCs/>
                <w:sz w:val="18"/>
                <w:szCs w:val="18"/>
                <w:lang w:val="es-ES"/>
              </w:rPr>
            </w:pPr>
            <w:r w:rsidRPr="00B83E1A">
              <w:rPr>
                <w:bCs/>
                <w:sz w:val="18"/>
                <w:szCs w:val="18"/>
                <w:lang w:val="es-ES"/>
              </w:rPr>
              <w:t>El programa ARDI permite consultar más de 200 revistas científicas y técnicas (cuatro veces más que en 2010) de forma gratuita a 77 países en desarrollo y a 28 por un precio muy reducido.  ARDI abrió la posibilidad de acceder a más revistas asociándose con Research4Life (R4L), que permite consultar más de 8.000 revistas revisadas por expertos en del programa HINARI de la OMS (revistas de salud y biomedicina), el programa AGORA de la FAO (revistas sobre agricultura) y el programa OARE de la PNUMA (cuestiones medio ambientales).  La ASPI permite consultar 6 de las bases comerciales sobre patentes más importantes del mundo, de forma gratuita para 49 PMAs y a un precio muy reducido para otros 66 países en desarrollo.</w:t>
            </w:r>
          </w:p>
          <w:p w14:paraId="26BD3B0F" w14:textId="77777777" w:rsidR="002D0860" w:rsidRPr="00B83E1A" w:rsidRDefault="002D0860" w:rsidP="004E65E7">
            <w:pPr>
              <w:spacing w:after="120"/>
              <w:rPr>
                <w:sz w:val="18"/>
                <w:szCs w:val="18"/>
                <w:lang w:val="es-ES"/>
              </w:rPr>
            </w:pPr>
          </w:p>
        </w:tc>
      </w:tr>
      <w:tr w:rsidR="00067534" w:rsidRPr="00B83E1A" w14:paraId="6FA211D0" w14:textId="77777777" w:rsidTr="004E65E7">
        <w:trPr>
          <w:trHeight w:val="195"/>
          <w:jc w:val="center"/>
        </w:trPr>
        <w:tc>
          <w:tcPr>
            <w:tcW w:w="1713" w:type="dxa"/>
            <w:vMerge/>
          </w:tcPr>
          <w:p w14:paraId="4D1102BC" w14:textId="77777777" w:rsidR="00067534" w:rsidRPr="00B83E1A" w:rsidRDefault="00067534" w:rsidP="004E65E7">
            <w:pPr>
              <w:rPr>
                <w:b/>
                <w:bCs/>
                <w:sz w:val="18"/>
                <w:szCs w:val="18"/>
                <w:lang w:val="es-ES"/>
              </w:rPr>
            </w:pPr>
          </w:p>
        </w:tc>
        <w:tc>
          <w:tcPr>
            <w:tcW w:w="2409" w:type="dxa"/>
            <w:vMerge/>
          </w:tcPr>
          <w:p w14:paraId="20A2B366" w14:textId="77777777" w:rsidR="00067534" w:rsidRPr="00B83E1A" w:rsidRDefault="00067534" w:rsidP="004E65E7">
            <w:pPr>
              <w:rPr>
                <w:b/>
                <w:bCs/>
                <w:sz w:val="18"/>
                <w:szCs w:val="18"/>
                <w:lang w:val="es-ES"/>
              </w:rPr>
            </w:pPr>
          </w:p>
        </w:tc>
        <w:tc>
          <w:tcPr>
            <w:tcW w:w="2410" w:type="dxa"/>
          </w:tcPr>
          <w:p w14:paraId="1CC92660" w14:textId="77777777" w:rsidR="00067534" w:rsidRPr="00B83E1A" w:rsidRDefault="00067534" w:rsidP="004E65E7">
            <w:pPr>
              <w:rPr>
                <w:bCs/>
                <w:sz w:val="18"/>
                <w:szCs w:val="18"/>
                <w:lang w:val="es-ES"/>
              </w:rPr>
            </w:pPr>
            <w:r w:rsidRPr="00B83E1A">
              <w:rPr>
                <w:bCs/>
                <w:sz w:val="18"/>
                <w:szCs w:val="18"/>
                <w:lang w:val="es-ES"/>
              </w:rPr>
              <w:t>Número de beneficiarios de Centros de Apoyo a la Tecnología y la Innovación (CATI) que consideran que los CATI constituyen el punto central en materia de información sobre patentes y tecnologías por país.</w:t>
            </w:r>
          </w:p>
        </w:tc>
        <w:tc>
          <w:tcPr>
            <w:tcW w:w="3101" w:type="dxa"/>
            <w:gridSpan w:val="2"/>
          </w:tcPr>
          <w:p w14:paraId="6BD1EDF0" w14:textId="77777777" w:rsidR="00067534" w:rsidRPr="00B83E1A" w:rsidRDefault="00067534" w:rsidP="004E65E7">
            <w:pPr>
              <w:spacing w:after="120"/>
              <w:rPr>
                <w:sz w:val="18"/>
                <w:szCs w:val="18"/>
                <w:lang w:val="es-ES"/>
              </w:rPr>
            </w:pPr>
            <w:r w:rsidRPr="00B83E1A">
              <w:rPr>
                <w:bCs/>
                <w:sz w:val="18"/>
                <w:szCs w:val="18"/>
                <w:lang w:val="es-ES"/>
              </w:rPr>
              <w:t xml:space="preserve">Creación de redes de CATI en 20 países durante el bienio:  Argelia, Cuba, el Ecuador, Egipto, Georgia, Guatemala, Honduras, Kenya, Kirguistán, Madagascar, Marruecos, Mozambique, Nigeria, Filipinas, la República del Congo, la República Democrática del Congo, la República Dominicana, el Senegal, Túnez y Viet Nam. </w:t>
            </w:r>
          </w:p>
        </w:tc>
      </w:tr>
      <w:tr w:rsidR="00067534" w:rsidRPr="00B83E1A" w14:paraId="328B9575" w14:textId="77777777" w:rsidTr="004E65E7">
        <w:trPr>
          <w:trHeight w:val="1880"/>
          <w:jc w:val="center"/>
        </w:trPr>
        <w:tc>
          <w:tcPr>
            <w:tcW w:w="1713" w:type="dxa"/>
            <w:vMerge/>
          </w:tcPr>
          <w:p w14:paraId="37923BB2" w14:textId="77777777" w:rsidR="00067534" w:rsidRPr="00B83E1A" w:rsidRDefault="00067534" w:rsidP="004E65E7">
            <w:pPr>
              <w:rPr>
                <w:b/>
                <w:bCs/>
                <w:sz w:val="18"/>
                <w:szCs w:val="18"/>
                <w:lang w:val="es-ES"/>
              </w:rPr>
            </w:pPr>
          </w:p>
        </w:tc>
        <w:tc>
          <w:tcPr>
            <w:tcW w:w="2409" w:type="dxa"/>
            <w:vMerge/>
          </w:tcPr>
          <w:p w14:paraId="0008DB22" w14:textId="77777777" w:rsidR="00067534" w:rsidRPr="00B83E1A" w:rsidRDefault="00067534" w:rsidP="004E65E7">
            <w:pPr>
              <w:rPr>
                <w:b/>
                <w:bCs/>
                <w:sz w:val="18"/>
                <w:szCs w:val="18"/>
                <w:lang w:val="es-ES"/>
              </w:rPr>
            </w:pPr>
          </w:p>
        </w:tc>
        <w:tc>
          <w:tcPr>
            <w:tcW w:w="2410" w:type="dxa"/>
          </w:tcPr>
          <w:p w14:paraId="6ECB550E" w14:textId="77777777" w:rsidR="00067534" w:rsidRPr="00B83E1A" w:rsidRDefault="00067534" w:rsidP="004E65E7">
            <w:pPr>
              <w:spacing w:after="120"/>
              <w:rPr>
                <w:bCs/>
                <w:sz w:val="18"/>
                <w:szCs w:val="18"/>
                <w:lang w:val="es-ES"/>
              </w:rPr>
            </w:pPr>
            <w:r w:rsidRPr="00B83E1A">
              <w:rPr>
                <w:bCs/>
                <w:sz w:val="18"/>
                <w:szCs w:val="18"/>
                <w:lang w:val="es-ES"/>
              </w:rPr>
              <w:t xml:space="preserve">Porcentaje de usuarios de bases de datos mundiales sobre P.I. y de bases de datos de servicios en materia de P.I. que consideran que gracias a dichas bases realizan una labor más eficaz </w:t>
            </w:r>
          </w:p>
        </w:tc>
        <w:tc>
          <w:tcPr>
            <w:tcW w:w="3101" w:type="dxa"/>
            <w:gridSpan w:val="2"/>
          </w:tcPr>
          <w:p w14:paraId="098AF2A7" w14:textId="77777777" w:rsidR="00067534" w:rsidRPr="00B83E1A" w:rsidRDefault="00067534" w:rsidP="004E65E7">
            <w:pPr>
              <w:spacing w:after="120"/>
              <w:rPr>
                <w:bCs/>
                <w:sz w:val="18"/>
                <w:szCs w:val="18"/>
                <w:lang w:val="es-ES"/>
              </w:rPr>
            </w:pPr>
            <w:r w:rsidRPr="00B83E1A">
              <w:rPr>
                <w:rFonts w:eastAsia="Batang"/>
                <w:sz w:val="18"/>
                <w:szCs w:val="18"/>
                <w:lang w:val="es-ES" w:eastAsia="ja-JP"/>
              </w:rPr>
              <w:t xml:space="preserve">Véase el “Cuestionario de evaluación de las necesidades y el avance de los Centros de Apoyo a la Tecnología y la Innovación (CATI)”, diciembre de 2011 – Informe resumido de evaluación </w:t>
            </w:r>
            <w:hyperlink r:id="rId99" w:history="1">
              <w:r w:rsidRPr="00B83E1A">
                <w:rPr>
                  <w:rStyle w:val="Hyperlink"/>
                  <w:bCs/>
                  <w:color w:val="auto"/>
                  <w:sz w:val="18"/>
                  <w:szCs w:val="18"/>
                  <w:lang w:val="es-ES"/>
                </w:rPr>
                <w:t>http://www.wipo.int/export/sites/www/tisc/en/doc/tisc_2011_survey_report.pdf</w:t>
              </w:r>
            </w:hyperlink>
          </w:p>
        </w:tc>
      </w:tr>
      <w:tr w:rsidR="00067534" w:rsidRPr="00B83E1A" w14:paraId="3D08DDAC" w14:textId="77777777" w:rsidTr="004E65E7">
        <w:trPr>
          <w:trHeight w:val="195"/>
          <w:jc w:val="center"/>
        </w:trPr>
        <w:tc>
          <w:tcPr>
            <w:tcW w:w="1713" w:type="dxa"/>
            <w:vMerge/>
          </w:tcPr>
          <w:p w14:paraId="2FF18A76" w14:textId="77777777" w:rsidR="00067534" w:rsidRPr="00B83E1A" w:rsidRDefault="00067534" w:rsidP="004E65E7">
            <w:pPr>
              <w:rPr>
                <w:b/>
                <w:bCs/>
                <w:sz w:val="18"/>
                <w:szCs w:val="18"/>
                <w:lang w:val="es-ES"/>
              </w:rPr>
            </w:pPr>
          </w:p>
        </w:tc>
        <w:tc>
          <w:tcPr>
            <w:tcW w:w="2409" w:type="dxa"/>
          </w:tcPr>
          <w:p w14:paraId="6059AC5A" w14:textId="77777777" w:rsidR="00067534" w:rsidRPr="00B83E1A" w:rsidRDefault="00067534" w:rsidP="004E65E7">
            <w:pPr>
              <w:spacing w:after="120"/>
              <w:rPr>
                <w:b/>
                <w:bCs/>
                <w:sz w:val="18"/>
                <w:szCs w:val="18"/>
                <w:lang w:val="es-ES"/>
              </w:rPr>
            </w:pPr>
            <w:r w:rsidRPr="00B83E1A">
              <w:rPr>
                <w:sz w:val="18"/>
                <w:szCs w:val="18"/>
                <w:lang w:val="es-ES"/>
              </w:rPr>
              <w:t>Resultado iii) Mayor difusión de colecciones digitalizadas sobre patentes de las oficinas nacionales/regionales de los Estados miembros de la OMPI.</w:t>
            </w:r>
          </w:p>
        </w:tc>
        <w:tc>
          <w:tcPr>
            <w:tcW w:w="2410" w:type="dxa"/>
          </w:tcPr>
          <w:p w14:paraId="6B35F094" w14:textId="77777777" w:rsidR="00067534" w:rsidRPr="00B83E1A" w:rsidRDefault="00067534" w:rsidP="004E65E7">
            <w:pPr>
              <w:rPr>
                <w:sz w:val="18"/>
                <w:szCs w:val="18"/>
                <w:lang w:val="es-ES"/>
              </w:rPr>
            </w:pPr>
            <w:r w:rsidRPr="00B83E1A">
              <w:rPr>
                <w:bCs/>
                <w:sz w:val="18"/>
                <w:szCs w:val="18"/>
                <w:lang w:val="es-ES"/>
              </w:rPr>
              <w:t>Aumento del número de colecciones de patentes disponibles en bases de datos de Internet.</w:t>
            </w:r>
          </w:p>
        </w:tc>
        <w:tc>
          <w:tcPr>
            <w:tcW w:w="3101" w:type="dxa"/>
            <w:gridSpan w:val="2"/>
          </w:tcPr>
          <w:p w14:paraId="0F5B4F96" w14:textId="77777777" w:rsidR="00067534" w:rsidRPr="00B83E1A" w:rsidRDefault="00067534" w:rsidP="004E65E7">
            <w:pPr>
              <w:rPr>
                <w:sz w:val="18"/>
                <w:szCs w:val="18"/>
                <w:lang w:val="es-ES"/>
              </w:rPr>
            </w:pPr>
            <w:r w:rsidRPr="00B83E1A">
              <w:rPr>
                <w:bCs/>
                <w:sz w:val="18"/>
                <w:szCs w:val="18"/>
                <w:lang w:val="es-ES"/>
              </w:rPr>
              <w:t>A finales de 2011 contenía 28 colecciones además del PCT.</w:t>
            </w:r>
          </w:p>
        </w:tc>
      </w:tr>
      <w:tr w:rsidR="00067534" w:rsidRPr="00B83E1A" w14:paraId="31C4598A" w14:textId="77777777" w:rsidTr="004E65E7">
        <w:trPr>
          <w:trHeight w:val="195"/>
          <w:jc w:val="center"/>
        </w:trPr>
        <w:tc>
          <w:tcPr>
            <w:tcW w:w="1713" w:type="dxa"/>
            <w:vMerge/>
          </w:tcPr>
          <w:p w14:paraId="182CE175" w14:textId="77777777" w:rsidR="00067534" w:rsidRPr="00B83E1A" w:rsidRDefault="00067534" w:rsidP="004E65E7">
            <w:pPr>
              <w:rPr>
                <w:b/>
                <w:bCs/>
                <w:sz w:val="18"/>
                <w:szCs w:val="18"/>
                <w:lang w:val="es-ES"/>
              </w:rPr>
            </w:pPr>
          </w:p>
        </w:tc>
        <w:tc>
          <w:tcPr>
            <w:tcW w:w="2409" w:type="dxa"/>
            <w:vMerge w:val="restart"/>
          </w:tcPr>
          <w:p w14:paraId="0CD21468" w14:textId="77777777" w:rsidR="00067534" w:rsidRPr="00B83E1A" w:rsidRDefault="00067534" w:rsidP="004E65E7">
            <w:pPr>
              <w:rPr>
                <w:sz w:val="18"/>
                <w:szCs w:val="18"/>
                <w:lang w:val="es-ES"/>
              </w:rPr>
            </w:pPr>
            <w:r w:rsidRPr="00B83E1A">
              <w:rPr>
                <w:sz w:val="18"/>
                <w:szCs w:val="18"/>
                <w:lang w:val="es-ES"/>
              </w:rPr>
              <w:t>Resultado i) Perfeccionamiento de los servicios de apoyo para la búsqueda en materia de patentes que presta la OMPI a las oficinas de P.I. de los Estados miembros.</w:t>
            </w:r>
          </w:p>
          <w:p w14:paraId="72659785" w14:textId="77777777" w:rsidR="00067534" w:rsidRPr="00B83E1A" w:rsidRDefault="00067534" w:rsidP="004E65E7">
            <w:pPr>
              <w:rPr>
                <w:b/>
                <w:bCs/>
                <w:sz w:val="18"/>
                <w:szCs w:val="18"/>
                <w:lang w:val="es-ES"/>
              </w:rPr>
            </w:pPr>
          </w:p>
        </w:tc>
        <w:tc>
          <w:tcPr>
            <w:tcW w:w="2410" w:type="dxa"/>
          </w:tcPr>
          <w:p w14:paraId="3E72BCEE" w14:textId="77777777" w:rsidR="00067534" w:rsidRPr="00B83E1A" w:rsidRDefault="00067534" w:rsidP="004E65E7">
            <w:pPr>
              <w:keepNext/>
              <w:keepLines/>
              <w:spacing w:after="120"/>
              <w:rPr>
                <w:bCs/>
                <w:sz w:val="18"/>
                <w:szCs w:val="18"/>
                <w:lang w:val="es-ES"/>
              </w:rPr>
            </w:pPr>
            <w:r w:rsidRPr="00B83E1A">
              <w:rPr>
                <w:bCs/>
                <w:sz w:val="18"/>
                <w:szCs w:val="18"/>
                <w:lang w:val="es-ES"/>
              </w:rPr>
              <w:t>Número de inventores locales de los países en desarrollo y PMA que se han beneficiado del programa de creación de capacidad en relación con las búsquedas del estado de la técnica</w:t>
            </w:r>
          </w:p>
        </w:tc>
        <w:tc>
          <w:tcPr>
            <w:tcW w:w="3101" w:type="dxa"/>
            <w:gridSpan w:val="2"/>
          </w:tcPr>
          <w:p w14:paraId="52C6DACA" w14:textId="77777777" w:rsidR="00067534" w:rsidRPr="00B83E1A" w:rsidRDefault="00067534" w:rsidP="004E65E7">
            <w:pPr>
              <w:rPr>
                <w:sz w:val="18"/>
                <w:szCs w:val="18"/>
                <w:lang w:val="es-ES"/>
              </w:rPr>
            </w:pPr>
            <w:r w:rsidRPr="00B83E1A">
              <w:rPr>
                <w:bCs/>
                <w:sz w:val="18"/>
                <w:szCs w:val="18"/>
                <w:lang w:val="es-ES"/>
              </w:rPr>
              <w:t xml:space="preserve">Los servicios de búsqueda WPIS ya no se promocionan dado que los servicios que ofrecen los CATI deben reemplazarlos parcialmente.  Por tanto, el número de usuarios ha disminuido. </w:t>
            </w:r>
          </w:p>
        </w:tc>
      </w:tr>
      <w:tr w:rsidR="00067534" w:rsidRPr="00B83E1A" w14:paraId="2DD60564" w14:textId="77777777" w:rsidTr="004E65E7">
        <w:trPr>
          <w:trHeight w:val="195"/>
          <w:jc w:val="center"/>
        </w:trPr>
        <w:tc>
          <w:tcPr>
            <w:tcW w:w="1713" w:type="dxa"/>
            <w:vMerge/>
          </w:tcPr>
          <w:p w14:paraId="54ABDB06" w14:textId="77777777" w:rsidR="00067534" w:rsidRPr="00B83E1A" w:rsidRDefault="00067534" w:rsidP="004E65E7">
            <w:pPr>
              <w:rPr>
                <w:b/>
                <w:bCs/>
                <w:sz w:val="18"/>
                <w:szCs w:val="18"/>
                <w:lang w:val="es-ES"/>
              </w:rPr>
            </w:pPr>
          </w:p>
        </w:tc>
        <w:tc>
          <w:tcPr>
            <w:tcW w:w="2409" w:type="dxa"/>
            <w:vMerge/>
          </w:tcPr>
          <w:p w14:paraId="5FFE517D" w14:textId="77777777" w:rsidR="00067534" w:rsidRPr="00B83E1A" w:rsidRDefault="00067534" w:rsidP="004E65E7">
            <w:pPr>
              <w:rPr>
                <w:b/>
                <w:bCs/>
                <w:sz w:val="18"/>
                <w:szCs w:val="18"/>
                <w:lang w:val="es-ES"/>
              </w:rPr>
            </w:pPr>
          </w:p>
        </w:tc>
        <w:tc>
          <w:tcPr>
            <w:tcW w:w="2410" w:type="dxa"/>
          </w:tcPr>
          <w:p w14:paraId="3A892039" w14:textId="77777777" w:rsidR="00067534" w:rsidRPr="00B83E1A" w:rsidRDefault="00067534" w:rsidP="004E65E7">
            <w:pPr>
              <w:spacing w:after="120"/>
              <w:rPr>
                <w:bCs/>
                <w:sz w:val="18"/>
                <w:szCs w:val="18"/>
                <w:lang w:val="es-ES"/>
              </w:rPr>
            </w:pPr>
            <w:r w:rsidRPr="00B83E1A">
              <w:rPr>
                <w:bCs/>
                <w:sz w:val="18"/>
                <w:szCs w:val="18"/>
                <w:lang w:val="es-ES"/>
              </w:rPr>
              <w:t>Reformulación del servicio ICSEI a los fines de introducir nuevas mejoras en el marco del sistema del PCT y de un mejor acceso al sistema del PCT para los inventores de los países en desarrollo y PMA</w:t>
            </w:r>
          </w:p>
        </w:tc>
        <w:tc>
          <w:tcPr>
            <w:tcW w:w="3101" w:type="dxa"/>
            <w:gridSpan w:val="2"/>
          </w:tcPr>
          <w:p w14:paraId="39A5EF31" w14:textId="6E04D8EA" w:rsidR="00067534" w:rsidRPr="00B83E1A" w:rsidRDefault="00067534" w:rsidP="004E65E7">
            <w:pPr>
              <w:spacing w:after="120"/>
              <w:rPr>
                <w:sz w:val="18"/>
                <w:szCs w:val="18"/>
                <w:lang w:val="es-ES"/>
              </w:rPr>
            </w:pPr>
            <w:r w:rsidRPr="00B83E1A">
              <w:rPr>
                <w:bCs/>
                <w:sz w:val="18"/>
                <w:szCs w:val="18"/>
                <w:lang w:val="es-ES"/>
              </w:rPr>
              <w:t>Se inició la reformulación del ICSEI (ahora denominado ICE) y se amplió la gama de servicios para proporcionar también formación a los examinadores de patentes en el uso de resultados de examen externos de otras oficinas de P.I.  Se impartió un primer taller subregional para oficinas de P.I. de la región de Asia y el Pacífico en noviembre de 2011, en Kuala Lumpur</w:t>
            </w:r>
            <w:r w:rsidR="009A700A" w:rsidRPr="00B83E1A">
              <w:rPr>
                <w:bCs/>
                <w:sz w:val="18"/>
                <w:szCs w:val="18"/>
                <w:lang w:val="es-ES"/>
              </w:rPr>
              <w:t>.  C</w:t>
            </w:r>
            <w:r w:rsidRPr="00B83E1A">
              <w:rPr>
                <w:bCs/>
                <w:sz w:val="18"/>
                <w:szCs w:val="18"/>
                <w:lang w:val="es-ES"/>
              </w:rPr>
              <w:t>on el Instituto Federal de la Propiedad Intelectual de Suiza, hay un nuevo donante para la elaboración no remunerada de informes de examen.</w:t>
            </w:r>
          </w:p>
        </w:tc>
      </w:tr>
      <w:tr w:rsidR="00067534" w:rsidRPr="00B83E1A" w14:paraId="31C12BF2" w14:textId="77777777" w:rsidTr="004E65E7">
        <w:trPr>
          <w:trHeight w:val="195"/>
          <w:jc w:val="center"/>
        </w:trPr>
        <w:tc>
          <w:tcPr>
            <w:tcW w:w="1713" w:type="dxa"/>
            <w:vMerge/>
          </w:tcPr>
          <w:p w14:paraId="069997F6" w14:textId="77777777" w:rsidR="00067534" w:rsidRPr="00B83E1A" w:rsidRDefault="00067534" w:rsidP="004E65E7">
            <w:pPr>
              <w:rPr>
                <w:b/>
                <w:bCs/>
                <w:sz w:val="18"/>
                <w:szCs w:val="18"/>
                <w:lang w:val="es-ES"/>
              </w:rPr>
            </w:pPr>
          </w:p>
        </w:tc>
        <w:tc>
          <w:tcPr>
            <w:tcW w:w="2409" w:type="dxa"/>
            <w:vMerge w:val="restart"/>
          </w:tcPr>
          <w:p w14:paraId="4D67688C" w14:textId="77777777" w:rsidR="00067534" w:rsidRPr="00B83E1A" w:rsidRDefault="00067534" w:rsidP="004E65E7">
            <w:pPr>
              <w:rPr>
                <w:sz w:val="18"/>
                <w:szCs w:val="18"/>
                <w:lang w:val="es-ES"/>
              </w:rPr>
            </w:pPr>
            <w:r w:rsidRPr="00B83E1A">
              <w:rPr>
                <w:sz w:val="18"/>
                <w:szCs w:val="18"/>
                <w:lang w:val="es-ES"/>
              </w:rPr>
              <w:t>Resultado v) Aumento de la eficacia de las instituciones de P.I. mediante procedimientos de automatización de las actividades.</w:t>
            </w:r>
          </w:p>
          <w:p w14:paraId="132294D6" w14:textId="77777777" w:rsidR="00067534" w:rsidRPr="00B83E1A" w:rsidRDefault="00067534" w:rsidP="004E65E7">
            <w:pPr>
              <w:rPr>
                <w:b/>
                <w:bCs/>
                <w:sz w:val="18"/>
                <w:szCs w:val="18"/>
                <w:lang w:val="es-ES"/>
              </w:rPr>
            </w:pPr>
          </w:p>
        </w:tc>
        <w:tc>
          <w:tcPr>
            <w:tcW w:w="2410" w:type="dxa"/>
          </w:tcPr>
          <w:p w14:paraId="30B47E48" w14:textId="5498AB10" w:rsidR="00067534" w:rsidRPr="00B83E1A" w:rsidRDefault="00067534" w:rsidP="004E65E7">
            <w:pPr>
              <w:spacing w:after="120"/>
              <w:rPr>
                <w:bCs/>
                <w:sz w:val="18"/>
                <w:szCs w:val="18"/>
                <w:lang w:val="es-ES"/>
              </w:rPr>
            </w:pPr>
            <w:r w:rsidRPr="00B83E1A">
              <w:rPr>
                <w:bCs/>
                <w:sz w:val="18"/>
                <w:szCs w:val="18"/>
                <w:lang w:val="es-ES"/>
              </w:rPr>
              <w:t>Aumento de la eficacia en 42 oficinas de P.I. durante el bieni</w:t>
            </w:r>
            <w:r w:rsidR="009A700A" w:rsidRPr="00B83E1A">
              <w:rPr>
                <w:bCs/>
                <w:sz w:val="18"/>
                <w:szCs w:val="18"/>
                <w:lang w:val="es-ES"/>
              </w:rPr>
              <w:t>o 2</w:t>
            </w:r>
            <w:r w:rsidRPr="00B83E1A">
              <w:rPr>
                <w:bCs/>
                <w:sz w:val="18"/>
                <w:szCs w:val="18"/>
                <w:lang w:val="es-ES"/>
              </w:rPr>
              <w:t xml:space="preserve">010-2011.  Con ese fin se suministrará toda una gama de servicios de automatización y se organizarán cursos de formación.  La eficacia será evaluada sobre la </w:t>
            </w:r>
            <w:r w:rsidRPr="00B83E1A">
              <w:rPr>
                <w:bCs/>
                <w:sz w:val="18"/>
                <w:szCs w:val="18"/>
                <w:lang w:val="es-ES"/>
              </w:rPr>
              <w:lastRenderedPageBreak/>
              <w:t>base de criterios previamente consensuados.</w:t>
            </w:r>
          </w:p>
        </w:tc>
        <w:tc>
          <w:tcPr>
            <w:tcW w:w="3101" w:type="dxa"/>
            <w:gridSpan w:val="2"/>
          </w:tcPr>
          <w:p w14:paraId="175D4DE6" w14:textId="77777777" w:rsidR="00067534" w:rsidRPr="00B83E1A" w:rsidRDefault="00067534" w:rsidP="004E65E7">
            <w:pPr>
              <w:rPr>
                <w:bCs/>
                <w:sz w:val="18"/>
                <w:szCs w:val="18"/>
                <w:lang w:val="es-ES"/>
              </w:rPr>
            </w:pPr>
            <w:r w:rsidRPr="00B83E1A">
              <w:rPr>
                <w:bCs/>
                <w:sz w:val="18"/>
                <w:szCs w:val="18"/>
                <w:lang w:val="es-ES"/>
              </w:rPr>
              <w:lastRenderedPageBreak/>
              <w:t>Se visitaron 91 oficinas de la P.I. durante el bienio, algunas más de una vez.</w:t>
            </w:r>
          </w:p>
          <w:p w14:paraId="2C89EC17" w14:textId="77777777" w:rsidR="00067534" w:rsidRPr="00B83E1A" w:rsidRDefault="00067534" w:rsidP="004E65E7">
            <w:pPr>
              <w:rPr>
                <w:bCs/>
                <w:sz w:val="18"/>
                <w:szCs w:val="18"/>
                <w:lang w:val="es-ES"/>
              </w:rPr>
            </w:pPr>
            <w:r w:rsidRPr="00B83E1A">
              <w:rPr>
                <w:bCs/>
                <w:sz w:val="18"/>
                <w:szCs w:val="18"/>
                <w:lang w:val="es-ES"/>
              </w:rPr>
              <w:t>En 58 oficinas de P.I. de todas las regiones ha aumentado la eficacia gracias a los servicios y productos de modernización de la OMPI.</w:t>
            </w:r>
          </w:p>
          <w:p w14:paraId="3B07B540" w14:textId="77777777" w:rsidR="00067534" w:rsidRPr="00B83E1A" w:rsidRDefault="00067534" w:rsidP="004E65E7">
            <w:pPr>
              <w:rPr>
                <w:sz w:val="18"/>
                <w:szCs w:val="18"/>
                <w:lang w:val="es-ES"/>
              </w:rPr>
            </w:pPr>
          </w:p>
        </w:tc>
      </w:tr>
      <w:tr w:rsidR="00067534" w:rsidRPr="00B83E1A" w14:paraId="3CB8FEAC" w14:textId="77777777" w:rsidTr="004E65E7">
        <w:trPr>
          <w:trHeight w:val="195"/>
          <w:jc w:val="center"/>
        </w:trPr>
        <w:tc>
          <w:tcPr>
            <w:tcW w:w="1713" w:type="dxa"/>
            <w:vMerge/>
          </w:tcPr>
          <w:p w14:paraId="5ABFB8A1" w14:textId="77777777" w:rsidR="00067534" w:rsidRPr="00B83E1A" w:rsidRDefault="00067534" w:rsidP="004E65E7">
            <w:pPr>
              <w:rPr>
                <w:b/>
                <w:bCs/>
                <w:sz w:val="18"/>
                <w:szCs w:val="18"/>
                <w:lang w:val="es-ES"/>
              </w:rPr>
            </w:pPr>
          </w:p>
        </w:tc>
        <w:tc>
          <w:tcPr>
            <w:tcW w:w="2409" w:type="dxa"/>
            <w:vMerge/>
          </w:tcPr>
          <w:p w14:paraId="081AF0E7" w14:textId="77777777" w:rsidR="00067534" w:rsidRPr="00B83E1A" w:rsidRDefault="00067534" w:rsidP="004E65E7">
            <w:pPr>
              <w:rPr>
                <w:b/>
                <w:bCs/>
                <w:sz w:val="18"/>
                <w:szCs w:val="18"/>
                <w:lang w:val="es-ES"/>
              </w:rPr>
            </w:pPr>
          </w:p>
        </w:tc>
        <w:tc>
          <w:tcPr>
            <w:tcW w:w="2410" w:type="dxa"/>
          </w:tcPr>
          <w:p w14:paraId="51107838" w14:textId="7D7234E0" w:rsidR="00067534" w:rsidRPr="00B83E1A" w:rsidRDefault="00067534" w:rsidP="0028015A">
            <w:pPr>
              <w:spacing w:after="120"/>
              <w:rPr>
                <w:bCs/>
                <w:sz w:val="18"/>
                <w:szCs w:val="18"/>
                <w:lang w:val="es-ES"/>
              </w:rPr>
            </w:pPr>
            <w:r w:rsidRPr="00B83E1A">
              <w:rPr>
                <w:bCs/>
                <w:sz w:val="18"/>
                <w:szCs w:val="18"/>
                <w:lang w:val="es-ES"/>
              </w:rPr>
              <w:t>De las 42 oficinas de P.I. que recibirán asistencia durante el bienio, hay 12 nuevas oficinas de P.I. y 30 que precisan asistencia adicional y regular para lograr los resultados deseados.</w:t>
            </w:r>
          </w:p>
        </w:tc>
        <w:tc>
          <w:tcPr>
            <w:tcW w:w="3101" w:type="dxa"/>
            <w:gridSpan w:val="2"/>
          </w:tcPr>
          <w:p w14:paraId="7FE0C9F7" w14:textId="77777777" w:rsidR="00067534" w:rsidRPr="00B83E1A" w:rsidRDefault="00067534" w:rsidP="004E65E7">
            <w:pPr>
              <w:rPr>
                <w:bCs/>
                <w:sz w:val="18"/>
                <w:szCs w:val="18"/>
                <w:lang w:val="es-ES"/>
              </w:rPr>
            </w:pPr>
            <w:r w:rsidRPr="00B83E1A">
              <w:rPr>
                <w:bCs/>
                <w:sz w:val="18"/>
                <w:szCs w:val="18"/>
                <w:lang w:val="es-ES"/>
              </w:rPr>
              <w:t>De las 58 oficinas de la P.I. donde se prestaron servicios de modernización, en 14 se iniciaron nuevos proyectos y 44 siguen necesitando asistencia para lograr los resultados esperados.</w:t>
            </w:r>
          </w:p>
          <w:p w14:paraId="6DB10FD3" w14:textId="77777777" w:rsidR="00067534" w:rsidRPr="00B83E1A" w:rsidRDefault="00067534" w:rsidP="004E65E7">
            <w:pPr>
              <w:rPr>
                <w:sz w:val="18"/>
                <w:szCs w:val="18"/>
                <w:lang w:val="es-ES"/>
              </w:rPr>
            </w:pPr>
          </w:p>
        </w:tc>
      </w:tr>
      <w:tr w:rsidR="00067534" w:rsidRPr="00B83E1A" w14:paraId="651B3BE3" w14:textId="77777777" w:rsidTr="004E65E7">
        <w:trPr>
          <w:trHeight w:val="195"/>
          <w:jc w:val="center"/>
        </w:trPr>
        <w:tc>
          <w:tcPr>
            <w:tcW w:w="1713" w:type="dxa"/>
          </w:tcPr>
          <w:p w14:paraId="200EF16A" w14:textId="77777777" w:rsidR="00067534" w:rsidRPr="00B83E1A" w:rsidRDefault="00067534" w:rsidP="004E65E7">
            <w:pPr>
              <w:rPr>
                <w:i/>
                <w:sz w:val="18"/>
                <w:szCs w:val="18"/>
                <w:lang w:val="es-ES"/>
              </w:rPr>
            </w:pPr>
            <w:r w:rsidRPr="00B83E1A">
              <w:rPr>
                <w:i/>
                <w:sz w:val="18"/>
                <w:szCs w:val="18"/>
                <w:lang w:val="es-ES"/>
              </w:rPr>
              <w:t>Meta estratégica VI:  Cooperación internacional para cultivar el respeto por la P.I.</w:t>
            </w:r>
          </w:p>
          <w:p w14:paraId="78503CAE" w14:textId="77777777" w:rsidR="00067534" w:rsidRPr="00B83E1A" w:rsidRDefault="00067534" w:rsidP="004E65E7">
            <w:pPr>
              <w:rPr>
                <w:b/>
                <w:bCs/>
                <w:sz w:val="18"/>
                <w:szCs w:val="18"/>
                <w:lang w:val="es-ES"/>
              </w:rPr>
            </w:pPr>
          </w:p>
        </w:tc>
        <w:tc>
          <w:tcPr>
            <w:tcW w:w="2409" w:type="dxa"/>
          </w:tcPr>
          <w:p w14:paraId="3934E2DC" w14:textId="7457D2E1" w:rsidR="00067534" w:rsidRPr="00B83E1A" w:rsidRDefault="00067534" w:rsidP="004E65E7">
            <w:pPr>
              <w:rPr>
                <w:b/>
                <w:bCs/>
                <w:sz w:val="18"/>
                <w:szCs w:val="18"/>
                <w:lang w:val="es-ES"/>
              </w:rPr>
            </w:pPr>
            <w:r w:rsidRPr="00B83E1A">
              <w:rPr>
                <w:sz w:val="18"/>
                <w:szCs w:val="18"/>
                <w:lang w:val="es-ES"/>
              </w:rPr>
              <w:t>Resultado i) Según establece la recomendació</w:t>
            </w:r>
            <w:r w:rsidR="009A700A" w:rsidRPr="00B83E1A">
              <w:rPr>
                <w:sz w:val="18"/>
                <w:szCs w:val="18"/>
                <w:lang w:val="es-ES"/>
              </w:rPr>
              <w:t>n 4</w:t>
            </w:r>
            <w:r w:rsidRPr="00B83E1A">
              <w:rPr>
                <w:sz w:val="18"/>
                <w:szCs w:val="18"/>
                <w:lang w:val="es-ES"/>
              </w:rPr>
              <w:t>5 de la Agenda para el Desarrollo, puesta en marcha de un diálogo sobre políticas equilibrado y fructífero con miras a crear un entorno propicio que promueva el respeto por la P.I.</w:t>
            </w:r>
          </w:p>
        </w:tc>
        <w:tc>
          <w:tcPr>
            <w:tcW w:w="2410" w:type="dxa"/>
          </w:tcPr>
          <w:p w14:paraId="3CEFF14E" w14:textId="77777777" w:rsidR="00067534" w:rsidRPr="00B83E1A" w:rsidRDefault="00067534" w:rsidP="004E65E7">
            <w:pPr>
              <w:spacing w:after="120"/>
              <w:rPr>
                <w:sz w:val="18"/>
                <w:szCs w:val="18"/>
                <w:lang w:val="es-ES"/>
              </w:rPr>
            </w:pPr>
            <w:r w:rsidRPr="00B83E1A">
              <w:rPr>
                <w:bCs/>
                <w:sz w:val="18"/>
                <w:szCs w:val="18"/>
                <w:lang w:val="es-ES"/>
              </w:rPr>
              <w:t>Número de estudios e investigaciones realizados según lo que se acuerde en las dos sesiones celebradas por el Comité Asesor en materia de Observancia (ACE) y los cuales tendrán un doble fin:  primeramente, dilucidar los elementos que ponen en jaque el respeto por los derechos de P.I. y luego, evaluar objetivamente las pérdidas que causan la falsificación y la piratería y determinar sus repercusiones sociales y económicas</w:t>
            </w:r>
          </w:p>
        </w:tc>
        <w:tc>
          <w:tcPr>
            <w:tcW w:w="3101" w:type="dxa"/>
            <w:gridSpan w:val="2"/>
          </w:tcPr>
          <w:p w14:paraId="5C091FF1" w14:textId="064FFEDC" w:rsidR="00067534" w:rsidRPr="00B83E1A" w:rsidRDefault="00067534" w:rsidP="004E65E7">
            <w:pPr>
              <w:rPr>
                <w:sz w:val="18"/>
                <w:szCs w:val="18"/>
                <w:lang w:val="es-ES"/>
              </w:rPr>
            </w:pPr>
            <w:r w:rsidRPr="00B83E1A">
              <w:rPr>
                <w:bCs/>
                <w:sz w:val="18"/>
                <w:szCs w:val="18"/>
                <w:lang w:val="es-ES"/>
              </w:rPr>
              <w:t>A raíz de la reorientación estratégica del programa de trabajo del ACE, se presentaron 14 documentos basados en la meta estratégica VI durante la sexta y séptima sesiones del ACE, que instaron al Comité a continuar su actual programa de trabajo en su octava sesión</w:t>
            </w:r>
            <w:r w:rsidR="009A700A" w:rsidRPr="00B83E1A">
              <w:rPr>
                <w:bCs/>
                <w:sz w:val="18"/>
                <w:szCs w:val="18"/>
                <w:lang w:val="es-ES"/>
              </w:rPr>
              <w:t>.  A</w:t>
            </w:r>
            <w:r w:rsidRPr="00B83E1A">
              <w:rPr>
                <w:bCs/>
                <w:sz w:val="18"/>
                <w:szCs w:val="18"/>
                <w:lang w:val="es-ES"/>
              </w:rPr>
              <w:t>demás, en la séptima sesión se produjo un ahorro significativo debido a los reducidos gastos de viaje de terceros.</w:t>
            </w:r>
          </w:p>
        </w:tc>
      </w:tr>
      <w:tr w:rsidR="00067534" w:rsidRPr="00B83E1A" w14:paraId="1F6A6D14" w14:textId="77777777" w:rsidTr="004E65E7">
        <w:trPr>
          <w:trHeight w:val="195"/>
          <w:jc w:val="center"/>
        </w:trPr>
        <w:tc>
          <w:tcPr>
            <w:tcW w:w="1713" w:type="dxa"/>
            <w:vMerge w:val="restart"/>
          </w:tcPr>
          <w:p w14:paraId="60D55D69" w14:textId="184B8462" w:rsidR="00067534" w:rsidRPr="00B83E1A" w:rsidRDefault="00067534" w:rsidP="004E65E7">
            <w:pPr>
              <w:rPr>
                <w:i/>
                <w:sz w:val="18"/>
                <w:szCs w:val="18"/>
                <w:lang w:val="es-ES"/>
              </w:rPr>
            </w:pPr>
            <w:r w:rsidRPr="00B83E1A">
              <w:rPr>
                <w:i/>
                <w:sz w:val="18"/>
                <w:szCs w:val="18"/>
                <w:lang w:val="es-ES"/>
              </w:rPr>
              <w:t>Meta estratégica VII</w:t>
            </w:r>
            <w:r w:rsidR="009A700A" w:rsidRPr="00B83E1A">
              <w:rPr>
                <w:i/>
                <w:sz w:val="18"/>
                <w:szCs w:val="18"/>
                <w:lang w:val="es-ES"/>
              </w:rPr>
              <w:t>:  V</w:t>
            </w:r>
            <w:r w:rsidRPr="00B83E1A">
              <w:rPr>
                <w:i/>
                <w:sz w:val="18"/>
                <w:szCs w:val="18"/>
                <w:lang w:val="es-ES"/>
              </w:rPr>
              <w:t>ínculos entre la P.I. y los problemas mundiales de política pública</w:t>
            </w:r>
          </w:p>
          <w:p w14:paraId="746D7F33" w14:textId="77777777" w:rsidR="00067534" w:rsidRPr="00B83E1A" w:rsidRDefault="00067534" w:rsidP="004E65E7">
            <w:pPr>
              <w:rPr>
                <w:b/>
                <w:bCs/>
                <w:sz w:val="18"/>
                <w:szCs w:val="18"/>
                <w:lang w:val="es-ES"/>
              </w:rPr>
            </w:pPr>
          </w:p>
        </w:tc>
        <w:tc>
          <w:tcPr>
            <w:tcW w:w="2409" w:type="dxa"/>
            <w:vMerge w:val="restart"/>
          </w:tcPr>
          <w:p w14:paraId="27B5C39C" w14:textId="77777777" w:rsidR="00067534" w:rsidRPr="00B83E1A" w:rsidRDefault="00067534" w:rsidP="004E65E7">
            <w:pPr>
              <w:keepNext/>
              <w:keepLines/>
              <w:rPr>
                <w:sz w:val="18"/>
                <w:szCs w:val="18"/>
                <w:lang w:val="es-ES"/>
              </w:rPr>
            </w:pPr>
            <w:r w:rsidRPr="00B83E1A">
              <w:rPr>
                <w:sz w:val="18"/>
                <w:szCs w:val="18"/>
                <w:lang w:val="es-ES"/>
              </w:rPr>
              <w:t>Resultado i) Mayor cooperación y coordinación entre la labor de la OMPI y la de otros procesos internacionales referidos a los CC.TT., las ECT y los recursos genéticos.</w:t>
            </w:r>
          </w:p>
          <w:p w14:paraId="031E09B9" w14:textId="77777777" w:rsidR="00067534" w:rsidRPr="00B83E1A" w:rsidRDefault="00067534" w:rsidP="004E65E7">
            <w:pPr>
              <w:rPr>
                <w:b/>
                <w:bCs/>
                <w:sz w:val="18"/>
                <w:szCs w:val="18"/>
                <w:lang w:val="es-ES"/>
              </w:rPr>
            </w:pPr>
          </w:p>
        </w:tc>
        <w:tc>
          <w:tcPr>
            <w:tcW w:w="2410" w:type="dxa"/>
          </w:tcPr>
          <w:p w14:paraId="3267ADB6" w14:textId="77777777" w:rsidR="00067534" w:rsidRPr="00B83E1A" w:rsidRDefault="00067534" w:rsidP="004E65E7">
            <w:pPr>
              <w:rPr>
                <w:bCs/>
                <w:sz w:val="18"/>
                <w:szCs w:val="18"/>
                <w:lang w:val="es-ES"/>
              </w:rPr>
            </w:pPr>
            <w:r w:rsidRPr="00B83E1A">
              <w:rPr>
                <w:bCs/>
                <w:sz w:val="18"/>
                <w:szCs w:val="18"/>
                <w:lang w:val="es-ES"/>
              </w:rPr>
              <w:t xml:space="preserve">Número de procesos de otros organismos y ámbitos de discusión internacionales en que se reconozca específicamente la particular aportación y conocimientos técnicos de P.I. de la OMPI.  Objetivo:  cuatro </w:t>
            </w:r>
          </w:p>
        </w:tc>
        <w:tc>
          <w:tcPr>
            <w:tcW w:w="3101" w:type="dxa"/>
            <w:gridSpan w:val="2"/>
          </w:tcPr>
          <w:p w14:paraId="4E7FFF1A" w14:textId="77777777" w:rsidR="00067534" w:rsidRPr="00B83E1A" w:rsidRDefault="00067534" w:rsidP="004E65E7">
            <w:pPr>
              <w:spacing w:after="120"/>
              <w:rPr>
                <w:sz w:val="18"/>
                <w:szCs w:val="18"/>
                <w:lang w:val="es-ES"/>
              </w:rPr>
            </w:pPr>
            <w:r w:rsidRPr="00B83E1A">
              <w:rPr>
                <w:bCs/>
                <w:sz w:val="18"/>
                <w:szCs w:val="18"/>
                <w:lang w:val="es-ES"/>
              </w:rPr>
              <w:t>Nueve procesos durante el bienio 2010-2011:  Se invitó a la OMPI a participar y a proporcionar información relacionada con la P.I. en reuniones y actividades del CDB, la OMC, la FAO, el ACNUDH, la OMS, el Foro Permanente de las Naciones Unidas para las Cuestiones Indígenas, el Mecanismo de Expertos sobre los Derechos de los Pueblos Indígenas, la UNESCO y el Grupo de Apoyo Interinstitucional para las Cuestiones Indígenas.</w:t>
            </w:r>
          </w:p>
        </w:tc>
      </w:tr>
      <w:tr w:rsidR="00067534" w:rsidRPr="00B83E1A" w14:paraId="232A311E" w14:textId="77777777" w:rsidTr="004E65E7">
        <w:trPr>
          <w:trHeight w:val="195"/>
          <w:jc w:val="center"/>
        </w:trPr>
        <w:tc>
          <w:tcPr>
            <w:tcW w:w="1713" w:type="dxa"/>
            <w:vMerge/>
          </w:tcPr>
          <w:p w14:paraId="50E74991" w14:textId="77777777" w:rsidR="00067534" w:rsidRPr="00B83E1A" w:rsidRDefault="00067534" w:rsidP="004E65E7">
            <w:pPr>
              <w:rPr>
                <w:b/>
                <w:bCs/>
                <w:sz w:val="18"/>
                <w:szCs w:val="18"/>
                <w:lang w:val="es-ES"/>
              </w:rPr>
            </w:pPr>
          </w:p>
        </w:tc>
        <w:tc>
          <w:tcPr>
            <w:tcW w:w="2409" w:type="dxa"/>
            <w:vMerge/>
          </w:tcPr>
          <w:p w14:paraId="53FE2D72" w14:textId="77777777" w:rsidR="00067534" w:rsidRPr="00B83E1A" w:rsidRDefault="00067534" w:rsidP="004E65E7">
            <w:pPr>
              <w:rPr>
                <w:b/>
                <w:bCs/>
                <w:sz w:val="18"/>
                <w:szCs w:val="18"/>
                <w:lang w:val="es-ES"/>
              </w:rPr>
            </w:pPr>
          </w:p>
        </w:tc>
        <w:tc>
          <w:tcPr>
            <w:tcW w:w="2410" w:type="dxa"/>
          </w:tcPr>
          <w:p w14:paraId="59224C39" w14:textId="77777777" w:rsidR="00067534" w:rsidRPr="00B83E1A" w:rsidRDefault="00067534" w:rsidP="004E65E7">
            <w:pPr>
              <w:rPr>
                <w:bCs/>
                <w:sz w:val="18"/>
                <w:szCs w:val="18"/>
                <w:lang w:val="es-ES"/>
              </w:rPr>
            </w:pPr>
            <w:r w:rsidRPr="00B83E1A">
              <w:rPr>
                <w:bCs/>
                <w:sz w:val="18"/>
                <w:szCs w:val="18"/>
                <w:lang w:val="es-ES"/>
              </w:rPr>
              <w:t>Número de publicaciones o actividades conjuntas entre la OMPI y otros organismos internacionales.  Objetivo:  tres</w:t>
            </w:r>
          </w:p>
        </w:tc>
        <w:tc>
          <w:tcPr>
            <w:tcW w:w="3101" w:type="dxa"/>
            <w:gridSpan w:val="2"/>
          </w:tcPr>
          <w:p w14:paraId="13D3106F" w14:textId="494C8A40" w:rsidR="00067534" w:rsidRPr="00B83E1A" w:rsidRDefault="00067534" w:rsidP="004E65E7">
            <w:pPr>
              <w:spacing w:after="120"/>
              <w:rPr>
                <w:sz w:val="18"/>
                <w:szCs w:val="18"/>
                <w:lang w:val="es-ES"/>
              </w:rPr>
            </w:pPr>
            <w:r w:rsidRPr="00B83E1A">
              <w:rPr>
                <w:bCs/>
                <w:sz w:val="18"/>
                <w:szCs w:val="18"/>
                <w:lang w:val="es-ES"/>
              </w:rPr>
              <w:t>Cinco publicaciones o actividades conjuntas durante el bienio 2010-2011</w:t>
            </w:r>
            <w:r w:rsidR="009A700A" w:rsidRPr="00B83E1A">
              <w:rPr>
                <w:bCs/>
                <w:sz w:val="18"/>
                <w:szCs w:val="18"/>
                <w:lang w:val="es-ES"/>
              </w:rPr>
              <w:t>.  L</w:t>
            </w:r>
            <w:r w:rsidRPr="00B83E1A">
              <w:rPr>
                <w:bCs/>
                <w:sz w:val="18"/>
                <w:szCs w:val="18"/>
                <w:lang w:val="es-ES"/>
              </w:rPr>
              <w:t>a OMPI participó en publicaciones de la OMS y la OMC (una publicación conjunta con la OMPI) y la UNCTAD, y siguió cooperando en proyectos de distintos ámbitos con el Fondo para el Medio Ambiente Mundial, la Secretaría del Foro de las Islas del Pacífico y la Secretaría de la Comunidad del Pacífico.</w:t>
            </w:r>
          </w:p>
        </w:tc>
      </w:tr>
      <w:tr w:rsidR="00067534" w:rsidRPr="00B83E1A" w14:paraId="6081C733" w14:textId="77777777" w:rsidTr="004E65E7">
        <w:trPr>
          <w:trHeight w:val="195"/>
          <w:jc w:val="center"/>
        </w:trPr>
        <w:tc>
          <w:tcPr>
            <w:tcW w:w="1713" w:type="dxa"/>
            <w:vMerge/>
          </w:tcPr>
          <w:p w14:paraId="24AB079E" w14:textId="77777777" w:rsidR="00067534" w:rsidRPr="00B83E1A" w:rsidRDefault="00067534" w:rsidP="004E65E7">
            <w:pPr>
              <w:rPr>
                <w:b/>
                <w:bCs/>
                <w:sz w:val="18"/>
                <w:szCs w:val="18"/>
                <w:lang w:val="es-ES"/>
              </w:rPr>
            </w:pPr>
          </w:p>
        </w:tc>
        <w:tc>
          <w:tcPr>
            <w:tcW w:w="2409" w:type="dxa"/>
            <w:vMerge w:val="restart"/>
          </w:tcPr>
          <w:p w14:paraId="50500952" w14:textId="77777777" w:rsidR="00067534" w:rsidRPr="00B83E1A" w:rsidRDefault="00067534" w:rsidP="004E65E7">
            <w:pPr>
              <w:keepNext/>
              <w:keepLines/>
              <w:rPr>
                <w:sz w:val="18"/>
                <w:szCs w:val="18"/>
                <w:lang w:val="es-ES"/>
              </w:rPr>
            </w:pPr>
            <w:r w:rsidRPr="00B83E1A">
              <w:rPr>
                <w:sz w:val="18"/>
                <w:szCs w:val="18"/>
                <w:lang w:val="es-ES"/>
              </w:rPr>
              <w:t xml:space="preserve">Resultado i) Elaboración de estadísticas y de estudios rigurosos para facilitar y dar más sustancia al diálogo sobre políticas entre los </w:t>
            </w:r>
            <w:r w:rsidRPr="00B83E1A">
              <w:rPr>
                <w:sz w:val="18"/>
                <w:szCs w:val="18"/>
                <w:lang w:val="es-ES"/>
              </w:rPr>
              <w:lastRenderedPageBreak/>
              <w:t>gobiernos, los organismos internacionales, las instituciones de la sociedad civil y las entidades del sector privado sobre el panorama actual de la P.I. y las nuevas cuestiones que se susciten en ese terreno en el plano mundial</w:t>
            </w:r>
          </w:p>
          <w:p w14:paraId="29826F39" w14:textId="77777777" w:rsidR="00067534" w:rsidRPr="00B83E1A" w:rsidRDefault="00067534" w:rsidP="004E65E7">
            <w:pPr>
              <w:rPr>
                <w:b/>
                <w:bCs/>
                <w:sz w:val="18"/>
                <w:szCs w:val="18"/>
                <w:lang w:val="es-ES"/>
              </w:rPr>
            </w:pPr>
          </w:p>
        </w:tc>
        <w:tc>
          <w:tcPr>
            <w:tcW w:w="2410" w:type="dxa"/>
          </w:tcPr>
          <w:p w14:paraId="21637701" w14:textId="77777777" w:rsidR="0028015A" w:rsidRPr="00B83E1A" w:rsidRDefault="00067534" w:rsidP="004E65E7">
            <w:pPr>
              <w:rPr>
                <w:bCs/>
                <w:sz w:val="18"/>
                <w:szCs w:val="18"/>
                <w:lang w:val="es-ES"/>
              </w:rPr>
            </w:pPr>
            <w:r w:rsidRPr="00B83E1A">
              <w:rPr>
                <w:bCs/>
                <w:sz w:val="18"/>
                <w:szCs w:val="18"/>
                <w:lang w:val="es-ES"/>
              </w:rPr>
              <w:lastRenderedPageBreak/>
              <w:t>Amplitud y diversidad de la participación en los foros para el debate de políticas celebrados por la OMPI.</w:t>
            </w:r>
          </w:p>
          <w:p w14:paraId="0BF1AEC8" w14:textId="0845D8DA" w:rsidR="00067534" w:rsidRPr="00B83E1A" w:rsidRDefault="00067534" w:rsidP="004E65E7">
            <w:pPr>
              <w:rPr>
                <w:bCs/>
                <w:sz w:val="18"/>
                <w:szCs w:val="18"/>
                <w:lang w:val="es-ES"/>
              </w:rPr>
            </w:pPr>
            <w:r w:rsidRPr="00B83E1A">
              <w:rPr>
                <w:bCs/>
                <w:sz w:val="18"/>
                <w:szCs w:val="18"/>
                <w:lang w:val="es-ES"/>
              </w:rPr>
              <w:t xml:space="preserve">Objetivo:  Celebrar </w:t>
            </w:r>
            <w:r w:rsidRPr="00B83E1A">
              <w:rPr>
                <w:bCs/>
                <w:sz w:val="18"/>
                <w:szCs w:val="18"/>
                <w:lang w:val="es-ES"/>
              </w:rPr>
              <w:lastRenderedPageBreak/>
              <w:t>anualmente un gran foro sobre políticas y cuatro foros sobre cuestiones específicas de las políticas</w:t>
            </w:r>
          </w:p>
        </w:tc>
        <w:tc>
          <w:tcPr>
            <w:tcW w:w="3101" w:type="dxa"/>
            <w:gridSpan w:val="2"/>
          </w:tcPr>
          <w:p w14:paraId="51CAF6A9" w14:textId="77777777" w:rsidR="00067534" w:rsidRPr="00B83E1A" w:rsidRDefault="00067534" w:rsidP="004E65E7">
            <w:pPr>
              <w:rPr>
                <w:bCs/>
                <w:sz w:val="18"/>
                <w:szCs w:val="18"/>
                <w:lang w:val="es-ES"/>
              </w:rPr>
            </w:pPr>
            <w:r w:rsidRPr="00B83E1A">
              <w:rPr>
                <w:bCs/>
                <w:sz w:val="18"/>
                <w:szCs w:val="18"/>
                <w:lang w:val="es-ES"/>
              </w:rPr>
              <w:lastRenderedPageBreak/>
              <w:t>Conferencia de la OMPI sobre innovación y cambio climático Eventos paralelos en las reuniones de la CMNUCC sobre cuestiones de innovación y difusión de la tecnología</w:t>
            </w:r>
          </w:p>
          <w:p w14:paraId="7265A096" w14:textId="77777777" w:rsidR="00067534" w:rsidRPr="00B83E1A" w:rsidRDefault="00067534" w:rsidP="004E65E7">
            <w:pPr>
              <w:rPr>
                <w:bCs/>
                <w:sz w:val="18"/>
                <w:szCs w:val="18"/>
                <w:lang w:val="es-ES"/>
              </w:rPr>
            </w:pPr>
            <w:r w:rsidRPr="00B83E1A">
              <w:rPr>
                <w:bCs/>
                <w:sz w:val="18"/>
                <w:szCs w:val="18"/>
                <w:lang w:val="es-ES"/>
              </w:rPr>
              <w:lastRenderedPageBreak/>
              <w:t>Como cooperación entre la OMS y la OMPI:</w:t>
            </w:r>
          </w:p>
          <w:p w14:paraId="3FCE899C" w14:textId="77777777" w:rsidR="00067534" w:rsidRPr="00B83E1A" w:rsidRDefault="00067534" w:rsidP="00067534">
            <w:pPr>
              <w:numPr>
                <w:ilvl w:val="1"/>
                <w:numId w:val="9"/>
              </w:numPr>
              <w:rPr>
                <w:bCs/>
                <w:sz w:val="18"/>
                <w:szCs w:val="18"/>
                <w:lang w:val="es-ES"/>
              </w:rPr>
            </w:pPr>
            <w:r w:rsidRPr="00B83E1A">
              <w:rPr>
                <w:bCs/>
                <w:sz w:val="18"/>
                <w:szCs w:val="18"/>
                <w:lang w:val="es-ES"/>
              </w:rPr>
              <w:t>Un simposio técnico conjunto sobre "Acceso a los medicamentos:  Prácticas de fijación de precios y adquisición</w:t>
            </w:r>
          </w:p>
          <w:p w14:paraId="71820DE5" w14:textId="77777777" w:rsidR="00067534" w:rsidRPr="00B83E1A" w:rsidRDefault="00067534" w:rsidP="00067534">
            <w:pPr>
              <w:numPr>
                <w:ilvl w:val="1"/>
                <w:numId w:val="9"/>
              </w:numPr>
              <w:rPr>
                <w:bCs/>
                <w:sz w:val="18"/>
                <w:szCs w:val="18"/>
                <w:lang w:val="es-ES"/>
              </w:rPr>
            </w:pPr>
            <w:r w:rsidRPr="00B83E1A">
              <w:rPr>
                <w:bCs/>
                <w:sz w:val="18"/>
                <w:szCs w:val="18"/>
                <w:lang w:val="es-ES"/>
              </w:rPr>
              <w:t>Un simposio técnico conjunto sobre acceso a los medicamentos, información sobre patentes y libertad de acción</w:t>
            </w:r>
          </w:p>
          <w:p w14:paraId="255BFD6F" w14:textId="77777777" w:rsidR="00067534" w:rsidRPr="00B83E1A" w:rsidRDefault="00067534" w:rsidP="00067534">
            <w:pPr>
              <w:numPr>
                <w:ilvl w:val="1"/>
                <w:numId w:val="9"/>
              </w:numPr>
              <w:rPr>
                <w:bCs/>
                <w:sz w:val="18"/>
                <w:szCs w:val="18"/>
                <w:lang w:val="es-ES"/>
              </w:rPr>
            </w:pPr>
            <w:r w:rsidRPr="00B83E1A">
              <w:rPr>
                <w:bCs/>
                <w:sz w:val="18"/>
                <w:szCs w:val="18"/>
                <w:lang w:val="es-ES"/>
              </w:rPr>
              <w:t>Un taller sobre búsqueda de patentes y la libertad para operar</w:t>
            </w:r>
          </w:p>
          <w:p w14:paraId="55164CE3" w14:textId="77777777" w:rsidR="00067534" w:rsidRPr="00B83E1A" w:rsidRDefault="00067534" w:rsidP="004E65E7">
            <w:pPr>
              <w:rPr>
                <w:bCs/>
                <w:sz w:val="18"/>
                <w:szCs w:val="18"/>
                <w:lang w:val="es-ES"/>
              </w:rPr>
            </w:pPr>
            <w:r w:rsidRPr="00B83E1A">
              <w:rPr>
                <w:bCs/>
                <w:sz w:val="18"/>
                <w:szCs w:val="18"/>
                <w:lang w:val="es-ES"/>
              </w:rPr>
              <w:t>En cooperación con UNITAID y la Medicines Patent Pool, se celebró un taller sobre Condiciones de concesión de licencias para Medicines Patent Pool</w:t>
            </w:r>
          </w:p>
          <w:p w14:paraId="539077D5" w14:textId="77777777" w:rsidR="00067534" w:rsidRPr="00B83E1A" w:rsidRDefault="00067534" w:rsidP="004E65E7">
            <w:pPr>
              <w:rPr>
                <w:bCs/>
                <w:sz w:val="18"/>
                <w:szCs w:val="18"/>
                <w:lang w:val="es-ES"/>
              </w:rPr>
            </w:pPr>
            <w:r w:rsidRPr="00B83E1A">
              <w:rPr>
                <w:bCs/>
                <w:sz w:val="18"/>
                <w:szCs w:val="18"/>
                <w:lang w:val="es-ES"/>
              </w:rPr>
              <w:t xml:space="preserve">Presentación de WIPO Re:Search el 26 de octubre de 2011 </w:t>
            </w:r>
          </w:p>
          <w:p w14:paraId="6851F846" w14:textId="77777777" w:rsidR="00067534" w:rsidRPr="00B83E1A" w:rsidRDefault="00067534" w:rsidP="004E65E7">
            <w:pPr>
              <w:rPr>
                <w:bCs/>
                <w:sz w:val="18"/>
                <w:szCs w:val="18"/>
                <w:lang w:val="es-ES"/>
              </w:rPr>
            </w:pPr>
            <w:r w:rsidRPr="00B83E1A">
              <w:rPr>
                <w:bCs/>
                <w:sz w:val="18"/>
                <w:szCs w:val="18"/>
                <w:lang w:val="es-ES"/>
              </w:rPr>
              <w:t xml:space="preserve">Simposio sobre la evolución del marco reglamentario de los datos de los ensayos – de la propiedad del intelecto al intelecto de la propiedad, en la OMPI </w:t>
            </w:r>
          </w:p>
          <w:p w14:paraId="2BAE83BA" w14:textId="77777777" w:rsidR="00067534" w:rsidRPr="00B83E1A" w:rsidRDefault="00067534" w:rsidP="004E65E7">
            <w:pPr>
              <w:rPr>
                <w:bCs/>
                <w:sz w:val="18"/>
                <w:szCs w:val="18"/>
                <w:lang w:val="es-ES"/>
              </w:rPr>
            </w:pPr>
            <w:r w:rsidRPr="00B83E1A">
              <w:rPr>
                <w:bCs/>
                <w:sz w:val="18"/>
                <w:szCs w:val="18"/>
                <w:lang w:val="es-ES"/>
              </w:rPr>
              <w:t>Seminario sobre la utilización de la propiedad intelectual en los sectores privado y público para mejorar la productividad agrícola</w:t>
            </w:r>
          </w:p>
          <w:p w14:paraId="6100386E" w14:textId="77777777" w:rsidR="00067534" w:rsidRPr="00B83E1A" w:rsidRDefault="00067534" w:rsidP="004E65E7">
            <w:pPr>
              <w:spacing w:after="120"/>
              <w:rPr>
                <w:sz w:val="18"/>
                <w:szCs w:val="18"/>
                <w:lang w:val="es-ES"/>
              </w:rPr>
            </w:pPr>
            <w:r w:rsidRPr="00B83E1A">
              <w:rPr>
                <w:bCs/>
                <w:sz w:val="18"/>
                <w:szCs w:val="18"/>
                <w:lang w:val="es-ES"/>
              </w:rPr>
              <w:t xml:space="preserve">Sesión de la Conferencia Técnica Internacional de la FAO sobre Biotecnologías Agrícolas en los Países en Desarrollo, México  </w:t>
            </w:r>
          </w:p>
        </w:tc>
      </w:tr>
      <w:tr w:rsidR="00067534" w:rsidRPr="00B83E1A" w14:paraId="187A9CF4" w14:textId="77777777" w:rsidTr="004E65E7">
        <w:trPr>
          <w:trHeight w:val="195"/>
          <w:jc w:val="center"/>
        </w:trPr>
        <w:tc>
          <w:tcPr>
            <w:tcW w:w="1713" w:type="dxa"/>
            <w:vMerge/>
          </w:tcPr>
          <w:p w14:paraId="6DC3D74D" w14:textId="77777777" w:rsidR="00067534" w:rsidRPr="00B83E1A" w:rsidRDefault="00067534" w:rsidP="004E65E7">
            <w:pPr>
              <w:rPr>
                <w:b/>
                <w:bCs/>
                <w:sz w:val="18"/>
                <w:szCs w:val="18"/>
                <w:lang w:val="es-ES"/>
              </w:rPr>
            </w:pPr>
          </w:p>
        </w:tc>
        <w:tc>
          <w:tcPr>
            <w:tcW w:w="2409" w:type="dxa"/>
            <w:vMerge/>
          </w:tcPr>
          <w:p w14:paraId="0D2794C5" w14:textId="77777777" w:rsidR="00067534" w:rsidRPr="00B83E1A" w:rsidRDefault="00067534" w:rsidP="004E65E7">
            <w:pPr>
              <w:rPr>
                <w:b/>
                <w:bCs/>
                <w:sz w:val="18"/>
                <w:szCs w:val="18"/>
                <w:lang w:val="es-ES"/>
              </w:rPr>
            </w:pPr>
          </w:p>
        </w:tc>
        <w:tc>
          <w:tcPr>
            <w:tcW w:w="2410" w:type="dxa"/>
          </w:tcPr>
          <w:p w14:paraId="4282FD58" w14:textId="4A0C9ACB" w:rsidR="00067534" w:rsidRPr="00B83E1A" w:rsidRDefault="00067534" w:rsidP="004E65E7">
            <w:pPr>
              <w:rPr>
                <w:bCs/>
                <w:sz w:val="18"/>
                <w:szCs w:val="18"/>
                <w:lang w:val="es-ES"/>
              </w:rPr>
            </w:pPr>
            <w:r w:rsidRPr="00B83E1A">
              <w:rPr>
                <w:bCs/>
                <w:sz w:val="18"/>
                <w:szCs w:val="18"/>
                <w:lang w:val="es-ES"/>
              </w:rPr>
              <w:t>Mayor participación de la OMPI en otros foros para el debate de políticas con el fin de estrechar las relaciones con los asociados actuales y con otros nuevos.</w:t>
            </w:r>
            <w:r w:rsidR="00320EE4" w:rsidRPr="00B83E1A">
              <w:rPr>
                <w:bCs/>
                <w:sz w:val="18"/>
                <w:szCs w:val="18"/>
                <w:lang w:val="es-ES"/>
              </w:rPr>
              <w:t xml:space="preserve"> </w:t>
            </w:r>
            <w:r w:rsidRPr="00B83E1A">
              <w:rPr>
                <w:bCs/>
                <w:sz w:val="18"/>
                <w:szCs w:val="18"/>
                <w:lang w:val="es-ES"/>
              </w:rPr>
              <w:t xml:space="preserve"> Objetivo:  Fortalecer el diálogo con seis asociados actuales e iniciarlo con seis nuevos.</w:t>
            </w:r>
          </w:p>
        </w:tc>
        <w:tc>
          <w:tcPr>
            <w:tcW w:w="3101" w:type="dxa"/>
            <w:gridSpan w:val="2"/>
          </w:tcPr>
          <w:p w14:paraId="363DE027" w14:textId="77777777" w:rsidR="00067534" w:rsidRPr="00B83E1A" w:rsidRDefault="00067534" w:rsidP="004E65E7">
            <w:pPr>
              <w:rPr>
                <w:bCs/>
                <w:sz w:val="18"/>
                <w:szCs w:val="18"/>
                <w:lang w:val="es-ES"/>
              </w:rPr>
            </w:pPr>
            <w:r w:rsidRPr="00B83E1A">
              <w:rPr>
                <w:bCs/>
                <w:sz w:val="18"/>
                <w:szCs w:val="18"/>
                <w:lang w:val="es-ES"/>
              </w:rPr>
              <w:t>Apoyo constante (OMS) a la aplicación de la Estrategia mundial y plan de acción sobre salud pública, innovación y propiedad intelectual y al proceso de preparación para una gripe pandémica.</w:t>
            </w:r>
          </w:p>
          <w:p w14:paraId="7ECD0112" w14:textId="77777777" w:rsidR="00067534" w:rsidRPr="00B83E1A" w:rsidRDefault="00067534" w:rsidP="004E65E7">
            <w:pPr>
              <w:rPr>
                <w:bCs/>
                <w:sz w:val="18"/>
                <w:szCs w:val="18"/>
                <w:lang w:val="es-ES"/>
              </w:rPr>
            </w:pPr>
            <w:r w:rsidRPr="00B83E1A">
              <w:rPr>
                <w:bCs/>
                <w:sz w:val="18"/>
                <w:szCs w:val="18"/>
                <w:lang w:val="es-ES"/>
              </w:rPr>
              <w:t>Colaboración permanente en talleres de la OMC y en seminarios sobre el Acuerdo sobre los ADPIC y salud pública y en otras reuniones conexas</w:t>
            </w:r>
          </w:p>
          <w:p w14:paraId="19AF05A1" w14:textId="77777777" w:rsidR="00067534" w:rsidRPr="00B83E1A" w:rsidRDefault="00067534" w:rsidP="004E65E7">
            <w:pPr>
              <w:rPr>
                <w:bCs/>
                <w:sz w:val="18"/>
                <w:szCs w:val="18"/>
                <w:lang w:val="es-ES"/>
              </w:rPr>
            </w:pPr>
            <w:r w:rsidRPr="00B83E1A">
              <w:rPr>
                <w:bCs/>
                <w:sz w:val="18"/>
                <w:szCs w:val="18"/>
                <w:lang w:val="es-ES"/>
              </w:rPr>
              <w:t>Cooperación trilateral, coordinación periódica y organización conjunta de dos simposios (</w:t>
            </w:r>
            <w:r w:rsidRPr="00B83E1A">
              <w:rPr>
                <w:bCs/>
                <w:i/>
                <w:sz w:val="18"/>
                <w:szCs w:val="18"/>
                <w:lang w:val="es-ES"/>
              </w:rPr>
              <w:t>vid. supra</w:t>
            </w:r>
            <w:r w:rsidRPr="00B83E1A">
              <w:rPr>
                <w:bCs/>
                <w:sz w:val="18"/>
                <w:szCs w:val="18"/>
                <w:lang w:val="es-ES"/>
              </w:rPr>
              <w:t>) entre la OMS, la OMPI y la OMC.</w:t>
            </w:r>
          </w:p>
          <w:p w14:paraId="6A77AF27" w14:textId="77777777" w:rsidR="00067534" w:rsidRPr="00B83E1A" w:rsidRDefault="00067534" w:rsidP="004E65E7">
            <w:pPr>
              <w:rPr>
                <w:bCs/>
                <w:sz w:val="18"/>
                <w:szCs w:val="18"/>
                <w:lang w:val="es-ES"/>
              </w:rPr>
            </w:pPr>
            <w:r w:rsidRPr="00B83E1A">
              <w:rPr>
                <w:bCs/>
                <w:sz w:val="18"/>
                <w:szCs w:val="18"/>
                <w:lang w:val="es-ES"/>
              </w:rPr>
              <w:t>Participación en las reuniones de la Junta Ejecutiva de UNITAID y apoyo a la labor de crear la fundación Medicines Patent Pool (MPP).</w:t>
            </w:r>
          </w:p>
          <w:p w14:paraId="0C8757D1" w14:textId="77777777" w:rsidR="00067534" w:rsidRPr="00B83E1A" w:rsidRDefault="00067534" w:rsidP="004E65E7">
            <w:pPr>
              <w:rPr>
                <w:bCs/>
                <w:sz w:val="18"/>
                <w:szCs w:val="18"/>
                <w:lang w:val="es-ES"/>
              </w:rPr>
            </w:pPr>
            <w:r w:rsidRPr="00B83E1A">
              <w:rPr>
                <w:bCs/>
                <w:sz w:val="18"/>
                <w:szCs w:val="18"/>
                <w:lang w:val="es-ES"/>
              </w:rPr>
              <w:t xml:space="preserve">Participación sostenida en las reuniones de la CMNUCC y cooperación con la Secretaría de la </w:t>
            </w:r>
            <w:r w:rsidRPr="00B83E1A">
              <w:rPr>
                <w:bCs/>
                <w:sz w:val="18"/>
                <w:szCs w:val="18"/>
                <w:lang w:val="es-ES"/>
              </w:rPr>
              <w:lastRenderedPageBreak/>
              <w:t>CMNUCC, con ONUDI, PNUMA, InfoDev, organizaciones no gubernamentales y sectores de actividad en cuestiones de P.I. relativas al cambio climático Se inició el contacto con CESPAP.</w:t>
            </w:r>
          </w:p>
          <w:p w14:paraId="329A96F8" w14:textId="77777777" w:rsidR="00B35257" w:rsidRPr="00B83E1A" w:rsidRDefault="00067534" w:rsidP="004E65E7">
            <w:pPr>
              <w:rPr>
                <w:bCs/>
                <w:sz w:val="18"/>
                <w:szCs w:val="18"/>
                <w:lang w:val="es-ES"/>
              </w:rPr>
            </w:pPr>
            <w:r w:rsidRPr="00B83E1A">
              <w:rPr>
                <w:bCs/>
                <w:sz w:val="18"/>
                <w:szCs w:val="18"/>
                <w:lang w:val="es-ES"/>
              </w:rPr>
              <w:t>Participación continua en el Comité Interinstitucional de las Naciones Unidas sobre Bioética</w:t>
            </w:r>
            <w:r w:rsidR="00B35257" w:rsidRPr="00B83E1A">
              <w:rPr>
                <w:bCs/>
                <w:sz w:val="18"/>
                <w:szCs w:val="18"/>
                <w:lang w:val="es-ES"/>
              </w:rPr>
              <w:t>.</w:t>
            </w:r>
          </w:p>
          <w:p w14:paraId="2F840800" w14:textId="7CDFD927" w:rsidR="00067534" w:rsidRPr="00B83E1A" w:rsidRDefault="00067534" w:rsidP="004E65E7">
            <w:pPr>
              <w:rPr>
                <w:bCs/>
                <w:sz w:val="18"/>
                <w:szCs w:val="18"/>
                <w:lang w:val="es-ES"/>
              </w:rPr>
            </w:pPr>
            <w:r w:rsidRPr="00B83E1A">
              <w:rPr>
                <w:bCs/>
                <w:sz w:val="18"/>
                <w:szCs w:val="18"/>
                <w:lang w:val="es-ES"/>
              </w:rPr>
              <w:t>Cooperación con el Instituto Universitario de Altos Estudios Internacionales y Desarrollo de Ginebra para la preparación del Quinto Simposio de Alto Nivel sobre Diplomacia Sanitaria Mundial (diez años después de Doha), en estrecha colaboración entre la OMS, la OMPI y la OMC.</w:t>
            </w:r>
          </w:p>
          <w:p w14:paraId="7733C788" w14:textId="77777777" w:rsidR="00067534" w:rsidRPr="00B83E1A" w:rsidRDefault="00067534" w:rsidP="004E65E7">
            <w:pPr>
              <w:spacing w:after="120"/>
              <w:rPr>
                <w:sz w:val="18"/>
                <w:szCs w:val="18"/>
                <w:lang w:val="es-ES"/>
              </w:rPr>
            </w:pPr>
            <w:r w:rsidRPr="00B83E1A">
              <w:rPr>
                <w:bCs/>
                <w:sz w:val="18"/>
                <w:szCs w:val="18"/>
                <w:lang w:val="es-ES"/>
              </w:rPr>
              <w:t xml:space="preserve">Cooperación con 30 nuevos colaboradores en el contexto de WIPO Re:Search y 10 nuevos colaboradores en el contexto de </w:t>
            </w:r>
            <w:r w:rsidRPr="00B83E1A">
              <w:rPr>
                <w:bCs/>
                <w:i/>
                <w:sz w:val="18"/>
                <w:szCs w:val="18"/>
                <w:lang w:val="es-ES"/>
              </w:rPr>
              <w:t xml:space="preserve">wipo green </w:t>
            </w:r>
            <w:r w:rsidRPr="00B83E1A">
              <w:rPr>
                <w:bCs/>
                <w:sz w:val="18"/>
                <w:szCs w:val="18"/>
                <w:lang w:val="es-ES"/>
              </w:rPr>
              <w:t>(</w:t>
            </w:r>
            <w:r w:rsidRPr="00B83E1A">
              <w:rPr>
                <w:bCs/>
                <w:i/>
                <w:sz w:val="18"/>
                <w:szCs w:val="18"/>
                <w:lang w:val="es-ES"/>
              </w:rPr>
              <w:t>vid. infra</w:t>
            </w:r>
            <w:r w:rsidRPr="00B83E1A">
              <w:rPr>
                <w:bCs/>
                <w:sz w:val="18"/>
                <w:szCs w:val="18"/>
                <w:lang w:val="es-ES"/>
              </w:rPr>
              <w:t xml:space="preserve">). </w:t>
            </w:r>
          </w:p>
        </w:tc>
      </w:tr>
      <w:tr w:rsidR="00067534" w:rsidRPr="00B83E1A" w14:paraId="73FC67DF" w14:textId="77777777" w:rsidTr="0028015A">
        <w:trPr>
          <w:trHeight w:val="3755"/>
          <w:jc w:val="center"/>
        </w:trPr>
        <w:tc>
          <w:tcPr>
            <w:tcW w:w="1713" w:type="dxa"/>
            <w:vMerge/>
          </w:tcPr>
          <w:p w14:paraId="32E3E986" w14:textId="77777777" w:rsidR="00067534" w:rsidRPr="00B83E1A" w:rsidRDefault="00067534" w:rsidP="004E65E7">
            <w:pPr>
              <w:rPr>
                <w:b/>
                <w:bCs/>
                <w:sz w:val="18"/>
                <w:szCs w:val="18"/>
                <w:lang w:val="es-ES"/>
              </w:rPr>
            </w:pPr>
          </w:p>
        </w:tc>
        <w:tc>
          <w:tcPr>
            <w:tcW w:w="2409" w:type="dxa"/>
            <w:vMerge/>
          </w:tcPr>
          <w:p w14:paraId="6C828BF3" w14:textId="77777777" w:rsidR="00067534" w:rsidRPr="00B83E1A" w:rsidRDefault="00067534" w:rsidP="004E65E7">
            <w:pPr>
              <w:rPr>
                <w:b/>
                <w:bCs/>
                <w:sz w:val="18"/>
                <w:szCs w:val="18"/>
                <w:lang w:val="es-ES"/>
              </w:rPr>
            </w:pPr>
          </w:p>
        </w:tc>
        <w:tc>
          <w:tcPr>
            <w:tcW w:w="2410" w:type="dxa"/>
          </w:tcPr>
          <w:p w14:paraId="673FD40C" w14:textId="77777777" w:rsidR="00067534" w:rsidRPr="00B83E1A" w:rsidRDefault="00067534" w:rsidP="004E65E7">
            <w:pPr>
              <w:rPr>
                <w:bCs/>
                <w:sz w:val="18"/>
                <w:szCs w:val="18"/>
                <w:lang w:val="es-ES"/>
              </w:rPr>
            </w:pPr>
            <w:r w:rsidRPr="00B83E1A">
              <w:rPr>
                <w:bCs/>
                <w:sz w:val="18"/>
                <w:szCs w:val="18"/>
                <w:lang w:val="es-ES"/>
              </w:rPr>
              <w:t xml:space="preserve">Examen de los resultados obtenidos y repercusión de los foros para el debate de políticas celebrados por la OMPI.  Objetivo:  Dar una imagen positiva en las publicaciones externas relativas a cada actividad </w:t>
            </w:r>
          </w:p>
        </w:tc>
        <w:tc>
          <w:tcPr>
            <w:tcW w:w="3101" w:type="dxa"/>
            <w:gridSpan w:val="2"/>
          </w:tcPr>
          <w:p w14:paraId="16B6CA6C" w14:textId="77777777" w:rsidR="00067534" w:rsidRPr="00B83E1A" w:rsidRDefault="00067534" w:rsidP="004E65E7">
            <w:pPr>
              <w:rPr>
                <w:rFonts w:eastAsia="MS Mincho"/>
                <w:sz w:val="18"/>
                <w:szCs w:val="18"/>
                <w:lang w:val="es-ES" w:eastAsia="ja-JP" w:bidi="th-TH"/>
              </w:rPr>
            </w:pPr>
            <w:r w:rsidRPr="00B83E1A">
              <w:rPr>
                <w:rFonts w:eastAsia="MS Mincho"/>
                <w:sz w:val="18"/>
                <w:szCs w:val="18"/>
                <w:lang w:val="es-ES" w:eastAsia="ja-JP" w:bidi="th-TH"/>
              </w:rPr>
              <w:t>Los participantes en las actividades organizadas por la OMPI valoraron el amplio y equilibrado abanico de temas tratados y el enfoque empírico.</w:t>
            </w:r>
          </w:p>
          <w:p w14:paraId="3C3AB2E7" w14:textId="77777777" w:rsidR="00067534" w:rsidRPr="00B83E1A" w:rsidRDefault="00067534" w:rsidP="004E65E7">
            <w:pPr>
              <w:rPr>
                <w:rFonts w:eastAsia="MS Mincho"/>
                <w:sz w:val="18"/>
                <w:szCs w:val="18"/>
                <w:lang w:val="es-ES" w:eastAsia="ja-JP" w:bidi="th-TH"/>
              </w:rPr>
            </w:pPr>
            <w:r w:rsidRPr="00B83E1A">
              <w:rPr>
                <w:rFonts w:eastAsia="MS Mincho"/>
                <w:sz w:val="18"/>
                <w:szCs w:val="18"/>
                <w:lang w:val="es-ES" w:eastAsia="ja-JP" w:bidi="th-TH"/>
              </w:rPr>
              <w:t>A la presentación de WIPO Re:Search asistieron unos 18 periodistas y se informó del acto en unas 100 agencias de noticias y periódicos.</w:t>
            </w:r>
          </w:p>
          <w:p w14:paraId="32EE1DDD" w14:textId="77777777" w:rsidR="00067534" w:rsidRPr="00B83E1A" w:rsidRDefault="00067534" w:rsidP="004E65E7">
            <w:pPr>
              <w:rPr>
                <w:sz w:val="18"/>
                <w:szCs w:val="18"/>
                <w:lang w:val="es-ES"/>
              </w:rPr>
            </w:pPr>
            <w:r w:rsidRPr="00B83E1A">
              <w:rPr>
                <w:bCs/>
                <w:sz w:val="18"/>
                <w:szCs w:val="18"/>
                <w:lang w:val="es-ES"/>
              </w:rPr>
              <w:t>Los Estados miembros de la OMS y la OMC remitieron a actividades de la OMPI en sus reuniones, como la Junta Ejecutiva de la OMS, la Asamblea Mundial de la Salud o el Consejo de los ADPIC de la OMC.</w:t>
            </w:r>
          </w:p>
        </w:tc>
      </w:tr>
      <w:tr w:rsidR="00067534" w:rsidRPr="00B83E1A" w14:paraId="6089AEBE" w14:textId="77777777" w:rsidTr="004E65E7">
        <w:trPr>
          <w:trHeight w:val="195"/>
          <w:jc w:val="center"/>
        </w:trPr>
        <w:tc>
          <w:tcPr>
            <w:tcW w:w="1713" w:type="dxa"/>
            <w:vMerge/>
          </w:tcPr>
          <w:p w14:paraId="3529C5E1" w14:textId="77777777" w:rsidR="00067534" w:rsidRPr="00B83E1A" w:rsidRDefault="00067534" w:rsidP="004E65E7">
            <w:pPr>
              <w:rPr>
                <w:b/>
                <w:bCs/>
                <w:sz w:val="18"/>
                <w:szCs w:val="18"/>
                <w:lang w:val="es-ES"/>
              </w:rPr>
            </w:pPr>
          </w:p>
        </w:tc>
        <w:tc>
          <w:tcPr>
            <w:tcW w:w="2409" w:type="dxa"/>
            <w:vMerge w:val="restart"/>
          </w:tcPr>
          <w:p w14:paraId="1E9929EC" w14:textId="77777777" w:rsidR="00067534" w:rsidRPr="00B83E1A" w:rsidRDefault="00067534" w:rsidP="004E65E7">
            <w:pPr>
              <w:rPr>
                <w:sz w:val="18"/>
                <w:szCs w:val="18"/>
                <w:lang w:val="es-ES"/>
              </w:rPr>
            </w:pPr>
            <w:r w:rsidRPr="00B83E1A">
              <w:rPr>
                <w:sz w:val="18"/>
                <w:szCs w:val="18"/>
                <w:lang w:val="es-ES"/>
              </w:rPr>
              <w:t>Resultado ii) Mayor conocimiento entre los grupos empresariales y la sociedad civil de la labor de la OMPI y los beneficios que aporta la P.I. al desarrollo;  y mayor participación de la sociedad civil en las actividades de la OMPI.</w:t>
            </w:r>
          </w:p>
          <w:p w14:paraId="74EA0CC3" w14:textId="77777777" w:rsidR="00067534" w:rsidRPr="00B83E1A" w:rsidRDefault="00067534" w:rsidP="004E65E7">
            <w:pPr>
              <w:rPr>
                <w:b/>
                <w:bCs/>
                <w:sz w:val="18"/>
                <w:szCs w:val="18"/>
                <w:lang w:val="es-ES"/>
              </w:rPr>
            </w:pPr>
          </w:p>
        </w:tc>
        <w:tc>
          <w:tcPr>
            <w:tcW w:w="2410" w:type="dxa"/>
          </w:tcPr>
          <w:p w14:paraId="51F8805C" w14:textId="77777777" w:rsidR="00067534" w:rsidRPr="00B83E1A" w:rsidRDefault="00067534" w:rsidP="004E65E7">
            <w:pPr>
              <w:rPr>
                <w:bCs/>
                <w:sz w:val="18"/>
                <w:szCs w:val="18"/>
                <w:lang w:val="es-ES"/>
              </w:rPr>
            </w:pPr>
            <w:r w:rsidRPr="00B83E1A">
              <w:rPr>
                <w:bCs/>
                <w:sz w:val="18"/>
                <w:szCs w:val="18"/>
                <w:lang w:val="es-ES"/>
              </w:rPr>
              <w:t>Comunicaciones, informes y publicaciones de organizaciones gubernamentales y no gubernamentales reflejan una visión más informada de la P.I.</w:t>
            </w:r>
          </w:p>
        </w:tc>
        <w:tc>
          <w:tcPr>
            <w:tcW w:w="3101" w:type="dxa"/>
            <w:gridSpan w:val="2"/>
          </w:tcPr>
          <w:p w14:paraId="45613C70" w14:textId="2C6030B5" w:rsidR="00067534" w:rsidRPr="00B83E1A" w:rsidRDefault="00067534" w:rsidP="004E65E7">
            <w:pPr>
              <w:rPr>
                <w:iCs/>
                <w:sz w:val="18"/>
                <w:szCs w:val="18"/>
                <w:lang w:val="es-ES"/>
              </w:rPr>
            </w:pPr>
            <w:r w:rsidRPr="00B83E1A">
              <w:rPr>
                <w:iCs/>
                <w:sz w:val="18"/>
                <w:szCs w:val="18"/>
                <w:lang w:val="es-ES"/>
              </w:rPr>
              <w:t>Se realizaron 24 aportes o contribuciones sustantivos (10 en 2010 y 14 en 2011) a informes y procedimientos de las Naciones Unidas, 20 de los cuales (9 en 2010 y 11 en 2011) quedaron recogidos bien en informes del Secretario General de las Naciones Unidas o bien en otros documentos de organismos y procesos intergubernamentales de las Naciones Unidas</w:t>
            </w:r>
            <w:r w:rsidR="0028015A" w:rsidRPr="00B83E1A">
              <w:rPr>
                <w:iCs/>
                <w:sz w:val="18"/>
                <w:szCs w:val="18"/>
                <w:lang w:val="es-ES"/>
              </w:rPr>
              <w:t>.</w:t>
            </w:r>
          </w:p>
          <w:p w14:paraId="7A9CE6A1" w14:textId="70489A9B" w:rsidR="00067534" w:rsidRPr="00B83E1A" w:rsidRDefault="00067534" w:rsidP="004E65E7">
            <w:pPr>
              <w:spacing w:after="120"/>
              <w:rPr>
                <w:iCs/>
                <w:sz w:val="18"/>
                <w:szCs w:val="18"/>
                <w:lang w:val="es-ES"/>
              </w:rPr>
            </w:pPr>
            <w:r w:rsidRPr="00B83E1A">
              <w:rPr>
                <w:iCs/>
                <w:sz w:val="18"/>
                <w:szCs w:val="18"/>
                <w:lang w:val="es-ES"/>
              </w:rPr>
              <w:t>Coordinación de la respuesta a más de 311 invitaciones a reuniones de las Naciones Unidas y organizaciones intergubernamentales (121 en 2010 y 190 en 2011);  la OMPI participó en más de 224 de estas reuniones (105 en 2010 y 119 en 2011)</w:t>
            </w:r>
            <w:r w:rsidR="0028015A" w:rsidRPr="00B83E1A">
              <w:rPr>
                <w:iCs/>
                <w:sz w:val="18"/>
                <w:szCs w:val="18"/>
                <w:lang w:val="es-ES"/>
              </w:rPr>
              <w:t>.</w:t>
            </w:r>
          </w:p>
          <w:p w14:paraId="3E58678F" w14:textId="77777777" w:rsidR="0028015A" w:rsidRPr="00B83E1A" w:rsidRDefault="0028015A" w:rsidP="004E65E7">
            <w:pPr>
              <w:spacing w:after="120"/>
              <w:rPr>
                <w:iCs/>
                <w:sz w:val="18"/>
                <w:szCs w:val="18"/>
                <w:lang w:val="es-ES"/>
              </w:rPr>
            </w:pPr>
          </w:p>
        </w:tc>
      </w:tr>
      <w:tr w:rsidR="00067534" w:rsidRPr="00B83E1A" w14:paraId="516C7C95" w14:textId="77777777" w:rsidTr="004E65E7">
        <w:trPr>
          <w:trHeight w:val="195"/>
          <w:jc w:val="center"/>
        </w:trPr>
        <w:tc>
          <w:tcPr>
            <w:tcW w:w="1713" w:type="dxa"/>
            <w:vMerge/>
          </w:tcPr>
          <w:p w14:paraId="1D01880A" w14:textId="77777777" w:rsidR="00067534" w:rsidRPr="00B83E1A" w:rsidRDefault="00067534" w:rsidP="004E65E7">
            <w:pPr>
              <w:rPr>
                <w:b/>
                <w:bCs/>
                <w:sz w:val="18"/>
                <w:szCs w:val="18"/>
                <w:lang w:val="es-ES"/>
              </w:rPr>
            </w:pPr>
          </w:p>
        </w:tc>
        <w:tc>
          <w:tcPr>
            <w:tcW w:w="2409" w:type="dxa"/>
            <w:vMerge/>
          </w:tcPr>
          <w:p w14:paraId="5ECCB961" w14:textId="77777777" w:rsidR="00067534" w:rsidRPr="00B83E1A" w:rsidRDefault="00067534" w:rsidP="004E65E7">
            <w:pPr>
              <w:rPr>
                <w:b/>
                <w:bCs/>
                <w:sz w:val="18"/>
                <w:szCs w:val="18"/>
                <w:lang w:val="es-ES"/>
              </w:rPr>
            </w:pPr>
          </w:p>
        </w:tc>
        <w:tc>
          <w:tcPr>
            <w:tcW w:w="2410" w:type="dxa"/>
          </w:tcPr>
          <w:p w14:paraId="6EF09E98" w14:textId="77777777" w:rsidR="00067534" w:rsidRPr="00B83E1A" w:rsidRDefault="00067534" w:rsidP="004E65E7">
            <w:pPr>
              <w:rPr>
                <w:bCs/>
                <w:sz w:val="18"/>
                <w:szCs w:val="18"/>
                <w:lang w:val="es-ES"/>
              </w:rPr>
            </w:pPr>
            <w:r w:rsidRPr="00B83E1A">
              <w:rPr>
                <w:bCs/>
                <w:sz w:val="18"/>
                <w:szCs w:val="18"/>
                <w:lang w:val="es-ES"/>
              </w:rPr>
              <w:t>Un mayor número de ONG participa como observadores en la OMPI y participan en actividades conjuntas</w:t>
            </w:r>
          </w:p>
        </w:tc>
        <w:tc>
          <w:tcPr>
            <w:tcW w:w="3101" w:type="dxa"/>
            <w:gridSpan w:val="2"/>
          </w:tcPr>
          <w:p w14:paraId="5F1DF580" w14:textId="01396819" w:rsidR="00067534" w:rsidRPr="00B83E1A" w:rsidRDefault="00067534" w:rsidP="004E65E7">
            <w:pPr>
              <w:rPr>
                <w:bCs/>
                <w:sz w:val="18"/>
                <w:szCs w:val="18"/>
                <w:lang w:val="es-ES"/>
              </w:rPr>
            </w:pPr>
            <w:r w:rsidRPr="00B83E1A">
              <w:rPr>
                <w:bCs/>
                <w:sz w:val="18"/>
                <w:szCs w:val="18"/>
                <w:lang w:val="es-ES"/>
              </w:rPr>
              <w:t>223 ONG internacionales (un aumento de 13) y 62 ONG nacionales (un aumento de 11)</w:t>
            </w:r>
          </w:p>
          <w:p w14:paraId="125B407B" w14:textId="77777777" w:rsidR="0028015A" w:rsidRPr="00B83E1A" w:rsidRDefault="0028015A" w:rsidP="004E65E7">
            <w:pPr>
              <w:rPr>
                <w:bCs/>
                <w:sz w:val="18"/>
                <w:szCs w:val="18"/>
                <w:lang w:val="es-ES"/>
              </w:rPr>
            </w:pPr>
          </w:p>
          <w:p w14:paraId="1B601E06" w14:textId="77777777" w:rsidR="00067534" w:rsidRPr="00B83E1A" w:rsidRDefault="00067534" w:rsidP="004E65E7">
            <w:pPr>
              <w:spacing w:after="120"/>
              <w:rPr>
                <w:sz w:val="18"/>
                <w:szCs w:val="18"/>
                <w:lang w:val="es-ES"/>
              </w:rPr>
            </w:pPr>
            <w:r w:rsidRPr="00B83E1A">
              <w:rPr>
                <w:bCs/>
                <w:sz w:val="18"/>
                <w:szCs w:val="18"/>
                <w:lang w:val="es-ES"/>
              </w:rPr>
              <w:t>En los programas correspondientes se informa de la magnitud de las actividades conjuntas con ONG</w:t>
            </w:r>
          </w:p>
        </w:tc>
      </w:tr>
      <w:tr w:rsidR="00067534" w:rsidRPr="00B83E1A" w14:paraId="405CCC5F" w14:textId="77777777" w:rsidTr="0028015A">
        <w:trPr>
          <w:trHeight w:val="1540"/>
          <w:jc w:val="center"/>
        </w:trPr>
        <w:tc>
          <w:tcPr>
            <w:tcW w:w="1713" w:type="dxa"/>
            <w:vMerge/>
          </w:tcPr>
          <w:p w14:paraId="49F44701" w14:textId="77777777" w:rsidR="00067534" w:rsidRPr="00B83E1A" w:rsidRDefault="00067534" w:rsidP="004E65E7">
            <w:pPr>
              <w:rPr>
                <w:b/>
                <w:bCs/>
                <w:sz w:val="18"/>
                <w:szCs w:val="18"/>
                <w:lang w:val="es-ES"/>
              </w:rPr>
            </w:pPr>
          </w:p>
        </w:tc>
        <w:tc>
          <w:tcPr>
            <w:tcW w:w="2409" w:type="dxa"/>
            <w:vMerge/>
          </w:tcPr>
          <w:p w14:paraId="3B54DA43" w14:textId="77777777" w:rsidR="00067534" w:rsidRPr="00B83E1A" w:rsidRDefault="00067534" w:rsidP="004E65E7">
            <w:pPr>
              <w:rPr>
                <w:b/>
                <w:bCs/>
                <w:sz w:val="18"/>
                <w:szCs w:val="18"/>
                <w:lang w:val="es-ES"/>
              </w:rPr>
            </w:pPr>
          </w:p>
        </w:tc>
        <w:tc>
          <w:tcPr>
            <w:tcW w:w="2410" w:type="dxa"/>
          </w:tcPr>
          <w:p w14:paraId="41462191" w14:textId="77777777" w:rsidR="00067534" w:rsidRPr="00B83E1A" w:rsidRDefault="00067534" w:rsidP="004E65E7">
            <w:pPr>
              <w:spacing w:after="120"/>
              <w:rPr>
                <w:bCs/>
                <w:sz w:val="18"/>
                <w:szCs w:val="18"/>
                <w:lang w:val="es-ES"/>
              </w:rPr>
            </w:pPr>
            <w:r w:rsidRPr="00B83E1A">
              <w:rPr>
                <w:bCs/>
                <w:sz w:val="18"/>
                <w:szCs w:val="18"/>
                <w:lang w:val="es-ES"/>
              </w:rPr>
              <w:t>Mayor número de actividades conjuntas con organizaciones regionales, subregionales y nacionales</w:t>
            </w:r>
          </w:p>
        </w:tc>
        <w:tc>
          <w:tcPr>
            <w:tcW w:w="3101" w:type="dxa"/>
            <w:gridSpan w:val="2"/>
          </w:tcPr>
          <w:p w14:paraId="3A82A0BA" w14:textId="77777777" w:rsidR="00067534" w:rsidRPr="00B83E1A" w:rsidRDefault="00067534" w:rsidP="004E65E7">
            <w:pPr>
              <w:rPr>
                <w:sz w:val="18"/>
                <w:szCs w:val="18"/>
                <w:lang w:val="es-ES"/>
              </w:rPr>
            </w:pPr>
            <w:r w:rsidRPr="00B83E1A">
              <w:rPr>
                <w:bCs/>
                <w:sz w:val="18"/>
                <w:szCs w:val="18"/>
                <w:lang w:val="es-ES"/>
              </w:rPr>
              <w:t>En los programas correspondientes se informa cabalmente de la magnitud de las actividades conjuntas con organizaciones intergubernamentales regionales y subregionales</w:t>
            </w:r>
          </w:p>
        </w:tc>
      </w:tr>
      <w:tr w:rsidR="00067534" w:rsidRPr="00B83E1A" w14:paraId="4B35AD9D" w14:textId="77777777" w:rsidTr="004E65E7">
        <w:trPr>
          <w:trHeight w:val="195"/>
          <w:jc w:val="center"/>
        </w:trPr>
        <w:tc>
          <w:tcPr>
            <w:tcW w:w="1713" w:type="dxa"/>
            <w:vMerge/>
          </w:tcPr>
          <w:p w14:paraId="43193952" w14:textId="77777777" w:rsidR="00067534" w:rsidRPr="00B83E1A" w:rsidRDefault="00067534" w:rsidP="004E65E7">
            <w:pPr>
              <w:rPr>
                <w:b/>
                <w:bCs/>
                <w:sz w:val="18"/>
                <w:szCs w:val="18"/>
                <w:lang w:val="es-ES"/>
              </w:rPr>
            </w:pPr>
          </w:p>
        </w:tc>
        <w:tc>
          <w:tcPr>
            <w:tcW w:w="2409" w:type="dxa"/>
            <w:vMerge/>
          </w:tcPr>
          <w:p w14:paraId="39B8CC57" w14:textId="77777777" w:rsidR="00067534" w:rsidRPr="00B83E1A" w:rsidRDefault="00067534" w:rsidP="004E65E7">
            <w:pPr>
              <w:rPr>
                <w:b/>
                <w:bCs/>
                <w:sz w:val="18"/>
                <w:szCs w:val="18"/>
                <w:lang w:val="es-ES"/>
              </w:rPr>
            </w:pPr>
          </w:p>
        </w:tc>
        <w:tc>
          <w:tcPr>
            <w:tcW w:w="2410" w:type="dxa"/>
          </w:tcPr>
          <w:p w14:paraId="0183FF60" w14:textId="77777777" w:rsidR="00067534" w:rsidRPr="00B83E1A" w:rsidRDefault="00067534" w:rsidP="004E65E7">
            <w:pPr>
              <w:rPr>
                <w:bCs/>
                <w:sz w:val="18"/>
                <w:szCs w:val="18"/>
                <w:lang w:val="es-ES"/>
              </w:rPr>
            </w:pPr>
            <w:r w:rsidRPr="00B83E1A">
              <w:rPr>
                <w:bCs/>
                <w:sz w:val="18"/>
                <w:szCs w:val="18"/>
                <w:lang w:val="es-ES"/>
              </w:rPr>
              <w:t>Alianzas suplementarias con el sector público y privado</w:t>
            </w:r>
          </w:p>
        </w:tc>
        <w:tc>
          <w:tcPr>
            <w:tcW w:w="3101" w:type="dxa"/>
            <w:gridSpan w:val="2"/>
          </w:tcPr>
          <w:p w14:paraId="3FE8AA37" w14:textId="3EAA5BEA" w:rsidR="00067534" w:rsidRPr="00B83E1A" w:rsidRDefault="00067534" w:rsidP="004E65E7">
            <w:pPr>
              <w:rPr>
                <w:bCs/>
                <w:sz w:val="18"/>
                <w:szCs w:val="18"/>
                <w:lang w:val="es-ES"/>
              </w:rPr>
            </w:pPr>
            <w:r w:rsidRPr="00B83E1A">
              <w:rPr>
                <w:bCs/>
                <w:sz w:val="18"/>
                <w:szCs w:val="18"/>
                <w:lang w:val="es-ES"/>
              </w:rPr>
              <w:t>El proyecto se preparó y se examinó internamente.  El proyecto final servirá de base para las consultas con los Estados miembros</w:t>
            </w:r>
            <w:r w:rsidR="00320EE4" w:rsidRPr="00B83E1A">
              <w:rPr>
                <w:bCs/>
                <w:sz w:val="18"/>
                <w:szCs w:val="18"/>
                <w:lang w:val="es-ES"/>
              </w:rPr>
              <w:t xml:space="preserve"> </w:t>
            </w:r>
          </w:p>
          <w:p w14:paraId="5CFC0416" w14:textId="77777777" w:rsidR="00067534" w:rsidRPr="00B83E1A" w:rsidRDefault="00067534" w:rsidP="004E65E7">
            <w:pPr>
              <w:spacing w:after="120"/>
              <w:rPr>
                <w:sz w:val="18"/>
                <w:szCs w:val="18"/>
                <w:lang w:val="es-ES"/>
              </w:rPr>
            </w:pPr>
            <w:r w:rsidRPr="00B83E1A">
              <w:rPr>
                <w:bCs/>
                <w:sz w:val="18"/>
                <w:szCs w:val="18"/>
                <w:lang w:val="es-ES"/>
              </w:rPr>
              <w:t xml:space="preserve">3 asociaciones (ARDI, </w:t>
            </w:r>
            <w:r w:rsidRPr="00B83E1A">
              <w:rPr>
                <w:bCs/>
                <w:i/>
                <w:sz w:val="18"/>
                <w:szCs w:val="18"/>
                <w:lang w:val="es-ES"/>
              </w:rPr>
              <w:t>wipo green</w:t>
            </w:r>
            <w:r w:rsidRPr="00B83E1A">
              <w:rPr>
                <w:bCs/>
                <w:sz w:val="18"/>
                <w:szCs w:val="18"/>
                <w:lang w:val="es-ES"/>
              </w:rPr>
              <w:t xml:space="preserve"> y WIPO Re:Search)</w:t>
            </w:r>
          </w:p>
        </w:tc>
      </w:tr>
    </w:tbl>
    <w:p w14:paraId="65522FE8" w14:textId="77777777" w:rsidR="00067534" w:rsidRPr="00B83E1A" w:rsidRDefault="00067534" w:rsidP="00067534">
      <w:pPr>
        <w:rPr>
          <w:rFonts w:ascii="Calibri" w:eastAsia="Calibri" w:hAnsi="Calibri" w:cs="Times New Roman"/>
          <w:b/>
        </w:rPr>
      </w:pPr>
    </w:p>
    <w:p w14:paraId="6E0CB80E" w14:textId="0AF9B203" w:rsidR="00067534" w:rsidRPr="00B83E1A" w:rsidRDefault="00067534">
      <w:r w:rsidRPr="00B83E1A">
        <w:br w:type="page"/>
      </w:r>
    </w:p>
    <w:p w14:paraId="14FC4512" w14:textId="77777777" w:rsidR="00E961DD" w:rsidRPr="00B83E1A" w:rsidRDefault="00E961DD" w:rsidP="00E961DD">
      <w:pPr>
        <w:rPr>
          <w:rFonts w:eastAsia="Calibri"/>
          <w:b/>
        </w:rPr>
      </w:pPr>
      <w:r w:rsidRPr="00B83E1A">
        <w:rPr>
          <w:rFonts w:eastAsia="Calibri"/>
          <w:b/>
        </w:rPr>
        <w:lastRenderedPageBreak/>
        <w:t>SECCIÓN II</w:t>
      </w:r>
    </w:p>
    <w:p w14:paraId="2D5AE9B4" w14:textId="7FCABBAD" w:rsidR="00E961DD" w:rsidRPr="00B83E1A" w:rsidRDefault="00E961DD" w:rsidP="00E961DD">
      <w:pPr>
        <w:rPr>
          <w:rFonts w:eastAsia="Calibri"/>
          <w:b/>
        </w:rPr>
      </w:pPr>
    </w:p>
    <w:p w14:paraId="34A5F22C" w14:textId="77777777" w:rsidR="00E961DD" w:rsidRPr="00B83E1A" w:rsidRDefault="00E961DD" w:rsidP="00E961DD">
      <w:pPr>
        <w:rPr>
          <w:rFonts w:eastAsia="Calibri"/>
          <w:b/>
        </w:rPr>
      </w:pPr>
      <w:r w:rsidRPr="00B83E1A">
        <w:rPr>
          <w:rFonts w:eastAsia="Calibri"/>
          <w:b/>
        </w:rPr>
        <w:t>CONTRIBUCIÓN DE LA OMPI CON RELACIÓN A LOS OD</w:t>
      </w:r>
      <w:r w:rsidR="004B78AE" w:rsidRPr="00B83E1A">
        <w:rPr>
          <w:rFonts w:eastAsia="Calibri"/>
          <w:b/>
        </w:rPr>
        <w:t>M 2</w:t>
      </w:r>
      <w:r w:rsidRPr="00B83E1A">
        <w:rPr>
          <w:rFonts w:eastAsia="Calibri"/>
          <w:b/>
        </w:rPr>
        <w:t xml:space="preserve">, 3, 4, 5, </w:t>
      </w:r>
      <w:r w:rsidR="004B78AE" w:rsidRPr="00B83E1A">
        <w:rPr>
          <w:rFonts w:eastAsia="Calibri"/>
          <w:b/>
        </w:rPr>
        <w:t>y 7</w:t>
      </w:r>
      <w:r w:rsidRPr="00B83E1A">
        <w:rPr>
          <w:rFonts w:eastAsia="Calibri"/>
          <w:b/>
        </w:rPr>
        <w:t xml:space="preserve"> e</w:t>
      </w:r>
      <w:r w:rsidR="004B78AE" w:rsidRPr="00B83E1A">
        <w:rPr>
          <w:rFonts w:eastAsia="Calibri"/>
          <w:b/>
        </w:rPr>
        <w:t>n 2</w:t>
      </w:r>
      <w:r w:rsidRPr="00B83E1A">
        <w:rPr>
          <w:rFonts w:eastAsia="Calibri"/>
          <w:b/>
        </w:rPr>
        <w:t>012</w:t>
      </w:r>
    </w:p>
    <w:p w14:paraId="4504A07A" w14:textId="024DA764" w:rsidR="00E961DD" w:rsidRPr="00B83E1A" w:rsidRDefault="00E961DD" w:rsidP="00E961DD">
      <w:pPr>
        <w:rPr>
          <w:rFonts w:eastAsia="Calibri"/>
          <w:b/>
        </w:rPr>
      </w:pPr>
    </w:p>
    <w:p w14:paraId="5D486334" w14:textId="77777777" w:rsidR="00E961DD" w:rsidRPr="00B83E1A" w:rsidRDefault="00E961DD" w:rsidP="00E961DD">
      <w:pPr>
        <w:rPr>
          <w:rFonts w:eastAsia="Calibri"/>
        </w:rPr>
      </w:pPr>
      <w:r w:rsidRPr="00B83E1A">
        <w:rPr>
          <w:rFonts w:eastAsia="Calibri"/>
        </w:rPr>
        <w:t>En esta sección se presentan, de forma narrativa y mediante ejemplos d</w:t>
      </w:r>
      <w:r w:rsidR="004B78AE" w:rsidRPr="00B83E1A">
        <w:rPr>
          <w:rFonts w:eastAsia="Calibri"/>
        </w:rPr>
        <w:t>e 2</w:t>
      </w:r>
      <w:r w:rsidRPr="00B83E1A">
        <w:rPr>
          <w:rFonts w:eastAsia="Calibri"/>
        </w:rPr>
        <w:t xml:space="preserve">012 con relación a los Objetivos de Desarrollo del Milenio (ODM) 2, 3, 4, 5 </w:t>
      </w:r>
      <w:r w:rsidR="004B78AE" w:rsidRPr="00B83E1A">
        <w:rPr>
          <w:rFonts w:eastAsia="Calibri"/>
        </w:rPr>
        <w:t>y 7</w:t>
      </w:r>
      <w:r w:rsidRPr="00B83E1A">
        <w:rPr>
          <w:rFonts w:eastAsia="Calibri"/>
        </w:rPr>
        <w:t>, los vínculos con las esferas de trabajo pertinentes de la Organización Mundial de la Propiedad Intelectual (OMPI).</w:t>
      </w:r>
    </w:p>
    <w:p w14:paraId="7E5E704F" w14:textId="01B132BC" w:rsidR="00E961DD" w:rsidRPr="00B83E1A" w:rsidRDefault="00E961DD" w:rsidP="00E961DD">
      <w:pPr>
        <w:rPr>
          <w:rFonts w:eastAsia="Calibri"/>
        </w:rPr>
      </w:pPr>
    </w:p>
    <w:p w14:paraId="3D12A296" w14:textId="77777777" w:rsidR="00E961DD" w:rsidRPr="00B83E1A" w:rsidRDefault="00E961DD" w:rsidP="00E961DD">
      <w:pPr>
        <w:rPr>
          <w:rFonts w:eastAsia="Calibri"/>
        </w:rPr>
      </w:pPr>
      <w:r w:rsidRPr="00B83E1A">
        <w:t>El modelo proporcionado por los estudios realizados, a saber los documentos CDIP/10/9 (</w:t>
      </w:r>
      <w:hyperlink r:id="rId100" w:history="1">
        <w:r w:rsidRPr="00B83E1A">
          <w:rPr>
            <w:rStyle w:val="Hyperlink"/>
          </w:rPr>
          <w:t>http://www.wipo.int/edocs/mdocs/mdocs/es/cdip_10/cdip_10_9.pdf</w:t>
        </w:r>
      </w:hyperlink>
      <w:r w:rsidR="00320EE4" w:rsidRPr="00B83E1A">
        <w:t>)</w:t>
      </w:r>
      <w:r w:rsidRPr="00B83E1A">
        <w:t xml:space="preserve"> y CDIP/5/3 (</w:t>
      </w:r>
      <w:hyperlink r:id="rId101" w:history="1">
        <w:r w:rsidRPr="00B83E1A">
          <w:rPr>
            <w:rStyle w:val="Hyperlink"/>
          </w:rPr>
          <w:t>http://www.wipo.int/edocs/mdocs/mdocs/es/cdip_5/cdip_5_3.pdf</w:t>
        </w:r>
      </w:hyperlink>
      <w:r w:rsidR="00320EE4" w:rsidRPr="00B83E1A">
        <w:t>)</w:t>
      </w:r>
      <w:r w:rsidRPr="00B83E1A">
        <w:t>, que comprende una descripción de los programas y actividades aplicables de la OMPI y expone la relación con los ODM correspondientes, ha servido de base para preparar la presente sección.</w:t>
      </w:r>
    </w:p>
    <w:p w14:paraId="69D90B70" w14:textId="1D3EB3F3" w:rsidR="00E961DD" w:rsidRPr="00B83E1A" w:rsidRDefault="00E961DD" w:rsidP="00E961DD">
      <w:pPr>
        <w:rPr>
          <w:rFonts w:eastAsia="Calibri"/>
        </w:rPr>
      </w:pPr>
    </w:p>
    <w:p w14:paraId="0EF42AD0" w14:textId="77777777" w:rsidR="00E961DD" w:rsidRPr="00B83E1A" w:rsidRDefault="00E961DD" w:rsidP="00E961DD">
      <w:pPr>
        <w:rPr>
          <w:rFonts w:eastAsia="Calibri"/>
          <w:b/>
        </w:rPr>
      </w:pPr>
      <w:r w:rsidRPr="00B83E1A">
        <w:rPr>
          <w:rFonts w:eastAsia="Calibri"/>
          <w:b/>
        </w:rPr>
        <w:t>OD</w:t>
      </w:r>
      <w:r w:rsidR="004B78AE" w:rsidRPr="00B83E1A">
        <w:rPr>
          <w:rFonts w:eastAsia="Calibri"/>
          <w:b/>
        </w:rPr>
        <w:t>M 2:  L</w:t>
      </w:r>
      <w:r w:rsidRPr="00B83E1A">
        <w:rPr>
          <w:rFonts w:eastAsia="Calibri"/>
          <w:b/>
        </w:rPr>
        <w:t>ograr la enseñanza primaria universal</w:t>
      </w:r>
    </w:p>
    <w:p w14:paraId="2830E9AF" w14:textId="0A3B035E" w:rsidR="00E961DD" w:rsidRPr="00B83E1A" w:rsidRDefault="00E961DD" w:rsidP="00E961DD">
      <w:pPr>
        <w:rPr>
          <w:rFonts w:eastAsia="Calibri"/>
          <w:b/>
        </w:rPr>
      </w:pPr>
    </w:p>
    <w:p w14:paraId="481B2AA1" w14:textId="77777777" w:rsidR="00320EE4" w:rsidRPr="00B83E1A" w:rsidRDefault="00E961DD" w:rsidP="00E961DD">
      <w:pPr>
        <w:rPr>
          <w:rFonts w:eastAsia="Calibri"/>
        </w:rPr>
      </w:pPr>
      <w:r w:rsidRPr="00B83E1A">
        <w:rPr>
          <w:rFonts w:eastAsia="Calibri"/>
        </w:rPr>
        <w:t>Varias actividades de la OMPI pueden contribuir al logro de la educación primaria universal, al facilitar el acceso a la información y a los conocimientos que se pueden usar para impartir educación primaria, tanto en términos generales como específicos cuando se trate de personas ciegas, con discapacidad visual o con otras dificultades para consultar textos impresos.  Al respecto, el Comité Permanente de Derecho de Autor y Derechos Conexos (SCCR) ha conseguido progresos gracias a la ejecución de proyectos dentro del marco de la Agenda para el Desarrollo y a los avances de la Iniciativa de la OMPI sobre personas con discapacidad visual.  En concreto, en junio d</w:t>
      </w:r>
      <w:r w:rsidR="004B78AE" w:rsidRPr="00B83E1A">
        <w:rPr>
          <w:rFonts w:eastAsia="Calibri"/>
        </w:rPr>
        <w:t>e 2</w:t>
      </w:r>
      <w:r w:rsidRPr="00B83E1A">
        <w:rPr>
          <w:rFonts w:eastAsia="Calibri"/>
        </w:rPr>
        <w:t xml:space="preserve">013, los Estados miembros de la OMPI adoptaron el histórico </w:t>
      </w:r>
      <w:hyperlink r:id="rId102" w:history="1">
        <w:r w:rsidRPr="00B83E1A">
          <w:rPr>
            <w:rStyle w:val="Hyperlink"/>
            <w:rFonts w:eastAsia="Calibri"/>
          </w:rPr>
          <w:t>Tratado de Marrakech para Facilitar el Acceso a las Obras Publicadas para las Personas Ciegas, con Discapacidad Visual o con otras Dificultades para Acceder al Texto Impreso</w:t>
        </w:r>
      </w:hyperlink>
      <w:r w:rsidRPr="00B83E1A">
        <w:rPr>
          <w:rFonts w:eastAsia="Calibri"/>
        </w:rPr>
        <w:t xml:space="preserve"> (“el Tratado de Marrakech”).  Este Tratado aborda la escasez de libros disponibles en formato accesible para los beneficiarios, al exigir a las Partes Contratantes que adopten disposiciones en las respectivas legislaciones nacionales que permitan reproducir, distribuir y poner a disposición del público obras publicadas en formatos accesibles, mediante la aplicación de limitaciones y excepciones de los derechos de los titulares de obras protegidas por derecho de autor.  Prevé asimismo el intercambio transfronterizo de ejemplares en formatos accesibles a través de organizaciones que atiendan a las personas ciegas, con discapacidad visual o con otras dificultades para acceder al texto impreso.  Armoniza además las limitaciones y excepciones para que estas organizaciones puedan actuar más allá de las fronteras.  Al eliminar las duplicaciones, el intercambio de ejemplares en formatos accesibles debería aumentar el número general de obras disponibles e incrementar la eficacia</w:t>
      </w:r>
      <w:r w:rsidR="00320EE4" w:rsidRPr="00B83E1A">
        <w:rPr>
          <w:rFonts w:eastAsia="Calibri"/>
        </w:rPr>
        <w:t>.</w:t>
      </w:r>
    </w:p>
    <w:p w14:paraId="43BB0CA4" w14:textId="77777777" w:rsidR="00E961DD" w:rsidRPr="00B83E1A" w:rsidRDefault="00E961DD" w:rsidP="00E961DD">
      <w:pPr>
        <w:rPr>
          <w:rFonts w:eastAsia="Calibri"/>
        </w:rPr>
      </w:pPr>
    </w:p>
    <w:p w14:paraId="553F3DC0" w14:textId="77777777" w:rsidR="00320EE4" w:rsidRPr="00B83E1A" w:rsidRDefault="00E961DD" w:rsidP="00E961DD">
      <w:pPr>
        <w:rPr>
          <w:rFonts w:eastAsia="Calibri"/>
        </w:rPr>
      </w:pPr>
      <w:r w:rsidRPr="00B83E1A">
        <w:rPr>
          <w:rFonts w:eastAsia="Calibri"/>
        </w:rPr>
        <w:t>Se progresó asimismo con otros puntos del orden del día del SCCR, como los que tratan de las limitaciones y excepciones para las bibliotecas y los archivos, y de</w:t>
      </w:r>
      <w:r w:rsidRPr="00B83E1A">
        <w:t xml:space="preserve"> </w:t>
      </w:r>
      <w:r w:rsidRPr="00B83E1A">
        <w:rPr>
          <w:rFonts w:eastAsia="Calibri"/>
        </w:rPr>
        <w:t>las limitaciones y excepciones para las instituciones docentes y de investigación.  Se facilitó asesoramiento jurídico en materia de derechos de autor a nueve Estados miembros</w:t>
      </w:r>
      <w:r w:rsidR="00320EE4" w:rsidRPr="00B83E1A">
        <w:rPr>
          <w:rFonts w:eastAsia="Calibri"/>
        </w:rPr>
        <w:t>.</w:t>
      </w:r>
    </w:p>
    <w:p w14:paraId="3F56E2A6" w14:textId="780AED66" w:rsidR="00E961DD" w:rsidRPr="00B83E1A" w:rsidRDefault="00E961DD" w:rsidP="00E961DD">
      <w:pPr>
        <w:rPr>
          <w:rFonts w:eastAsia="Calibri"/>
        </w:rPr>
      </w:pPr>
    </w:p>
    <w:p w14:paraId="7630D1BA" w14:textId="77777777" w:rsidR="00320EE4" w:rsidRPr="00B83E1A" w:rsidRDefault="00E961DD" w:rsidP="00E961DD">
      <w:pPr>
        <w:rPr>
          <w:rFonts w:eastAsia="Calibri"/>
        </w:rPr>
      </w:pPr>
      <w:r w:rsidRPr="00B83E1A">
        <w:rPr>
          <w:rFonts w:eastAsia="Calibri"/>
        </w:rPr>
        <w:t>E</w:t>
      </w:r>
      <w:r w:rsidR="004B78AE" w:rsidRPr="00B83E1A">
        <w:rPr>
          <w:rFonts w:eastAsia="Calibri"/>
        </w:rPr>
        <w:t>n 2</w:t>
      </w:r>
      <w:r w:rsidRPr="00B83E1A">
        <w:rPr>
          <w:rFonts w:eastAsia="Calibri"/>
        </w:rPr>
        <w:t>012, se llevó a cabo la evaluación de dos proyectos de la Agenda para el Desarrollo que, al facilitar el acceso a obras protegidas por derechos de autor, podrían contribuir al logro del OD</w:t>
      </w:r>
      <w:r w:rsidR="004B78AE" w:rsidRPr="00B83E1A">
        <w:rPr>
          <w:rFonts w:eastAsia="Calibri"/>
        </w:rPr>
        <w:t>M 2</w:t>
      </w:r>
      <w:r w:rsidRPr="00B83E1A">
        <w:rPr>
          <w:rFonts w:eastAsia="Calibri"/>
        </w:rPr>
        <w:t>.  Se completaron las evaluaciones del Estudio exploratorio sobre el derecho de autor y los derechos conexos y el dominio público, preparado como seguimiento del Proyecto temático sobre la propiedad intelectual y el dominio público, así como del subsiguiente Estudio sobre las hipótesis y posibles opciones acerca de las recomendacione</w:t>
      </w:r>
      <w:r w:rsidR="004B78AE" w:rsidRPr="00B83E1A">
        <w:rPr>
          <w:rFonts w:eastAsia="Calibri"/>
        </w:rPr>
        <w:t>s 1</w:t>
      </w:r>
      <w:r w:rsidRPr="00B83E1A">
        <w:rPr>
          <w:rFonts w:eastAsia="Calibri"/>
        </w:rPr>
        <w:t xml:space="preserve">c, 1f </w:t>
      </w:r>
      <w:r w:rsidR="004B78AE" w:rsidRPr="00B83E1A">
        <w:rPr>
          <w:rFonts w:eastAsia="Calibri"/>
        </w:rPr>
        <w:t>y 2</w:t>
      </w:r>
      <w:r w:rsidRPr="00B83E1A">
        <w:rPr>
          <w:rFonts w:eastAsia="Calibri"/>
        </w:rPr>
        <w:t>a del Estudio exploratorio.  Asimismo, el Comité preparó y examinó el mandato de un Estudio Comparado sobre la renuncia al derecho de autor</w:t>
      </w:r>
      <w:r w:rsidR="00320EE4" w:rsidRPr="00B83E1A">
        <w:rPr>
          <w:rFonts w:eastAsia="Calibri"/>
        </w:rPr>
        <w:t>.</w:t>
      </w:r>
    </w:p>
    <w:p w14:paraId="50FC3C90" w14:textId="3DCF26E6" w:rsidR="00E961DD" w:rsidRPr="00B83E1A" w:rsidRDefault="00E961DD" w:rsidP="00E961DD">
      <w:pPr>
        <w:rPr>
          <w:rFonts w:eastAsia="Calibri"/>
        </w:rPr>
      </w:pPr>
    </w:p>
    <w:p w14:paraId="49EACAC0" w14:textId="77777777" w:rsidR="00E961DD" w:rsidRPr="00B83E1A" w:rsidRDefault="00E961DD" w:rsidP="00E961DD">
      <w:pPr>
        <w:keepNext/>
        <w:keepLines/>
        <w:rPr>
          <w:rFonts w:eastAsia="Calibri"/>
        </w:rPr>
      </w:pPr>
      <w:r w:rsidRPr="00B83E1A">
        <w:rPr>
          <w:rFonts w:eastAsia="Calibri"/>
        </w:rPr>
        <w:lastRenderedPageBreak/>
        <w:t>E</w:t>
      </w:r>
      <w:r w:rsidR="004B78AE" w:rsidRPr="00B83E1A">
        <w:rPr>
          <w:rFonts w:eastAsia="Calibri"/>
        </w:rPr>
        <w:t>n 2</w:t>
      </w:r>
      <w:r w:rsidRPr="00B83E1A">
        <w:rPr>
          <w:rFonts w:eastAsia="Calibri"/>
        </w:rPr>
        <w:t>012, también se completó y evaluó el Proyecto sobre la propiedad intelectual, las tecnologías de la información y la comunicación (TIC), la brecha digital y el acceso a los conocimientos.  En el marco de este proyecto, un grupo de expertos externos preparó un estudio sobre la utilización del derecho de autor para promover el acceso a la información y al contenido creativo, que se presentó en la novena sesión del CDIP y fue examinado por el Comité.</w:t>
      </w:r>
    </w:p>
    <w:p w14:paraId="1B3B1EC6" w14:textId="2F10582B" w:rsidR="00E961DD" w:rsidRPr="00B83E1A" w:rsidRDefault="00E961DD" w:rsidP="00E961DD">
      <w:pPr>
        <w:rPr>
          <w:rFonts w:eastAsia="Calibri"/>
        </w:rPr>
      </w:pPr>
    </w:p>
    <w:p w14:paraId="4F70FD18" w14:textId="77777777" w:rsidR="00E961DD" w:rsidRPr="00B83E1A" w:rsidRDefault="00E961DD" w:rsidP="00E961DD">
      <w:pPr>
        <w:rPr>
          <w:rFonts w:eastAsia="Calibri"/>
          <w:b/>
        </w:rPr>
      </w:pPr>
      <w:r w:rsidRPr="00B83E1A">
        <w:rPr>
          <w:rFonts w:eastAsia="Calibri"/>
          <w:b/>
        </w:rPr>
        <w:t>OD</w:t>
      </w:r>
      <w:r w:rsidR="004B78AE" w:rsidRPr="00B83E1A">
        <w:rPr>
          <w:rFonts w:eastAsia="Calibri"/>
          <w:b/>
        </w:rPr>
        <w:t>M 3:  P</w:t>
      </w:r>
      <w:r w:rsidRPr="00B83E1A">
        <w:rPr>
          <w:rFonts w:eastAsia="Calibri"/>
          <w:b/>
        </w:rPr>
        <w:t>romover la igualdad entre los sexos y el empoderamiento de la mujer</w:t>
      </w:r>
    </w:p>
    <w:p w14:paraId="0CFBFD92" w14:textId="77777777" w:rsidR="00E961DD" w:rsidRPr="00B83E1A" w:rsidRDefault="00E961DD" w:rsidP="00E961DD">
      <w:pPr>
        <w:rPr>
          <w:rFonts w:eastAsia="Calibri"/>
          <w:b/>
        </w:rPr>
      </w:pPr>
    </w:p>
    <w:p w14:paraId="3CAA574A" w14:textId="77777777" w:rsidR="00320EE4" w:rsidRPr="00B83E1A" w:rsidRDefault="00E961DD" w:rsidP="00E961DD">
      <w:pPr>
        <w:rPr>
          <w:rFonts w:eastAsia="Calibri"/>
        </w:rPr>
      </w:pPr>
      <w:r w:rsidRPr="00B83E1A">
        <w:rPr>
          <w:rFonts w:eastAsia="Calibri"/>
        </w:rPr>
        <w:t>La OMPI apunta a garantizar que las consideraciones en materia de género formen parte de sus actividades de programación y relativas a proyectos, y se ha comprometido</w:t>
      </w:r>
      <w:r w:rsidRPr="00B83E1A">
        <w:t xml:space="preserve"> </w:t>
      </w:r>
      <w:r w:rsidRPr="00B83E1A">
        <w:rPr>
          <w:rFonts w:eastAsia="Calibri"/>
        </w:rPr>
        <w:t>a lograr un equilibrio de género a todos los niveles para 2020.  En 2012 se hicieron nuevos progresos en la consecución de ese objetivo</w:t>
      </w:r>
      <w:r w:rsidR="00320EE4" w:rsidRPr="00B83E1A">
        <w:rPr>
          <w:rFonts w:eastAsia="Calibri"/>
        </w:rPr>
        <w:t>.</w:t>
      </w:r>
    </w:p>
    <w:p w14:paraId="00E1BDD5" w14:textId="1E6C7845" w:rsidR="00E961DD" w:rsidRPr="00B83E1A" w:rsidRDefault="00E961DD" w:rsidP="00E961DD">
      <w:pPr>
        <w:rPr>
          <w:rFonts w:eastAsia="Calibri"/>
        </w:rPr>
      </w:pPr>
    </w:p>
    <w:p w14:paraId="6DE375FD" w14:textId="77777777" w:rsidR="00E961DD" w:rsidRPr="00B83E1A" w:rsidRDefault="00E961DD" w:rsidP="00E961DD">
      <w:pPr>
        <w:rPr>
          <w:rFonts w:eastAsia="Calibri"/>
        </w:rPr>
      </w:pPr>
      <w:r w:rsidRPr="00B83E1A">
        <w:rPr>
          <w:rFonts w:eastAsia="Calibri"/>
        </w:rPr>
        <w:t>En la Secretaría,</w:t>
      </w:r>
      <w:r w:rsidRPr="00B83E1A">
        <w:t xml:space="preserve"> </w:t>
      </w:r>
      <w:r w:rsidRPr="00B83E1A">
        <w:rPr>
          <w:rFonts w:eastAsia="Calibri"/>
        </w:rPr>
        <w:t>las mujeres representan actualmente el 53,9% del personal.  No obstante, en los niveles superiores existen desequilibrios en cuanto a la representación de hombres y mujeres</w:t>
      </w:r>
      <w:r w:rsidR="004B78AE" w:rsidRPr="00B83E1A">
        <w:rPr>
          <w:rFonts w:eastAsia="Calibri"/>
        </w:rPr>
        <w:t>.</w:t>
      </w:r>
      <w:r w:rsidR="004B78AE" w:rsidRPr="00B83E1A">
        <w:rPr>
          <w:rStyle w:val="FootnoteReference"/>
          <w:rFonts w:eastAsia="Calibri"/>
        </w:rPr>
        <w:footnoteReference w:id="15"/>
      </w:r>
      <w:r w:rsidR="004B78AE" w:rsidRPr="00B83E1A">
        <w:rPr>
          <w:rFonts w:eastAsia="Calibri"/>
        </w:rPr>
        <w:t xml:space="preserve">  C</w:t>
      </w:r>
      <w:r w:rsidRPr="00B83E1A">
        <w:rPr>
          <w:rFonts w:eastAsia="Calibri"/>
        </w:rPr>
        <w:t>on objeto de compensar ese desequilibrio y mejorar en general las actividades relativas a la igualdad entre los sexos, se han contratado recientemente, e</w:t>
      </w:r>
      <w:r w:rsidR="004B78AE" w:rsidRPr="00B83E1A">
        <w:rPr>
          <w:rFonts w:eastAsia="Calibri"/>
        </w:rPr>
        <w:t>n 2</w:t>
      </w:r>
      <w:r w:rsidRPr="00B83E1A">
        <w:rPr>
          <w:rFonts w:eastAsia="Calibri"/>
        </w:rPr>
        <w:t>013, los servicios de un Especialista en materia de género y diversidad</w:t>
      </w:r>
      <w:r w:rsidR="004B78AE" w:rsidRPr="00B83E1A">
        <w:rPr>
          <w:rFonts w:eastAsia="Calibri"/>
        </w:rPr>
        <w:t>.  P</w:t>
      </w:r>
      <w:r w:rsidRPr="00B83E1A">
        <w:rPr>
          <w:rFonts w:eastAsia="Calibri"/>
        </w:rPr>
        <w:t>ara asegurar un progreso continuo en este ámbito, se pondrá a disposición una política y plan de acción en materia de género, con miras a su aplicación a finales de 2013.</w:t>
      </w:r>
    </w:p>
    <w:p w14:paraId="36713713" w14:textId="39D07489" w:rsidR="00E961DD" w:rsidRPr="00B83E1A" w:rsidRDefault="00E961DD" w:rsidP="00E961DD">
      <w:pPr>
        <w:rPr>
          <w:rFonts w:eastAsia="Calibri"/>
        </w:rPr>
      </w:pPr>
    </w:p>
    <w:p w14:paraId="0BE7E1D7" w14:textId="77777777" w:rsidR="00E961DD" w:rsidRPr="00B83E1A" w:rsidRDefault="00E961DD" w:rsidP="00E961DD">
      <w:pPr>
        <w:rPr>
          <w:rFonts w:eastAsia="Calibri"/>
        </w:rPr>
      </w:pPr>
      <w:r w:rsidRPr="00B83E1A">
        <w:rPr>
          <w:rFonts w:eastAsia="Calibri"/>
        </w:rPr>
        <w:t>En el marco de sus programas, la OMPI continúa con su labor en pro de una mayor concienciación acerca de la importancia de las mujeres en el ámbito de los inventos y de los Derechos de Propiedad Intelectual (DPI), y fomenta la igualdad en términos de oportunidades y de reconocimientos.  Cabe destacar que e</w:t>
      </w:r>
      <w:r w:rsidR="004B78AE" w:rsidRPr="00B83E1A">
        <w:rPr>
          <w:rFonts w:eastAsia="Calibri"/>
        </w:rPr>
        <w:t>n 2</w:t>
      </w:r>
      <w:r w:rsidRPr="00B83E1A">
        <w:rPr>
          <w:rFonts w:eastAsia="Calibri"/>
        </w:rPr>
        <w:t>012, más d</w:t>
      </w:r>
      <w:r w:rsidR="004B78AE" w:rsidRPr="00B83E1A">
        <w:rPr>
          <w:rFonts w:eastAsia="Calibri"/>
        </w:rPr>
        <w:t>e 3</w:t>
      </w:r>
      <w:r w:rsidRPr="00B83E1A">
        <w:rPr>
          <w:rFonts w:eastAsia="Calibri"/>
        </w:rPr>
        <w:t>0 mujeres de más d</w:t>
      </w:r>
      <w:r w:rsidR="004B78AE" w:rsidRPr="00B83E1A">
        <w:rPr>
          <w:rFonts w:eastAsia="Calibri"/>
        </w:rPr>
        <w:t>e 2</w:t>
      </w:r>
      <w:r w:rsidRPr="00B83E1A">
        <w:rPr>
          <w:rFonts w:eastAsia="Calibri"/>
        </w:rPr>
        <w:t>0 países (la mayor parte países en desarrollo y países en transición) se vieron galardonadas con Premios de la OMPI, cuyo programa tiene como finalidad reconocer los logros de inventores, creadores y empresas innovadoras de todo el mundo</w:t>
      </w:r>
      <w:r w:rsidR="004B78AE" w:rsidRPr="00B83E1A">
        <w:rPr>
          <w:rFonts w:eastAsia="Calibri"/>
        </w:rPr>
        <w:t>.  L</w:t>
      </w:r>
      <w:r w:rsidRPr="00B83E1A">
        <w:rPr>
          <w:rFonts w:eastAsia="Calibri"/>
        </w:rPr>
        <w:t>a mayor parte de estas medallas se otorgaron a petición de las oficinas nacionales de la P.I. y de instituciones gubernamentales interesadas en la promoción de actividades relacionadas con invenciones e innovaciones.</w:t>
      </w:r>
    </w:p>
    <w:p w14:paraId="0EB0E704" w14:textId="05944EA8" w:rsidR="00E961DD" w:rsidRPr="00B83E1A" w:rsidRDefault="00E961DD" w:rsidP="00E961DD">
      <w:pPr>
        <w:rPr>
          <w:rFonts w:eastAsia="Calibri"/>
        </w:rPr>
      </w:pPr>
    </w:p>
    <w:p w14:paraId="59CFA369" w14:textId="77777777" w:rsidR="00E961DD" w:rsidRPr="00B83E1A" w:rsidRDefault="00E961DD" w:rsidP="00E961DD">
      <w:pPr>
        <w:rPr>
          <w:rFonts w:eastAsia="Calibri"/>
        </w:rPr>
      </w:pPr>
      <w:r w:rsidRPr="00B83E1A">
        <w:rPr>
          <w:rFonts w:eastAsia="Calibri"/>
        </w:rPr>
        <w:t>Además, las mujeres siguen representando una parte importante de los participantes en la labor de la Academia de la OMPI.  De acuerdo con el informe estadístico anual de la misma, "e</w:t>
      </w:r>
      <w:r w:rsidR="004B78AE" w:rsidRPr="00B83E1A">
        <w:rPr>
          <w:rFonts w:eastAsia="Calibri"/>
        </w:rPr>
        <w:t>n 2</w:t>
      </w:r>
      <w:r w:rsidRPr="00B83E1A">
        <w:rPr>
          <w:rFonts w:eastAsia="Calibri"/>
        </w:rPr>
        <w:t>012, e</w:t>
      </w:r>
      <w:r w:rsidR="004B78AE" w:rsidRPr="00B83E1A">
        <w:rPr>
          <w:rFonts w:eastAsia="Calibri"/>
        </w:rPr>
        <w:t>l 4</w:t>
      </w:r>
      <w:r w:rsidRPr="00B83E1A">
        <w:rPr>
          <w:rFonts w:eastAsia="Calibri"/>
        </w:rPr>
        <w:t>0% de los participantes en los cursos organizados por la Academia en el marco de su Programa de desarrollo profesional, eran mujeres y e</w:t>
      </w:r>
      <w:r w:rsidR="004B78AE" w:rsidRPr="00B83E1A">
        <w:rPr>
          <w:rFonts w:eastAsia="Calibri"/>
        </w:rPr>
        <w:t>l 5</w:t>
      </w:r>
      <w:r w:rsidRPr="00B83E1A">
        <w:rPr>
          <w:rFonts w:eastAsia="Calibri"/>
        </w:rPr>
        <w:t>5% eran hombres, frente a u</w:t>
      </w:r>
      <w:r w:rsidR="004B78AE" w:rsidRPr="00B83E1A">
        <w:rPr>
          <w:rFonts w:eastAsia="Calibri"/>
        </w:rPr>
        <w:t>n 4</w:t>
      </w:r>
      <w:r w:rsidRPr="00B83E1A">
        <w:rPr>
          <w:rFonts w:eastAsia="Calibri"/>
        </w:rPr>
        <w:t>8% de mujeres y u</w:t>
      </w:r>
      <w:r w:rsidR="004B78AE" w:rsidRPr="00B83E1A">
        <w:rPr>
          <w:rFonts w:eastAsia="Calibri"/>
        </w:rPr>
        <w:t>n 5</w:t>
      </w:r>
      <w:r w:rsidRPr="00B83E1A">
        <w:rPr>
          <w:rFonts w:eastAsia="Calibri"/>
        </w:rPr>
        <w:t>2% de hombres e</w:t>
      </w:r>
      <w:r w:rsidR="004B78AE" w:rsidRPr="00B83E1A">
        <w:rPr>
          <w:rFonts w:eastAsia="Calibri"/>
        </w:rPr>
        <w:t>n 2</w:t>
      </w:r>
      <w:r w:rsidRPr="00B83E1A">
        <w:rPr>
          <w:rFonts w:eastAsia="Calibri"/>
        </w:rPr>
        <w:t>011.</w:t>
      </w:r>
      <w:r w:rsidRPr="00B83E1A">
        <w:rPr>
          <w:rStyle w:val="FootnoteReference"/>
          <w:rFonts w:eastAsia="Calibri"/>
        </w:rPr>
        <w:footnoteReference w:id="16"/>
      </w:r>
      <w:r w:rsidRPr="00B83E1A">
        <w:rPr>
          <w:rFonts w:eastAsia="Calibri"/>
        </w:rPr>
        <w:t>”  En la Escuela de Verano de la OMPI, "la distribución por sexos de los participantes sigue siendo bastante equilibrada, co</w:t>
      </w:r>
      <w:r w:rsidR="004B78AE" w:rsidRPr="00B83E1A">
        <w:rPr>
          <w:rFonts w:eastAsia="Calibri"/>
        </w:rPr>
        <w:t>n 1</w:t>
      </w:r>
      <w:r w:rsidRPr="00B83E1A">
        <w:rPr>
          <w:rFonts w:eastAsia="Calibri"/>
        </w:rPr>
        <w:t xml:space="preserve">74 (58%) mujeres </w:t>
      </w:r>
      <w:r w:rsidR="004B78AE" w:rsidRPr="00B83E1A">
        <w:rPr>
          <w:rFonts w:eastAsia="Calibri"/>
        </w:rPr>
        <w:t>y 1</w:t>
      </w:r>
      <w:r w:rsidRPr="00B83E1A">
        <w:rPr>
          <w:rFonts w:eastAsia="Calibri"/>
        </w:rPr>
        <w:t>27 (42%) hombres, frente a u</w:t>
      </w:r>
      <w:r w:rsidR="004B78AE" w:rsidRPr="00B83E1A">
        <w:rPr>
          <w:rFonts w:eastAsia="Calibri"/>
        </w:rPr>
        <w:t>n 6</w:t>
      </w:r>
      <w:r w:rsidRPr="00B83E1A">
        <w:rPr>
          <w:rFonts w:eastAsia="Calibri"/>
        </w:rPr>
        <w:t>1% y u</w:t>
      </w:r>
      <w:r w:rsidR="004B78AE" w:rsidRPr="00B83E1A">
        <w:rPr>
          <w:rFonts w:eastAsia="Calibri"/>
        </w:rPr>
        <w:t>n 3</w:t>
      </w:r>
      <w:r w:rsidRPr="00B83E1A">
        <w:rPr>
          <w:rFonts w:eastAsia="Calibri"/>
        </w:rPr>
        <w:t>9%, respectivamente, e</w:t>
      </w:r>
      <w:r w:rsidR="004B78AE" w:rsidRPr="00B83E1A">
        <w:rPr>
          <w:rFonts w:eastAsia="Calibri"/>
        </w:rPr>
        <w:t>n 2</w:t>
      </w:r>
      <w:r w:rsidRPr="00B83E1A">
        <w:rPr>
          <w:rFonts w:eastAsia="Calibri"/>
        </w:rPr>
        <w:t>011.</w:t>
      </w:r>
      <w:r w:rsidRPr="00B83E1A">
        <w:rPr>
          <w:rStyle w:val="FootnoteReference"/>
          <w:rFonts w:eastAsia="Calibri"/>
        </w:rPr>
        <w:footnoteReference w:id="17"/>
      </w:r>
      <w:r w:rsidRPr="00B83E1A">
        <w:rPr>
          <w:rFonts w:eastAsia="Calibri"/>
        </w:rPr>
        <w:t xml:space="preserve">  Del mismo modo, la proporción de los dos géneros en el programa de enseñanza a distancia se mantuvo también bastante equilibrada ya que "e</w:t>
      </w:r>
      <w:r w:rsidR="004B78AE" w:rsidRPr="00B83E1A">
        <w:rPr>
          <w:rFonts w:eastAsia="Calibri"/>
        </w:rPr>
        <w:t>n 2</w:t>
      </w:r>
      <w:r w:rsidRPr="00B83E1A">
        <w:rPr>
          <w:rFonts w:eastAsia="Calibri"/>
        </w:rPr>
        <w:t>012, e</w:t>
      </w:r>
      <w:r w:rsidR="004B78AE" w:rsidRPr="00B83E1A">
        <w:rPr>
          <w:rFonts w:eastAsia="Calibri"/>
        </w:rPr>
        <w:t>l 4</w:t>
      </w:r>
      <w:r w:rsidRPr="00B83E1A">
        <w:rPr>
          <w:rFonts w:eastAsia="Calibri"/>
        </w:rPr>
        <w:t>9% de los participantes fueron mujeres y e</w:t>
      </w:r>
      <w:r w:rsidR="004B78AE" w:rsidRPr="00B83E1A">
        <w:rPr>
          <w:rFonts w:eastAsia="Calibri"/>
        </w:rPr>
        <w:t>l 5</w:t>
      </w:r>
      <w:r w:rsidRPr="00B83E1A">
        <w:rPr>
          <w:rFonts w:eastAsia="Calibri"/>
        </w:rPr>
        <w:t>1% hombres".</w:t>
      </w:r>
      <w:r w:rsidRPr="00B83E1A">
        <w:rPr>
          <w:rStyle w:val="FootnoteReference"/>
          <w:rFonts w:eastAsia="Calibri"/>
        </w:rPr>
        <w:footnoteReference w:id="18"/>
      </w:r>
      <w:r w:rsidRPr="00B83E1A">
        <w:rPr>
          <w:rFonts w:eastAsia="Calibri"/>
        </w:rPr>
        <w:t xml:space="preserve"> </w:t>
      </w:r>
    </w:p>
    <w:p w14:paraId="1096B98B" w14:textId="77777777" w:rsidR="00E961DD" w:rsidRPr="00B83E1A" w:rsidRDefault="00E961DD" w:rsidP="00E961DD">
      <w:pPr>
        <w:rPr>
          <w:rFonts w:eastAsia="Calibri"/>
        </w:rPr>
      </w:pPr>
    </w:p>
    <w:p w14:paraId="0B76D6E3" w14:textId="77777777" w:rsidR="00E961DD" w:rsidRPr="00B83E1A" w:rsidRDefault="00E961DD" w:rsidP="00E961DD">
      <w:pPr>
        <w:rPr>
          <w:rFonts w:eastAsia="Calibri"/>
        </w:rPr>
      </w:pPr>
      <w:r w:rsidRPr="00B83E1A">
        <w:rPr>
          <w:rFonts w:eastAsia="Calibri"/>
        </w:rPr>
        <w:t xml:space="preserve">En lo que se refiere a los conocimientos tradicionales (CC.TT.), las expresiones culturales tradicionales (ECT) y los recursos genéticos (RR.GG.), ámbitos que han sido y siguen siendo esencialmente el dominio de las mujeres, el Comité Intergubernamental sobre Propiedad Intelectual y Recursos Genéticos, Conocimientos Tradicionales y Folclore (CIG) </w:t>
      </w:r>
      <w:r w:rsidRPr="00B83E1A">
        <w:rPr>
          <w:rFonts w:eastAsia="Calibri"/>
        </w:rPr>
        <w:lastRenderedPageBreak/>
        <w:t>sigue adelante con sus negociaciones, con objeto de llegar a un acuerdo sobre el texto o textos de un instrumento (o varios) de carácter jurídico e internacional, que aseguren la protección efectiva de los RR.GG., los CC.TT. y las ECT.  Asimismo, la OMPI ha puesto a disposición una serie de publicaciones cortas y accesibles sobre cuestiones fundamentales y ha publicado un borrador de consulta de la Guía de la OMPI para la catalogación de conocimientos tradicionales.  Estas actividades permitieron mejorar la comprensión de estas cuestiones, así como el desarrollo de legislaciones y políticas nacionales y regionales y el hallazgo de soluciones prácticas a escala regional, nacional y de la comunidad, como complemento a la labor normativa del CIG.</w:t>
      </w:r>
      <w:r w:rsidRPr="00B83E1A">
        <w:rPr>
          <w:rStyle w:val="FootnoteReference"/>
          <w:rFonts w:eastAsia="Calibri"/>
        </w:rPr>
        <w:footnoteReference w:id="19"/>
      </w:r>
    </w:p>
    <w:p w14:paraId="151D72B6" w14:textId="77777777" w:rsidR="00E961DD" w:rsidRPr="00B83E1A" w:rsidRDefault="00E961DD" w:rsidP="00E961DD">
      <w:pPr>
        <w:rPr>
          <w:rFonts w:eastAsia="Calibri"/>
        </w:rPr>
      </w:pPr>
    </w:p>
    <w:p w14:paraId="4EE4C423" w14:textId="77777777" w:rsidR="00320EE4" w:rsidRPr="00B83E1A" w:rsidRDefault="00E961DD" w:rsidP="00E961DD">
      <w:pPr>
        <w:rPr>
          <w:rFonts w:eastAsia="Calibri"/>
        </w:rPr>
      </w:pPr>
      <w:r w:rsidRPr="00B83E1A">
        <w:rPr>
          <w:rFonts w:eastAsia="Calibri"/>
        </w:rPr>
        <w:t>En el ámbito de las pequeñas y medianas empresas (PYME), la labor que lleva a cabo la OMPI para el fortalecimiento de las capacidades sigue promoviendo los conocimientos sobre el sistema de P.I. entre las mujeres emprendedoras y las asociaciones de conexas, con objeto de que estas mujeres sepan definir estrategias que respondan a sus propias necesidades empresariales.  El Proyecto de la Agenda para el Desarrollo sobre la propiedad intelectual y el desarrollo de marcas de productos para fomentar las actividades comerciales en los países en desarrollo y los países menos adelantados (PMA), en curso de ejecución en Panamá y Tailandia, incide de forma considerable en la potenciación de las mujeres de las comunidades locales</w:t>
      </w:r>
      <w:r w:rsidR="00320EE4" w:rsidRPr="00B83E1A">
        <w:rPr>
          <w:rFonts w:eastAsia="Calibri"/>
        </w:rPr>
        <w:t>.</w:t>
      </w:r>
    </w:p>
    <w:p w14:paraId="11AAEA28" w14:textId="2BD1316C" w:rsidR="00E961DD" w:rsidRPr="00B83E1A" w:rsidRDefault="00E961DD" w:rsidP="00E961DD">
      <w:pPr>
        <w:rPr>
          <w:rFonts w:eastAsia="Calibri"/>
        </w:rPr>
      </w:pPr>
    </w:p>
    <w:p w14:paraId="394560EF" w14:textId="77777777" w:rsidR="00E961DD" w:rsidRPr="00B83E1A" w:rsidRDefault="00E961DD" w:rsidP="00E961DD">
      <w:pPr>
        <w:rPr>
          <w:rFonts w:eastAsia="Calibri"/>
          <w:b/>
        </w:rPr>
      </w:pPr>
      <w:r w:rsidRPr="00B83E1A">
        <w:rPr>
          <w:rFonts w:eastAsia="Calibri"/>
          <w:b/>
        </w:rPr>
        <w:t>OD</w:t>
      </w:r>
      <w:r w:rsidR="004B78AE" w:rsidRPr="00B83E1A">
        <w:rPr>
          <w:rFonts w:eastAsia="Calibri"/>
          <w:b/>
        </w:rPr>
        <w:t>M 4:  R</w:t>
      </w:r>
      <w:r w:rsidRPr="00B83E1A">
        <w:rPr>
          <w:rFonts w:eastAsia="Calibri"/>
          <w:b/>
        </w:rPr>
        <w:t>educir la mortalidad de los niños</w:t>
      </w:r>
    </w:p>
    <w:p w14:paraId="40B0EDED" w14:textId="1873F891" w:rsidR="00E961DD" w:rsidRPr="00B83E1A" w:rsidRDefault="00E961DD" w:rsidP="00E961DD">
      <w:pPr>
        <w:rPr>
          <w:rFonts w:eastAsia="Calibri"/>
          <w:b/>
        </w:rPr>
      </w:pPr>
      <w:r w:rsidRPr="00B83E1A">
        <w:rPr>
          <w:rFonts w:eastAsia="Calibri"/>
          <w:b/>
        </w:rPr>
        <w:t>OD</w:t>
      </w:r>
      <w:r w:rsidR="004B78AE" w:rsidRPr="00B83E1A">
        <w:rPr>
          <w:rFonts w:eastAsia="Calibri"/>
          <w:b/>
        </w:rPr>
        <w:t>M 5:  M</w:t>
      </w:r>
      <w:r w:rsidRPr="00B83E1A">
        <w:rPr>
          <w:rFonts w:eastAsia="Calibri"/>
          <w:b/>
        </w:rPr>
        <w:t>ejorar la salud materna</w:t>
      </w:r>
    </w:p>
    <w:p w14:paraId="48042316" w14:textId="376BEF3D" w:rsidR="00E961DD" w:rsidRPr="00B83E1A" w:rsidRDefault="00E961DD" w:rsidP="00E961DD">
      <w:pPr>
        <w:rPr>
          <w:rFonts w:eastAsia="Calibri"/>
          <w:b/>
        </w:rPr>
      </w:pPr>
    </w:p>
    <w:p w14:paraId="35A49215" w14:textId="77777777" w:rsidR="00320EE4" w:rsidRPr="00B83E1A" w:rsidRDefault="00E961DD" w:rsidP="00E961DD">
      <w:pPr>
        <w:rPr>
          <w:rFonts w:eastAsia="Calibri"/>
        </w:rPr>
      </w:pPr>
      <w:r w:rsidRPr="00B83E1A">
        <w:rPr>
          <w:rFonts w:eastAsia="Calibri"/>
        </w:rPr>
        <w:t>La OMPI sigue desempeñando una función importante en los ámbitos relacionados con la salud, a través de su labor centrada en cuestiones de patentes y acceso a los medicamentos.  Con miras a mejorar la cooperación entre los Estados miembros para la elaboración de marcos normativos y de política equilibrados, relativos al sistema internacional de patentes, el Comité Permanente sobre el Derecho de Patentes incluye en la orden del día de su decimonovena sesión (diciembre d</w:t>
      </w:r>
      <w:r w:rsidR="004B78AE" w:rsidRPr="00B83E1A">
        <w:rPr>
          <w:rFonts w:eastAsia="Calibri"/>
        </w:rPr>
        <w:t>e 2</w:t>
      </w:r>
      <w:r w:rsidRPr="00B83E1A">
        <w:rPr>
          <w:rFonts w:eastAsia="Calibri"/>
        </w:rPr>
        <w:t>013) el examen de cinco temas;  tres de ellos están estrechamente relacionados con asuntos concernientes a la salud, a saber:  i) las excepciones y limitaciones a los derechos conferidos por las patentes;  iii) las patentes y la salud;  y v) la transferencia de tecnología</w:t>
      </w:r>
      <w:r w:rsidR="00320EE4" w:rsidRPr="00B83E1A">
        <w:rPr>
          <w:rFonts w:eastAsia="Calibri"/>
        </w:rPr>
        <w:t>.</w:t>
      </w:r>
    </w:p>
    <w:p w14:paraId="0DA6F1A5" w14:textId="53B80BC1" w:rsidR="00E961DD" w:rsidRPr="00B83E1A" w:rsidRDefault="00E961DD" w:rsidP="00E961DD">
      <w:pPr>
        <w:rPr>
          <w:rFonts w:eastAsia="Calibri"/>
        </w:rPr>
      </w:pPr>
    </w:p>
    <w:p w14:paraId="058500A1" w14:textId="77777777" w:rsidR="00320EE4" w:rsidRPr="00B83E1A" w:rsidRDefault="00E961DD" w:rsidP="00E961DD">
      <w:pPr>
        <w:rPr>
          <w:rFonts w:eastAsia="Calibri"/>
        </w:rPr>
      </w:pPr>
      <w:r w:rsidRPr="00B83E1A">
        <w:rPr>
          <w:rFonts w:eastAsia="Calibri"/>
        </w:rPr>
        <w:t>Por otra parte, crece el reconocimiento del que goza la OMPI como una fuente fiable de apoyo y colaboración en lo que se refiere a la información sobre innovación y propiedad intelectual en relación a cuestiones esenciales de alcance mundial, tales como la salud en el mundo.  Cumpliendo con esa función y en apoyo a los ODM relacionados con la salud, la OMPI participa en procesos públicos, seminarios, talleres y conferencias pertinentes, como los preparados por la Organización Mundial de la Salud (OMS), la Organización Mundial del Comercio (OMC), las organizaciones no gubernamentales (ONG), universidades e instituciones.  Un paso fundamental en este sentido fue la puesta en marcha en marzo d</w:t>
      </w:r>
      <w:r w:rsidR="004B78AE" w:rsidRPr="00B83E1A">
        <w:rPr>
          <w:rFonts w:eastAsia="Calibri"/>
        </w:rPr>
        <w:t>e 2</w:t>
      </w:r>
      <w:r w:rsidRPr="00B83E1A">
        <w:rPr>
          <w:rFonts w:eastAsia="Calibri"/>
        </w:rPr>
        <w:t>012 de la serie de Seminarios sobre Desafíos Mundiales auspiciada por la OMPI</w:t>
      </w:r>
      <w:r w:rsidR="004B78AE" w:rsidRPr="00B83E1A">
        <w:rPr>
          <w:rFonts w:eastAsia="Calibri"/>
        </w:rPr>
        <w:t>.  En 2</w:t>
      </w:r>
      <w:r w:rsidRPr="00B83E1A">
        <w:rPr>
          <w:rFonts w:eastAsia="Calibri"/>
        </w:rPr>
        <w:t>012, se celebraron tres seminarios y se puso en marcha un foro para que los participantes intercambien ideas, experiencias e información</w:t>
      </w:r>
      <w:r w:rsidR="00320EE4" w:rsidRPr="00B83E1A">
        <w:rPr>
          <w:rFonts w:eastAsia="Calibri"/>
        </w:rPr>
        <w:t>.</w:t>
      </w:r>
    </w:p>
    <w:p w14:paraId="7C1D76BC" w14:textId="37BFC12C" w:rsidR="00E961DD" w:rsidRPr="00B83E1A" w:rsidRDefault="00E961DD" w:rsidP="00E961DD">
      <w:pPr>
        <w:rPr>
          <w:rFonts w:eastAsia="Calibri"/>
        </w:rPr>
      </w:pPr>
    </w:p>
    <w:p w14:paraId="5A75E186" w14:textId="6CBA7A95" w:rsidR="00E961DD" w:rsidRPr="00B83E1A" w:rsidRDefault="00E961DD" w:rsidP="00E961DD">
      <w:pPr>
        <w:rPr>
          <w:rFonts w:eastAsia="Calibri"/>
        </w:rPr>
      </w:pPr>
      <w:r w:rsidRPr="00B83E1A">
        <w:rPr>
          <w:rFonts w:eastAsia="Calibri"/>
        </w:rPr>
        <w:t>La OMPI y se ha dedicado de forma muy activa a proporcionar a los Estados miembros asistencia jurídica y política en materia de patentes y asuntos conexos</w:t>
      </w:r>
      <w:r w:rsidR="004B78AE" w:rsidRPr="00B83E1A">
        <w:rPr>
          <w:rFonts w:eastAsia="Calibri"/>
        </w:rPr>
        <w:t>.  E</w:t>
      </w:r>
      <w:r w:rsidRPr="00B83E1A">
        <w:rPr>
          <w:rFonts w:eastAsia="Calibri"/>
        </w:rPr>
        <w:t xml:space="preserve">sta asistencia aborda cuestiones políticas que tienen una relación directa o indirecta con lo otras políticas como, por ejemplo, las relacionadas con la salud.  Esta asistencia consiste en ayudar, sobre todo a los países en desarrollo y menos avanzados, en la aplicación de compromisos multilaterales, regionales y bilaterales en el ámbito de patentes y asuntos conexos.  Así, la </w:t>
      </w:r>
      <w:r w:rsidRPr="00B83E1A">
        <w:rPr>
          <w:rFonts w:eastAsia="Calibri"/>
        </w:rPr>
        <w:lastRenderedPageBreak/>
        <w:t xml:space="preserve">OMPI facilita directrices sobre métodos para elaborar y aplicar un marco jurídico de patentes conforme con los planes nacionales de desarrollo y las políticas nacionales de los Estados miembros.  Esta dimensión política que disfrutan los Estados miembros se conoce como flexibilidades.  Al respecto, y a petición de los miembros del CDIP, la Secretaría ha preparado algunos documentos en donde se facilita una descripción y una clasificación de los métodos empleados para la aplicación de algunas flexibilidades en todo el mundo (véase los documentos CDIP/5/4 Rev. and CDIP/7/3 </w:t>
      </w:r>
      <w:r w:rsidR="00B83E1A" w:rsidRPr="00B83E1A">
        <w:rPr>
          <w:rFonts w:eastAsia="Calibri"/>
        </w:rPr>
        <w:t>Rev.</w:t>
      </w:r>
      <w:r w:rsidRPr="00B83E1A">
        <w:rPr>
          <w:rFonts w:eastAsia="Calibri"/>
        </w:rPr>
        <w:t>).</w:t>
      </w:r>
    </w:p>
    <w:p w14:paraId="4260A44D" w14:textId="6FEA1488" w:rsidR="00E961DD" w:rsidRPr="00B83E1A" w:rsidRDefault="00E961DD" w:rsidP="00E961DD">
      <w:pPr>
        <w:rPr>
          <w:rFonts w:eastAsia="Calibri"/>
        </w:rPr>
      </w:pPr>
    </w:p>
    <w:p w14:paraId="7759C4FE" w14:textId="77777777" w:rsidR="00E961DD" w:rsidRPr="00B83E1A" w:rsidRDefault="00E961DD" w:rsidP="00E961DD">
      <w:pPr>
        <w:rPr>
          <w:rFonts w:eastAsia="Calibri"/>
        </w:rPr>
      </w:pPr>
      <w:r w:rsidRPr="00B83E1A">
        <w:rPr>
          <w:rFonts w:eastAsia="Calibri"/>
        </w:rPr>
        <w:t>Además, la cooperación trilateral con la OMS y la OMC en el ámbito de la salud, la propiedad intelectual y el comercio se centró durant</w:t>
      </w:r>
      <w:r w:rsidR="004B78AE" w:rsidRPr="00B83E1A">
        <w:rPr>
          <w:rFonts w:eastAsia="Calibri"/>
        </w:rPr>
        <w:t>e 2</w:t>
      </w:r>
      <w:r w:rsidRPr="00B83E1A">
        <w:rPr>
          <w:rFonts w:eastAsia="Calibri"/>
        </w:rPr>
        <w:t xml:space="preserve">012 en la elaboración del estudio técnico conjunto </w:t>
      </w:r>
      <w:r w:rsidRPr="00B83E1A">
        <w:rPr>
          <w:rFonts w:eastAsia="Calibri"/>
          <w:i/>
        </w:rPr>
        <w:t>Promoting Access to Medical Technologie</w:t>
      </w:r>
      <w:r w:rsidR="00320EE4" w:rsidRPr="00B83E1A">
        <w:rPr>
          <w:rFonts w:eastAsia="Calibri"/>
          <w:i/>
        </w:rPr>
        <w:t>s a</w:t>
      </w:r>
      <w:r w:rsidRPr="00B83E1A">
        <w:rPr>
          <w:rFonts w:eastAsia="Calibri"/>
          <w:i/>
        </w:rPr>
        <w:t>nd Innovation – Intersections between public health, intellectual property and trade</w:t>
      </w:r>
      <w:r w:rsidRPr="00B83E1A">
        <w:rPr>
          <w:rFonts w:eastAsia="Calibri"/>
        </w:rPr>
        <w:t xml:space="preserve"> (Promover el acceso a las tecnologías médicas y la innovación</w:t>
      </w:r>
      <w:r w:rsidR="004B78AE" w:rsidRPr="00B83E1A">
        <w:rPr>
          <w:rFonts w:eastAsia="Calibri"/>
        </w:rPr>
        <w:t>:  l</w:t>
      </w:r>
      <w:r w:rsidRPr="00B83E1A">
        <w:rPr>
          <w:rFonts w:eastAsia="Calibri"/>
        </w:rPr>
        <w:t>as intersecciones de la salud pública, la propiedad intelectual y el comercio), publicado e</w:t>
      </w:r>
      <w:r w:rsidR="004B78AE" w:rsidRPr="00B83E1A">
        <w:rPr>
          <w:rFonts w:eastAsia="Calibri"/>
        </w:rPr>
        <w:t>l 5</w:t>
      </w:r>
      <w:r w:rsidRPr="00B83E1A">
        <w:rPr>
          <w:rFonts w:eastAsia="Calibri"/>
        </w:rPr>
        <w:t xml:space="preserve"> de febrero d</w:t>
      </w:r>
      <w:r w:rsidR="004B78AE" w:rsidRPr="00B83E1A">
        <w:rPr>
          <w:rFonts w:eastAsia="Calibri"/>
        </w:rPr>
        <w:t>e 2</w:t>
      </w:r>
      <w:r w:rsidRPr="00B83E1A">
        <w:rPr>
          <w:rFonts w:eastAsia="Calibri"/>
        </w:rPr>
        <w:t>013</w:t>
      </w:r>
      <w:r w:rsidR="004B78AE" w:rsidRPr="00B83E1A">
        <w:rPr>
          <w:rFonts w:eastAsia="Calibri"/>
        </w:rPr>
        <w:t>.</w:t>
      </w:r>
      <w:r w:rsidR="004B78AE" w:rsidRPr="00B83E1A">
        <w:rPr>
          <w:rStyle w:val="FootnoteReference"/>
          <w:rFonts w:eastAsia="Calibri"/>
        </w:rPr>
        <w:footnoteReference w:id="20"/>
      </w:r>
      <w:r w:rsidR="004B78AE" w:rsidRPr="00B83E1A">
        <w:rPr>
          <w:rFonts w:eastAsia="Calibri"/>
        </w:rPr>
        <w:t xml:space="preserve">  P</w:t>
      </w:r>
      <w:r w:rsidRPr="00B83E1A">
        <w:rPr>
          <w:rFonts w:eastAsia="Calibri"/>
        </w:rPr>
        <w:t>or otra parte, la Organización estuvo presente en una serie de reuniones sobre salud pública en el marco del programa de las Naciones Unidas sobre enfermedades no transmisibles (ENT).</w:t>
      </w:r>
      <w:r w:rsidRPr="00B83E1A">
        <w:rPr>
          <w:rFonts w:eastAsia="Calibri"/>
          <w:bCs/>
        </w:rPr>
        <w:t xml:space="preserve">  Asimismo, la OMPI contribuyó a la formulación del proyecto de texto de la Estrategia de la OMS sobre medicina tradicional y complementari</w:t>
      </w:r>
      <w:r w:rsidR="004B78AE" w:rsidRPr="00B83E1A">
        <w:rPr>
          <w:rFonts w:eastAsia="Calibri"/>
          <w:bCs/>
        </w:rPr>
        <w:t>a 2</w:t>
      </w:r>
      <w:r w:rsidRPr="00B83E1A">
        <w:rPr>
          <w:rFonts w:eastAsia="Calibri"/>
          <w:bCs/>
        </w:rPr>
        <w:t>014-2023.</w:t>
      </w:r>
    </w:p>
    <w:p w14:paraId="4338BF78" w14:textId="3DDB8819" w:rsidR="00E961DD" w:rsidRPr="00B83E1A" w:rsidRDefault="00E961DD" w:rsidP="00E961DD">
      <w:pPr>
        <w:rPr>
          <w:rFonts w:eastAsia="Calibri"/>
        </w:rPr>
      </w:pPr>
    </w:p>
    <w:p w14:paraId="459D0C20" w14:textId="77777777" w:rsidR="00E961DD" w:rsidRPr="00B83E1A" w:rsidRDefault="00E961DD" w:rsidP="00E961DD">
      <w:pPr>
        <w:rPr>
          <w:rFonts w:eastAsia="Calibri"/>
          <w:b/>
          <w:bCs/>
        </w:rPr>
      </w:pPr>
      <w:r w:rsidRPr="00B83E1A">
        <w:rPr>
          <w:rFonts w:eastAsia="Calibri"/>
          <w:b/>
          <w:bCs/>
        </w:rPr>
        <w:t>OD</w:t>
      </w:r>
      <w:r w:rsidR="004B78AE" w:rsidRPr="00B83E1A">
        <w:rPr>
          <w:rFonts w:eastAsia="Calibri"/>
          <w:b/>
          <w:bCs/>
        </w:rPr>
        <w:t>M 7:  G</w:t>
      </w:r>
      <w:r w:rsidRPr="00B83E1A">
        <w:rPr>
          <w:rFonts w:eastAsia="Calibri"/>
          <w:b/>
          <w:bCs/>
        </w:rPr>
        <w:t>arantizar la sostenibilidad del medio ambiente</w:t>
      </w:r>
    </w:p>
    <w:p w14:paraId="5005A876" w14:textId="5A748897" w:rsidR="00E961DD" w:rsidRPr="00B83E1A" w:rsidRDefault="00E961DD" w:rsidP="0073462D"/>
    <w:p w14:paraId="34E70224" w14:textId="77777777" w:rsidR="00320EE4" w:rsidRPr="00B83E1A" w:rsidRDefault="00E961DD" w:rsidP="0073462D">
      <w:r w:rsidRPr="00B83E1A">
        <w:t>Conforme con su compromiso de lograr la sostenibilidad medioambiental, la OMPI sigue con su empeño en mejorar la interfaz entre la propiedad intelectual y el medio ambiente.  Para ello, continúa cooperando con las organizaciones intergubernamentales pertinentes y contribuye al debate internacional con ideas sobre la correlación entre la P.I. y la innovación sostenible.  E</w:t>
      </w:r>
      <w:r w:rsidR="004B78AE" w:rsidRPr="00B83E1A">
        <w:t>n 2</w:t>
      </w:r>
      <w:r w:rsidRPr="00B83E1A">
        <w:t>012, la Secretaría de la OMPI participó en calidad de observador en reuniones relativas al Convenio sobre la Diversidad Biológica (CDB) y al Protocolo de Nagoya Acceso a los Recursos Genéticos y Participación Justa y Equitativa en los Beneficios que se Deriven de su Utilización.  Asimismo, la OMPI colaboró con asociados internacionales, entre los cuales el Programa de las Naciones Unidas para el Medio Ambiente (PNUMA), en actividades destinadas a fomentar la concienciación sobre los problemas medioambientales que se plantean en el contexto de la destrucción de artículos falsificados y pirateados.  En julio d</w:t>
      </w:r>
      <w:r w:rsidR="004B78AE" w:rsidRPr="00B83E1A">
        <w:t>e 2</w:t>
      </w:r>
      <w:r w:rsidRPr="00B83E1A">
        <w:t>012, en cooperación con el Gobierno de Tailandia y el PNUMA, la OMPI organizó un seminario sobre la eliminación de bienes falsificados que se impartió a funcionarios encargados de hacer cumplir la ley y a los que trabajan en asuntos medioambientales, para conseguir que estos artículos se almacenen y destruyan de forma segura y garantizar unos riesgos mínimos para el medio ambiente, sobre todo cuando se trate de productos que contengan elementos tóxicos o de desechos peligrosos.  En noviembre d</w:t>
      </w:r>
      <w:r w:rsidR="004B78AE" w:rsidRPr="00B83E1A">
        <w:t>e 2</w:t>
      </w:r>
      <w:r w:rsidRPr="00B83E1A">
        <w:t>013, se organizó un seminario de seguimiento, en colaboración con el PNUMA y la Comisión Económica y Social para Asia y el Pacífico (CESPAP), y con la contribución de la Organización Mundial de Aduanas (OMA)</w:t>
      </w:r>
      <w:r w:rsidR="00320EE4" w:rsidRPr="00B83E1A">
        <w:t>.</w:t>
      </w:r>
    </w:p>
    <w:p w14:paraId="2215F8C5" w14:textId="3B1A8E26" w:rsidR="00E961DD" w:rsidRPr="00B83E1A" w:rsidRDefault="00E961DD" w:rsidP="0073462D"/>
    <w:p w14:paraId="1D49E2BE" w14:textId="77777777" w:rsidR="00320EE4" w:rsidRPr="00B83E1A" w:rsidRDefault="00E961DD" w:rsidP="0073462D">
      <w:r w:rsidRPr="00B83E1A">
        <w:t>Además, la OMPI ha conseguido buenos resultados con las pruebas de WIPO GREEN, una plataforma destinada a acelerar la transferencia, adaptación y adopción de tecnologías respetuosas del medio ambiente</w:t>
      </w:r>
      <w:r w:rsidR="004B78AE" w:rsidRPr="00B83E1A">
        <w:t>.  A</w:t>
      </w:r>
      <w:r w:rsidRPr="00B83E1A">
        <w:t xml:space="preserve"> finales d</w:t>
      </w:r>
      <w:r w:rsidR="004B78AE" w:rsidRPr="00B83E1A">
        <w:t>e 2</w:t>
      </w:r>
      <w:r w:rsidRPr="00B83E1A">
        <w:t>012 se habían cargado alrededor d</w:t>
      </w:r>
      <w:r w:rsidR="004B78AE" w:rsidRPr="00B83E1A">
        <w:t>e 4</w:t>
      </w:r>
      <w:r w:rsidRPr="00B83E1A">
        <w:t>0 tecnologías y necesidades.  Se incorporaron además nuevas funciones a la base de datos y se elevó por encima d</w:t>
      </w:r>
      <w:r w:rsidR="004B78AE" w:rsidRPr="00B83E1A">
        <w:t>e 5</w:t>
      </w:r>
      <w:r w:rsidRPr="00B83E1A">
        <w:t xml:space="preserve">00 el número de suscriptores a los boletines informativos mensuales WIPO GREEN.  Se publicaron también dos casos prácticos que ilustran la transferencia exitosa de tecnologías ecológicas y se mantuvieron distintas reuniones con </w:t>
      </w:r>
      <w:r w:rsidRPr="00B83E1A">
        <w:lastRenderedPageBreak/>
        <w:t>socios estratégicos, entre ellos el Pacto Mundial de las Naciones Unidas, el PNUMA, el PNUD y la ONUDI, así como con instituciones financieras como infoDev y el Banco Islámico de Desarrollo</w:t>
      </w:r>
      <w:r w:rsidR="00320EE4" w:rsidRPr="00B83E1A">
        <w:t>.</w:t>
      </w:r>
    </w:p>
    <w:p w14:paraId="06BF215C" w14:textId="381E0228" w:rsidR="00E961DD" w:rsidRPr="00B83E1A" w:rsidRDefault="00E961DD" w:rsidP="00E961DD">
      <w:pPr>
        <w:rPr>
          <w:rFonts w:eastAsia="Calibri"/>
          <w:bCs/>
        </w:rPr>
      </w:pPr>
    </w:p>
    <w:p w14:paraId="368C4753" w14:textId="77777777" w:rsidR="00E961DD" w:rsidRPr="00B83E1A" w:rsidRDefault="00E961DD" w:rsidP="00E961DD">
      <w:pPr>
        <w:rPr>
          <w:rFonts w:eastAsia="Calibri"/>
          <w:bCs/>
        </w:rPr>
      </w:pPr>
      <w:r w:rsidRPr="00B83E1A">
        <w:rPr>
          <w:rFonts w:eastAsia="Calibri"/>
          <w:bCs/>
        </w:rPr>
        <w:t>En lo que respecta a los CC.TT., las ECT y los RR.GG., la OMPI siguió ofreciéndose a colaborar en calidad de socio técnico en varios proyectos regionales, tales como el marco regional sobre CC.TT., ECT y RR.GG. para el Caribe, el plan de acción sobre CC.TT. para el Pacífico y un proyecto financiado por el Programa de las Naciones Unidas para el Medio Ambiente (PNUMA) y el Fondo para el Medio Ambiente Mundial (FMAM) sobre la aplicación del acceso a los RR.GG. y la participación en los beneficios en varios países de América Latina y el Caribe.  La OMPI, en colaboración con la Secretaría de la Comunidad del Pacífico, prestó asesoramiento en materia de gestión de la P.I. a los organizadores del Festival de Artes del Pacífico d</w:t>
      </w:r>
      <w:r w:rsidR="004B78AE" w:rsidRPr="00B83E1A">
        <w:rPr>
          <w:rFonts w:eastAsia="Calibri"/>
          <w:bCs/>
        </w:rPr>
        <w:t>e 2</w:t>
      </w:r>
      <w:r w:rsidRPr="00B83E1A">
        <w:rPr>
          <w:rFonts w:eastAsia="Calibri"/>
          <w:bCs/>
        </w:rPr>
        <w:t>012, que tuvo lugar en las Islas Salomón</w:t>
      </w:r>
      <w:r w:rsidR="004B78AE" w:rsidRPr="00B83E1A">
        <w:rPr>
          <w:rFonts w:eastAsia="Calibri"/>
          <w:bCs/>
        </w:rPr>
        <w:t>.  A</w:t>
      </w:r>
      <w:r w:rsidRPr="00B83E1A">
        <w:rPr>
          <w:rFonts w:eastAsia="Calibri"/>
          <w:bCs/>
        </w:rPr>
        <w:t>simismo, la OMPI ha puesto a disposición una serie de publicaciones cortas y accesibles sobre cuestiones esenciales, y</w:t>
      </w:r>
      <w:r w:rsidRPr="00B83E1A">
        <w:rPr>
          <w:rFonts w:eastAsia="Calibri"/>
        </w:rPr>
        <w:t xml:space="preserve"> ha publicado un borrador de consulta de la Guía de la OMPI para la catalogación de conocimientos tradicionales</w:t>
      </w:r>
      <w:r w:rsidRPr="00B83E1A">
        <w:rPr>
          <w:rFonts w:eastAsia="Calibri"/>
          <w:bCs/>
        </w:rPr>
        <w:t>.  Estas actividades permitieron mejorar la comprensión de estas cuestiones, así como el desarrollo de legislaciones y políticas nacionales y regionales y el hallazgo de soluciones prácticas a escala regional, nacional y de la comunidad, como complemento a la labor normativa del CIG.</w:t>
      </w:r>
      <w:r w:rsidR="004B78AE" w:rsidRPr="00B83E1A">
        <w:rPr>
          <w:rStyle w:val="FootnoteReference"/>
          <w:rFonts w:eastAsia="Calibri"/>
          <w:bCs/>
        </w:rPr>
        <w:footnoteReference w:id="21"/>
      </w:r>
      <w:r w:rsidRPr="00B83E1A">
        <w:rPr>
          <w:rFonts w:eastAsia="Calibri"/>
          <w:bCs/>
        </w:rPr>
        <w:t xml:space="preserve"> </w:t>
      </w:r>
    </w:p>
    <w:p w14:paraId="705F98B3" w14:textId="7E062097" w:rsidR="00E961DD" w:rsidRPr="00B83E1A" w:rsidRDefault="00E961DD" w:rsidP="00E961DD">
      <w:pPr>
        <w:rPr>
          <w:rFonts w:eastAsia="Calibri"/>
          <w:bCs/>
        </w:rPr>
      </w:pPr>
    </w:p>
    <w:p w14:paraId="108AF42D" w14:textId="77777777" w:rsidR="00E961DD" w:rsidRPr="00B83E1A" w:rsidRDefault="0073462D" w:rsidP="00E961DD">
      <w:pPr>
        <w:rPr>
          <w:rFonts w:eastAsia="Calibri"/>
          <w:bCs/>
        </w:rPr>
      </w:pPr>
      <w:r w:rsidRPr="00B83E1A">
        <w:rPr>
          <w:rFonts w:eastAsia="Calibri"/>
          <w:bCs/>
        </w:rPr>
        <w:t xml:space="preserve">Por </w:t>
      </w:r>
      <w:r w:rsidR="00E961DD" w:rsidRPr="00B83E1A">
        <w:rPr>
          <w:rFonts w:eastAsia="Calibri"/>
          <w:bCs/>
        </w:rPr>
        <w:t>otra parte, la OMPI brinda un foro para debatir sobre la cuestión de una desarrollo sostenible mediante la transferencia eficaz de tecnologías respetuosas con el medio ambiente o sobre la forma en que el sistema de la P.I. contribuye a la desarrollo de tecnologías de esa índole.  E</w:t>
      </w:r>
      <w:r w:rsidR="004B78AE" w:rsidRPr="00B83E1A">
        <w:rPr>
          <w:rFonts w:eastAsia="Calibri"/>
          <w:bCs/>
        </w:rPr>
        <w:t>n 2</w:t>
      </w:r>
      <w:r w:rsidR="00E961DD" w:rsidRPr="00B83E1A">
        <w:rPr>
          <w:rFonts w:eastAsia="Calibri"/>
          <w:bCs/>
        </w:rPr>
        <w:t>012, la OMPI organizó por primera vez un taller con motivo del Día Mundial del Agua cuyo tema central era la importancia de la información sobre patentes para promover el acceso sostenible al agua potable.  El evento contó con la presencia de representantes de los Estados miembros, de diversas organizaciones intergubernamentales y no gubernamentales, del sector académico y de otros ámbitos de la sociedad civil, que acogieron con satisfacción la iniciativa y la labor de la OMPI en el área de tecnologías relacionadas con el agua e información sobre patentes.</w:t>
      </w:r>
    </w:p>
    <w:p w14:paraId="018EB8D8" w14:textId="44507FFF" w:rsidR="00E961DD" w:rsidRPr="00B83E1A" w:rsidRDefault="00E961DD" w:rsidP="00E961DD">
      <w:pPr>
        <w:rPr>
          <w:rFonts w:eastAsia="Calibri"/>
          <w:bCs/>
        </w:rPr>
      </w:pPr>
    </w:p>
    <w:p w14:paraId="3DC60E55" w14:textId="77777777" w:rsidR="00E961DD" w:rsidRPr="00B83E1A" w:rsidRDefault="00E961DD" w:rsidP="00E961DD">
      <w:pPr>
        <w:rPr>
          <w:rFonts w:eastAsia="Calibri"/>
          <w:bCs/>
        </w:rPr>
      </w:pPr>
      <w:r w:rsidRPr="00B83E1A">
        <w:rPr>
          <w:rFonts w:eastAsia="Calibri"/>
          <w:bCs/>
        </w:rPr>
        <w:t xml:space="preserve">En la </w:t>
      </w:r>
      <w:r w:rsidRPr="00B83E1A">
        <w:rPr>
          <w:rFonts w:eastAsia="Calibri"/>
          <w:bCs/>
          <w:i/>
        </w:rPr>
        <w:t>Conferencia Río +20:</w:t>
      </w:r>
      <w:r w:rsidRPr="00B83E1A">
        <w:rPr>
          <w:rFonts w:eastAsia="Calibri"/>
          <w:bCs/>
        </w:rPr>
        <w:t xml:space="preserve">  en colaboración con el Instituto Nacional de Propiedad Industrial del Brasil (INPI-Brasil), la OMPI organizó un evento paralelo titulado “Innovaciones y Tecnologías Verdes</w:t>
      </w:r>
      <w:r w:rsidR="004B78AE" w:rsidRPr="00B83E1A">
        <w:rPr>
          <w:rFonts w:eastAsia="Calibri"/>
          <w:bCs/>
        </w:rPr>
        <w:t>:  S</w:t>
      </w:r>
      <w:r w:rsidRPr="00B83E1A">
        <w:rPr>
          <w:rFonts w:eastAsia="Calibri"/>
          <w:bCs/>
        </w:rPr>
        <w:t>oluciones Prácticas” y creó una ventanilla de información para dar a conocer proyectos de la Organización tales como WIPO Green, los informes de análisis de la actividad de patentamiento, los proyectos de los CATI del CDIP o la Agenda para el Desarrollo</w:t>
      </w:r>
      <w:r w:rsidR="004B78AE" w:rsidRPr="00B83E1A">
        <w:rPr>
          <w:rFonts w:eastAsia="Calibri"/>
          <w:bCs/>
        </w:rPr>
        <w:t>.  P</w:t>
      </w:r>
      <w:r w:rsidRPr="00B83E1A">
        <w:rPr>
          <w:rFonts w:eastAsia="Calibri"/>
          <w:bCs/>
        </w:rPr>
        <w:t>articipó además en las celebraciones del Día de las Naciones Unidas en Río organizadas por el Gobierno del Estado de Río y la UNESCO, en una mesa redonda convocada por el Grupo de las Naciones Unidas sobre la Sociedad de la Información y en el Día de las empresas organizado por Business Action for Sustainable Development (BASD).</w:t>
      </w:r>
    </w:p>
    <w:p w14:paraId="43E7A580" w14:textId="112C7F4A" w:rsidR="00E961DD" w:rsidRPr="00B83E1A" w:rsidRDefault="00E961DD" w:rsidP="00E961DD">
      <w:pPr>
        <w:rPr>
          <w:rFonts w:eastAsia="Calibri"/>
          <w:bCs/>
        </w:rPr>
      </w:pPr>
    </w:p>
    <w:p w14:paraId="72209E41" w14:textId="77777777" w:rsidR="00320EE4" w:rsidRPr="00B83E1A" w:rsidRDefault="00E961DD" w:rsidP="00E961DD">
      <w:pPr>
        <w:rPr>
          <w:rFonts w:eastAsia="Calibri"/>
          <w:bCs/>
        </w:rPr>
      </w:pPr>
      <w:r w:rsidRPr="00B83E1A">
        <w:rPr>
          <w:rFonts w:eastAsia="Calibri"/>
          <w:bCs/>
        </w:rPr>
        <w:t>Asimismo, la OMPI participó en calidad de observador en e</w:t>
      </w:r>
      <w:r w:rsidR="004B78AE" w:rsidRPr="00B83E1A">
        <w:rPr>
          <w:rFonts w:eastAsia="Calibri"/>
          <w:bCs/>
        </w:rPr>
        <w:t>l 1</w:t>
      </w:r>
      <w:r w:rsidRPr="00B83E1A">
        <w:rPr>
          <w:rFonts w:eastAsia="Calibri"/>
          <w:bCs/>
        </w:rPr>
        <w:t>8º período de sesiones de la Conferencia de las Partes en la Convención Marco de las Naciones Unidas sobre el Cambio Climático en Doha.  En los últimos años, la OMPI ha sido el principal organizador de los eventos paralelos del sistema de las NN.UU. sobre la transferencia de tecnología</w:t>
      </w:r>
      <w:r w:rsidR="004B78AE" w:rsidRPr="00B83E1A">
        <w:rPr>
          <w:rFonts w:eastAsia="Calibri"/>
          <w:bCs/>
        </w:rPr>
        <w:t>.  A</w:t>
      </w:r>
      <w:r w:rsidRPr="00B83E1A">
        <w:rPr>
          <w:rFonts w:eastAsia="Calibri"/>
          <w:bCs/>
        </w:rPr>
        <w:t>simismo, asiste en calidad de observador a las reuniones del Comité Ejecutivo de Tecnología de la CMNUCC y recibió una invitación para presentar aquellas actividades de la OMPI directamente relacionadas con los objetivos del Comité</w:t>
      </w:r>
      <w:r w:rsidR="00320EE4" w:rsidRPr="00B83E1A">
        <w:rPr>
          <w:rFonts w:eastAsia="Calibri"/>
          <w:bCs/>
        </w:rPr>
        <w:t>.</w:t>
      </w:r>
    </w:p>
    <w:p w14:paraId="64EB14BC" w14:textId="3FF5631A" w:rsidR="00E961DD" w:rsidRPr="00B83E1A" w:rsidRDefault="00E961DD" w:rsidP="00E961DD">
      <w:pPr>
        <w:rPr>
          <w:rFonts w:eastAsia="Calibri"/>
          <w:bCs/>
        </w:rPr>
      </w:pPr>
    </w:p>
    <w:p w14:paraId="68641979" w14:textId="77777777" w:rsidR="00E961DD" w:rsidRPr="00B83E1A" w:rsidRDefault="00E961DD" w:rsidP="00E268FA">
      <w:pPr>
        <w:keepNext/>
        <w:keepLines/>
        <w:rPr>
          <w:rFonts w:eastAsia="Calibri"/>
          <w:bCs/>
        </w:rPr>
      </w:pPr>
      <w:r w:rsidRPr="00B83E1A">
        <w:rPr>
          <w:rFonts w:eastAsia="Calibri"/>
          <w:bCs/>
        </w:rPr>
        <w:lastRenderedPageBreak/>
        <w:t>Además, la OMPI tomó parte en diversas iniciativas en el contexto interinstitucional de las NN.UU., sobre todo por medio del Programa de las Naciones Unidas para el medio ambiente (PNUMA) y la iniciativa "Por unas Naciones Unidas sostenibles" ("SUN"), la participación en la compilación anual de datos para la Calculadora de gases del efecto invernadero o la asistencia a la reunión anual de la red interinstitucional de administradores de instalaciones.</w:t>
      </w:r>
    </w:p>
    <w:p w14:paraId="57022043" w14:textId="7621B978" w:rsidR="00E961DD" w:rsidRPr="00B83E1A" w:rsidRDefault="00E961DD" w:rsidP="00E961DD">
      <w:pPr>
        <w:rPr>
          <w:rFonts w:eastAsia="Calibri"/>
          <w:bCs/>
        </w:rPr>
      </w:pPr>
    </w:p>
    <w:p w14:paraId="63322C85" w14:textId="77777777" w:rsidR="00320EE4" w:rsidRPr="00B83E1A" w:rsidRDefault="00E961DD" w:rsidP="00E961DD">
      <w:pPr>
        <w:rPr>
          <w:rFonts w:eastAsia="Calibri"/>
          <w:bCs/>
        </w:rPr>
      </w:pPr>
      <w:r w:rsidRPr="00B83E1A">
        <w:rPr>
          <w:rFonts w:eastAsia="Calibri"/>
          <w:bCs/>
        </w:rPr>
        <w:t>En la Secretaría, la OMPI ha adoptado diversas medidas para mantener sus avances en pos de una menor incidencia sobre el medio ambiente.  En el marco de la responsabilidad medioambiental de la OMPI (otra iniciativa del PAE) se emprendieron e</w:t>
      </w:r>
      <w:r w:rsidR="004B78AE" w:rsidRPr="00B83E1A">
        <w:rPr>
          <w:rFonts w:eastAsia="Calibri"/>
          <w:bCs/>
        </w:rPr>
        <w:t>n 2</w:t>
      </w:r>
      <w:r w:rsidRPr="00B83E1A">
        <w:rPr>
          <w:rFonts w:eastAsia="Calibri"/>
          <w:bCs/>
        </w:rPr>
        <w:t>012 una serie de actividades tendentes al fomento de la concientización medioambiental del personal y/o a la adopción de medidas concretas y prácticas.  Entre las medidas técnicas más importantes adoptadas e</w:t>
      </w:r>
      <w:r w:rsidR="004B78AE" w:rsidRPr="00B83E1A">
        <w:rPr>
          <w:rFonts w:eastAsia="Calibri"/>
          <w:bCs/>
        </w:rPr>
        <w:t>n 2</w:t>
      </w:r>
      <w:r w:rsidRPr="00B83E1A">
        <w:rPr>
          <w:rFonts w:eastAsia="Calibri"/>
          <w:bCs/>
        </w:rPr>
        <w:t>012 para los edificios existentes, cabe señalar que las obras destinadas a reducir el consumo de electricidad, mediante la sustitución de las instalaciones y los equipos originales por nuevas soluciones tecnológicas en el edificio más antiguo, casi se terminaron e</w:t>
      </w:r>
      <w:r w:rsidR="004B78AE" w:rsidRPr="00B83E1A">
        <w:rPr>
          <w:rFonts w:eastAsia="Calibri"/>
          <w:bCs/>
        </w:rPr>
        <w:t>n 2</w:t>
      </w:r>
      <w:r w:rsidRPr="00B83E1A">
        <w:rPr>
          <w:rFonts w:eastAsia="Calibri"/>
          <w:bCs/>
        </w:rPr>
        <w:t>012, y se prevé que permitan disminuir los costos totales de consumo y mejorar la huella de carbono.  El añ</w:t>
      </w:r>
      <w:r w:rsidR="004B78AE" w:rsidRPr="00B83E1A">
        <w:rPr>
          <w:rFonts w:eastAsia="Calibri"/>
          <w:bCs/>
        </w:rPr>
        <w:t>o 2</w:t>
      </w:r>
      <w:r w:rsidRPr="00B83E1A">
        <w:rPr>
          <w:rFonts w:eastAsia="Calibri"/>
          <w:bCs/>
        </w:rPr>
        <w:t>012 marcó el inicio de una nueva tendencia y se introdujeron criterios medioambientales en determinadas licitaciones, en particular en lo referente a servicios de cafetería, máquinas expendedoras, artículos desechables de cafetería y algunos productos de limpieza</w:t>
      </w:r>
      <w:r w:rsidR="00320EE4" w:rsidRPr="00B83E1A">
        <w:rPr>
          <w:rFonts w:eastAsia="Calibri"/>
          <w:bCs/>
        </w:rPr>
        <w:t>.</w:t>
      </w:r>
    </w:p>
    <w:p w14:paraId="4AB95D57" w14:textId="041C9162" w:rsidR="00E961DD" w:rsidRPr="00B83E1A" w:rsidRDefault="00E961DD" w:rsidP="00E961DD">
      <w:pPr>
        <w:rPr>
          <w:rFonts w:eastAsia="Calibri"/>
          <w:bCs/>
        </w:rPr>
      </w:pPr>
    </w:p>
    <w:p w14:paraId="16E2C3EF" w14:textId="77777777" w:rsidR="00E961DD" w:rsidRPr="00B83E1A" w:rsidRDefault="00E961DD" w:rsidP="00E961DD">
      <w:r w:rsidRPr="00B83E1A">
        <w:rPr>
          <w:rFonts w:eastAsia="Calibri"/>
          <w:bCs/>
        </w:rPr>
        <w:t>Con respecto a la nueva sala de conferencias, actualmente en construcción, la estructura de la sala, la fachada exterior, así como los acabados interiores (paredes, techo y suelo), están hechos de madera, cuya mayoría es de procedencia local, pues proviene de los bosques suizos, lo que reduce también las emisiones de carbono causadas por el transporte.</w:t>
      </w:r>
    </w:p>
    <w:p w14:paraId="7A203CE0" w14:textId="77777777" w:rsidR="00067534" w:rsidRPr="00B83E1A" w:rsidRDefault="00067534" w:rsidP="00067534"/>
    <w:p w14:paraId="09A42AB8" w14:textId="77777777" w:rsidR="00067534" w:rsidRPr="00B83E1A" w:rsidRDefault="00067534" w:rsidP="00067534"/>
    <w:p w14:paraId="7A078671" w14:textId="65E3B94B" w:rsidR="00067534" w:rsidRPr="00B83E1A" w:rsidRDefault="00067534" w:rsidP="00067534"/>
    <w:p w14:paraId="282ECA80" w14:textId="7A4C0AB6" w:rsidR="00067534" w:rsidRPr="00B83E1A" w:rsidRDefault="00067534" w:rsidP="005D700E">
      <w:pPr>
        <w:pStyle w:val="Endofdocument-Annex"/>
        <w:rPr>
          <w:lang w:val="es-ES"/>
        </w:rPr>
      </w:pPr>
      <w:r w:rsidRPr="00B83E1A">
        <w:rPr>
          <w:lang w:val="es-ES"/>
        </w:rPr>
        <w:t>[Fin del Anexo II y del documento]</w:t>
      </w:r>
    </w:p>
    <w:p w14:paraId="3680E925" w14:textId="77777777" w:rsidR="00067534" w:rsidRPr="00B83E1A" w:rsidRDefault="00067534" w:rsidP="00067534"/>
    <w:sectPr w:rsidR="00067534" w:rsidRPr="00B83E1A" w:rsidSect="004F460B">
      <w:headerReference w:type="default" r:id="rId103"/>
      <w:headerReference w:type="first" r:id="rId104"/>
      <w:pgSz w:w="11906" w:h="16838" w:code="9"/>
      <w:pgMar w:top="567"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FA6CF" w14:textId="77777777" w:rsidR="004E65E7" w:rsidRDefault="004E65E7">
      <w:r>
        <w:separator/>
      </w:r>
    </w:p>
  </w:endnote>
  <w:endnote w:type="continuationSeparator" w:id="0">
    <w:p w14:paraId="77F2AFAE" w14:textId="77777777" w:rsidR="004E65E7" w:rsidRPr="009D30E6" w:rsidRDefault="004E65E7" w:rsidP="007E663E">
      <w:pPr>
        <w:rPr>
          <w:sz w:val="17"/>
          <w:szCs w:val="17"/>
        </w:rPr>
      </w:pPr>
      <w:r w:rsidRPr="009D30E6">
        <w:rPr>
          <w:sz w:val="17"/>
          <w:szCs w:val="17"/>
        </w:rPr>
        <w:separator/>
      </w:r>
    </w:p>
    <w:p w14:paraId="344AAAD6" w14:textId="77777777" w:rsidR="004E65E7" w:rsidRPr="007E663E" w:rsidRDefault="004E65E7" w:rsidP="007E663E">
      <w:pPr>
        <w:spacing w:after="60"/>
        <w:rPr>
          <w:sz w:val="17"/>
          <w:szCs w:val="17"/>
        </w:rPr>
      </w:pPr>
      <w:r>
        <w:rPr>
          <w:sz w:val="17"/>
        </w:rPr>
        <w:t>[Continuación de la nota de la página anterior]</w:t>
      </w:r>
    </w:p>
  </w:endnote>
  <w:endnote w:type="continuationNotice" w:id="1">
    <w:p w14:paraId="26A39F65" w14:textId="77777777" w:rsidR="004E65E7" w:rsidRPr="007E663E" w:rsidRDefault="004E65E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15286" w14:textId="77777777" w:rsidR="004E65E7" w:rsidRDefault="004E65E7">
      <w:r>
        <w:separator/>
      </w:r>
    </w:p>
  </w:footnote>
  <w:footnote w:type="continuationSeparator" w:id="0">
    <w:p w14:paraId="1F10CFF9" w14:textId="77777777" w:rsidR="004E65E7" w:rsidRPr="009D30E6" w:rsidRDefault="004E65E7" w:rsidP="007E663E">
      <w:pPr>
        <w:rPr>
          <w:sz w:val="17"/>
          <w:szCs w:val="17"/>
        </w:rPr>
      </w:pPr>
      <w:r w:rsidRPr="009D30E6">
        <w:rPr>
          <w:sz w:val="17"/>
          <w:szCs w:val="17"/>
        </w:rPr>
        <w:separator/>
      </w:r>
    </w:p>
    <w:p w14:paraId="63074385" w14:textId="77777777" w:rsidR="004E65E7" w:rsidRPr="007E663E" w:rsidRDefault="004E65E7" w:rsidP="007E663E">
      <w:pPr>
        <w:spacing w:after="60"/>
        <w:rPr>
          <w:sz w:val="17"/>
          <w:szCs w:val="17"/>
        </w:rPr>
      </w:pPr>
      <w:r>
        <w:rPr>
          <w:sz w:val="17"/>
        </w:rPr>
        <w:t>[Continuación de la nota de la página anterior]</w:t>
      </w:r>
    </w:p>
  </w:footnote>
  <w:footnote w:type="continuationNotice" w:id="1">
    <w:p w14:paraId="6F939F28" w14:textId="77777777" w:rsidR="004E65E7" w:rsidRPr="007E663E" w:rsidRDefault="004E65E7" w:rsidP="007E663E">
      <w:pPr>
        <w:spacing w:before="60"/>
        <w:jc w:val="right"/>
        <w:rPr>
          <w:sz w:val="17"/>
          <w:szCs w:val="17"/>
        </w:rPr>
      </w:pPr>
      <w:r w:rsidRPr="007E663E">
        <w:rPr>
          <w:sz w:val="17"/>
          <w:szCs w:val="17"/>
        </w:rPr>
        <w:t>[Sigue la nota en la página siguiente]</w:t>
      </w:r>
    </w:p>
  </w:footnote>
  <w:footnote w:id="2">
    <w:p w14:paraId="3D36187C" w14:textId="5E035CFA" w:rsidR="004E65E7" w:rsidRPr="0098730F" w:rsidRDefault="004E65E7" w:rsidP="00040FB3">
      <w:pPr>
        <w:pStyle w:val="FootnoteText"/>
        <w:rPr>
          <w:szCs w:val="18"/>
        </w:rPr>
      </w:pPr>
      <w:r w:rsidRPr="0098730F">
        <w:rPr>
          <w:rStyle w:val="FootnoteReference"/>
          <w:szCs w:val="18"/>
        </w:rPr>
        <w:footnoteRef/>
      </w:r>
      <w:r w:rsidRPr="0098730F">
        <w:rPr>
          <w:szCs w:val="18"/>
        </w:rPr>
        <w:t xml:space="preserve"> Naciones Unidas, </w:t>
      </w:r>
      <w:r w:rsidRPr="0098730F">
        <w:rPr>
          <w:i/>
          <w:szCs w:val="18"/>
        </w:rPr>
        <w:t>Estructura y organización</w:t>
      </w:r>
      <w:r w:rsidRPr="0098730F">
        <w:rPr>
          <w:szCs w:val="18"/>
        </w:rPr>
        <w:t>, extraído de:</w:t>
      </w:r>
      <w:r w:rsidR="00DD03E0" w:rsidRPr="0098730F">
        <w:rPr>
          <w:szCs w:val="18"/>
        </w:rPr>
        <w:t xml:space="preserve"> </w:t>
      </w:r>
      <w:r w:rsidRPr="0098730F">
        <w:rPr>
          <w:szCs w:val="18"/>
        </w:rPr>
        <w:t xml:space="preserve"> </w:t>
      </w:r>
      <w:hyperlink r:id="rId1" w:history="1">
        <w:r w:rsidRPr="0098730F">
          <w:rPr>
            <w:rStyle w:val="Hyperlink"/>
            <w:szCs w:val="18"/>
          </w:rPr>
          <w:t>http://www.un.org/es/aboutun/structure/</w:t>
        </w:r>
      </w:hyperlink>
    </w:p>
  </w:footnote>
  <w:footnote w:id="3">
    <w:p w14:paraId="75E5DD6F" w14:textId="7C5556C6" w:rsidR="004E65E7" w:rsidRPr="0098730F" w:rsidRDefault="004E65E7" w:rsidP="00040FB3">
      <w:pPr>
        <w:pStyle w:val="FootnoteText"/>
        <w:rPr>
          <w:szCs w:val="18"/>
        </w:rPr>
      </w:pPr>
      <w:r w:rsidRPr="0098730F">
        <w:rPr>
          <w:rStyle w:val="FootnoteReference"/>
          <w:szCs w:val="18"/>
        </w:rPr>
        <w:footnoteRef/>
      </w:r>
      <w:r w:rsidRPr="0098730F">
        <w:rPr>
          <w:szCs w:val="18"/>
        </w:rPr>
        <w:t xml:space="preserve"> Los organismos especializados son organizaciones autónomas que trabajan con las Naciones Unidas y entre sí, a través de los mecanismos de coordinación del Consejo Económico y Social (ECOSOC) en el plano intergubernamental, y a través de la Junta de los jefes ejecutivos (JJE) del sistema de las Naciones Unidas para la coordinación en el plano intersecretarial.  La lista que figura en esta sección sigue el orden de establecimiento de estas organizaciones como organismos especial</w:t>
      </w:r>
      <w:r w:rsidR="00300332">
        <w:rPr>
          <w:szCs w:val="18"/>
        </w:rPr>
        <w:t>izados de las Naciones Unidas.</w:t>
      </w:r>
    </w:p>
  </w:footnote>
  <w:footnote w:id="4">
    <w:p w14:paraId="5013FB3E" w14:textId="1BA0193D" w:rsidR="004E65E7" w:rsidRPr="0098730F" w:rsidRDefault="004E65E7" w:rsidP="00040FB3">
      <w:pPr>
        <w:pStyle w:val="FootnoteText"/>
        <w:rPr>
          <w:szCs w:val="18"/>
        </w:rPr>
      </w:pPr>
      <w:r w:rsidRPr="0098730F">
        <w:rPr>
          <w:rStyle w:val="FootnoteReference"/>
          <w:szCs w:val="18"/>
        </w:rPr>
        <w:footnoteRef/>
      </w:r>
      <w:r w:rsidRPr="0098730F">
        <w:rPr>
          <w:szCs w:val="18"/>
        </w:rPr>
        <w:t xml:space="preserve"> Nota:  puede que algunos organismos tengan otros documentos que no estén a disposición del público y a los que la OMPI no haya tenido acceso cuando preparó este informe.  Por consiguiente, la información que en él se facilita es la mejor, según el entendimiento de la OMPI, en el momento del análisis.  La Secretaría se reserva el derecho de aportar correcciones con arreglo a la información adici</w:t>
      </w:r>
      <w:r w:rsidR="00300332">
        <w:rPr>
          <w:szCs w:val="18"/>
        </w:rPr>
        <w:t>onal que se vaya consiguiendo.</w:t>
      </w:r>
    </w:p>
  </w:footnote>
  <w:footnote w:id="5">
    <w:p w14:paraId="692BF41E" w14:textId="53F27C04" w:rsidR="004E65E7" w:rsidRPr="0098730F" w:rsidRDefault="004E65E7" w:rsidP="00040FB3">
      <w:pPr>
        <w:pStyle w:val="FootnoteText"/>
        <w:rPr>
          <w:szCs w:val="18"/>
        </w:rPr>
      </w:pPr>
      <w:r w:rsidRPr="0098730F">
        <w:rPr>
          <w:rStyle w:val="FootnoteReference"/>
          <w:szCs w:val="18"/>
        </w:rPr>
        <w:footnoteRef/>
      </w:r>
      <w:r w:rsidRPr="0098730F">
        <w:rPr>
          <w:szCs w:val="18"/>
        </w:rPr>
        <w:t xml:space="preserve"> A los efectos de este informe, un organismo principal o custodio mundial se define como un organismo cuyo mandato está directamente relacionado con ámbitos fundamentales de los ODM, a saber, alimentos. agricultura, trabajo, tecnologías de la información y las comunicaciones (TIC), educación y salud</w:t>
      </w:r>
      <w:r w:rsidR="00DD03E0" w:rsidRPr="0098730F">
        <w:rPr>
          <w:szCs w:val="18"/>
        </w:rPr>
        <w:t>.  C</w:t>
      </w:r>
      <w:r w:rsidRPr="0098730F">
        <w:rPr>
          <w:szCs w:val="18"/>
        </w:rPr>
        <w:t xml:space="preserve">onforme con su función de custodio mundial, dichos organismos recopilan e informan sobre la contribución consolidada de múltiples organizaciones y de los propios países a la consecución de los ODM en el marco de una esfera temática determinada.  </w:t>
      </w:r>
    </w:p>
  </w:footnote>
  <w:footnote w:id="6">
    <w:p w14:paraId="28D58E5A" w14:textId="5441B306" w:rsidR="004E65E7" w:rsidRPr="0098730F" w:rsidRDefault="004E65E7" w:rsidP="006053CC">
      <w:pPr>
        <w:pStyle w:val="FootnoteText"/>
        <w:rPr>
          <w:szCs w:val="18"/>
          <w:lang w:val="es-ES_tradnl"/>
        </w:rPr>
      </w:pPr>
      <w:r w:rsidRPr="0098730F">
        <w:rPr>
          <w:szCs w:val="18"/>
          <w:vertAlign w:val="superscript"/>
        </w:rPr>
        <w:footnoteRef/>
      </w:r>
      <w:r w:rsidRPr="0098730F">
        <w:rPr>
          <w:szCs w:val="18"/>
          <w:lang w:val="es-ES_tradnl"/>
        </w:rPr>
        <w:t xml:space="preserve"> Naciones Unidas</w:t>
      </w:r>
      <w:r w:rsidR="00DD03E0" w:rsidRPr="0098730F">
        <w:rPr>
          <w:szCs w:val="18"/>
          <w:lang w:val="es-ES_tradnl"/>
        </w:rPr>
        <w:t xml:space="preserve">.  </w:t>
      </w:r>
      <w:r w:rsidR="00DD03E0" w:rsidRPr="0098730F">
        <w:rPr>
          <w:i/>
          <w:szCs w:val="18"/>
          <w:lang w:val="es-ES_tradnl"/>
        </w:rPr>
        <w:t>E</w:t>
      </w:r>
      <w:r w:rsidRPr="0098730F">
        <w:rPr>
          <w:i/>
          <w:szCs w:val="18"/>
          <w:lang w:val="es-ES_tradnl"/>
        </w:rPr>
        <w:t>structura y Organización</w:t>
      </w:r>
      <w:r w:rsidR="00DD03E0" w:rsidRPr="0098730F">
        <w:rPr>
          <w:szCs w:val="18"/>
          <w:lang w:val="es-ES_tradnl"/>
        </w:rPr>
        <w:t>.  D</w:t>
      </w:r>
      <w:r w:rsidRPr="0098730F">
        <w:rPr>
          <w:szCs w:val="18"/>
          <w:lang w:val="es-ES_tradnl"/>
        </w:rPr>
        <w:t xml:space="preserve">isponible en:  </w:t>
      </w:r>
      <w:hyperlink r:id="rId2" w:history="1">
        <w:r w:rsidRPr="0098730F">
          <w:rPr>
            <w:rStyle w:val="Hyperlink"/>
            <w:szCs w:val="18"/>
            <w:lang w:val="es-ES_tradnl"/>
          </w:rPr>
          <w:t>http://www.un.org/en/aboutun/structure/</w:t>
        </w:r>
      </w:hyperlink>
      <w:r w:rsidRPr="0098730F">
        <w:rPr>
          <w:rStyle w:val="Hyperlink"/>
          <w:szCs w:val="18"/>
          <w:u w:val="none"/>
          <w:lang w:val="es-ES_tradnl"/>
        </w:rPr>
        <w:t>.</w:t>
      </w:r>
      <w:r w:rsidRPr="0098730F">
        <w:rPr>
          <w:szCs w:val="18"/>
          <w:lang w:val="es-ES_tradnl"/>
        </w:rPr>
        <w:t xml:space="preserve"> </w:t>
      </w:r>
    </w:p>
  </w:footnote>
  <w:footnote w:id="7">
    <w:p w14:paraId="23C2EE42" w14:textId="40EDFB81" w:rsidR="004E65E7" w:rsidRPr="0098730F" w:rsidRDefault="004E65E7" w:rsidP="006053CC">
      <w:pPr>
        <w:pStyle w:val="FootnoteText"/>
        <w:rPr>
          <w:szCs w:val="18"/>
          <w:lang w:val="es-ES_tradnl"/>
        </w:rPr>
      </w:pPr>
      <w:r w:rsidRPr="0098730F">
        <w:rPr>
          <w:szCs w:val="18"/>
          <w:vertAlign w:val="superscript"/>
        </w:rPr>
        <w:footnoteRef/>
      </w:r>
      <w:r w:rsidRPr="0098730F">
        <w:rPr>
          <w:szCs w:val="18"/>
          <w:lang w:val="es-ES_tradnl"/>
        </w:rPr>
        <w:t xml:space="preserve"> Organización relacionada con las Naciones Unidas.</w:t>
      </w:r>
    </w:p>
  </w:footnote>
  <w:footnote w:id="8">
    <w:p w14:paraId="083B3278" w14:textId="04D6637A" w:rsidR="004E65E7" w:rsidRPr="0098730F" w:rsidRDefault="004E65E7" w:rsidP="006053CC">
      <w:pPr>
        <w:pStyle w:val="FootnoteText"/>
        <w:rPr>
          <w:szCs w:val="18"/>
          <w:lang w:val="es-ES_tradnl"/>
        </w:rPr>
      </w:pPr>
      <w:r w:rsidRPr="0098730F">
        <w:rPr>
          <w:szCs w:val="18"/>
          <w:vertAlign w:val="superscript"/>
        </w:rPr>
        <w:footnoteRef/>
      </w:r>
      <w:r w:rsidRPr="0098730F">
        <w:rPr>
          <w:szCs w:val="18"/>
          <w:lang w:val="es-ES_tradnl"/>
        </w:rPr>
        <w:t xml:space="preserve"> Organización relacionada con las Naciones Unidas.</w:t>
      </w:r>
    </w:p>
  </w:footnote>
  <w:footnote w:id="9">
    <w:p w14:paraId="620BECEC" w14:textId="2FB2EA1B" w:rsidR="004E65E7" w:rsidRPr="0098730F" w:rsidRDefault="004E65E7" w:rsidP="006053CC">
      <w:pPr>
        <w:pStyle w:val="FootnoteText"/>
        <w:rPr>
          <w:szCs w:val="18"/>
          <w:lang w:val="es-ES_tradnl"/>
        </w:rPr>
      </w:pPr>
      <w:r w:rsidRPr="0098730F">
        <w:rPr>
          <w:szCs w:val="18"/>
          <w:vertAlign w:val="superscript"/>
        </w:rPr>
        <w:footnoteRef/>
      </w:r>
      <w:r w:rsidRPr="0098730F">
        <w:rPr>
          <w:szCs w:val="18"/>
          <w:vertAlign w:val="superscript"/>
          <w:lang w:val="es-ES_tradnl"/>
        </w:rPr>
        <w:t xml:space="preserve"> </w:t>
      </w:r>
      <w:r w:rsidRPr="0098730F">
        <w:rPr>
          <w:szCs w:val="18"/>
          <w:lang w:val="es-ES_tradnl"/>
        </w:rPr>
        <w:t>Programa de las Naciones Unidas.</w:t>
      </w:r>
    </w:p>
  </w:footnote>
  <w:footnote w:id="10">
    <w:p w14:paraId="7E8D16F0" w14:textId="7DCBDCC8" w:rsidR="004E65E7" w:rsidRPr="0098730F" w:rsidRDefault="004E65E7" w:rsidP="006053CC">
      <w:pPr>
        <w:pStyle w:val="FootnoteText"/>
        <w:rPr>
          <w:szCs w:val="18"/>
          <w:lang w:val="es-ES_tradnl"/>
        </w:rPr>
      </w:pPr>
      <w:r w:rsidRPr="0098730F">
        <w:rPr>
          <w:szCs w:val="18"/>
          <w:vertAlign w:val="superscript"/>
        </w:rPr>
        <w:footnoteRef/>
      </w:r>
      <w:r w:rsidRPr="0098730F">
        <w:rPr>
          <w:szCs w:val="18"/>
          <w:lang w:val="es-ES_tradnl"/>
        </w:rPr>
        <w:t xml:space="preserve"> Organización relacionada con las Naciones Unidas.</w:t>
      </w:r>
    </w:p>
  </w:footnote>
  <w:footnote w:id="11">
    <w:p w14:paraId="05B5E309" w14:textId="10E1CFBB" w:rsidR="004E65E7" w:rsidRPr="0098730F" w:rsidRDefault="004E65E7" w:rsidP="006053CC">
      <w:pPr>
        <w:pStyle w:val="FootnoteText"/>
        <w:rPr>
          <w:szCs w:val="18"/>
          <w:lang w:val="es-ES_tradnl"/>
        </w:rPr>
      </w:pPr>
      <w:r w:rsidRPr="0098730F">
        <w:rPr>
          <w:szCs w:val="18"/>
          <w:vertAlign w:val="superscript"/>
        </w:rPr>
        <w:footnoteRef/>
      </w:r>
      <w:r w:rsidRPr="0098730F">
        <w:rPr>
          <w:szCs w:val="18"/>
          <w:vertAlign w:val="superscript"/>
          <w:lang w:val="es-ES_tradnl"/>
        </w:rPr>
        <w:t xml:space="preserve"> </w:t>
      </w:r>
      <w:r w:rsidRPr="0098730F">
        <w:rPr>
          <w:szCs w:val="18"/>
          <w:lang w:val="es-ES_tradnl"/>
        </w:rPr>
        <w:t>Organización relacionada con las Naciones Unidas.</w:t>
      </w:r>
    </w:p>
  </w:footnote>
  <w:footnote w:id="12">
    <w:p w14:paraId="4936C9D0" w14:textId="6F3D769D" w:rsidR="004E65E7" w:rsidRPr="0098730F" w:rsidRDefault="004E65E7" w:rsidP="00067534">
      <w:pPr>
        <w:pStyle w:val="FootnoteText"/>
        <w:rPr>
          <w:szCs w:val="18"/>
          <w:lang w:val="es-ES_tradnl"/>
        </w:rPr>
      </w:pPr>
      <w:r w:rsidRPr="0098730F">
        <w:rPr>
          <w:rStyle w:val="FootnoteReference"/>
          <w:szCs w:val="18"/>
        </w:rPr>
        <w:footnoteRef/>
      </w:r>
      <w:r w:rsidRPr="0098730F">
        <w:rPr>
          <w:szCs w:val="18"/>
          <w:lang w:val="es-ES_tradnl"/>
        </w:rPr>
        <w:t xml:space="preserve"> SCC</w:t>
      </w:r>
      <w:r w:rsidR="00DD03E0" w:rsidRPr="0098730F">
        <w:rPr>
          <w:szCs w:val="18"/>
          <w:lang w:val="es-ES_tradnl"/>
        </w:rPr>
        <w:t>R 2</w:t>
      </w:r>
      <w:r w:rsidRPr="0098730F">
        <w:rPr>
          <w:szCs w:val="18"/>
          <w:lang w:val="es-ES_tradnl"/>
        </w:rPr>
        <w:t xml:space="preserve">4:  </w:t>
      </w:r>
      <w:r w:rsidRPr="0098730F">
        <w:rPr>
          <w:rStyle w:val="Hyperlink"/>
        </w:rPr>
        <w:t>http://www.wipo.int/meetings/es/details.jsp?meeting_id=25014</w:t>
      </w:r>
      <w:r w:rsidRPr="0098730F">
        <w:rPr>
          <w:szCs w:val="18"/>
          <w:lang w:val="es-ES_tradnl"/>
        </w:rPr>
        <w:t xml:space="preserve"> y SCC</w:t>
      </w:r>
      <w:r w:rsidR="00DD03E0" w:rsidRPr="0098730F">
        <w:rPr>
          <w:szCs w:val="18"/>
          <w:lang w:val="es-ES_tradnl"/>
        </w:rPr>
        <w:t>R 2</w:t>
      </w:r>
      <w:r w:rsidRPr="0098730F">
        <w:rPr>
          <w:szCs w:val="18"/>
          <w:lang w:val="es-ES_tradnl"/>
        </w:rPr>
        <w:t xml:space="preserve">5:  </w:t>
      </w:r>
      <w:r w:rsidRPr="0098730F">
        <w:rPr>
          <w:rStyle w:val="Hyperlink"/>
        </w:rPr>
        <w:t>http://www.wipo.int/meetings/es/details.jsp?meeting_id=25024</w:t>
      </w:r>
      <w:r w:rsidRPr="0098730F">
        <w:rPr>
          <w:szCs w:val="18"/>
          <w:lang w:val="es-ES_tradnl"/>
        </w:rPr>
        <w:t>.</w:t>
      </w:r>
    </w:p>
  </w:footnote>
  <w:footnote w:id="13">
    <w:p w14:paraId="55E8FEB6" w14:textId="01E053F7" w:rsidR="004E65E7" w:rsidRPr="0098730F" w:rsidRDefault="004E65E7" w:rsidP="00067534">
      <w:pPr>
        <w:pStyle w:val="FootnoteText"/>
        <w:rPr>
          <w:szCs w:val="18"/>
          <w:lang w:val="es-ES_tradnl"/>
        </w:rPr>
      </w:pPr>
      <w:r w:rsidRPr="0098730F">
        <w:rPr>
          <w:rStyle w:val="FootnoteReference"/>
          <w:szCs w:val="18"/>
        </w:rPr>
        <w:footnoteRef/>
      </w:r>
      <w:r w:rsidRPr="0098730F">
        <w:rPr>
          <w:szCs w:val="18"/>
          <w:lang w:val="es-ES_tradnl"/>
        </w:rPr>
        <w:t xml:space="preserve"> SCC</w:t>
      </w:r>
      <w:r w:rsidR="00DD03E0" w:rsidRPr="0098730F">
        <w:rPr>
          <w:szCs w:val="18"/>
          <w:lang w:val="es-ES_tradnl"/>
        </w:rPr>
        <w:t>R 2</w:t>
      </w:r>
      <w:r w:rsidRPr="0098730F">
        <w:rPr>
          <w:szCs w:val="18"/>
          <w:lang w:val="es-ES_tradnl"/>
        </w:rPr>
        <w:t xml:space="preserve">4:  </w:t>
      </w:r>
      <w:r w:rsidRPr="0098730F">
        <w:rPr>
          <w:rStyle w:val="Hyperlink"/>
        </w:rPr>
        <w:t>http://www.wipo.int/meetings/es/details.jsp?meeting_id=25014</w:t>
      </w:r>
      <w:r w:rsidRPr="0098730F">
        <w:rPr>
          <w:szCs w:val="18"/>
          <w:lang w:val="es-ES_tradnl"/>
        </w:rPr>
        <w:t xml:space="preserve"> y SCC</w:t>
      </w:r>
      <w:r w:rsidR="00DD03E0" w:rsidRPr="0098730F">
        <w:rPr>
          <w:szCs w:val="18"/>
          <w:lang w:val="es-ES_tradnl"/>
        </w:rPr>
        <w:t>R 2</w:t>
      </w:r>
      <w:r w:rsidRPr="0098730F">
        <w:rPr>
          <w:szCs w:val="18"/>
          <w:lang w:val="es-ES_tradnl"/>
        </w:rPr>
        <w:t xml:space="preserve">5:  </w:t>
      </w:r>
      <w:r w:rsidRPr="0098730F">
        <w:rPr>
          <w:rStyle w:val="Hyperlink"/>
        </w:rPr>
        <w:t>http://www.wipo.int/meetings/es/details.jsp?meeting_id=25024</w:t>
      </w:r>
      <w:r w:rsidRPr="0098730F">
        <w:rPr>
          <w:color w:val="FF00FF"/>
          <w:szCs w:val="18"/>
          <w:lang w:val="es-ES_tradnl"/>
        </w:rPr>
        <w:t>.</w:t>
      </w:r>
    </w:p>
  </w:footnote>
  <w:footnote w:id="14">
    <w:p w14:paraId="66807743" w14:textId="2935187A" w:rsidR="004E65E7" w:rsidRPr="0098730F" w:rsidRDefault="004E65E7" w:rsidP="00067534">
      <w:pPr>
        <w:pStyle w:val="FootnoteText"/>
        <w:rPr>
          <w:szCs w:val="18"/>
          <w:lang w:val="es-ES_tradnl"/>
        </w:rPr>
      </w:pPr>
      <w:r w:rsidRPr="0098730F">
        <w:rPr>
          <w:rStyle w:val="FootnoteReference"/>
          <w:szCs w:val="18"/>
        </w:rPr>
        <w:footnoteRef/>
      </w:r>
      <w:r w:rsidRPr="0098730F">
        <w:rPr>
          <w:szCs w:val="18"/>
          <w:lang w:val="es-ES_tradnl"/>
        </w:rPr>
        <w:t xml:space="preserve"> </w:t>
      </w:r>
      <w:hyperlink r:id="rId3" w:history="1">
        <w:r w:rsidR="008A3EC7" w:rsidRPr="0098730F">
          <w:rPr>
            <w:rStyle w:val="Hyperlink"/>
            <w:szCs w:val="18"/>
            <w:lang w:val="es-ES_tradnl"/>
          </w:rPr>
          <w:t>http://www.wipo.int/meetings/en/doc_details.jsp?doc_id=208882</w:t>
        </w:r>
      </w:hyperlink>
      <w:r w:rsidR="008A3EC7" w:rsidRPr="0098730F">
        <w:rPr>
          <w:szCs w:val="18"/>
          <w:lang w:val="es-ES_tradnl"/>
        </w:rPr>
        <w:t xml:space="preserve">. </w:t>
      </w:r>
    </w:p>
  </w:footnote>
  <w:footnote w:id="15">
    <w:p w14:paraId="424EAA09" w14:textId="50199D0C" w:rsidR="004E65E7" w:rsidRPr="0098730F" w:rsidRDefault="004E65E7" w:rsidP="00E961DD">
      <w:pPr>
        <w:pStyle w:val="FootnoteText"/>
        <w:rPr>
          <w:szCs w:val="18"/>
        </w:rPr>
      </w:pPr>
      <w:r w:rsidRPr="0098730F">
        <w:rPr>
          <w:rStyle w:val="FootnoteReference"/>
          <w:szCs w:val="18"/>
        </w:rPr>
        <w:footnoteRef/>
      </w:r>
      <w:r w:rsidRPr="0098730F">
        <w:rPr>
          <w:szCs w:val="18"/>
        </w:rPr>
        <w:t xml:space="preserve"> OMPI</w:t>
      </w:r>
      <w:r w:rsidR="00DD03E0" w:rsidRPr="0098730F">
        <w:rPr>
          <w:szCs w:val="18"/>
        </w:rPr>
        <w:t>.  I</w:t>
      </w:r>
      <w:r w:rsidRPr="0098730F">
        <w:rPr>
          <w:szCs w:val="18"/>
        </w:rPr>
        <w:t>nforme anual sobre recursos humanos, págin</w:t>
      </w:r>
      <w:r w:rsidR="00DD03E0" w:rsidRPr="0098730F">
        <w:rPr>
          <w:szCs w:val="18"/>
        </w:rPr>
        <w:t>a 9.  E</w:t>
      </w:r>
      <w:r w:rsidRPr="0098730F">
        <w:rPr>
          <w:szCs w:val="18"/>
        </w:rPr>
        <w:t xml:space="preserve">xtraído de: </w:t>
      </w:r>
      <w:hyperlink r:id="rId4" w:history="1">
        <w:r w:rsidRPr="0098730F">
          <w:rPr>
            <w:rStyle w:val="Hyperlink"/>
            <w:szCs w:val="18"/>
          </w:rPr>
          <w:t>http://www.wipo.int/edocs/mdocs/govbody/en/wo_pbc_21/wo_pbc_21_13.pdf</w:t>
        </w:r>
      </w:hyperlink>
      <w:r w:rsidRPr="0098730F">
        <w:rPr>
          <w:szCs w:val="18"/>
        </w:rPr>
        <w:t>.</w:t>
      </w:r>
    </w:p>
  </w:footnote>
  <w:footnote w:id="16">
    <w:p w14:paraId="33B7FF98" w14:textId="61FCBE11" w:rsidR="004E65E7" w:rsidRPr="0098730F" w:rsidRDefault="004E65E7" w:rsidP="00E961DD">
      <w:pPr>
        <w:pStyle w:val="FootnoteText"/>
        <w:rPr>
          <w:szCs w:val="18"/>
        </w:rPr>
      </w:pPr>
      <w:r w:rsidRPr="0098730F">
        <w:rPr>
          <w:rStyle w:val="FootnoteReference"/>
          <w:szCs w:val="18"/>
        </w:rPr>
        <w:footnoteRef/>
      </w:r>
      <w:r w:rsidRPr="0098730F">
        <w:rPr>
          <w:szCs w:val="18"/>
          <w:lang w:val="en-US"/>
        </w:rPr>
        <w:t xml:space="preserve"> OMPI</w:t>
      </w:r>
      <w:r w:rsidR="00DD03E0" w:rsidRPr="0098730F">
        <w:rPr>
          <w:szCs w:val="18"/>
          <w:lang w:val="en-US"/>
        </w:rPr>
        <w:t xml:space="preserve">.  </w:t>
      </w:r>
      <w:r w:rsidR="00DD03E0" w:rsidRPr="0098730F">
        <w:rPr>
          <w:i/>
          <w:szCs w:val="18"/>
          <w:lang w:val="en-US"/>
        </w:rPr>
        <w:t>A</w:t>
      </w:r>
      <w:r w:rsidRPr="0098730F">
        <w:rPr>
          <w:i/>
          <w:szCs w:val="18"/>
          <w:lang w:val="en-US"/>
        </w:rPr>
        <w:t>nnual Statistical Report of the WIPO Academy, 2012</w:t>
      </w:r>
      <w:r w:rsidRPr="0098730F">
        <w:rPr>
          <w:szCs w:val="18"/>
          <w:lang w:val="en-US"/>
        </w:rPr>
        <w:t>, p.5</w:t>
      </w:r>
      <w:r w:rsidR="00DD03E0" w:rsidRPr="0098730F">
        <w:rPr>
          <w:szCs w:val="18"/>
          <w:lang w:val="en-US"/>
        </w:rPr>
        <w:t xml:space="preserve">.  </w:t>
      </w:r>
      <w:r w:rsidR="00DD03E0" w:rsidRPr="0098730F">
        <w:rPr>
          <w:szCs w:val="18"/>
        </w:rPr>
        <w:t>E</w:t>
      </w:r>
      <w:r w:rsidRPr="0098730F">
        <w:rPr>
          <w:szCs w:val="18"/>
        </w:rPr>
        <w:t xml:space="preserve">xtraído de: </w:t>
      </w:r>
      <w:hyperlink r:id="rId5" w:history="1">
        <w:r w:rsidRPr="0098730F">
          <w:rPr>
            <w:rStyle w:val="Hyperlink"/>
            <w:szCs w:val="18"/>
          </w:rPr>
          <w:t>http://www.wipo.int/export/sites/www/academy/es/about/pdf/academy_statistics_2012.pdf</w:t>
        </w:r>
      </w:hyperlink>
      <w:r w:rsidRPr="0098730F">
        <w:rPr>
          <w:szCs w:val="18"/>
        </w:rPr>
        <w:t xml:space="preserve"> (sólo en inglés).</w:t>
      </w:r>
    </w:p>
  </w:footnote>
  <w:footnote w:id="17">
    <w:p w14:paraId="34D5476E" w14:textId="77777777" w:rsidR="004E65E7" w:rsidRPr="0098730F" w:rsidRDefault="004E65E7" w:rsidP="00E961DD">
      <w:pPr>
        <w:pStyle w:val="FootnoteText"/>
        <w:rPr>
          <w:szCs w:val="18"/>
        </w:rPr>
      </w:pPr>
      <w:r w:rsidRPr="0098730F">
        <w:rPr>
          <w:rStyle w:val="FootnoteReference"/>
          <w:szCs w:val="18"/>
        </w:rPr>
        <w:footnoteRef/>
      </w:r>
      <w:r w:rsidRPr="0098730F">
        <w:rPr>
          <w:rStyle w:val="FootnoteReference"/>
          <w:szCs w:val="18"/>
        </w:rPr>
        <w:t xml:space="preserve"> </w:t>
      </w:r>
      <w:r w:rsidRPr="0098730F">
        <w:rPr>
          <w:szCs w:val="18"/>
        </w:rPr>
        <w:t>Ibid. p. 10.</w:t>
      </w:r>
    </w:p>
  </w:footnote>
  <w:footnote w:id="18">
    <w:p w14:paraId="75221F4C" w14:textId="77777777" w:rsidR="004E65E7" w:rsidRPr="0098730F" w:rsidRDefault="004E65E7" w:rsidP="00E961DD">
      <w:pPr>
        <w:pStyle w:val="FootnoteText"/>
        <w:rPr>
          <w:szCs w:val="18"/>
        </w:rPr>
      </w:pPr>
      <w:r w:rsidRPr="0098730F">
        <w:rPr>
          <w:rStyle w:val="FootnoteReference"/>
          <w:szCs w:val="18"/>
        </w:rPr>
        <w:footnoteRef/>
      </w:r>
      <w:r w:rsidRPr="0098730F">
        <w:rPr>
          <w:rStyle w:val="FootnoteReference"/>
          <w:szCs w:val="18"/>
        </w:rPr>
        <w:t xml:space="preserve"> </w:t>
      </w:r>
      <w:r w:rsidRPr="0098730F">
        <w:rPr>
          <w:szCs w:val="18"/>
        </w:rPr>
        <w:t>Ibid. p. 17.</w:t>
      </w:r>
    </w:p>
  </w:footnote>
  <w:footnote w:id="19">
    <w:p w14:paraId="3917ACBB" w14:textId="3A56BD8A" w:rsidR="004E65E7" w:rsidRPr="0098730F" w:rsidRDefault="004E65E7" w:rsidP="00E961DD">
      <w:pPr>
        <w:pStyle w:val="FootnoteText"/>
        <w:rPr>
          <w:szCs w:val="18"/>
        </w:rPr>
      </w:pPr>
      <w:r w:rsidRPr="0098730F">
        <w:rPr>
          <w:rStyle w:val="FootnoteReference"/>
          <w:szCs w:val="18"/>
        </w:rPr>
        <w:footnoteRef/>
      </w:r>
      <w:r w:rsidRPr="0098730F">
        <w:rPr>
          <w:szCs w:val="18"/>
        </w:rPr>
        <w:t xml:space="preserve"> La labor de la OMPI y sobre los RR.GG., los CC.TT. y las ECT también contribuye a la consecución del ODM 7.  Sírvase consultar la referencia correspondiente a ese objetivo.</w:t>
      </w:r>
    </w:p>
  </w:footnote>
  <w:footnote w:id="20">
    <w:p w14:paraId="490F6D8A" w14:textId="777C1378" w:rsidR="004E65E7" w:rsidRPr="0098730F" w:rsidRDefault="004E65E7" w:rsidP="00E961DD">
      <w:pPr>
        <w:pStyle w:val="FootnoteText"/>
        <w:rPr>
          <w:szCs w:val="18"/>
        </w:rPr>
      </w:pPr>
      <w:r w:rsidRPr="0098730F">
        <w:rPr>
          <w:rStyle w:val="FootnoteReference"/>
          <w:szCs w:val="18"/>
        </w:rPr>
        <w:footnoteRef/>
      </w:r>
      <w:r w:rsidRPr="0098730F">
        <w:rPr>
          <w:szCs w:val="18"/>
        </w:rPr>
        <w:t xml:space="preserve"> OMPI</w:t>
      </w:r>
      <w:r w:rsidR="00DD03E0" w:rsidRPr="0098730F">
        <w:rPr>
          <w:szCs w:val="18"/>
        </w:rPr>
        <w:t xml:space="preserve">.  </w:t>
      </w:r>
      <w:r w:rsidR="00DD03E0" w:rsidRPr="0098730F">
        <w:rPr>
          <w:i/>
          <w:szCs w:val="18"/>
        </w:rPr>
        <w:t>P</w:t>
      </w:r>
      <w:r w:rsidRPr="0098730F">
        <w:rPr>
          <w:i/>
          <w:szCs w:val="18"/>
        </w:rPr>
        <w:t>romoting Access to Medical Technologie</w:t>
      </w:r>
      <w:r w:rsidR="001F3509" w:rsidRPr="0098730F">
        <w:rPr>
          <w:i/>
          <w:szCs w:val="18"/>
        </w:rPr>
        <w:t>s a</w:t>
      </w:r>
      <w:r w:rsidRPr="0098730F">
        <w:rPr>
          <w:i/>
          <w:szCs w:val="18"/>
        </w:rPr>
        <w:t xml:space="preserve">nd Innovation – Intersections between public health, intellectual property and trade </w:t>
      </w:r>
      <w:r w:rsidRPr="0098730F">
        <w:rPr>
          <w:szCs w:val="18"/>
        </w:rPr>
        <w:t>(Promover el acceso a las tecnologías médicas y la innovación</w:t>
      </w:r>
      <w:r w:rsidR="00DD03E0" w:rsidRPr="0098730F">
        <w:rPr>
          <w:szCs w:val="18"/>
        </w:rPr>
        <w:t>:  l</w:t>
      </w:r>
      <w:r w:rsidRPr="0098730F">
        <w:rPr>
          <w:szCs w:val="18"/>
        </w:rPr>
        <w:t>as intersecciones de la salud pública, la propiedad intelectual y el comercio)</w:t>
      </w:r>
      <w:r w:rsidR="00DD03E0" w:rsidRPr="0098730F">
        <w:rPr>
          <w:szCs w:val="18"/>
        </w:rPr>
        <w:t>.  E</w:t>
      </w:r>
      <w:r w:rsidRPr="0098730F">
        <w:rPr>
          <w:szCs w:val="18"/>
        </w:rPr>
        <w:t xml:space="preserve">xtraído de: </w:t>
      </w:r>
      <w:hyperlink r:id="rId6" w:history="1">
        <w:r w:rsidRPr="0098730F">
          <w:rPr>
            <w:rStyle w:val="Hyperlink"/>
            <w:szCs w:val="18"/>
          </w:rPr>
          <w:t>http://www.wipo.int/export/sites/www/freepublications/en/global_challenges/628/wipo_pub_628.pdf</w:t>
        </w:r>
      </w:hyperlink>
      <w:r w:rsidRPr="0098730F">
        <w:rPr>
          <w:szCs w:val="18"/>
        </w:rPr>
        <w:t xml:space="preserve"> (sólo en inglés)</w:t>
      </w:r>
      <w:r w:rsidR="00023A8B" w:rsidRPr="0098730F">
        <w:rPr>
          <w:szCs w:val="18"/>
        </w:rPr>
        <w:t>.</w:t>
      </w:r>
    </w:p>
  </w:footnote>
  <w:footnote w:id="21">
    <w:p w14:paraId="724578BE" w14:textId="77777777" w:rsidR="004E65E7" w:rsidRPr="0073462D" w:rsidRDefault="004E65E7" w:rsidP="00E961DD">
      <w:pPr>
        <w:pStyle w:val="FootnoteText"/>
        <w:rPr>
          <w:szCs w:val="18"/>
        </w:rPr>
      </w:pPr>
      <w:r w:rsidRPr="0098730F">
        <w:rPr>
          <w:rStyle w:val="FootnoteReference"/>
          <w:szCs w:val="18"/>
        </w:rPr>
        <w:footnoteRef/>
      </w:r>
      <w:r w:rsidRPr="0098730F">
        <w:rPr>
          <w:szCs w:val="18"/>
        </w:rPr>
        <w:t xml:space="preserve"> La labor de la OMPI y sobre los RR.GG., los CC.TT. y las ECT también contribuye a la consecución del ODM 3.  Sírvase consultar la referencia correspondiente a ese objetivo.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8297D" w14:textId="45F190B3" w:rsidR="004E65E7" w:rsidRDefault="004E65E7" w:rsidP="00477D6B">
    <w:pPr>
      <w:jc w:val="right"/>
    </w:pPr>
    <w:bookmarkStart w:id="3" w:name="Code2"/>
    <w:bookmarkEnd w:id="3"/>
    <w:r>
      <w:t>CDIP/12/8</w:t>
    </w:r>
  </w:p>
  <w:p w14:paraId="379C7EE5" w14:textId="77777777" w:rsidR="004E65E7" w:rsidRDefault="004E65E7" w:rsidP="00477D6B">
    <w:pPr>
      <w:jc w:val="right"/>
    </w:pPr>
    <w:r>
      <w:t xml:space="preserve">página </w:t>
    </w:r>
    <w:r>
      <w:fldChar w:fldCharType="begin"/>
    </w:r>
    <w:r>
      <w:instrText xml:space="preserve"> PAGE  \* MERGEFORMAT </w:instrText>
    </w:r>
    <w:r>
      <w:fldChar w:fldCharType="separate"/>
    </w:r>
    <w:r>
      <w:rPr>
        <w:noProof/>
      </w:rPr>
      <w:t>3</w:t>
    </w:r>
    <w:r>
      <w:fldChar w:fldCharType="end"/>
    </w:r>
  </w:p>
  <w:p w14:paraId="09BCF2E8" w14:textId="77777777" w:rsidR="004E65E7" w:rsidRDefault="004E65E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C9207" w14:textId="77777777" w:rsidR="004E65E7" w:rsidRDefault="004E65E7" w:rsidP="00477D6B">
    <w:pPr>
      <w:jc w:val="right"/>
    </w:pPr>
    <w:r>
      <w:t>CDIP/12/8</w:t>
    </w:r>
  </w:p>
  <w:p w14:paraId="3EDAD2A3" w14:textId="549AB5E0" w:rsidR="004E65E7" w:rsidRDefault="004E65E7" w:rsidP="00477D6B">
    <w:pPr>
      <w:jc w:val="right"/>
    </w:pPr>
    <w:r>
      <w:t xml:space="preserve">Anexo I, página </w:t>
    </w:r>
    <w:r>
      <w:fldChar w:fldCharType="begin"/>
    </w:r>
    <w:r>
      <w:instrText xml:space="preserve"> PAGE  \* MERGEFORMAT </w:instrText>
    </w:r>
    <w:r>
      <w:fldChar w:fldCharType="separate"/>
    </w:r>
    <w:r w:rsidR="00975673">
      <w:rPr>
        <w:noProof/>
      </w:rPr>
      <w:t>3</w:t>
    </w:r>
    <w:r>
      <w:fldChar w:fldCharType="end"/>
    </w:r>
  </w:p>
  <w:p w14:paraId="6BCF849D" w14:textId="77777777" w:rsidR="004E65E7" w:rsidRDefault="004E65E7"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742CF" w14:textId="52FCDDB6" w:rsidR="004E65E7" w:rsidRDefault="004E65E7" w:rsidP="00B501FD">
    <w:pPr>
      <w:pStyle w:val="Header"/>
      <w:jc w:val="right"/>
    </w:pPr>
    <w:r>
      <w:t>CDIP/12/8</w:t>
    </w:r>
  </w:p>
  <w:p w14:paraId="441ACB7A" w14:textId="2A8C9419" w:rsidR="004E65E7" w:rsidRDefault="004E65E7" w:rsidP="00B501FD">
    <w:pPr>
      <w:pStyle w:val="Header"/>
      <w:jc w:val="right"/>
    </w:pPr>
    <w:r>
      <w:t>ANEXO I</w:t>
    </w:r>
  </w:p>
  <w:p w14:paraId="49D27984" w14:textId="77777777" w:rsidR="004E65E7" w:rsidRDefault="004E65E7" w:rsidP="00B501F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B4946" w14:textId="77777777" w:rsidR="004E65E7" w:rsidRDefault="004E65E7" w:rsidP="00477D6B">
    <w:pPr>
      <w:jc w:val="right"/>
    </w:pPr>
    <w:r>
      <w:t>CDIP/12/8</w:t>
    </w:r>
  </w:p>
  <w:p w14:paraId="1E07046F" w14:textId="77777777" w:rsidR="004E65E7" w:rsidRDefault="004E65E7" w:rsidP="00477D6B">
    <w:pPr>
      <w:jc w:val="right"/>
    </w:pPr>
    <w:r>
      <w:t xml:space="preserve">Anexo I, página </w:t>
    </w:r>
    <w:r>
      <w:fldChar w:fldCharType="begin"/>
    </w:r>
    <w:r>
      <w:instrText xml:space="preserve"> PAGE  \* MERGEFORMAT </w:instrText>
    </w:r>
    <w:r>
      <w:fldChar w:fldCharType="separate"/>
    </w:r>
    <w:r>
      <w:rPr>
        <w:noProof/>
      </w:rPr>
      <w:t>2</w:t>
    </w:r>
    <w:r>
      <w:fldChar w:fldCharType="end"/>
    </w:r>
  </w:p>
  <w:p w14:paraId="0E41CF7F" w14:textId="77777777" w:rsidR="004E65E7" w:rsidRDefault="004E65E7"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5D99A" w14:textId="77777777" w:rsidR="004E65E7" w:rsidRDefault="004E65E7" w:rsidP="00B501FD">
    <w:pPr>
      <w:pStyle w:val="Header"/>
      <w:jc w:val="right"/>
    </w:pPr>
    <w:r>
      <w:t>CDIP/12/8</w:t>
    </w:r>
  </w:p>
  <w:p w14:paraId="0689E8DA" w14:textId="20F9731E" w:rsidR="004E65E7" w:rsidRDefault="004E65E7" w:rsidP="00B501FD">
    <w:pPr>
      <w:pStyle w:val="Header"/>
      <w:jc w:val="right"/>
    </w:pPr>
    <w:r>
      <w:t>APÉNDICE I</w:t>
    </w:r>
  </w:p>
  <w:p w14:paraId="73B6A8FE" w14:textId="77777777" w:rsidR="004E65E7" w:rsidRDefault="004E65E7" w:rsidP="00B501FD">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40991E" w14:textId="77777777" w:rsidR="004E65E7" w:rsidRDefault="004E65E7" w:rsidP="00477D6B">
    <w:pPr>
      <w:jc w:val="right"/>
    </w:pPr>
    <w:r>
      <w:t>CDIP/12/8</w:t>
    </w:r>
  </w:p>
  <w:p w14:paraId="2F3EDEFA" w14:textId="2DF95C69" w:rsidR="004E65E7" w:rsidRDefault="004E65E7" w:rsidP="00477D6B">
    <w:pPr>
      <w:jc w:val="right"/>
    </w:pPr>
    <w:r>
      <w:t xml:space="preserve">Apéndice II, página </w:t>
    </w:r>
    <w:r>
      <w:fldChar w:fldCharType="begin"/>
    </w:r>
    <w:r>
      <w:instrText xml:space="preserve"> PAGE  \* MERGEFORMAT </w:instrText>
    </w:r>
    <w:r>
      <w:fldChar w:fldCharType="separate"/>
    </w:r>
    <w:r w:rsidR="00975673">
      <w:rPr>
        <w:noProof/>
      </w:rPr>
      <w:t>5</w:t>
    </w:r>
    <w:r>
      <w:fldChar w:fldCharType="end"/>
    </w:r>
  </w:p>
  <w:p w14:paraId="19FCF6D0" w14:textId="77777777" w:rsidR="004E65E7" w:rsidRDefault="004E65E7"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878FC" w14:textId="77777777" w:rsidR="004E65E7" w:rsidRDefault="004E65E7" w:rsidP="00B501FD">
    <w:pPr>
      <w:pStyle w:val="Header"/>
      <w:jc w:val="right"/>
    </w:pPr>
    <w:r>
      <w:t>CDIP/12/8</w:t>
    </w:r>
  </w:p>
  <w:p w14:paraId="0196049D" w14:textId="50FC47C8" w:rsidR="004E65E7" w:rsidRDefault="004E65E7" w:rsidP="00B501FD">
    <w:pPr>
      <w:pStyle w:val="Header"/>
      <w:jc w:val="right"/>
    </w:pPr>
    <w:r>
      <w:t>APÉNDICE II</w:t>
    </w:r>
  </w:p>
  <w:p w14:paraId="733B9CD3" w14:textId="77777777" w:rsidR="004E65E7" w:rsidRDefault="004E65E7" w:rsidP="00B501FD">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DB5E" w14:textId="77777777" w:rsidR="004E65E7" w:rsidRDefault="004E65E7" w:rsidP="00477D6B">
    <w:pPr>
      <w:jc w:val="right"/>
    </w:pPr>
    <w:r>
      <w:t>CDIP/12/8</w:t>
    </w:r>
  </w:p>
  <w:p w14:paraId="012761EB" w14:textId="3E05DB55" w:rsidR="004E65E7" w:rsidRDefault="004E65E7" w:rsidP="00477D6B">
    <w:pPr>
      <w:jc w:val="right"/>
    </w:pPr>
    <w:r>
      <w:t xml:space="preserve">Anexo II, página </w:t>
    </w:r>
    <w:r>
      <w:fldChar w:fldCharType="begin"/>
    </w:r>
    <w:r>
      <w:instrText xml:space="preserve"> PAGE  \* MERGEFORMAT </w:instrText>
    </w:r>
    <w:r>
      <w:fldChar w:fldCharType="separate"/>
    </w:r>
    <w:r w:rsidR="00975673">
      <w:rPr>
        <w:noProof/>
      </w:rPr>
      <w:t>64</w:t>
    </w:r>
    <w:r>
      <w:fldChar w:fldCharType="end"/>
    </w:r>
  </w:p>
  <w:p w14:paraId="5EE433C2" w14:textId="77777777" w:rsidR="004E65E7" w:rsidRDefault="004E65E7" w:rsidP="00477D6B">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313E7" w14:textId="77777777" w:rsidR="004E65E7" w:rsidRDefault="004E65E7" w:rsidP="00B501FD">
    <w:pPr>
      <w:pStyle w:val="Header"/>
      <w:jc w:val="right"/>
    </w:pPr>
    <w:r>
      <w:t>CDIP/12/8</w:t>
    </w:r>
  </w:p>
  <w:p w14:paraId="4AEF7BD4" w14:textId="00713411" w:rsidR="004E65E7" w:rsidRDefault="004E65E7" w:rsidP="00B501FD">
    <w:pPr>
      <w:pStyle w:val="Header"/>
      <w:jc w:val="right"/>
    </w:pPr>
    <w:r>
      <w:t>ANEXO II</w:t>
    </w:r>
  </w:p>
  <w:p w14:paraId="606E57F8" w14:textId="77777777" w:rsidR="004E65E7" w:rsidRDefault="004E65E7" w:rsidP="00B501F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90B12D3"/>
    <w:multiLevelType w:val="hybridMultilevel"/>
    <w:tmpl w:val="BA7CBBBE"/>
    <w:lvl w:ilvl="0" w:tplc="2C38D612">
      <w:start w:val="1"/>
      <w:numFmt w:val="bullet"/>
      <w:lvlText w:val=""/>
      <w:lvlJc w:val="left"/>
      <w:pPr>
        <w:tabs>
          <w:tab w:val="num" w:pos="425"/>
        </w:tabs>
        <w:ind w:left="425" w:hanging="425"/>
      </w:pPr>
      <w:rPr>
        <w:rFonts w:ascii="Symbol" w:hAnsi="Symbol" w:hint="default"/>
      </w:rPr>
    </w:lvl>
    <w:lvl w:ilvl="1" w:tplc="2F6C919A">
      <w:start w:val="13"/>
      <w:numFmt w:val="bullet"/>
      <w:lvlText w:val="-"/>
      <w:lvlJc w:val="left"/>
      <w:pPr>
        <w:tabs>
          <w:tab w:val="num" w:pos="284"/>
        </w:tabs>
        <w:ind w:left="284" w:hanging="284"/>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A34598"/>
    <w:multiLevelType w:val="hybridMultilevel"/>
    <w:tmpl w:val="7CA42038"/>
    <w:lvl w:ilvl="0" w:tplc="AA1C613A">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0461399"/>
    <w:multiLevelType w:val="hybridMultilevel"/>
    <w:tmpl w:val="1E086986"/>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
    <w:nsid w:val="177A4FEB"/>
    <w:multiLevelType w:val="hybridMultilevel"/>
    <w:tmpl w:val="7C6CB55E"/>
    <w:lvl w:ilvl="0" w:tplc="2C38D612">
      <w:start w:val="1"/>
      <w:numFmt w:val="bullet"/>
      <w:lvlText w:val=""/>
      <w:lvlJc w:val="left"/>
      <w:pPr>
        <w:tabs>
          <w:tab w:val="num" w:pos="425"/>
        </w:tabs>
        <w:ind w:left="425" w:hanging="425"/>
      </w:pPr>
      <w:rPr>
        <w:rFonts w:ascii="Symbol" w:hAnsi="Symbol" w:hint="default"/>
      </w:rPr>
    </w:lvl>
    <w:lvl w:ilvl="1" w:tplc="7FAA1410">
      <w:start w:val="13"/>
      <w:numFmt w:val="bullet"/>
      <w:lvlText w:val="-"/>
      <w:lvlJc w:val="left"/>
      <w:pPr>
        <w:tabs>
          <w:tab w:val="num" w:pos="284"/>
        </w:tabs>
        <w:ind w:left="284" w:hanging="284"/>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1E4540"/>
    <w:multiLevelType w:val="hybridMultilevel"/>
    <w:tmpl w:val="EE8855D2"/>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6">
    <w:nsid w:val="1B0C5B3A"/>
    <w:multiLevelType w:val="hybridMultilevel"/>
    <w:tmpl w:val="2F2E41DE"/>
    <w:lvl w:ilvl="0" w:tplc="3552016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B3C0196"/>
    <w:multiLevelType w:val="hybridMultilevel"/>
    <w:tmpl w:val="2A8480B6"/>
    <w:lvl w:ilvl="0" w:tplc="368E59E6">
      <w:start w:val="13"/>
      <w:numFmt w:val="bullet"/>
      <w:lvlText w:val="-"/>
      <w:lvlJc w:val="left"/>
      <w:pPr>
        <w:tabs>
          <w:tab w:val="num" w:pos="284"/>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FB19A2"/>
    <w:multiLevelType w:val="multilevel"/>
    <w:tmpl w:val="495EEFEE"/>
    <w:lvl w:ilvl="0">
      <w:start w:val="1"/>
      <w:numFmt w:val="decimal"/>
      <w:lvlRestart w:val="0"/>
      <w:pStyle w:val="ONUMFS"/>
      <w:lvlText w:val="%1."/>
      <w:lvlJc w:val="left"/>
      <w:pPr>
        <w:tabs>
          <w:tab w:val="num" w:pos="4679"/>
        </w:tabs>
        <w:ind w:left="4112"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360409C"/>
    <w:multiLevelType w:val="hybridMultilevel"/>
    <w:tmpl w:val="D0AE3B64"/>
    <w:lvl w:ilvl="0" w:tplc="35520164">
      <w:start w:val="1"/>
      <w:numFmt w:val="bullet"/>
      <w:lvlText w:val="-"/>
      <w:lvlJc w:val="left"/>
      <w:pPr>
        <w:tabs>
          <w:tab w:val="num" w:pos="794"/>
        </w:tabs>
        <w:ind w:left="794" w:hanging="22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3904DA"/>
    <w:multiLevelType w:val="hybridMultilevel"/>
    <w:tmpl w:val="9B160F2E"/>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1">
    <w:nsid w:val="31CB0487"/>
    <w:multiLevelType w:val="hybridMultilevel"/>
    <w:tmpl w:val="B1EC1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71A29B9"/>
    <w:multiLevelType w:val="hybridMultilevel"/>
    <w:tmpl w:val="D79C1DF2"/>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3">
    <w:nsid w:val="409B4228"/>
    <w:multiLevelType w:val="multilevel"/>
    <w:tmpl w:val="EDCAE668"/>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pStyle w:val="Heading5"/>
      <w:lvlText w:val="%3)"/>
      <w:lvlJc w:val="left"/>
      <w:pPr>
        <w:ind w:left="144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pStyle w:val="Heading9"/>
      <w:lvlText w:val="(%9)"/>
      <w:lvlJc w:val="left"/>
      <w:pPr>
        <w:ind w:left="5760" w:firstLine="0"/>
      </w:pPr>
    </w:lvl>
  </w:abstractNum>
  <w:abstractNum w:abstractNumId="14">
    <w:nsid w:val="489E0AEF"/>
    <w:multiLevelType w:val="hybridMultilevel"/>
    <w:tmpl w:val="52363F30"/>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5">
    <w:nsid w:val="492B43EE"/>
    <w:multiLevelType w:val="hybridMultilevel"/>
    <w:tmpl w:val="95765C7A"/>
    <w:lvl w:ilvl="0" w:tplc="35520164">
      <w:start w:val="1"/>
      <w:numFmt w:val="bullet"/>
      <w:lvlText w:val="-"/>
      <w:lvlJc w:val="left"/>
      <w:pPr>
        <w:tabs>
          <w:tab w:val="num" w:pos="794"/>
        </w:tabs>
        <w:ind w:left="794" w:hanging="22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FC115A"/>
    <w:multiLevelType w:val="multilevel"/>
    <w:tmpl w:val="7408F258"/>
    <w:styleLink w:val="WIPO"/>
    <w:lvl w:ilvl="0">
      <w:start w:val="1"/>
      <w:numFmt w:val="upperRoman"/>
      <w:lvlText w:val="%1."/>
      <w:lvlJc w:val="left"/>
      <w:pPr>
        <w:ind w:left="2880" w:firstLine="0"/>
      </w:pPr>
      <w:rPr>
        <w:rFonts w:hint="default"/>
      </w:rPr>
    </w:lvl>
    <w:lvl w:ilvl="1">
      <w:start w:val="1"/>
      <w:numFmt w:val="lowerLetter"/>
      <w:lvlText w:val="%2)"/>
      <w:lvlJc w:val="left"/>
      <w:pPr>
        <w:ind w:left="3600" w:firstLine="0"/>
      </w:pPr>
      <w:rPr>
        <w:rFonts w:hint="default"/>
      </w:rPr>
    </w:lvl>
    <w:lvl w:ilvl="2">
      <w:start w:val="1"/>
      <w:numFmt w:val="lowerRoman"/>
      <w:lvlText w:val="%3)"/>
      <w:lvlJc w:val="left"/>
      <w:pPr>
        <w:tabs>
          <w:tab w:val="num" w:pos="4519"/>
        </w:tabs>
        <w:ind w:left="4746" w:hanging="284"/>
      </w:pPr>
      <w:rPr>
        <w:rFonts w:hint="default"/>
      </w:rPr>
    </w:lvl>
    <w:lvl w:ilvl="3">
      <w:start w:val="1"/>
      <w:numFmt w:val="bullet"/>
      <w:lvlText w:val=""/>
      <w:lvlJc w:val="left"/>
      <w:pPr>
        <w:ind w:left="5199" w:hanging="159"/>
      </w:pPr>
      <w:rPr>
        <w:rFonts w:ascii="Symbol" w:hAnsi="Symbol" w:hint="default"/>
        <w:color w:val="auto"/>
      </w:rPr>
    </w:lvl>
    <w:lvl w:ilvl="4">
      <w:start w:val="1"/>
      <w:numFmt w:val="decimal"/>
      <w:lvlText w:val="(%5)"/>
      <w:lvlJc w:val="left"/>
      <w:pPr>
        <w:ind w:left="5760" w:firstLine="0"/>
      </w:pPr>
      <w:rPr>
        <w:rFonts w:hint="default"/>
      </w:rPr>
    </w:lvl>
    <w:lvl w:ilvl="5">
      <w:start w:val="1"/>
      <w:numFmt w:val="lowerLetter"/>
      <w:lvlText w:val="(%6)"/>
      <w:lvlJc w:val="left"/>
      <w:pPr>
        <w:ind w:left="6480" w:firstLine="0"/>
      </w:pPr>
      <w:rPr>
        <w:rFonts w:hint="default"/>
      </w:rPr>
    </w:lvl>
    <w:lvl w:ilvl="6">
      <w:start w:val="1"/>
      <w:numFmt w:val="lowerRoman"/>
      <w:lvlText w:val="(%7)"/>
      <w:lvlJc w:val="left"/>
      <w:pPr>
        <w:ind w:left="7200" w:firstLine="0"/>
      </w:pPr>
      <w:rPr>
        <w:rFonts w:hint="default"/>
      </w:rPr>
    </w:lvl>
    <w:lvl w:ilvl="7">
      <w:start w:val="1"/>
      <w:numFmt w:val="lowerLetter"/>
      <w:lvlText w:val="(%8)"/>
      <w:lvlJc w:val="left"/>
      <w:pPr>
        <w:ind w:left="7920" w:firstLine="0"/>
      </w:pPr>
      <w:rPr>
        <w:rFonts w:hint="default"/>
      </w:rPr>
    </w:lvl>
    <w:lvl w:ilvl="8">
      <w:start w:val="1"/>
      <w:numFmt w:val="lowerRoman"/>
      <w:lvlText w:val="(%9)"/>
      <w:lvlJc w:val="left"/>
      <w:pPr>
        <w:ind w:left="8640" w:firstLine="0"/>
      </w:pPr>
      <w:rPr>
        <w:rFonts w:hint="default"/>
      </w:rPr>
    </w:lvl>
  </w:abstractNum>
  <w:abstractNum w:abstractNumId="18">
    <w:nsid w:val="518177B6"/>
    <w:multiLevelType w:val="multilevel"/>
    <w:tmpl w:val="69D0A716"/>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lowerRoman"/>
      <w:pStyle w:val="Heading7"/>
      <w:lvlText w:val="%3)"/>
      <w:lvlJc w:val="left"/>
      <w:pPr>
        <w:ind w:left="1440" w:firstLine="0"/>
      </w:pPr>
      <w:rPr>
        <w:rFonts w:asciiTheme="minorHAnsi" w:eastAsiaTheme="minorHAnsi" w:hAnsiTheme="minorHAnsi" w:cstheme="minorBid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nsid w:val="57592EB0"/>
    <w:multiLevelType w:val="hybridMultilevel"/>
    <w:tmpl w:val="AFE6C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num>
  <w:num w:numId="3">
    <w:abstractNumId w:val="8"/>
  </w:num>
  <w:num w:numId="4">
    <w:abstractNumId w:val="13"/>
  </w:num>
  <w:num w:numId="5">
    <w:abstractNumId w:val="17"/>
  </w:num>
  <w:num w:numId="6">
    <w:abstractNumId w:val="18"/>
  </w:num>
  <w:num w:numId="7">
    <w:abstractNumId w:val="19"/>
  </w:num>
  <w:num w:numId="8">
    <w:abstractNumId w:val="11"/>
  </w:num>
  <w:num w:numId="9">
    <w:abstractNumId w:val="1"/>
  </w:num>
  <w:num w:numId="10">
    <w:abstractNumId w:val="7"/>
  </w:num>
  <w:num w:numId="11">
    <w:abstractNumId w:val="4"/>
  </w:num>
  <w:num w:numId="12">
    <w:abstractNumId w:val="14"/>
  </w:num>
  <w:num w:numId="13">
    <w:abstractNumId w:val="10"/>
  </w:num>
  <w:num w:numId="14">
    <w:abstractNumId w:val="9"/>
  </w:num>
  <w:num w:numId="15">
    <w:abstractNumId w:val="5"/>
  </w:num>
  <w:num w:numId="16">
    <w:abstractNumId w:val="3"/>
  </w:num>
  <w:num w:numId="17">
    <w:abstractNumId w:val="15"/>
  </w:num>
  <w:num w:numId="18">
    <w:abstractNumId w:val="12"/>
  </w:num>
  <w:num w:numId="19">
    <w:abstractNumId w:val="6"/>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7E"/>
    <w:rsid w:val="000002FC"/>
    <w:rsid w:val="00006D08"/>
    <w:rsid w:val="00010686"/>
    <w:rsid w:val="00011C5D"/>
    <w:rsid w:val="00014370"/>
    <w:rsid w:val="000146AF"/>
    <w:rsid w:val="00014758"/>
    <w:rsid w:val="000156E6"/>
    <w:rsid w:val="000177B6"/>
    <w:rsid w:val="00017A76"/>
    <w:rsid w:val="00020D52"/>
    <w:rsid w:val="00023A8B"/>
    <w:rsid w:val="000275B2"/>
    <w:rsid w:val="000401B2"/>
    <w:rsid w:val="00040476"/>
    <w:rsid w:val="00040FB3"/>
    <w:rsid w:val="00050968"/>
    <w:rsid w:val="000513C6"/>
    <w:rsid w:val="00052915"/>
    <w:rsid w:val="00062DBF"/>
    <w:rsid w:val="00064591"/>
    <w:rsid w:val="00065A55"/>
    <w:rsid w:val="00067534"/>
    <w:rsid w:val="00080048"/>
    <w:rsid w:val="000831D9"/>
    <w:rsid w:val="00090337"/>
    <w:rsid w:val="00095B0E"/>
    <w:rsid w:val="00096C74"/>
    <w:rsid w:val="00096EB5"/>
    <w:rsid w:val="000B0A01"/>
    <w:rsid w:val="000B3FD9"/>
    <w:rsid w:val="000D5067"/>
    <w:rsid w:val="000E3BB3"/>
    <w:rsid w:val="000E56F0"/>
    <w:rsid w:val="000F16E7"/>
    <w:rsid w:val="000F1837"/>
    <w:rsid w:val="000F5E56"/>
    <w:rsid w:val="00100541"/>
    <w:rsid w:val="00105D9D"/>
    <w:rsid w:val="0010740F"/>
    <w:rsid w:val="0011619B"/>
    <w:rsid w:val="0011786A"/>
    <w:rsid w:val="00123A08"/>
    <w:rsid w:val="00133E88"/>
    <w:rsid w:val="001362EE"/>
    <w:rsid w:val="001401FB"/>
    <w:rsid w:val="00141AE5"/>
    <w:rsid w:val="00145D23"/>
    <w:rsid w:val="0015225F"/>
    <w:rsid w:val="00152CEA"/>
    <w:rsid w:val="00167577"/>
    <w:rsid w:val="001719D8"/>
    <w:rsid w:val="001721F6"/>
    <w:rsid w:val="001809D1"/>
    <w:rsid w:val="001832A6"/>
    <w:rsid w:val="001906E8"/>
    <w:rsid w:val="00194218"/>
    <w:rsid w:val="00195F8B"/>
    <w:rsid w:val="001A5EBD"/>
    <w:rsid w:val="001A614D"/>
    <w:rsid w:val="001A6A52"/>
    <w:rsid w:val="001B2261"/>
    <w:rsid w:val="001E0439"/>
    <w:rsid w:val="001E2A3C"/>
    <w:rsid w:val="001E3925"/>
    <w:rsid w:val="001E6E0D"/>
    <w:rsid w:val="001F1C39"/>
    <w:rsid w:val="001F3509"/>
    <w:rsid w:val="001F5E6F"/>
    <w:rsid w:val="00202013"/>
    <w:rsid w:val="002044FD"/>
    <w:rsid w:val="00205F28"/>
    <w:rsid w:val="002135A9"/>
    <w:rsid w:val="0021432F"/>
    <w:rsid w:val="00222A84"/>
    <w:rsid w:val="00232DBC"/>
    <w:rsid w:val="0023476E"/>
    <w:rsid w:val="00240A68"/>
    <w:rsid w:val="002521BA"/>
    <w:rsid w:val="00254C97"/>
    <w:rsid w:val="00261728"/>
    <w:rsid w:val="002634C4"/>
    <w:rsid w:val="00266E52"/>
    <w:rsid w:val="002701A6"/>
    <w:rsid w:val="0028015A"/>
    <w:rsid w:val="00295601"/>
    <w:rsid w:val="002A7F3C"/>
    <w:rsid w:val="002B0DE0"/>
    <w:rsid w:val="002B7AAD"/>
    <w:rsid w:val="002C03F0"/>
    <w:rsid w:val="002C4A90"/>
    <w:rsid w:val="002C4B36"/>
    <w:rsid w:val="002D0860"/>
    <w:rsid w:val="002D11D8"/>
    <w:rsid w:val="002D46B9"/>
    <w:rsid w:val="002D4C76"/>
    <w:rsid w:val="002E0F47"/>
    <w:rsid w:val="002E456A"/>
    <w:rsid w:val="002F4E68"/>
    <w:rsid w:val="00300332"/>
    <w:rsid w:val="00304A5E"/>
    <w:rsid w:val="003073C5"/>
    <w:rsid w:val="00307505"/>
    <w:rsid w:val="003133EA"/>
    <w:rsid w:val="00320EE4"/>
    <w:rsid w:val="0032364A"/>
    <w:rsid w:val="00333CB7"/>
    <w:rsid w:val="00343D7E"/>
    <w:rsid w:val="003446EF"/>
    <w:rsid w:val="00354647"/>
    <w:rsid w:val="00355D3D"/>
    <w:rsid w:val="00365EA4"/>
    <w:rsid w:val="00377273"/>
    <w:rsid w:val="0037761F"/>
    <w:rsid w:val="00380D68"/>
    <w:rsid w:val="003845C1"/>
    <w:rsid w:val="00386472"/>
    <w:rsid w:val="00387287"/>
    <w:rsid w:val="00387A0B"/>
    <w:rsid w:val="00387FF7"/>
    <w:rsid w:val="00395053"/>
    <w:rsid w:val="0039643B"/>
    <w:rsid w:val="00397A79"/>
    <w:rsid w:val="003A727A"/>
    <w:rsid w:val="003C3D7D"/>
    <w:rsid w:val="003C3FD6"/>
    <w:rsid w:val="003C51A5"/>
    <w:rsid w:val="003D376E"/>
    <w:rsid w:val="003D7D77"/>
    <w:rsid w:val="003E3189"/>
    <w:rsid w:val="003E48F1"/>
    <w:rsid w:val="003F12F2"/>
    <w:rsid w:val="003F347A"/>
    <w:rsid w:val="004030AA"/>
    <w:rsid w:val="004035F0"/>
    <w:rsid w:val="00403867"/>
    <w:rsid w:val="00403EB7"/>
    <w:rsid w:val="00404689"/>
    <w:rsid w:val="00407E9E"/>
    <w:rsid w:val="00423E3E"/>
    <w:rsid w:val="00427AF4"/>
    <w:rsid w:val="00431084"/>
    <w:rsid w:val="00434763"/>
    <w:rsid w:val="004407B8"/>
    <w:rsid w:val="0045231F"/>
    <w:rsid w:val="00454243"/>
    <w:rsid w:val="004600BA"/>
    <w:rsid w:val="00460683"/>
    <w:rsid w:val="004647DA"/>
    <w:rsid w:val="00477020"/>
    <w:rsid w:val="004774BD"/>
    <w:rsid w:val="00477808"/>
    <w:rsid w:val="004778E2"/>
    <w:rsid w:val="00477D6B"/>
    <w:rsid w:val="004836CE"/>
    <w:rsid w:val="0048372A"/>
    <w:rsid w:val="00492B70"/>
    <w:rsid w:val="004A0173"/>
    <w:rsid w:val="004A2016"/>
    <w:rsid w:val="004A232E"/>
    <w:rsid w:val="004A6474"/>
    <w:rsid w:val="004A6C37"/>
    <w:rsid w:val="004B1BAE"/>
    <w:rsid w:val="004B78AE"/>
    <w:rsid w:val="004C0105"/>
    <w:rsid w:val="004C107F"/>
    <w:rsid w:val="004C450E"/>
    <w:rsid w:val="004C4815"/>
    <w:rsid w:val="004C5BAF"/>
    <w:rsid w:val="004D15D4"/>
    <w:rsid w:val="004E297D"/>
    <w:rsid w:val="004E6363"/>
    <w:rsid w:val="004E65E7"/>
    <w:rsid w:val="004E6C6D"/>
    <w:rsid w:val="004F330B"/>
    <w:rsid w:val="004F460B"/>
    <w:rsid w:val="005156E8"/>
    <w:rsid w:val="00522267"/>
    <w:rsid w:val="00524C8F"/>
    <w:rsid w:val="00527195"/>
    <w:rsid w:val="005332F0"/>
    <w:rsid w:val="00533C71"/>
    <w:rsid w:val="00534398"/>
    <w:rsid w:val="00543E0D"/>
    <w:rsid w:val="00543F0F"/>
    <w:rsid w:val="00545BC1"/>
    <w:rsid w:val="00545CD9"/>
    <w:rsid w:val="0055013B"/>
    <w:rsid w:val="00552E4C"/>
    <w:rsid w:val="00561BB4"/>
    <w:rsid w:val="005621B5"/>
    <w:rsid w:val="00565DF0"/>
    <w:rsid w:val="00570DED"/>
    <w:rsid w:val="00571B99"/>
    <w:rsid w:val="00575D31"/>
    <w:rsid w:val="00581569"/>
    <w:rsid w:val="005A154B"/>
    <w:rsid w:val="005A2BD1"/>
    <w:rsid w:val="005B53C0"/>
    <w:rsid w:val="005C6362"/>
    <w:rsid w:val="005D700E"/>
    <w:rsid w:val="005E527B"/>
    <w:rsid w:val="005E5F3E"/>
    <w:rsid w:val="005F1D35"/>
    <w:rsid w:val="005F5E92"/>
    <w:rsid w:val="006053CC"/>
    <w:rsid w:val="00605827"/>
    <w:rsid w:val="00607687"/>
    <w:rsid w:val="00613F64"/>
    <w:rsid w:val="00617780"/>
    <w:rsid w:val="00617E6D"/>
    <w:rsid w:val="006239D7"/>
    <w:rsid w:val="0062401A"/>
    <w:rsid w:val="006341D6"/>
    <w:rsid w:val="0063655A"/>
    <w:rsid w:val="0064104C"/>
    <w:rsid w:val="006477A6"/>
    <w:rsid w:val="00656C80"/>
    <w:rsid w:val="006571BC"/>
    <w:rsid w:val="00661D98"/>
    <w:rsid w:val="0066681D"/>
    <w:rsid w:val="00675021"/>
    <w:rsid w:val="00676707"/>
    <w:rsid w:val="0068425B"/>
    <w:rsid w:val="006A06C6"/>
    <w:rsid w:val="006B7546"/>
    <w:rsid w:val="006D1EBB"/>
    <w:rsid w:val="006D4401"/>
    <w:rsid w:val="006E1461"/>
    <w:rsid w:val="006E17AF"/>
    <w:rsid w:val="006F214F"/>
    <w:rsid w:val="006F33E1"/>
    <w:rsid w:val="006F5DF9"/>
    <w:rsid w:val="0070473C"/>
    <w:rsid w:val="007129ED"/>
    <w:rsid w:val="007224C8"/>
    <w:rsid w:val="00731FAA"/>
    <w:rsid w:val="0073462D"/>
    <w:rsid w:val="00734F41"/>
    <w:rsid w:val="00735747"/>
    <w:rsid w:val="0074263D"/>
    <w:rsid w:val="0074501C"/>
    <w:rsid w:val="00752549"/>
    <w:rsid w:val="00757A46"/>
    <w:rsid w:val="00760510"/>
    <w:rsid w:val="00760B45"/>
    <w:rsid w:val="00765DC7"/>
    <w:rsid w:val="0077124B"/>
    <w:rsid w:val="00771E46"/>
    <w:rsid w:val="00773978"/>
    <w:rsid w:val="0078087A"/>
    <w:rsid w:val="0078214C"/>
    <w:rsid w:val="00794BE2"/>
    <w:rsid w:val="007A1558"/>
    <w:rsid w:val="007A3C9D"/>
    <w:rsid w:val="007B1178"/>
    <w:rsid w:val="007B71FE"/>
    <w:rsid w:val="007D3055"/>
    <w:rsid w:val="007D781E"/>
    <w:rsid w:val="007E5119"/>
    <w:rsid w:val="007E5D7C"/>
    <w:rsid w:val="007E663E"/>
    <w:rsid w:val="007F54BC"/>
    <w:rsid w:val="007F6114"/>
    <w:rsid w:val="00810F23"/>
    <w:rsid w:val="00815082"/>
    <w:rsid w:val="008175E5"/>
    <w:rsid w:val="00820A4F"/>
    <w:rsid w:val="008310A4"/>
    <w:rsid w:val="00834924"/>
    <w:rsid w:val="0084099F"/>
    <w:rsid w:val="008435B1"/>
    <w:rsid w:val="0085246F"/>
    <w:rsid w:val="00856503"/>
    <w:rsid w:val="008565A4"/>
    <w:rsid w:val="008661BF"/>
    <w:rsid w:val="0088395E"/>
    <w:rsid w:val="008870B8"/>
    <w:rsid w:val="00892BA6"/>
    <w:rsid w:val="0089475D"/>
    <w:rsid w:val="0089620E"/>
    <w:rsid w:val="008A239B"/>
    <w:rsid w:val="008A3EC7"/>
    <w:rsid w:val="008B2AA5"/>
    <w:rsid w:val="008B2CC1"/>
    <w:rsid w:val="008B41C2"/>
    <w:rsid w:val="008D296C"/>
    <w:rsid w:val="008D58DA"/>
    <w:rsid w:val="008E3E72"/>
    <w:rsid w:val="008E6BD6"/>
    <w:rsid w:val="008F4482"/>
    <w:rsid w:val="0090731E"/>
    <w:rsid w:val="009156EC"/>
    <w:rsid w:val="00916327"/>
    <w:rsid w:val="009230D4"/>
    <w:rsid w:val="009351E8"/>
    <w:rsid w:val="009424DF"/>
    <w:rsid w:val="009431D8"/>
    <w:rsid w:val="009528AF"/>
    <w:rsid w:val="00961043"/>
    <w:rsid w:val="009634A3"/>
    <w:rsid w:val="00966A22"/>
    <w:rsid w:val="00972F03"/>
    <w:rsid w:val="00973B58"/>
    <w:rsid w:val="00975673"/>
    <w:rsid w:val="00977471"/>
    <w:rsid w:val="00981605"/>
    <w:rsid w:val="0098730F"/>
    <w:rsid w:val="0099111C"/>
    <w:rsid w:val="00991D8E"/>
    <w:rsid w:val="00994AED"/>
    <w:rsid w:val="009A0C8B"/>
    <w:rsid w:val="009A700A"/>
    <w:rsid w:val="009B1878"/>
    <w:rsid w:val="009B6241"/>
    <w:rsid w:val="009B6D8C"/>
    <w:rsid w:val="009C1252"/>
    <w:rsid w:val="009C219A"/>
    <w:rsid w:val="009C7B5B"/>
    <w:rsid w:val="009D2993"/>
    <w:rsid w:val="009F034F"/>
    <w:rsid w:val="009F26A4"/>
    <w:rsid w:val="009F7FB9"/>
    <w:rsid w:val="00A00BA4"/>
    <w:rsid w:val="00A01DFF"/>
    <w:rsid w:val="00A0392E"/>
    <w:rsid w:val="00A111F3"/>
    <w:rsid w:val="00A16FC0"/>
    <w:rsid w:val="00A32C9E"/>
    <w:rsid w:val="00A363A5"/>
    <w:rsid w:val="00A4069B"/>
    <w:rsid w:val="00A40B07"/>
    <w:rsid w:val="00A4515F"/>
    <w:rsid w:val="00A60D31"/>
    <w:rsid w:val="00A61C17"/>
    <w:rsid w:val="00A62877"/>
    <w:rsid w:val="00A64E10"/>
    <w:rsid w:val="00A71145"/>
    <w:rsid w:val="00A72985"/>
    <w:rsid w:val="00A75DE7"/>
    <w:rsid w:val="00A9158A"/>
    <w:rsid w:val="00A9492B"/>
    <w:rsid w:val="00A95EC9"/>
    <w:rsid w:val="00A9715D"/>
    <w:rsid w:val="00AA362A"/>
    <w:rsid w:val="00AA4274"/>
    <w:rsid w:val="00AB1DFE"/>
    <w:rsid w:val="00AB6132"/>
    <w:rsid w:val="00AB613D"/>
    <w:rsid w:val="00AB7570"/>
    <w:rsid w:val="00AC66E4"/>
    <w:rsid w:val="00AD149D"/>
    <w:rsid w:val="00AD3AC0"/>
    <w:rsid w:val="00AE3A45"/>
    <w:rsid w:val="00AE5563"/>
    <w:rsid w:val="00AE7B8D"/>
    <w:rsid w:val="00AE7F20"/>
    <w:rsid w:val="00AF2C83"/>
    <w:rsid w:val="00AF2E9D"/>
    <w:rsid w:val="00AF603C"/>
    <w:rsid w:val="00AF74F1"/>
    <w:rsid w:val="00B03D5E"/>
    <w:rsid w:val="00B03DB7"/>
    <w:rsid w:val="00B05D46"/>
    <w:rsid w:val="00B07598"/>
    <w:rsid w:val="00B1656A"/>
    <w:rsid w:val="00B16E27"/>
    <w:rsid w:val="00B3097E"/>
    <w:rsid w:val="00B346FE"/>
    <w:rsid w:val="00B35257"/>
    <w:rsid w:val="00B375D8"/>
    <w:rsid w:val="00B4362C"/>
    <w:rsid w:val="00B501FD"/>
    <w:rsid w:val="00B65A0A"/>
    <w:rsid w:val="00B67CDC"/>
    <w:rsid w:val="00B72D36"/>
    <w:rsid w:val="00B771E4"/>
    <w:rsid w:val="00B817E3"/>
    <w:rsid w:val="00B83E1A"/>
    <w:rsid w:val="00B920D8"/>
    <w:rsid w:val="00B9211C"/>
    <w:rsid w:val="00B954CC"/>
    <w:rsid w:val="00B968E0"/>
    <w:rsid w:val="00BB0292"/>
    <w:rsid w:val="00BB483D"/>
    <w:rsid w:val="00BC3625"/>
    <w:rsid w:val="00BC4164"/>
    <w:rsid w:val="00BC4B37"/>
    <w:rsid w:val="00BC6BFF"/>
    <w:rsid w:val="00BD1834"/>
    <w:rsid w:val="00BD2DCC"/>
    <w:rsid w:val="00BE30C5"/>
    <w:rsid w:val="00BE3DFA"/>
    <w:rsid w:val="00BF0D5C"/>
    <w:rsid w:val="00BF20A2"/>
    <w:rsid w:val="00BF54A2"/>
    <w:rsid w:val="00BF5C87"/>
    <w:rsid w:val="00BF68EC"/>
    <w:rsid w:val="00C00AF2"/>
    <w:rsid w:val="00C07A56"/>
    <w:rsid w:val="00C2051B"/>
    <w:rsid w:val="00C34A7D"/>
    <w:rsid w:val="00C5321F"/>
    <w:rsid w:val="00C53881"/>
    <w:rsid w:val="00C54DEC"/>
    <w:rsid w:val="00C57EFE"/>
    <w:rsid w:val="00C715C4"/>
    <w:rsid w:val="00C80395"/>
    <w:rsid w:val="00C81B97"/>
    <w:rsid w:val="00C82567"/>
    <w:rsid w:val="00C902F2"/>
    <w:rsid w:val="00C90559"/>
    <w:rsid w:val="00C9406E"/>
    <w:rsid w:val="00CA1EDF"/>
    <w:rsid w:val="00CA2251"/>
    <w:rsid w:val="00CA2ABD"/>
    <w:rsid w:val="00CA3D9A"/>
    <w:rsid w:val="00CA4023"/>
    <w:rsid w:val="00CA6ACD"/>
    <w:rsid w:val="00CB2DF2"/>
    <w:rsid w:val="00CB50D6"/>
    <w:rsid w:val="00CB59AB"/>
    <w:rsid w:val="00CB71C2"/>
    <w:rsid w:val="00CB7A9C"/>
    <w:rsid w:val="00CC0698"/>
    <w:rsid w:val="00CC4304"/>
    <w:rsid w:val="00CC5163"/>
    <w:rsid w:val="00CC51F9"/>
    <w:rsid w:val="00CD299F"/>
    <w:rsid w:val="00CD372F"/>
    <w:rsid w:val="00CD6AFA"/>
    <w:rsid w:val="00CE107D"/>
    <w:rsid w:val="00CE24E8"/>
    <w:rsid w:val="00CE50DA"/>
    <w:rsid w:val="00CF6FDB"/>
    <w:rsid w:val="00D068B4"/>
    <w:rsid w:val="00D14BA4"/>
    <w:rsid w:val="00D23810"/>
    <w:rsid w:val="00D34487"/>
    <w:rsid w:val="00D34880"/>
    <w:rsid w:val="00D34ACB"/>
    <w:rsid w:val="00D367B9"/>
    <w:rsid w:val="00D41787"/>
    <w:rsid w:val="00D43EC9"/>
    <w:rsid w:val="00D56A08"/>
    <w:rsid w:val="00D56C7C"/>
    <w:rsid w:val="00D60D62"/>
    <w:rsid w:val="00D6512F"/>
    <w:rsid w:val="00D7164F"/>
    <w:rsid w:val="00D71B4D"/>
    <w:rsid w:val="00D722D2"/>
    <w:rsid w:val="00D85B67"/>
    <w:rsid w:val="00D90289"/>
    <w:rsid w:val="00D91E88"/>
    <w:rsid w:val="00D93D55"/>
    <w:rsid w:val="00DA514E"/>
    <w:rsid w:val="00DA6685"/>
    <w:rsid w:val="00DB4AF4"/>
    <w:rsid w:val="00DB4EFC"/>
    <w:rsid w:val="00DC0CD5"/>
    <w:rsid w:val="00DC3824"/>
    <w:rsid w:val="00DC4C60"/>
    <w:rsid w:val="00DC799F"/>
    <w:rsid w:val="00DD03E0"/>
    <w:rsid w:val="00DD19B0"/>
    <w:rsid w:val="00DD4864"/>
    <w:rsid w:val="00DE0B17"/>
    <w:rsid w:val="00DE27D5"/>
    <w:rsid w:val="00DE6899"/>
    <w:rsid w:val="00DE7AC5"/>
    <w:rsid w:val="00DF0F3B"/>
    <w:rsid w:val="00DF1C11"/>
    <w:rsid w:val="00DF7956"/>
    <w:rsid w:val="00DF7E99"/>
    <w:rsid w:val="00E0079A"/>
    <w:rsid w:val="00E162E4"/>
    <w:rsid w:val="00E21454"/>
    <w:rsid w:val="00E268FA"/>
    <w:rsid w:val="00E32119"/>
    <w:rsid w:val="00E43A32"/>
    <w:rsid w:val="00E43DE9"/>
    <w:rsid w:val="00E444DA"/>
    <w:rsid w:val="00E45C84"/>
    <w:rsid w:val="00E504E5"/>
    <w:rsid w:val="00E51DBF"/>
    <w:rsid w:val="00E56F07"/>
    <w:rsid w:val="00E651B4"/>
    <w:rsid w:val="00E65D81"/>
    <w:rsid w:val="00E71093"/>
    <w:rsid w:val="00E771D7"/>
    <w:rsid w:val="00E91278"/>
    <w:rsid w:val="00E961DD"/>
    <w:rsid w:val="00E96973"/>
    <w:rsid w:val="00E971C4"/>
    <w:rsid w:val="00EA25EA"/>
    <w:rsid w:val="00EB05F4"/>
    <w:rsid w:val="00EB0FAF"/>
    <w:rsid w:val="00EB6EA8"/>
    <w:rsid w:val="00EB7A3E"/>
    <w:rsid w:val="00EC401A"/>
    <w:rsid w:val="00EE774C"/>
    <w:rsid w:val="00EF4AEA"/>
    <w:rsid w:val="00EF530A"/>
    <w:rsid w:val="00EF6566"/>
    <w:rsid w:val="00EF6622"/>
    <w:rsid w:val="00F031BF"/>
    <w:rsid w:val="00F11E29"/>
    <w:rsid w:val="00F142F2"/>
    <w:rsid w:val="00F22D1D"/>
    <w:rsid w:val="00F30E92"/>
    <w:rsid w:val="00F358C4"/>
    <w:rsid w:val="00F40D52"/>
    <w:rsid w:val="00F5364A"/>
    <w:rsid w:val="00F55408"/>
    <w:rsid w:val="00F5677B"/>
    <w:rsid w:val="00F567A5"/>
    <w:rsid w:val="00F56D4B"/>
    <w:rsid w:val="00F66152"/>
    <w:rsid w:val="00F73127"/>
    <w:rsid w:val="00F74317"/>
    <w:rsid w:val="00F80845"/>
    <w:rsid w:val="00F84474"/>
    <w:rsid w:val="00F93067"/>
    <w:rsid w:val="00F955E5"/>
    <w:rsid w:val="00FA0F0D"/>
    <w:rsid w:val="00FA2A1B"/>
    <w:rsid w:val="00FB2B93"/>
    <w:rsid w:val="00FB76DD"/>
    <w:rsid w:val="00FD59D1"/>
  </w:rsids>
  <m:mathPr>
    <m:mathFont m:val="Cambria Math"/>
    <m:brkBin m:val="before"/>
    <m:brkBinSub m:val="--"/>
    <m:smallFrac m:val="0"/>
    <m:dispDef/>
    <m:lMargin m:val="0"/>
    <m:rMargin m:val="0"/>
    <m:defJc m:val="centerGroup"/>
    <m:wrapIndent m:val="1440"/>
    <m:intLim m:val="subSup"/>
    <m:naryLim m:val="undOvr"/>
  </m:mathPr>
  <w:themeFontLang w:val="es-E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874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page number"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
    <w:qFormat/>
    <w:rsid w:val="00A32C9E"/>
    <w:pPr>
      <w:keepNext/>
      <w:spacing w:before="240" w:after="60"/>
      <w:outlineLvl w:val="3"/>
    </w:pPr>
    <w:rPr>
      <w:bCs/>
      <w:i/>
      <w:szCs w:val="28"/>
    </w:rPr>
  </w:style>
  <w:style w:type="paragraph" w:styleId="Heading5">
    <w:name w:val="heading 5"/>
    <w:basedOn w:val="Heading3"/>
    <w:next w:val="Normal"/>
    <w:link w:val="Heading5Char"/>
    <w:uiPriority w:val="9"/>
    <w:unhideWhenUsed/>
    <w:qFormat/>
    <w:rsid w:val="00A61C17"/>
    <w:pPr>
      <w:keepLines/>
      <w:numPr>
        <w:ilvl w:val="2"/>
        <w:numId w:val="4"/>
      </w:numPr>
      <w:tabs>
        <w:tab w:val="left" w:pos="1134"/>
      </w:tabs>
      <w:spacing w:before="200" w:after="120"/>
      <w:outlineLvl w:val="4"/>
    </w:pPr>
    <w:rPr>
      <w:rFonts w:asciiTheme="majorHAnsi" w:eastAsiaTheme="minorHAnsi" w:hAnsiTheme="majorHAnsi" w:cstheme="minorBidi"/>
      <w:b/>
      <w:i/>
      <w:color w:val="4F81BD" w:themeColor="accent1"/>
      <w:sz w:val="24"/>
      <w:szCs w:val="22"/>
      <w:u w:val="none"/>
      <w:lang w:val="en-US" w:eastAsia="en-US"/>
    </w:rPr>
  </w:style>
  <w:style w:type="paragraph" w:styleId="Heading6">
    <w:name w:val="heading 6"/>
    <w:basedOn w:val="Heading4"/>
    <w:next w:val="Normal"/>
    <w:link w:val="Heading6Char"/>
    <w:uiPriority w:val="9"/>
    <w:unhideWhenUsed/>
    <w:qFormat/>
    <w:rsid w:val="00A61C17"/>
    <w:pPr>
      <w:keepLines/>
      <w:tabs>
        <w:tab w:val="left" w:pos="1560"/>
      </w:tabs>
      <w:spacing w:before="200" w:after="0" w:line="276" w:lineRule="auto"/>
      <w:ind w:left="709"/>
      <w:contextualSpacing/>
      <w:outlineLvl w:val="5"/>
    </w:pPr>
    <w:rPr>
      <w:rFonts w:asciiTheme="majorHAnsi" w:eastAsiaTheme="majorEastAsia" w:hAnsiTheme="majorHAnsi"/>
      <w:b/>
      <w:i w:val="0"/>
      <w:iCs/>
      <w:sz w:val="24"/>
      <w:szCs w:val="22"/>
      <w:lang w:val="en-US" w:eastAsia="en-US"/>
    </w:rPr>
  </w:style>
  <w:style w:type="paragraph" w:styleId="Heading7">
    <w:name w:val="heading 7"/>
    <w:basedOn w:val="Heading3"/>
    <w:next w:val="Normal"/>
    <w:link w:val="Heading7Char"/>
    <w:uiPriority w:val="9"/>
    <w:unhideWhenUsed/>
    <w:qFormat/>
    <w:rsid w:val="00A61C17"/>
    <w:pPr>
      <w:keepLines/>
      <w:numPr>
        <w:ilvl w:val="2"/>
        <w:numId w:val="6"/>
      </w:numPr>
      <w:tabs>
        <w:tab w:val="left" w:pos="1701"/>
      </w:tabs>
      <w:spacing w:before="200" w:after="0" w:line="276" w:lineRule="auto"/>
      <w:ind w:left="1701" w:hanging="261"/>
      <w:contextualSpacing/>
      <w:outlineLvl w:val="6"/>
    </w:pPr>
    <w:rPr>
      <w:rFonts w:asciiTheme="majorHAnsi" w:eastAsiaTheme="minorHAnsi" w:hAnsiTheme="majorHAnsi" w:cstheme="minorBidi"/>
      <w:b/>
      <w:color w:val="4F81BD" w:themeColor="accent1"/>
      <w:sz w:val="24"/>
      <w:szCs w:val="22"/>
      <w:u w:val="none"/>
      <w:lang w:val="en-US" w:eastAsia="en-US"/>
    </w:rPr>
  </w:style>
  <w:style w:type="paragraph" w:styleId="Heading8">
    <w:name w:val="heading 8"/>
    <w:basedOn w:val="Heading3"/>
    <w:next w:val="Normal"/>
    <w:link w:val="Heading8Char"/>
    <w:uiPriority w:val="9"/>
    <w:unhideWhenUsed/>
    <w:qFormat/>
    <w:rsid w:val="00A61C17"/>
    <w:pPr>
      <w:keepLines/>
      <w:tabs>
        <w:tab w:val="left" w:pos="1985"/>
      </w:tabs>
      <w:spacing w:before="200" w:after="0" w:line="276" w:lineRule="auto"/>
      <w:contextualSpacing/>
      <w:outlineLvl w:val="7"/>
    </w:pPr>
    <w:rPr>
      <w:rFonts w:asciiTheme="majorHAnsi" w:eastAsiaTheme="minorHAnsi" w:hAnsiTheme="majorHAnsi" w:cstheme="minorBidi"/>
      <w:b/>
      <w:i/>
      <w:color w:val="4F81BD" w:themeColor="accent1"/>
      <w:sz w:val="24"/>
      <w:szCs w:val="22"/>
      <w:u w:val="none"/>
      <w:lang w:val="en-US" w:eastAsia="en-US"/>
    </w:rPr>
  </w:style>
  <w:style w:type="paragraph" w:styleId="Heading9">
    <w:name w:val="heading 9"/>
    <w:basedOn w:val="Normal"/>
    <w:next w:val="Normal"/>
    <w:link w:val="Heading9Char"/>
    <w:uiPriority w:val="9"/>
    <w:semiHidden/>
    <w:unhideWhenUsed/>
    <w:qFormat/>
    <w:rsid w:val="00A61C17"/>
    <w:pPr>
      <w:keepNext/>
      <w:keepLines/>
      <w:numPr>
        <w:ilvl w:val="8"/>
        <w:numId w:val="4"/>
      </w:numPr>
      <w:tabs>
        <w:tab w:val="left" w:pos="1560"/>
      </w:tabs>
      <w:spacing w:before="200" w:line="276" w:lineRule="auto"/>
      <w:contextualSpacing/>
      <w:outlineLvl w:val="8"/>
    </w:pPr>
    <w:rPr>
      <w:rFonts w:asciiTheme="majorHAnsi" w:eastAsiaTheme="majorEastAsia" w:hAnsiTheme="majorHAnsi" w:cstheme="majorBidi"/>
      <w:i/>
      <w:iCs/>
      <w:color w:val="404040" w:themeColor="text1" w:themeTint="B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customStyle="1" w:styleId="Char">
    <w:name w:val="Char 字元 字元"/>
    <w:basedOn w:val="Normal"/>
    <w:rsid w:val="0084099F"/>
    <w:pPr>
      <w:spacing w:after="160" w:line="240" w:lineRule="exact"/>
    </w:pPr>
    <w:rPr>
      <w:rFonts w:ascii="Verdana" w:eastAsia="PMingLiU" w:hAnsi="Verdana" w:cs="Times New Roman"/>
      <w:sz w:val="20"/>
      <w:lang w:val="en-US"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uiPriority w:val="99"/>
    <w:rsid w:val="00C53881"/>
    <w:rPr>
      <w:rFonts w:ascii="Tahoma" w:hAnsi="Tahoma" w:cs="Tahoma"/>
      <w:sz w:val="16"/>
      <w:szCs w:val="16"/>
    </w:rPr>
  </w:style>
  <w:style w:type="character" w:customStyle="1" w:styleId="BalloonTextChar">
    <w:name w:val="Balloon Text Char"/>
    <w:basedOn w:val="DefaultParagraphFont"/>
    <w:link w:val="BalloonText"/>
    <w:uiPriority w:val="99"/>
    <w:rsid w:val="00C53881"/>
    <w:rPr>
      <w:rFonts w:ascii="Tahoma" w:eastAsia="SimSun" w:hAnsi="Tahoma" w:cs="Tahoma"/>
      <w:sz w:val="16"/>
      <w:szCs w:val="16"/>
      <w:lang w:eastAsia="zh-CN" w:bidi="ar-SA"/>
    </w:rPr>
  </w:style>
  <w:style w:type="character" w:customStyle="1" w:styleId="Heading5Char">
    <w:name w:val="Heading 5 Char"/>
    <w:basedOn w:val="DefaultParagraphFont"/>
    <w:link w:val="Heading5"/>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6Char">
    <w:name w:val="Heading 6 Char"/>
    <w:basedOn w:val="DefaultParagraphFont"/>
    <w:link w:val="Heading6"/>
    <w:uiPriority w:val="9"/>
    <w:rsid w:val="00A61C17"/>
    <w:rPr>
      <w:rFonts w:asciiTheme="majorHAnsi" w:eastAsiaTheme="majorEastAsia" w:hAnsiTheme="majorHAnsi" w:cs="Arial"/>
      <w:b/>
      <w:bCs/>
      <w:iCs/>
      <w:sz w:val="24"/>
      <w:szCs w:val="22"/>
      <w:lang w:val="en-US" w:eastAsia="en-US" w:bidi="ar-SA"/>
    </w:rPr>
  </w:style>
  <w:style w:type="character" w:customStyle="1" w:styleId="Heading7Char">
    <w:name w:val="Heading 7 Char"/>
    <w:basedOn w:val="DefaultParagraphFont"/>
    <w:link w:val="Heading7"/>
    <w:uiPriority w:val="9"/>
    <w:rsid w:val="00A61C17"/>
    <w:rPr>
      <w:rFonts w:asciiTheme="majorHAnsi" w:eastAsiaTheme="minorHAnsi" w:hAnsiTheme="majorHAnsi" w:cstheme="minorBidi"/>
      <w:b/>
      <w:bCs/>
      <w:color w:val="4F81BD" w:themeColor="accent1"/>
      <w:sz w:val="24"/>
      <w:szCs w:val="22"/>
      <w:lang w:val="en-US" w:eastAsia="en-US" w:bidi="ar-SA"/>
    </w:rPr>
  </w:style>
  <w:style w:type="character" w:customStyle="1" w:styleId="Heading8Char">
    <w:name w:val="Heading 8 Char"/>
    <w:basedOn w:val="DefaultParagraphFont"/>
    <w:link w:val="Heading8"/>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9Char">
    <w:name w:val="Heading 9 Char"/>
    <w:basedOn w:val="DefaultParagraphFont"/>
    <w:link w:val="Heading9"/>
    <w:uiPriority w:val="9"/>
    <w:semiHidden/>
    <w:rsid w:val="00A61C17"/>
    <w:rPr>
      <w:rFonts w:asciiTheme="majorHAnsi" w:eastAsiaTheme="majorEastAsia" w:hAnsiTheme="majorHAnsi" w:cstheme="majorBidi"/>
      <w:i/>
      <w:iCs/>
      <w:color w:val="404040" w:themeColor="text1" w:themeTint="BF"/>
      <w:lang w:val="en-US" w:eastAsia="en-US" w:bidi="ar-SA"/>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rsid w:val="00A61C17"/>
    <w:rPr>
      <w:rFonts w:ascii="Arial" w:eastAsia="SimSun" w:hAnsi="Arial" w:cs="Arial"/>
      <w:sz w:val="18"/>
      <w:lang w:eastAsia="zh-CN" w:bidi="ar-SA"/>
    </w:rPr>
  </w:style>
  <w:style w:type="character" w:styleId="FootnoteReference">
    <w:name w:val="footnote reference"/>
    <w:aliases w:val="16 Point,Superscript 6 Point,Ref,de nota al pie"/>
    <w:basedOn w:val="DefaultParagraphFont"/>
    <w:unhideWhenUsed/>
    <w:rsid w:val="00A61C17"/>
    <w:rPr>
      <w:vertAlign w:val="superscript"/>
    </w:rPr>
  </w:style>
  <w:style w:type="character" w:customStyle="1" w:styleId="Heading1Char">
    <w:name w:val="Heading 1 Char"/>
    <w:basedOn w:val="DefaultParagraphFont"/>
    <w:link w:val="Heading1"/>
    <w:uiPriority w:val="9"/>
    <w:rsid w:val="00A61C17"/>
    <w:rPr>
      <w:rFonts w:ascii="Arial" w:eastAsia="SimSun" w:hAnsi="Arial" w:cs="Arial"/>
      <w:b/>
      <w:bCs/>
      <w:caps/>
      <w:kern w:val="32"/>
      <w:sz w:val="22"/>
      <w:szCs w:val="32"/>
      <w:lang w:eastAsia="zh-CN" w:bidi="ar-SA"/>
    </w:rPr>
  </w:style>
  <w:style w:type="character" w:customStyle="1" w:styleId="Heading2Char">
    <w:name w:val="Heading 2 Char"/>
    <w:basedOn w:val="DefaultParagraphFont"/>
    <w:link w:val="Heading2"/>
    <w:uiPriority w:val="9"/>
    <w:rsid w:val="00A61C17"/>
    <w:rPr>
      <w:rFonts w:ascii="Arial" w:eastAsia="SimSun" w:hAnsi="Arial" w:cs="Arial"/>
      <w:bCs/>
      <w:iCs/>
      <w:caps/>
      <w:sz w:val="22"/>
      <w:szCs w:val="28"/>
      <w:lang w:eastAsia="zh-CN" w:bidi="ar-SA"/>
    </w:rPr>
  </w:style>
  <w:style w:type="character" w:customStyle="1" w:styleId="Heading3Char">
    <w:name w:val="Heading 3 Char"/>
    <w:basedOn w:val="DefaultParagraphFont"/>
    <w:link w:val="Heading3"/>
    <w:uiPriority w:val="9"/>
    <w:rsid w:val="00A61C17"/>
    <w:rPr>
      <w:rFonts w:ascii="Arial" w:eastAsia="SimSun" w:hAnsi="Arial" w:cs="Arial"/>
      <w:bCs/>
      <w:sz w:val="22"/>
      <w:szCs w:val="26"/>
      <w:u w:val="single"/>
      <w:lang w:eastAsia="zh-CN" w:bidi="ar-SA"/>
    </w:rPr>
  </w:style>
  <w:style w:type="character" w:customStyle="1" w:styleId="Heading4Char">
    <w:name w:val="Heading 4 Char"/>
    <w:basedOn w:val="DefaultParagraphFont"/>
    <w:link w:val="Heading4"/>
    <w:uiPriority w:val="9"/>
    <w:rsid w:val="00A61C17"/>
    <w:rPr>
      <w:rFonts w:ascii="Arial" w:eastAsia="SimSun" w:hAnsi="Arial" w:cs="Arial"/>
      <w:bCs/>
      <w:i/>
      <w:sz w:val="22"/>
      <w:szCs w:val="28"/>
      <w:lang w:eastAsia="zh-CN" w:bidi="ar-SA"/>
    </w:rPr>
  </w:style>
  <w:style w:type="numbering" w:customStyle="1" w:styleId="NoList1">
    <w:name w:val="No List1"/>
    <w:next w:val="NoList"/>
    <w:uiPriority w:val="99"/>
    <w:semiHidden/>
    <w:unhideWhenUsed/>
    <w:rsid w:val="00A61C17"/>
  </w:style>
  <w:style w:type="paragraph" w:styleId="ListParagraph">
    <w:name w:val="List Paragraph"/>
    <w:basedOn w:val="Normal"/>
    <w:uiPriority w:val="34"/>
    <w:qFormat/>
    <w:rsid w:val="00A61C17"/>
    <w:pPr>
      <w:tabs>
        <w:tab w:val="left" w:pos="1560"/>
      </w:tabs>
      <w:spacing w:before="120" w:after="100" w:line="276" w:lineRule="auto"/>
      <w:ind w:left="720"/>
      <w:contextualSpacing/>
    </w:pPr>
    <w:rPr>
      <w:rFonts w:eastAsiaTheme="minorHAnsi"/>
      <w:szCs w:val="22"/>
      <w:lang w:val="en-US" w:eastAsia="en-US"/>
    </w:rPr>
  </w:style>
  <w:style w:type="character" w:styleId="CommentReference">
    <w:name w:val="annotation reference"/>
    <w:basedOn w:val="DefaultParagraphFont"/>
    <w:unhideWhenUsed/>
    <w:rsid w:val="00A61C17"/>
    <w:rPr>
      <w:sz w:val="16"/>
      <w:szCs w:val="16"/>
    </w:rPr>
  </w:style>
  <w:style w:type="character" w:customStyle="1" w:styleId="CommentTextChar">
    <w:name w:val="Comment Text Char"/>
    <w:basedOn w:val="DefaultParagraphFont"/>
    <w:uiPriority w:val="99"/>
    <w:semiHidden/>
    <w:rsid w:val="00A61C17"/>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A61C17"/>
    <w:pPr>
      <w:tabs>
        <w:tab w:val="left" w:pos="1560"/>
      </w:tabs>
      <w:spacing w:before="120" w:after="100"/>
      <w:ind w:left="709"/>
      <w:contextualSpacing/>
    </w:pPr>
    <w:rPr>
      <w:rFonts w:eastAsiaTheme="minorHAnsi"/>
      <w:b/>
      <w:bCs/>
      <w:sz w:val="20"/>
      <w:lang w:val="en-US" w:eastAsia="en-US"/>
    </w:rPr>
  </w:style>
  <w:style w:type="character" w:customStyle="1" w:styleId="CommentTextChar1">
    <w:name w:val="Comment Text Char1"/>
    <w:basedOn w:val="DefaultParagraphFont"/>
    <w:link w:val="CommentText"/>
    <w:uiPriority w:val="99"/>
    <w:semiHidden/>
    <w:rsid w:val="00A61C17"/>
    <w:rPr>
      <w:rFonts w:ascii="Arial" w:eastAsia="SimSun" w:hAnsi="Arial" w:cs="Arial"/>
      <w:sz w:val="18"/>
      <w:lang w:eastAsia="zh-CN" w:bidi="ar-SA"/>
    </w:rPr>
  </w:style>
  <w:style w:type="character" w:customStyle="1" w:styleId="CommentSubjectChar">
    <w:name w:val="Comment Subject Char"/>
    <w:basedOn w:val="CommentTextChar1"/>
    <w:link w:val="CommentSubject"/>
    <w:uiPriority w:val="99"/>
    <w:rsid w:val="00A61C17"/>
    <w:rPr>
      <w:rFonts w:ascii="Arial" w:eastAsiaTheme="minorHAnsi" w:hAnsi="Arial" w:cs="Arial"/>
      <w:b/>
      <w:bCs/>
      <w:sz w:val="18"/>
      <w:lang w:val="en-US" w:eastAsia="en-US" w:bidi="ar-SA"/>
    </w:rPr>
  </w:style>
  <w:style w:type="character" w:customStyle="1" w:styleId="HeaderChar">
    <w:name w:val="Header Char"/>
    <w:basedOn w:val="DefaultParagraphFont"/>
    <w:link w:val="Header"/>
    <w:uiPriority w:val="99"/>
    <w:rsid w:val="00A61C17"/>
    <w:rPr>
      <w:rFonts w:ascii="Arial" w:eastAsia="SimSun" w:hAnsi="Arial" w:cs="Arial"/>
      <w:sz w:val="22"/>
      <w:lang w:eastAsia="zh-CN" w:bidi="ar-SA"/>
    </w:rPr>
  </w:style>
  <w:style w:type="character" w:customStyle="1" w:styleId="FooterChar">
    <w:name w:val="Footer Char"/>
    <w:basedOn w:val="DefaultParagraphFont"/>
    <w:link w:val="Footer"/>
    <w:uiPriority w:val="99"/>
    <w:rsid w:val="00A61C17"/>
    <w:rPr>
      <w:rFonts w:ascii="Arial" w:eastAsia="SimSun" w:hAnsi="Arial" w:cs="Arial"/>
      <w:sz w:val="22"/>
      <w:lang w:eastAsia="zh-CN" w:bidi="ar-SA"/>
    </w:rPr>
  </w:style>
  <w:style w:type="paragraph" w:styleId="NormalWeb">
    <w:name w:val="Normal (Web)"/>
    <w:basedOn w:val="Normal"/>
    <w:uiPriority w:val="99"/>
    <w:unhideWhenUsed/>
    <w:rsid w:val="00A61C17"/>
    <w:pPr>
      <w:tabs>
        <w:tab w:val="left" w:pos="1560"/>
      </w:tabs>
      <w:spacing w:before="100" w:beforeAutospacing="1" w:after="100" w:afterAutospacing="1"/>
      <w:ind w:left="709"/>
      <w:contextualSpacing/>
    </w:pPr>
    <w:rPr>
      <w:rFonts w:ascii="Times New Roman" w:eastAsia="Times New Roman" w:hAnsi="Times New Roman" w:cs="Times New Roman"/>
      <w:sz w:val="24"/>
      <w:szCs w:val="24"/>
      <w:lang w:val="en-US" w:eastAsia="fr-CH"/>
    </w:rPr>
  </w:style>
  <w:style w:type="character" w:styleId="Hyperlink">
    <w:name w:val="Hyperlink"/>
    <w:basedOn w:val="DefaultParagraphFont"/>
    <w:uiPriority w:val="99"/>
    <w:unhideWhenUsed/>
    <w:rsid w:val="00A61C17"/>
    <w:rPr>
      <w:color w:val="0000FF" w:themeColor="hyperlink"/>
      <w:u w:val="single"/>
    </w:rPr>
  </w:style>
  <w:style w:type="numbering" w:customStyle="1" w:styleId="WIPO">
    <w:name w:val="WIPO"/>
    <w:uiPriority w:val="99"/>
    <w:rsid w:val="00A61C17"/>
    <w:pPr>
      <w:numPr>
        <w:numId w:val="5"/>
      </w:numPr>
    </w:pPr>
  </w:style>
  <w:style w:type="paragraph" w:styleId="TOCHeading">
    <w:name w:val="TOC Heading"/>
    <w:basedOn w:val="Heading1"/>
    <w:next w:val="Normal"/>
    <w:uiPriority w:val="39"/>
    <w:unhideWhenUsed/>
    <w:qFormat/>
    <w:rsid w:val="00A61C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TOC1">
    <w:name w:val="toc 1"/>
    <w:basedOn w:val="Normal"/>
    <w:next w:val="Normal"/>
    <w:autoRedefine/>
    <w:uiPriority w:val="39"/>
    <w:unhideWhenUsed/>
    <w:rsid w:val="00A61C17"/>
    <w:pPr>
      <w:tabs>
        <w:tab w:val="left" w:pos="440"/>
        <w:tab w:val="right" w:pos="9062"/>
      </w:tabs>
      <w:spacing w:before="120" w:after="100" w:line="276" w:lineRule="auto"/>
    </w:pPr>
    <w:rPr>
      <w:rFonts w:eastAsiaTheme="minorHAnsi"/>
      <w:b/>
      <w:noProof/>
      <w:szCs w:val="22"/>
      <w:lang w:val="en-US" w:eastAsia="en-US"/>
    </w:rPr>
  </w:style>
  <w:style w:type="paragraph" w:styleId="TOC2">
    <w:name w:val="toc 2"/>
    <w:basedOn w:val="Normal"/>
    <w:next w:val="Normal"/>
    <w:autoRedefine/>
    <w:uiPriority w:val="39"/>
    <w:unhideWhenUsed/>
    <w:rsid w:val="00A61C17"/>
    <w:pPr>
      <w:tabs>
        <w:tab w:val="left" w:pos="1560"/>
        <w:tab w:val="right" w:pos="9062"/>
      </w:tabs>
      <w:spacing w:before="120" w:after="100" w:line="276" w:lineRule="auto"/>
      <w:ind w:left="567"/>
      <w:contextualSpacing/>
    </w:pPr>
    <w:rPr>
      <w:rFonts w:eastAsiaTheme="minorHAnsi"/>
      <w:szCs w:val="22"/>
      <w:lang w:val="en-US" w:eastAsia="en-US"/>
    </w:rPr>
  </w:style>
  <w:style w:type="paragraph" w:styleId="TOC3">
    <w:name w:val="toc 3"/>
    <w:basedOn w:val="Normal"/>
    <w:next w:val="Normal"/>
    <w:autoRedefine/>
    <w:uiPriority w:val="39"/>
    <w:unhideWhenUsed/>
    <w:rsid w:val="00A61C17"/>
    <w:pPr>
      <w:tabs>
        <w:tab w:val="left" w:pos="1418"/>
        <w:tab w:val="right" w:pos="9062"/>
      </w:tabs>
      <w:spacing w:before="120" w:after="100"/>
      <w:ind w:left="1134"/>
      <w:contextualSpacing/>
    </w:pPr>
    <w:rPr>
      <w:rFonts w:eastAsiaTheme="minorHAnsi"/>
      <w:szCs w:val="22"/>
      <w:lang w:val="en-US" w:eastAsia="en-US"/>
    </w:rPr>
  </w:style>
  <w:style w:type="paragraph" w:styleId="IntenseQuote">
    <w:name w:val="Intense Quote"/>
    <w:basedOn w:val="Heading2"/>
    <w:next w:val="Normal"/>
    <w:link w:val="IntenseQuoteChar"/>
    <w:uiPriority w:val="30"/>
    <w:qFormat/>
    <w:rsid w:val="00A61C17"/>
    <w:pPr>
      <w:keepLines/>
      <w:tabs>
        <w:tab w:val="left" w:pos="1276"/>
      </w:tabs>
      <w:spacing w:before="200" w:after="0"/>
      <w:ind w:left="1276" w:hanging="567"/>
      <w:contextualSpacing/>
    </w:pPr>
    <w:rPr>
      <w:rFonts w:asciiTheme="majorHAnsi" w:eastAsiaTheme="majorEastAsia" w:hAnsiTheme="majorHAnsi" w:cstheme="majorBidi"/>
      <w:b/>
      <w:iCs w:val="0"/>
      <w:caps w:val="0"/>
      <w:color w:val="4F81BD" w:themeColor="accent1"/>
      <w:sz w:val="26"/>
      <w:szCs w:val="26"/>
      <w:lang w:val="en-US" w:eastAsia="en-US"/>
    </w:rPr>
  </w:style>
  <w:style w:type="character" w:customStyle="1" w:styleId="IntenseQuoteChar">
    <w:name w:val="Intense Quote Char"/>
    <w:basedOn w:val="DefaultParagraphFont"/>
    <w:link w:val="IntenseQuote"/>
    <w:uiPriority w:val="30"/>
    <w:rsid w:val="00A61C17"/>
    <w:rPr>
      <w:rFonts w:asciiTheme="majorHAnsi" w:eastAsiaTheme="majorEastAsia" w:hAnsiTheme="majorHAnsi" w:cstheme="majorBidi"/>
      <w:b/>
      <w:bCs/>
      <w:color w:val="4F81BD" w:themeColor="accent1"/>
      <w:sz w:val="26"/>
      <w:szCs w:val="26"/>
      <w:lang w:val="en-US" w:eastAsia="en-US" w:bidi="ar-SA"/>
    </w:rPr>
  </w:style>
  <w:style w:type="paragraph" w:customStyle="1" w:styleId="Preamplenotintoc">
    <w:name w:val="Preample not in toc"/>
    <w:basedOn w:val="Heading1"/>
    <w:link w:val="PreamplenotintocChar"/>
    <w:qFormat/>
    <w:rsid w:val="00A61C17"/>
    <w:pPr>
      <w:keepLines/>
      <w:tabs>
        <w:tab w:val="left" w:pos="426"/>
        <w:tab w:val="left" w:pos="1560"/>
      </w:tabs>
      <w:spacing w:before="480" w:after="0" w:line="276" w:lineRule="auto"/>
      <w:contextualSpacing/>
    </w:pPr>
    <w:rPr>
      <w:rFonts w:asciiTheme="majorHAnsi" w:eastAsiaTheme="majorEastAsia" w:hAnsiTheme="majorHAnsi" w:cstheme="majorBidi"/>
      <w:caps w:val="0"/>
      <w:color w:val="365F91" w:themeColor="accent1" w:themeShade="BF"/>
      <w:sz w:val="28"/>
      <w:szCs w:val="28"/>
      <w:lang w:val="en-US" w:eastAsia="en-US"/>
    </w:rPr>
  </w:style>
  <w:style w:type="paragraph" w:styleId="DocumentMap">
    <w:name w:val="Document Map"/>
    <w:basedOn w:val="Normal"/>
    <w:link w:val="DocumentMapChar"/>
    <w:uiPriority w:val="99"/>
    <w:unhideWhenUsed/>
    <w:rsid w:val="00A61C17"/>
    <w:pPr>
      <w:tabs>
        <w:tab w:val="left" w:pos="1560"/>
      </w:tabs>
      <w:spacing w:before="120"/>
      <w:ind w:left="709"/>
      <w:contextualSpacing/>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rsid w:val="00A61C17"/>
    <w:rPr>
      <w:rFonts w:ascii="Tahoma" w:eastAsiaTheme="minorHAnsi" w:hAnsi="Tahoma" w:cs="Tahoma"/>
      <w:sz w:val="16"/>
      <w:szCs w:val="16"/>
      <w:lang w:val="en-US" w:eastAsia="en-US" w:bidi="ar-SA"/>
    </w:rPr>
  </w:style>
  <w:style w:type="character" w:customStyle="1" w:styleId="PreamplenotintocChar">
    <w:name w:val="Preample not in toc Char"/>
    <w:basedOn w:val="Heading1Char"/>
    <w:link w:val="Preamplenotintoc"/>
    <w:rsid w:val="00A61C17"/>
    <w:rPr>
      <w:rFonts w:asciiTheme="majorHAnsi" w:eastAsiaTheme="majorEastAsia" w:hAnsiTheme="majorHAnsi" w:cstheme="majorBidi"/>
      <w:b/>
      <w:bCs/>
      <w:caps w:val="0"/>
      <w:color w:val="365F91" w:themeColor="accent1" w:themeShade="BF"/>
      <w:kern w:val="32"/>
      <w:sz w:val="28"/>
      <w:szCs w:val="28"/>
      <w:lang w:val="en-US" w:eastAsia="en-US" w:bidi="ar-SA"/>
    </w:rPr>
  </w:style>
  <w:style w:type="table" w:styleId="TableGrid">
    <w:name w:val="Table Grid"/>
    <w:basedOn w:val="TableNormal"/>
    <w:uiPriority w:val="59"/>
    <w:rsid w:val="00A61C17"/>
    <w:pPr>
      <w:spacing w:before="120"/>
    </w:pPr>
    <w:rPr>
      <w:rFonts w:asciiTheme="minorHAnsi" w:eastAsiaTheme="minorHAnsi" w:hAnsiTheme="minorHAnsi" w:cstheme="minorBidi"/>
      <w:sz w:val="22"/>
      <w:szCs w:val="22"/>
      <w:lang w:val="fr-CH"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Heading8"/>
    <w:link w:val="Style3Char"/>
    <w:qFormat/>
    <w:rsid w:val="00A61C17"/>
  </w:style>
  <w:style w:type="paragraph" w:styleId="TOC4">
    <w:name w:val="toc 4"/>
    <w:basedOn w:val="Normal"/>
    <w:next w:val="Normal"/>
    <w:autoRedefine/>
    <w:uiPriority w:val="39"/>
    <w:unhideWhenUsed/>
    <w:rsid w:val="00A61C17"/>
    <w:pPr>
      <w:spacing w:before="120" w:after="100" w:line="276" w:lineRule="auto"/>
      <w:ind w:left="660"/>
    </w:pPr>
    <w:rPr>
      <w:rFonts w:asciiTheme="minorHAnsi" w:eastAsiaTheme="minorEastAsia" w:hAnsiTheme="minorHAnsi" w:cstheme="minorBidi"/>
      <w:szCs w:val="22"/>
      <w:lang w:val="en-US" w:eastAsia="en-US"/>
    </w:rPr>
  </w:style>
  <w:style w:type="character" w:customStyle="1" w:styleId="Style3Char">
    <w:name w:val="Style3+ Char"/>
    <w:basedOn w:val="Heading8Char"/>
    <w:link w:val="Style3"/>
    <w:rsid w:val="00A61C17"/>
    <w:rPr>
      <w:rFonts w:asciiTheme="majorHAnsi" w:eastAsiaTheme="minorHAnsi" w:hAnsiTheme="majorHAnsi" w:cstheme="minorBidi"/>
      <w:b/>
      <w:bCs/>
      <w:i/>
      <w:color w:val="4F81BD" w:themeColor="accent1"/>
      <w:sz w:val="24"/>
      <w:szCs w:val="22"/>
      <w:lang w:val="en-US" w:eastAsia="en-US" w:bidi="ar-SA"/>
    </w:rPr>
  </w:style>
  <w:style w:type="paragraph" w:styleId="TOC5">
    <w:name w:val="toc 5"/>
    <w:basedOn w:val="Normal"/>
    <w:next w:val="Normal"/>
    <w:autoRedefine/>
    <w:uiPriority w:val="39"/>
    <w:unhideWhenUsed/>
    <w:rsid w:val="00A61C17"/>
    <w:pPr>
      <w:spacing w:before="120" w:after="100" w:line="276" w:lineRule="auto"/>
      <w:ind w:left="880"/>
    </w:pPr>
    <w:rPr>
      <w:rFonts w:asciiTheme="minorHAnsi" w:eastAsiaTheme="minorEastAsia" w:hAnsiTheme="minorHAnsi" w:cstheme="minorBidi"/>
      <w:szCs w:val="22"/>
      <w:lang w:val="en-US" w:eastAsia="en-US"/>
    </w:rPr>
  </w:style>
  <w:style w:type="paragraph" w:styleId="TOC6">
    <w:name w:val="toc 6"/>
    <w:basedOn w:val="Normal"/>
    <w:next w:val="Normal"/>
    <w:autoRedefine/>
    <w:uiPriority w:val="39"/>
    <w:unhideWhenUsed/>
    <w:rsid w:val="00A61C17"/>
    <w:pPr>
      <w:spacing w:before="120" w:after="100" w:line="276" w:lineRule="auto"/>
      <w:ind w:left="1100"/>
    </w:pPr>
    <w:rPr>
      <w:rFonts w:asciiTheme="minorHAnsi" w:eastAsiaTheme="minorEastAsia" w:hAnsiTheme="minorHAnsi" w:cstheme="minorBidi"/>
      <w:szCs w:val="22"/>
      <w:lang w:val="en-US" w:eastAsia="en-US"/>
    </w:rPr>
  </w:style>
  <w:style w:type="paragraph" w:styleId="TOC7">
    <w:name w:val="toc 7"/>
    <w:basedOn w:val="Normal"/>
    <w:next w:val="Normal"/>
    <w:autoRedefine/>
    <w:uiPriority w:val="39"/>
    <w:unhideWhenUsed/>
    <w:rsid w:val="00A61C17"/>
    <w:pPr>
      <w:spacing w:before="120" w:after="100" w:line="276" w:lineRule="auto"/>
      <w:ind w:left="1320"/>
    </w:pPr>
    <w:rPr>
      <w:rFonts w:asciiTheme="minorHAnsi" w:eastAsiaTheme="minorEastAsia" w:hAnsiTheme="minorHAnsi" w:cstheme="minorBidi"/>
      <w:szCs w:val="22"/>
      <w:lang w:val="en-US" w:eastAsia="en-US"/>
    </w:rPr>
  </w:style>
  <w:style w:type="paragraph" w:styleId="TOC8">
    <w:name w:val="toc 8"/>
    <w:basedOn w:val="Normal"/>
    <w:next w:val="Normal"/>
    <w:autoRedefine/>
    <w:uiPriority w:val="39"/>
    <w:unhideWhenUsed/>
    <w:rsid w:val="00A61C17"/>
    <w:pPr>
      <w:spacing w:before="120" w:after="100" w:line="276" w:lineRule="auto"/>
      <w:ind w:left="1540"/>
    </w:pPr>
    <w:rPr>
      <w:rFonts w:asciiTheme="minorHAnsi" w:eastAsiaTheme="minorEastAsia" w:hAnsiTheme="minorHAnsi" w:cstheme="minorBidi"/>
      <w:szCs w:val="22"/>
      <w:lang w:val="en-US" w:eastAsia="en-US"/>
    </w:rPr>
  </w:style>
  <w:style w:type="paragraph" w:styleId="TOC9">
    <w:name w:val="toc 9"/>
    <w:basedOn w:val="Normal"/>
    <w:next w:val="Normal"/>
    <w:autoRedefine/>
    <w:uiPriority w:val="39"/>
    <w:unhideWhenUsed/>
    <w:rsid w:val="00A61C17"/>
    <w:pPr>
      <w:spacing w:before="120" w:after="100" w:line="276" w:lineRule="auto"/>
      <w:ind w:left="1760"/>
    </w:pPr>
    <w:rPr>
      <w:rFonts w:asciiTheme="minorHAnsi" w:eastAsiaTheme="minorEastAsia" w:hAnsiTheme="minorHAnsi" w:cstheme="minorBidi"/>
      <w:szCs w:val="22"/>
      <w:lang w:val="en-US" w:eastAsia="en-US"/>
    </w:rPr>
  </w:style>
  <w:style w:type="table" w:customStyle="1" w:styleId="TableGrid1">
    <w:name w:val="Table Grid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A61C17"/>
    <w:rPr>
      <w:rFonts w:ascii="Arial" w:eastAsia="SimSun" w:hAnsi="Arial" w:cs="Arial"/>
      <w:sz w:val="18"/>
      <w:lang w:eastAsia="zh-CN" w:bidi="ar-SA"/>
    </w:rPr>
  </w:style>
  <w:style w:type="character" w:styleId="EndnoteReference">
    <w:name w:val="endnote reference"/>
    <w:basedOn w:val="DefaultParagraphFont"/>
    <w:uiPriority w:val="99"/>
    <w:unhideWhenUsed/>
    <w:rsid w:val="00A61C17"/>
    <w:rPr>
      <w:vertAlign w:val="superscript"/>
    </w:rPr>
  </w:style>
  <w:style w:type="paragraph" w:customStyle="1" w:styleId="CharCharCharCharCharChar">
    <w:name w:val="Char Char Char Char Char Char"/>
    <w:basedOn w:val="Normal"/>
    <w:rsid w:val="00A61C1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uiPriority w:val="99"/>
    <w:rsid w:val="00A61C17"/>
    <w:rPr>
      <w:rFonts w:ascii="Arial" w:eastAsia="SimSun" w:hAnsi="Arial" w:cs="Arial"/>
      <w:sz w:val="22"/>
      <w:lang w:eastAsia="zh-CN" w:bidi="ar-SA"/>
    </w:rPr>
  </w:style>
  <w:style w:type="numbering" w:customStyle="1" w:styleId="NoList2">
    <w:name w:val="No List2"/>
    <w:next w:val="NoList"/>
    <w:semiHidden/>
    <w:rsid w:val="00A61C17"/>
  </w:style>
  <w:style w:type="character" w:customStyle="1" w:styleId="SalutationChar">
    <w:name w:val="Salutation Char"/>
    <w:basedOn w:val="DefaultParagraphFont"/>
    <w:link w:val="Salutation"/>
    <w:semiHidden/>
    <w:rsid w:val="00A61C17"/>
    <w:rPr>
      <w:rFonts w:ascii="Arial" w:eastAsia="SimSun" w:hAnsi="Arial" w:cs="Arial"/>
      <w:sz w:val="22"/>
      <w:lang w:eastAsia="zh-CN" w:bidi="ar-SA"/>
    </w:rPr>
  </w:style>
  <w:style w:type="character" w:customStyle="1" w:styleId="SignatureChar">
    <w:name w:val="Signature Char"/>
    <w:basedOn w:val="DefaultParagraphFont"/>
    <w:link w:val="Signature"/>
    <w:semiHidden/>
    <w:rsid w:val="00A61C17"/>
    <w:rPr>
      <w:rFonts w:ascii="Arial" w:eastAsia="SimSun" w:hAnsi="Arial" w:cs="Arial"/>
      <w:sz w:val="22"/>
      <w:lang w:eastAsia="zh-CN" w:bidi="ar-SA"/>
    </w:rPr>
  </w:style>
  <w:style w:type="numbering" w:customStyle="1" w:styleId="NoList11">
    <w:name w:val="No List11"/>
    <w:next w:val="NoList"/>
    <w:uiPriority w:val="99"/>
    <w:semiHidden/>
    <w:unhideWhenUsed/>
    <w:rsid w:val="00A61C17"/>
  </w:style>
  <w:style w:type="numbering" w:customStyle="1" w:styleId="NoList111">
    <w:name w:val="No List111"/>
    <w:next w:val="NoList"/>
    <w:uiPriority w:val="99"/>
    <w:semiHidden/>
    <w:unhideWhenUsed/>
    <w:rsid w:val="00A61C17"/>
  </w:style>
  <w:style w:type="numbering" w:customStyle="1" w:styleId="WIPO1">
    <w:name w:val="WIPO1"/>
    <w:uiPriority w:val="99"/>
    <w:rsid w:val="00A61C17"/>
  </w:style>
  <w:style w:type="table" w:customStyle="1" w:styleId="TableGrid2">
    <w:name w:val="Table Grid2"/>
    <w:basedOn w:val="TableNormal"/>
    <w:next w:val="TableGrid"/>
    <w:uiPriority w:val="59"/>
    <w:rsid w:val="00A61C17"/>
    <w:pPr>
      <w:spacing w:before="120"/>
    </w:pPr>
    <w:rPr>
      <w:rFonts w:ascii="Calibri" w:eastAsia="Calibri" w:hAnsi="Calibri"/>
      <w:sz w:val="22"/>
      <w:szCs w:val="22"/>
      <w:lang w:val="fr-CH" w:eastAsia="fr-CH"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A61C17"/>
  </w:style>
  <w:style w:type="numbering" w:customStyle="1" w:styleId="WIPO2">
    <w:name w:val="WIPO2"/>
    <w:uiPriority w:val="99"/>
    <w:rsid w:val="00A61C17"/>
  </w:style>
  <w:style w:type="numbering" w:customStyle="1" w:styleId="WIPO3">
    <w:name w:val="WIPO3"/>
    <w:uiPriority w:val="99"/>
    <w:rsid w:val="00A61C17"/>
  </w:style>
  <w:style w:type="numbering" w:customStyle="1" w:styleId="WIPO4">
    <w:name w:val="WIPO4"/>
    <w:uiPriority w:val="99"/>
    <w:rsid w:val="00A61C17"/>
  </w:style>
  <w:style w:type="numbering" w:customStyle="1" w:styleId="WIPO5">
    <w:name w:val="WIPO5"/>
    <w:uiPriority w:val="99"/>
    <w:rsid w:val="00A61C17"/>
  </w:style>
  <w:style w:type="numbering" w:customStyle="1" w:styleId="WIPO6">
    <w:name w:val="WIPO6"/>
    <w:uiPriority w:val="99"/>
    <w:rsid w:val="00A61C17"/>
  </w:style>
  <w:style w:type="paragraph" w:styleId="Revision">
    <w:name w:val="Revision"/>
    <w:hidden/>
    <w:uiPriority w:val="99"/>
    <w:semiHidden/>
    <w:rsid w:val="00A61C17"/>
    <w:rPr>
      <w:rFonts w:asciiTheme="minorHAnsi" w:eastAsiaTheme="minorHAnsi" w:hAnsiTheme="minorHAnsi" w:cstheme="minorBidi"/>
      <w:sz w:val="22"/>
      <w:szCs w:val="22"/>
      <w:lang w:val="fr-CH" w:eastAsia="en-US" w:bidi="ar-SA"/>
    </w:rPr>
  </w:style>
  <w:style w:type="character" w:styleId="FollowedHyperlink">
    <w:name w:val="FollowedHyperlink"/>
    <w:basedOn w:val="DefaultParagraphFont"/>
    <w:uiPriority w:val="99"/>
    <w:unhideWhenUsed/>
    <w:rsid w:val="00A61C17"/>
    <w:rPr>
      <w:color w:val="800080" w:themeColor="followedHyperlink"/>
      <w:u w:val="single"/>
    </w:rPr>
  </w:style>
  <w:style w:type="character" w:customStyle="1" w:styleId="ONUMFSChar">
    <w:name w:val="ONUM FS Char"/>
    <w:basedOn w:val="DefaultParagraphFont"/>
    <w:link w:val="ONUMFS"/>
    <w:rsid w:val="00A61C17"/>
    <w:rPr>
      <w:rFonts w:ascii="Arial" w:eastAsia="SimSun" w:hAnsi="Arial" w:cs="Arial"/>
      <w:sz w:val="22"/>
      <w:lang w:eastAsia="zh-CN" w:bidi="ar-SA"/>
    </w:rPr>
  </w:style>
  <w:style w:type="character" w:customStyle="1" w:styleId="Endofdocument-AnnexChar">
    <w:name w:val="[End of document - Annex] Char"/>
    <w:basedOn w:val="DefaultParagraphFont"/>
    <w:link w:val="Endofdocument-Annex"/>
    <w:rsid w:val="00E56F07"/>
    <w:rPr>
      <w:rFonts w:ascii="Arial" w:eastAsia="SimSun" w:hAnsi="Arial" w:cs="Arial"/>
      <w:sz w:val="22"/>
      <w:lang w:val="en-US" w:eastAsia="zh-CN" w:bidi="ar-SA"/>
    </w:rPr>
  </w:style>
  <w:style w:type="paragraph" w:customStyle="1" w:styleId="Paragraphedeliste1">
    <w:name w:val="Paragraphe de liste1"/>
    <w:basedOn w:val="Normal"/>
    <w:qFormat/>
    <w:rsid w:val="00E56F07"/>
    <w:pPr>
      <w:spacing w:after="200" w:line="276" w:lineRule="auto"/>
      <w:ind w:left="720"/>
      <w:contextualSpacing/>
    </w:pPr>
    <w:rPr>
      <w:rFonts w:ascii="Cambria" w:eastAsia="Cambria" w:hAnsi="Cambria"/>
      <w:szCs w:val="22"/>
      <w:lang w:eastAsia="es-ES"/>
    </w:rPr>
  </w:style>
  <w:style w:type="character" w:customStyle="1" w:styleId="apple-converted-space">
    <w:name w:val="apple-converted-space"/>
    <w:basedOn w:val="DefaultParagraphFont"/>
    <w:rsid w:val="00CB71C2"/>
  </w:style>
  <w:style w:type="paragraph" w:customStyle="1" w:styleId="Default">
    <w:name w:val="Default"/>
    <w:rsid w:val="006D1EBB"/>
    <w:pPr>
      <w:autoSpaceDE w:val="0"/>
      <w:autoSpaceDN w:val="0"/>
      <w:adjustRightInd w:val="0"/>
    </w:pPr>
    <w:rPr>
      <w:rFonts w:ascii="Arial" w:eastAsiaTheme="minorHAnsi" w:hAnsi="Arial" w:cs="Arial"/>
      <w:color w:val="000000"/>
      <w:sz w:val="24"/>
      <w:szCs w:val="24"/>
      <w:lang w:val="en-US" w:eastAsia="en-US" w:bidi="ar-SA"/>
    </w:rPr>
  </w:style>
  <w:style w:type="character" w:styleId="PageNumber">
    <w:name w:val="page number"/>
    <w:basedOn w:val="DefaultParagraphFont"/>
    <w:uiPriority w:val="99"/>
    <w:unhideWhenUsed/>
    <w:rsid w:val="00067534"/>
  </w:style>
  <w:style w:type="character" w:styleId="Emphasis">
    <w:name w:val="Emphasis"/>
    <w:basedOn w:val="DefaultParagraphFont"/>
    <w:uiPriority w:val="20"/>
    <w:qFormat/>
    <w:rsid w:val="00067534"/>
    <w:rPr>
      <w:i/>
      <w:iCs/>
    </w:rPr>
  </w:style>
  <w:style w:type="character" w:styleId="Strong">
    <w:name w:val="Strong"/>
    <w:basedOn w:val="DefaultParagraphFont"/>
    <w:uiPriority w:val="22"/>
    <w:qFormat/>
    <w:rsid w:val="00067534"/>
    <w:rPr>
      <w:b/>
      <w:bCs/>
    </w:rPr>
  </w:style>
  <w:style w:type="character" w:customStyle="1" w:styleId="highlight">
    <w:name w:val="highlight"/>
    <w:basedOn w:val="DefaultParagraphFont"/>
    <w:rsid w:val="00067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page number"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
    <w:qFormat/>
    <w:rsid w:val="00A32C9E"/>
    <w:pPr>
      <w:keepNext/>
      <w:spacing w:before="240" w:after="60"/>
      <w:outlineLvl w:val="3"/>
    </w:pPr>
    <w:rPr>
      <w:bCs/>
      <w:i/>
      <w:szCs w:val="28"/>
    </w:rPr>
  </w:style>
  <w:style w:type="paragraph" w:styleId="Heading5">
    <w:name w:val="heading 5"/>
    <w:basedOn w:val="Heading3"/>
    <w:next w:val="Normal"/>
    <w:link w:val="Heading5Char"/>
    <w:uiPriority w:val="9"/>
    <w:unhideWhenUsed/>
    <w:qFormat/>
    <w:rsid w:val="00A61C17"/>
    <w:pPr>
      <w:keepLines/>
      <w:numPr>
        <w:ilvl w:val="2"/>
        <w:numId w:val="4"/>
      </w:numPr>
      <w:tabs>
        <w:tab w:val="left" w:pos="1134"/>
      </w:tabs>
      <w:spacing w:before="200" w:after="120"/>
      <w:outlineLvl w:val="4"/>
    </w:pPr>
    <w:rPr>
      <w:rFonts w:asciiTheme="majorHAnsi" w:eastAsiaTheme="minorHAnsi" w:hAnsiTheme="majorHAnsi" w:cstheme="minorBidi"/>
      <w:b/>
      <w:i/>
      <w:color w:val="4F81BD" w:themeColor="accent1"/>
      <w:sz w:val="24"/>
      <w:szCs w:val="22"/>
      <w:u w:val="none"/>
      <w:lang w:val="en-US" w:eastAsia="en-US"/>
    </w:rPr>
  </w:style>
  <w:style w:type="paragraph" w:styleId="Heading6">
    <w:name w:val="heading 6"/>
    <w:basedOn w:val="Heading4"/>
    <w:next w:val="Normal"/>
    <w:link w:val="Heading6Char"/>
    <w:uiPriority w:val="9"/>
    <w:unhideWhenUsed/>
    <w:qFormat/>
    <w:rsid w:val="00A61C17"/>
    <w:pPr>
      <w:keepLines/>
      <w:tabs>
        <w:tab w:val="left" w:pos="1560"/>
      </w:tabs>
      <w:spacing w:before="200" w:after="0" w:line="276" w:lineRule="auto"/>
      <w:ind w:left="709"/>
      <w:contextualSpacing/>
      <w:outlineLvl w:val="5"/>
    </w:pPr>
    <w:rPr>
      <w:rFonts w:asciiTheme="majorHAnsi" w:eastAsiaTheme="majorEastAsia" w:hAnsiTheme="majorHAnsi"/>
      <w:b/>
      <w:i w:val="0"/>
      <w:iCs/>
      <w:sz w:val="24"/>
      <w:szCs w:val="22"/>
      <w:lang w:val="en-US" w:eastAsia="en-US"/>
    </w:rPr>
  </w:style>
  <w:style w:type="paragraph" w:styleId="Heading7">
    <w:name w:val="heading 7"/>
    <w:basedOn w:val="Heading3"/>
    <w:next w:val="Normal"/>
    <w:link w:val="Heading7Char"/>
    <w:uiPriority w:val="9"/>
    <w:unhideWhenUsed/>
    <w:qFormat/>
    <w:rsid w:val="00A61C17"/>
    <w:pPr>
      <w:keepLines/>
      <w:numPr>
        <w:ilvl w:val="2"/>
        <w:numId w:val="6"/>
      </w:numPr>
      <w:tabs>
        <w:tab w:val="left" w:pos="1701"/>
      </w:tabs>
      <w:spacing w:before="200" w:after="0" w:line="276" w:lineRule="auto"/>
      <w:ind w:left="1701" w:hanging="261"/>
      <w:contextualSpacing/>
      <w:outlineLvl w:val="6"/>
    </w:pPr>
    <w:rPr>
      <w:rFonts w:asciiTheme="majorHAnsi" w:eastAsiaTheme="minorHAnsi" w:hAnsiTheme="majorHAnsi" w:cstheme="minorBidi"/>
      <w:b/>
      <w:color w:val="4F81BD" w:themeColor="accent1"/>
      <w:sz w:val="24"/>
      <w:szCs w:val="22"/>
      <w:u w:val="none"/>
      <w:lang w:val="en-US" w:eastAsia="en-US"/>
    </w:rPr>
  </w:style>
  <w:style w:type="paragraph" w:styleId="Heading8">
    <w:name w:val="heading 8"/>
    <w:basedOn w:val="Heading3"/>
    <w:next w:val="Normal"/>
    <w:link w:val="Heading8Char"/>
    <w:uiPriority w:val="9"/>
    <w:unhideWhenUsed/>
    <w:qFormat/>
    <w:rsid w:val="00A61C17"/>
    <w:pPr>
      <w:keepLines/>
      <w:tabs>
        <w:tab w:val="left" w:pos="1985"/>
      </w:tabs>
      <w:spacing w:before="200" w:after="0" w:line="276" w:lineRule="auto"/>
      <w:contextualSpacing/>
      <w:outlineLvl w:val="7"/>
    </w:pPr>
    <w:rPr>
      <w:rFonts w:asciiTheme="majorHAnsi" w:eastAsiaTheme="minorHAnsi" w:hAnsiTheme="majorHAnsi" w:cstheme="minorBidi"/>
      <w:b/>
      <w:i/>
      <w:color w:val="4F81BD" w:themeColor="accent1"/>
      <w:sz w:val="24"/>
      <w:szCs w:val="22"/>
      <w:u w:val="none"/>
      <w:lang w:val="en-US" w:eastAsia="en-US"/>
    </w:rPr>
  </w:style>
  <w:style w:type="paragraph" w:styleId="Heading9">
    <w:name w:val="heading 9"/>
    <w:basedOn w:val="Normal"/>
    <w:next w:val="Normal"/>
    <w:link w:val="Heading9Char"/>
    <w:uiPriority w:val="9"/>
    <w:semiHidden/>
    <w:unhideWhenUsed/>
    <w:qFormat/>
    <w:rsid w:val="00A61C17"/>
    <w:pPr>
      <w:keepNext/>
      <w:keepLines/>
      <w:numPr>
        <w:ilvl w:val="8"/>
        <w:numId w:val="4"/>
      </w:numPr>
      <w:tabs>
        <w:tab w:val="left" w:pos="1560"/>
      </w:tabs>
      <w:spacing w:before="200" w:line="276" w:lineRule="auto"/>
      <w:contextualSpacing/>
      <w:outlineLvl w:val="8"/>
    </w:pPr>
    <w:rPr>
      <w:rFonts w:asciiTheme="majorHAnsi" w:eastAsiaTheme="majorEastAsia" w:hAnsiTheme="majorHAnsi" w:cstheme="majorBidi"/>
      <w:i/>
      <w:iCs/>
      <w:color w:val="404040" w:themeColor="text1" w:themeTint="B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customStyle="1" w:styleId="Char">
    <w:name w:val="Char 字元 字元"/>
    <w:basedOn w:val="Normal"/>
    <w:rsid w:val="0084099F"/>
    <w:pPr>
      <w:spacing w:after="160" w:line="240" w:lineRule="exact"/>
    </w:pPr>
    <w:rPr>
      <w:rFonts w:ascii="Verdana" w:eastAsia="PMingLiU" w:hAnsi="Verdana" w:cs="Times New Roman"/>
      <w:sz w:val="20"/>
      <w:lang w:val="en-US"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uiPriority w:val="99"/>
    <w:rsid w:val="00C53881"/>
    <w:rPr>
      <w:rFonts w:ascii="Tahoma" w:hAnsi="Tahoma" w:cs="Tahoma"/>
      <w:sz w:val="16"/>
      <w:szCs w:val="16"/>
    </w:rPr>
  </w:style>
  <w:style w:type="character" w:customStyle="1" w:styleId="BalloonTextChar">
    <w:name w:val="Balloon Text Char"/>
    <w:basedOn w:val="DefaultParagraphFont"/>
    <w:link w:val="BalloonText"/>
    <w:uiPriority w:val="99"/>
    <w:rsid w:val="00C53881"/>
    <w:rPr>
      <w:rFonts w:ascii="Tahoma" w:eastAsia="SimSun" w:hAnsi="Tahoma" w:cs="Tahoma"/>
      <w:sz w:val="16"/>
      <w:szCs w:val="16"/>
      <w:lang w:eastAsia="zh-CN" w:bidi="ar-SA"/>
    </w:rPr>
  </w:style>
  <w:style w:type="character" w:customStyle="1" w:styleId="Heading5Char">
    <w:name w:val="Heading 5 Char"/>
    <w:basedOn w:val="DefaultParagraphFont"/>
    <w:link w:val="Heading5"/>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6Char">
    <w:name w:val="Heading 6 Char"/>
    <w:basedOn w:val="DefaultParagraphFont"/>
    <w:link w:val="Heading6"/>
    <w:uiPriority w:val="9"/>
    <w:rsid w:val="00A61C17"/>
    <w:rPr>
      <w:rFonts w:asciiTheme="majorHAnsi" w:eastAsiaTheme="majorEastAsia" w:hAnsiTheme="majorHAnsi" w:cs="Arial"/>
      <w:b/>
      <w:bCs/>
      <w:iCs/>
      <w:sz w:val="24"/>
      <w:szCs w:val="22"/>
      <w:lang w:val="en-US" w:eastAsia="en-US" w:bidi="ar-SA"/>
    </w:rPr>
  </w:style>
  <w:style w:type="character" w:customStyle="1" w:styleId="Heading7Char">
    <w:name w:val="Heading 7 Char"/>
    <w:basedOn w:val="DefaultParagraphFont"/>
    <w:link w:val="Heading7"/>
    <w:uiPriority w:val="9"/>
    <w:rsid w:val="00A61C17"/>
    <w:rPr>
      <w:rFonts w:asciiTheme="majorHAnsi" w:eastAsiaTheme="minorHAnsi" w:hAnsiTheme="majorHAnsi" w:cstheme="minorBidi"/>
      <w:b/>
      <w:bCs/>
      <w:color w:val="4F81BD" w:themeColor="accent1"/>
      <w:sz w:val="24"/>
      <w:szCs w:val="22"/>
      <w:lang w:val="en-US" w:eastAsia="en-US" w:bidi="ar-SA"/>
    </w:rPr>
  </w:style>
  <w:style w:type="character" w:customStyle="1" w:styleId="Heading8Char">
    <w:name w:val="Heading 8 Char"/>
    <w:basedOn w:val="DefaultParagraphFont"/>
    <w:link w:val="Heading8"/>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9Char">
    <w:name w:val="Heading 9 Char"/>
    <w:basedOn w:val="DefaultParagraphFont"/>
    <w:link w:val="Heading9"/>
    <w:uiPriority w:val="9"/>
    <w:semiHidden/>
    <w:rsid w:val="00A61C17"/>
    <w:rPr>
      <w:rFonts w:asciiTheme="majorHAnsi" w:eastAsiaTheme="majorEastAsia" w:hAnsiTheme="majorHAnsi" w:cstheme="majorBidi"/>
      <w:i/>
      <w:iCs/>
      <w:color w:val="404040" w:themeColor="text1" w:themeTint="BF"/>
      <w:lang w:val="en-US" w:eastAsia="en-US" w:bidi="ar-SA"/>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rsid w:val="00A61C17"/>
    <w:rPr>
      <w:rFonts w:ascii="Arial" w:eastAsia="SimSun" w:hAnsi="Arial" w:cs="Arial"/>
      <w:sz w:val="18"/>
      <w:lang w:eastAsia="zh-CN" w:bidi="ar-SA"/>
    </w:rPr>
  </w:style>
  <w:style w:type="character" w:styleId="FootnoteReference">
    <w:name w:val="footnote reference"/>
    <w:aliases w:val="16 Point,Superscript 6 Point,Ref,de nota al pie"/>
    <w:basedOn w:val="DefaultParagraphFont"/>
    <w:unhideWhenUsed/>
    <w:rsid w:val="00A61C17"/>
    <w:rPr>
      <w:vertAlign w:val="superscript"/>
    </w:rPr>
  </w:style>
  <w:style w:type="character" w:customStyle="1" w:styleId="Heading1Char">
    <w:name w:val="Heading 1 Char"/>
    <w:basedOn w:val="DefaultParagraphFont"/>
    <w:link w:val="Heading1"/>
    <w:uiPriority w:val="9"/>
    <w:rsid w:val="00A61C17"/>
    <w:rPr>
      <w:rFonts w:ascii="Arial" w:eastAsia="SimSun" w:hAnsi="Arial" w:cs="Arial"/>
      <w:b/>
      <w:bCs/>
      <w:caps/>
      <w:kern w:val="32"/>
      <w:sz w:val="22"/>
      <w:szCs w:val="32"/>
      <w:lang w:eastAsia="zh-CN" w:bidi="ar-SA"/>
    </w:rPr>
  </w:style>
  <w:style w:type="character" w:customStyle="1" w:styleId="Heading2Char">
    <w:name w:val="Heading 2 Char"/>
    <w:basedOn w:val="DefaultParagraphFont"/>
    <w:link w:val="Heading2"/>
    <w:uiPriority w:val="9"/>
    <w:rsid w:val="00A61C17"/>
    <w:rPr>
      <w:rFonts w:ascii="Arial" w:eastAsia="SimSun" w:hAnsi="Arial" w:cs="Arial"/>
      <w:bCs/>
      <w:iCs/>
      <w:caps/>
      <w:sz w:val="22"/>
      <w:szCs w:val="28"/>
      <w:lang w:eastAsia="zh-CN" w:bidi="ar-SA"/>
    </w:rPr>
  </w:style>
  <w:style w:type="character" w:customStyle="1" w:styleId="Heading3Char">
    <w:name w:val="Heading 3 Char"/>
    <w:basedOn w:val="DefaultParagraphFont"/>
    <w:link w:val="Heading3"/>
    <w:uiPriority w:val="9"/>
    <w:rsid w:val="00A61C17"/>
    <w:rPr>
      <w:rFonts w:ascii="Arial" w:eastAsia="SimSun" w:hAnsi="Arial" w:cs="Arial"/>
      <w:bCs/>
      <w:sz w:val="22"/>
      <w:szCs w:val="26"/>
      <w:u w:val="single"/>
      <w:lang w:eastAsia="zh-CN" w:bidi="ar-SA"/>
    </w:rPr>
  </w:style>
  <w:style w:type="character" w:customStyle="1" w:styleId="Heading4Char">
    <w:name w:val="Heading 4 Char"/>
    <w:basedOn w:val="DefaultParagraphFont"/>
    <w:link w:val="Heading4"/>
    <w:uiPriority w:val="9"/>
    <w:rsid w:val="00A61C17"/>
    <w:rPr>
      <w:rFonts w:ascii="Arial" w:eastAsia="SimSun" w:hAnsi="Arial" w:cs="Arial"/>
      <w:bCs/>
      <w:i/>
      <w:sz w:val="22"/>
      <w:szCs w:val="28"/>
      <w:lang w:eastAsia="zh-CN" w:bidi="ar-SA"/>
    </w:rPr>
  </w:style>
  <w:style w:type="numbering" w:customStyle="1" w:styleId="NoList1">
    <w:name w:val="No List1"/>
    <w:next w:val="NoList"/>
    <w:uiPriority w:val="99"/>
    <w:semiHidden/>
    <w:unhideWhenUsed/>
    <w:rsid w:val="00A61C17"/>
  </w:style>
  <w:style w:type="paragraph" w:styleId="ListParagraph">
    <w:name w:val="List Paragraph"/>
    <w:basedOn w:val="Normal"/>
    <w:uiPriority w:val="34"/>
    <w:qFormat/>
    <w:rsid w:val="00A61C17"/>
    <w:pPr>
      <w:tabs>
        <w:tab w:val="left" w:pos="1560"/>
      </w:tabs>
      <w:spacing w:before="120" w:after="100" w:line="276" w:lineRule="auto"/>
      <w:ind w:left="720"/>
      <w:contextualSpacing/>
    </w:pPr>
    <w:rPr>
      <w:rFonts w:eastAsiaTheme="minorHAnsi"/>
      <w:szCs w:val="22"/>
      <w:lang w:val="en-US" w:eastAsia="en-US"/>
    </w:rPr>
  </w:style>
  <w:style w:type="character" w:styleId="CommentReference">
    <w:name w:val="annotation reference"/>
    <w:basedOn w:val="DefaultParagraphFont"/>
    <w:unhideWhenUsed/>
    <w:rsid w:val="00A61C17"/>
    <w:rPr>
      <w:sz w:val="16"/>
      <w:szCs w:val="16"/>
    </w:rPr>
  </w:style>
  <w:style w:type="character" w:customStyle="1" w:styleId="CommentTextChar">
    <w:name w:val="Comment Text Char"/>
    <w:basedOn w:val="DefaultParagraphFont"/>
    <w:uiPriority w:val="99"/>
    <w:semiHidden/>
    <w:rsid w:val="00A61C17"/>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A61C17"/>
    <w:pPr>
      <w:tabs>
        <w:tab w:val="left" w:pos="1560"/>
      </w:tabs>
      <w:spacing w:before="120" w:after="100"/>
      <w:ind w:left="709"/>
      <w:contextualSpacing/>
    </w:pPr>
    <w:rPr>
      <w:rFonts w:eastAsiaTheme="minorHAnsi"/>
      <w:b/>
      <w:bCs/>
      <w:sz w:val="20"/>
      <w:lang w:val="en-US" w:eastAsia="en-US"/>
    </w:rPr>
  </w:style>
  <w:style w:type="character" w:customStyle="1" w:styleId="CommentTextChar1">
    <w:name w:val="Comment Text Char1"/>
    <w:basedOn w:val="DefaultParagraphFont"/>
    <w:link w:val="CommentText"/>
    <w:uiPriority w:val="99"/>
    <w:semiHidden/>
    <w:rsid w:val="00A61C17"/>
    <w:rPr>
      <w:rFonts w:ascii="Arial" w:eastAsia="SimSun" w:hAnsi="Arial" w:cs="Arial"/>
      <w:sz w:val="18"/>
      <w:lang w:eastAsia="zh-CN" w:bidi="ar-SA"/>
    </w:rPr>
  </w:style>
  <w:style w:type="character" w:customStyle="1" w:styleId="CommentSubjectChar">
    <w:name w:val="Comment Subject Char"/>
    <w:basedOn w:val="CommentTextChar1"/>
    <w:link w:val="CommentSubject"/>
    <w:uiPriority w:val="99"/>
    <w:rsid w:val="00A61C17"/>
    <w:rPr>
      <w:rFonts w:ascii="Arial" w:eastAsiaTheme="minorHAnsi" w:hAnsi="Arial" w:cs="Arial"/>
      <w:b/>
      <w:bCs/>
      <w:sz w:val="18"/>
      <w:lang w:val="en-US" w:eastAsia="en-US" w:bidi="ar-SA"/>
    </w:rPr>
  </w:style>
  <w:style w:type="character" w:customStyle="1" w:styleId="HeaderChar">
    <w:name w:val="Header Char"/>
    <w:basedOn w:val="DefaultParagraphFont"/>
    <w:link w:val="Header"/>
    <w:uiPriority w:val="99"/>
    <w:rsid w:val="00A61C17"/>
    <w:rPr>
      <w:rFonts w:ascii="Arial" w:eastAsia="SimSun" w:hAnsi="Arial" w:cs="Arial"/>
      <w:sz w:val="22"/>
      <w:lang w:eastAsia="zh-CN" w:bidi="ar-SA"/>
    </w:rPr>
  </w:style>
  <w:style w:type="character" w:customStyle="1" w:styleId="FooterChar">
    <w:name w:val="Footer Char"/>
    <w:basedOn w:val="DefaultParagraphFont"/>
    <w:link w:val="Footer"/>
    <w:uiPriority w:val="99"/>
    <w:rsid w:val="00A61C17"/>
    <w:rPr>
      <w:rFonts w:ascii="Arial" w:eastAsia="SimSun" w:hAnsi="Arial" w:cs="Arial"/>
      <w:sz w:val="22"/>
      <w:lang w:eastAsia="zh-CN" w:bidi="ar-SA"/>
    </w:rPr>
  </w:style>
  <w:style w:type="paragraph" w:styleId="NormalWeb">
    <w:name w:val="Normal (Web)"/>
    <w:basedOn w:val="Normal"/>
    <w:uiPriority w:val="99"/>
    <w:unhideWhenUsed/>
    <w:rsid w:val="00A61C17"/>
    <w:pPr>
      <w:tabs>
        <w:tab w:val="left" w:pos="1560"/>
      </w:tabs>
      <w:spacing w:before="100" w:beforeAutospacing="1" w:after="100" w:afterAutospacing="1"/>
      <w:ind w:left="709"/>
      <w:contextualSpacing/>
    </w:pPr>
    <w:rPr>
      <w:rFonts w:ascii="Times New Roman" w:eastAsia="Times New Roman" w:hAnsi="Times New Roman" w:cs="Times New Roman"/>
      <w:sz w:val="24"/>
      <w:szCs w:val="24"/>
      <w:lang w:val="en-US" w:eastAsia="fr-CH"/>
    </w:rPr>
  </w:style>
  <w:style w:type="character" w:styleId="Hyperlink">
    <w:name w:val="Hyperlink"/>
    <w:basedOn w:val="DefaultParagraphFont"/>
    <w:uiPriority w:val="99"/>
    <w:unhideWhenUsed/>
    <w:rsid w:val="00A61C17"/>
    <w:rPr>
      <w:color w:val="0000FF" w:themeColor="hyperlink"/>
      <w:u w:val="single"/>
    </w:rPr>
  </w:style>
  <w:style w:type="numbering" w:customStyle="1" w:styleId="WIPO">
    <w:name w:val="WIPO"/>
    <w:uiPriority w:val="99"/>
    <w:rsid w:val="00A61C17"/>
    <w:pPr>
      <w:numPr>
        <w:numId w:val="5"/>
      </w:numPr>
    </w:pPr>
  </w:style>
  <w:style w:type="paragraph" w:styleId="TOCHeading">
    <w:name w:val="TOC Heading"/>
    <w:basedOn w:val="Heading1"/>
    <w:next w:val="Normal"/>
    <w:uiPriority w:val="39"/>
    <w:unhideWhenUsed/>
    <w:qFormat/>
    <w:rsid w:val="00A61C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TOC1">
    <w:name w:val="toc 1"/>
    <w:basedOn w:val="Normal"/>
    <w:next w:val="Normal"/>
    <w:autoRedefine/>
    <w:uiPriority w:val="39"/>
    <w:unhideWhenUsed/>
    <w:rsid w:val="00A61C17"/>
    <w:pPr>
      <w:tabs>
        <w:tab w:val="left" w:pos="440"/>
        <w:tab w:val="right" w:pos="9062"/>
      </w:tabs>
      <w:spacing w:before="120" w:after="100" w:line="276" w:lineRule="auto"/>
    </w:pPr>
    <w:rPr>
      <w:rFonts w:eastAsiaTheme="minorHAnsi"/>
      <w:b/>
      <w:noProof/>
      <w:szCs w:val="22"/>
      <w:lang w:val="en-US" w:eastAsia="en-US"/>
    </w:rPr>
  </w:style>
  <w:style w:type="paragraph" w:styleId="TOC2">
    <w:name w:val="toc 2"/>
    <w:basedOn w:val="Normal"/>
    <w:next w:val="Normal"/>
    <w:autoRedefine/>
    <w:uiPriority w:val="39"/>
    <w:unhideWhenUsed/>
    <w:rsid w:val="00A61C17"/>
    <w:pPr>
      <w:tabs>
        <w:tab w:val="left" w:pos="1560"/>
        <w:tab w:val="right" w:pos="9062"/>
      </w:tabs>
      <w:spacing w:before="120" w:after="100" w:line="276" w:lineRule="auto"/>
      <w:ind w:left="567"/>
      <w:contextualSpacing/>
    </w:pPr>
    <w:rPr>
      <w:rFonts w:eastAsiaTheme="minorHAnsi"/>
      <w:szCs w:val="22"/>
      <w:lang w:val="en-US" w:eastAsia="en-US"/>
    </w:rPr>
  </w:style>
  <w:style w:type="paragraph" w:styleId="TOC3">
    <w:name w:val="toc 3"/>
    <w:basedOn w:val="Normal"/>
    <w:next w:val="Normal"/>
    <w:autoRedefine/>
    <w:uiPriority w:val="39"/>
    <w:unhideWhenUsed/>
    <w:rsid w:val="00A61C17"/>
    <w:pPr>
      <w:tabs>
        <w:tab w:val="left" w:pos="1418"/>
        <w:tab w:val="right" w:pos="9062"/>
      </w:tabs>
      <w:spacing w:before="120" w:after="100"/>
      <w:ind w:left="1134"/>
      <w:contextualSpacing/>
    </w:pPr>
    <w:rPr>
      <w:rFonts w:eastAsiaTheme="minorHAnsi"/>
      <w:szCs w:val="22"/>
      <w:lang w:val="en-US" w:eastAsia="en-US"/>
    </w:rPr>
  </w:style>
  <w:style w:type="paragraph" w:styleId="IntenseQuote">
    <w:name w:val="Intense Quote"/>
    <w:basedOn w:val="Heading2"/>
    <w:next w:val="Normal"/>
    <w:link w:val="IntenseQuoteChar"/>
    <w:uiPriority w:val="30"/>
    <w:qFormat/>
    <w:rsid w:val="00A61C17"/>
    <w:pPr>
      <w:keepLines/>
      <w:tabs>
        <w:tab w:val="left" w:pos="1276"/>
      </w:tabs>
      <w:spacing w:before="200" w:after="0"/>
      <w:ind w:left="1276" w:hanging="567"/>
      <w:contextualSpacing/>
    </w:pPr>
    <w:rPr>
      <w:rFonts w:asciiTheme="majorHAnsi" w:eastAsiaTheme="majorEastAsia" w:hAnsiTheme="majorHAnsi" w:cstheme="majorBidi"/>
      <w:b/>
      <w:iCs w:val="0"/>
      <w:caps w:val="0"/>
      <w:color w:val="4F81BD" w:themeColor="accent1"/>
      <w:sz w:val="26"/>
      <w:szCs w:val="26"/>
      <w:lang w:val="en-US" w:eastAsia="en-US"/>
    </w:rPr>
  </w:style>
  <w:style w:type="character" w:customStyle="1" w:styleId="IntenseQuoteChar">
    <w:name w:val="Intense Quote Char"/>
    <w:basedOn w:val="DefaultParagraphFont"/>
    <w:link w:val="IntenseQuote"/>
    <w:uiPriority w:val="30"/>
    <w:rsid w:val="00A61C17"/>
    <w:rPr>
      <w:rFonts w:asciiTheme="majorHAnsi" w:eastAsiaTheme="majorEastAsia" w:hAnsiTheme="majorHAnsi" w:cstheme="majorBidi"/>
      <w:b/>
      <w:bCs/>
      <w:color w:val="4F81BD" w:themeColor="accent1"/>
      <w:sz w:val="26"/>
      <w:szCs w:val="26"/>
      <w:lang w:val="en-US" w:eastAsia="en-US" w:bidi="ar-SA"/>
    </w:rPr>
  </w:style>
  <w:style w:type="paragraph" w:customStyle="1" w:styleId="Preamplenotintoc">
    <w:name w:val="Preample not in toc"/>
    <w:basedOn w:val="Heading1"/>
    <w:link w:val="PreamplenotintocChar"/>
    <w:qFormat/>
    <w:rsid w:val="00A61C17"/>
    <w:pPr>
      <w:keepLines/>
      <w:tabs>
        <w:tab w:val="left" w:pos="426"/>
        <w:tab w:val="left" w:pos="1560"/>
      </w:tabs>
      <w:spacing w:before="480" w:after="0" w:line="276" w:lineRule="auto"/>
      <w:contextualSpacing/>
    </w:pPr>
    <w:rPr>
      <w:rFonts w:asciiTheme="majorHAnsi" w:eastAsiaTheme="majorEastAsia" w:hAnsiTheme="majorHAnsi" w:cstheme="majorBidi"/>
      <w:caps w:val="0"/>
      <w:color w:val="365F91" w:themeColor="accent1" w:themeShade="BF"/>
      <w:sz w:val="28"/>
      <w:szCs w:val="28"/>
      <w:lang w:val="en-US" w:eastAsia="en-US"/>
    </w:rPr>
  </w:style>
  <w:style w:type="paragraph" w:styleId="DocumentMap">
    <w:name w:val="Document Map"/>
    <w:basedOn w:val="Normal"/>
    <w:link w:val="DocumentMapChar"/>
    <w:uiPriority w:val="99"/>
    <w:unhideWhenUsed/>
    <w:rsid w:val="00A61C17"/>
    <w:pPr>
      <w:tabs>
        <w:tab w:val="left" w:pos="1560"/>
      </w:tabs>
      <w:spacing w:before="120"/>
      <w:ind w:left="709"/>
      <w:contextualSpacing/>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rsid w:val="00A61C17"/>
    <w:rPr>
      <w:rFonts w:ascii="Tahoma" w:eastAsiaTheme="minorHAnsi" w:hAnsi="Tahoma" w:cs="Tahoma"/>
      <w:sz w:val="16"/>
      <w:szCs w:val="16"/>
      <w:lang w:val="en-US" w:eastAsia="en-US" w:bidi="ar-SA"/>
    </w:rPr>
  </w:style>
  <w:style w:type="character" w:customStyle="1" w:styleId="PreamplenotintocChar">
    <w:name w:val="Preample not in toc Char"/>
    <w:basedOn w:val="Heading1Char"/>
    <w:link w:val="Preamplenotintoc"/>
    <w:rsid w:val="00A61C17"/>
    <w:rPr>
      <w:rFonts w:asciiTheme="majorHAnsi" w:eastAsiaTheme="majorEastAsia" w:hAnsiTheme="majorHAnsi" w:cstheme="majorBidi"/>
      <w:b/>
      <w:bCs/>
      <w:caps w:val="0"/>
      <w:color w:val="365F91" w:themeColor="accent1" w:themeShade="BF"/>
      <w:kern w:val="32"/>
      <w:sz w:val="28"/>
      <w:szCs w:val="28"/>
      <w:lang w:val="en-US" w:eastAsia="en-US" w:bidi="ar-SA"/>
    </w:rPr>
  </w:style>
  <w:style w:type="table" w:styleId="TableGrid">
    <w:name w:val="Table Grid"/>
    <w:basedOn w:val="TableNormal"/>
    <w:uiPriority w:val="59"/>
    <w:rsid w:val="00A61C17"/>
    <w:pPr>
      <w:spacing w:before="120"/>
    </w:pPr>
    <w:rPr>
      <w:rFonts w:asciiTheme="minorHAnsi" w:eastAsiaTheme="minorHAnsi" w:hAnsiTheme="minorHAnsi" w:cstheme="minorBidi"/>
      <w:sz w:val="22"/>
      <w:szCs w:val="22"/>
      <w:lang w:val="fr-CH"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Heading8"/>
    <w:link w:val="Style3Char"/>
    <w:qFormat/>
    <w:rsid w:val="00A61C17"/>
  </w:style>
  <w:style w:type="paragraph" w:styleId="TOC4">
    <w:name w:val="toc 4"/>
    <w:basedOn w:val="Normal"/>
    <w:next w:val="Normal"/>
    <w:autoRedefine/>
    <w:uiPriority w:val="39"/>
    <w:unhideWhenUsed/>
    <w:rsid w:val="00A61C17"/>
    <w:pPr>
      <w:spacing w:before="120" w:after="100" w:line="276" w:lineRule="auto"/>
      <w:ind w:left="660"/>
    </w:pPr>
    <w:rPr>
      <w:rFonts w:asciiTheme="minorHAnsi" w:eastAsiaTheme="minorEastAsia" w:hAnsiTheme="minorHAnsi" w:cstheme="minorBidi"/>
      <w:szCs w:val="22"/>
      <w:lang w:val="en-US" w:eastAsia="en-US"/>
    </w:rPr>
  </w:style>
  <w:style w:type="character" w:customStyle="1" w:styleId="Style3Char">
    <w:name w:val="Style3+ Char"/>
    <w:basedOn w:val="Heading8Char"/>
    <w:link w:val="Style3"/>
    <w:rsid w:val="00A61C17"/>
    <w:rPr>
      <w:rFonts w:asciiTheme="majorHAnsi" w:eastAsiaTheme="minorHAnsi" w:hAnsiTheme="majorHAnsi" w:cstheme="minorBidi"/>
      <w:b/>
      <w:bCs/>
      <w:i/>
      <w:color w:val="4F81BD" w:themeColor="accent1"/>
      <w:sz w:val="24"/>
      <w:szCs w:val="22"/>
      <w:lang w:val="en-US" w:eastAsia="en-US" w:bidi="ar-SA"/>
    </w:rPr>
  </w:style>
  <w:style w:type="paragraph" w:styleId="TOC5">
    <w:name w:val="toc 5"/>
    <w:basedOn w:val="Normal"/>
    <w:next w:val="Normal"/>
    <w:autoRedefine/>
    <w:uiPriority w:val="39"/>
    <w:unhideWhenUsed/>
    <w:rsid w:val="00A61C17"/>
    <w:pPr>
      <w:spacing w:before="120" w:after="100" w:line="276" w:lineRule="auto"/>
      <w:ind w:left="880"/>
    </w:pPr>
    <w:rPr>
      <w:rFonts w:asciiTheme="minorHAnsi" w:eastAsiaTheme="minorEastAsia" w:hAnsiTheme="minorHAnsi" w:cstheme="minorBidi"/>
      <w:szCs w:val="22"/>
      <w:lang w:val="en-US" w:eastAsia="en-US"/>
    </w:rPr>
  </w:style>
  <w:style w:type="paragraph" w:styleId="TOC6">
    <w:name w:val="toc 6"/>
    <w:basedOn w:val="Normal"/>
    <w:next w:val="Normal"/>
    <w:autoRedefine/>
    <w:uiPriority w:val="39"/>
    <w:unhideWhenUsed/>
    <w:rsid w:val="00A61C17"/>
    <w:pPr>
      <w:spacing w:before="120" w:after="100" w:line="276" w:lineRule="auto"/>
      <w:ind w:left="1100"/>
    </w:pPr>
    <w:rPr>
      <w:rFonts w:asciiTheme="minorHAnsi" w:eastAsiaTheme="minorEastAsia" w:hAnsiTheme="minorHAnsi" w:cstheme="minorBidi"/>
      <w:szCs w:val="22"/>
      <w:lang w:val="en-US" w:eastAsia="en-US"/>
    </w:rPr>
  </w:style>
  <w:style w:type="paragraph" w:styleId="TOC7">
    <w:name w:val="toc 7"/>
    <w:basedOn w:val="Normal"/>
    <w:next w:val="Normal"/>
    <w:autoRedefine/>
    <w:uiPriority w:val="39"/>
    <w:unhideWhenUsed/>
    <w:rsid w:val="00A61C17"/>
    <w:pPr>
      <w:spacing w:before="120" w:after="100" w:line="276" w:lineRule="auto"/>
      <w:ind w:left="1320"/>
    </w:pPr>
    <w:rPr>
      <w:rFonts w:asciiTheme="minorHAnsi" w:eastAsiaTheme="minorEastAsia" w:hAnsiTheme="minorHAnsi" w:cstheme="minorBidi"/>
      <w:szCs w:val="22"/>
      <w:lang w:val="en-US" w:eastAsia="en-US"/>
    </w:rPr>
  </w:style>
  <w:style w:type="paragraph" w:styleId="TOC8">
    <w:name w:val="toc 8"/>
    <w:basedOn w:val="Normal"/>
    <w:next w:val="Normal"/>
    <w:autoRedefine/>
    <w:uiPriority w:val="39"/>
    <w:unhideWhenUsed/>
    <w:rsid w:val="00A61C17"/>
    <w:pPr>
      <w:spacing w:before="120" w:after="100" w:line="276" w:lineRule="auto"/>
      <w:ind w:left="1540"/>
    </w:pPr>
    <w:rPr>
      <w:rFonts w:asciiTheme="minorHAnsi" w:eastAsiaTheme="minorEastAsia" w:hAnsiTheme="minorHAnsi" w:cstheme="minorBidi"/>
      <w:szCs w:val="22"/>
      <w:lang w:val="en-US" w:eastAsia="en-US"/>
    </w:rPr>
  </w:style>
  <w:style w:type="paragraph" w:styleId="TOC9">
    <w:name w:val="toc 9"/>
    <w:basedOn w:val="Normal"/>
    <w:next w:val="Normal"/>
    <w:autoRedefine/>
    <w:uiPriority w:val="39"/>
    <w:unhideWhenUsed/>
    <w:rsid w:val="00A61C17"/>
    <w:pPr>
      <w:spacing w:before="120" w:after="100" w:line="276" w:lineRule="auto"/>
      <w:ind w:left="1760"/>
    </w:pPr>
    <w:rPr>
      <w:rFonts w:asciiTheme="minorHAnsi" w:eastAsiaTheme="minorEastAsia" w:hAnsiTheme="minorHAnsi" w:cstheme="minorBidi"/>
      <w:szCs w:val="22"/>
      <w:lang w:val="en-US" w:eastAsia="en-US"/>
    </w:rPr>
  </w:style>
  <w:style w:type="table" w:customStyle="1" w:styleId="TableGrid1">
    <w:name w:val="Table Grid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A61C17"/>
    <w:rPr>
      <w:rFonts w:ascii="Arial" w:eastAsia="SimSun" w:hAnsi="Arial" w:cs="Arial"/>
      <w:sz w:val="18"/>
      <w:lang w:eastAsia="zh-CN" w:bidi="ar-SA"/>
    </w:rPr>
  </w:style>
  <w:style w:type="character" w:styleId="EndnoteReference">
    <w:name w:val="endnote reference"/>
    <w:basedOn w:val="DefaultParagraphFont"/>
    <w:uiPriority w:val="99"/>
    <w:unhideWhenUsed/>
    <w:rsid w:val="00A61C17"/>
    <w:rPr>
      <w:vertAlign w:val="superscript"/>
    </w:rPr>
  </w:style>
  <w:style w:type="paragraph" w:customStyle="1" w:styleId="CharCharCharCharCharChar">
    <w:name w:val="Char Char Char Char Char Char"/>
    <w:basedOn w:val="Normal"/>
    <w:rsid w:val="00A61C1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uiPriority w:val="99"/>
    <w:rsid w:val="00A61C17"/>
    <w:rPr>
      <w:rFonts w:ascii="Arial" w:eastAsia="SimSun" w:hAnsi="Arial" w:cs="Arial"/>
      <w:sz w:val="22"/>
      <w:lang w:eastAsia="zh-CN" w:bidi="ar-SA"/>
    </w:rPr>
  </w:style>
  <w:style w:type="numbering" w:customStyle="1" w:styleId="NoList2">
    <w:name w:val="No List2"/>
    <w:next w:val="NoList"/>
    <w:semiHidden/>
    <w:rsid w:val="00A61C17"/>
  </w:style>
  <w:style w:type="character" w:customStyle="1" w:styleId="SalutationChar">
    <w:name w:val="Salutation Char"/>
    <w:basedOn w:val="DefaultParagraphFont"/>
    <w:link w:val="Salutation"/>
    <w:semiHidden/>
    <w:rsid w:val="00A61C17"/>
    <w:rPr>
      <w:rFonts w:ascii="Arial" w:eastAsia="SimSun" w:hAnsi="Arial" w:cs="Arial"/>
      <w:sz w:val="22"/>
      <w:lang w:eastAsia="zh-CN" w:bidi="ar-SA"/>
    </w:rPr>
  </w:style>
  <w:style w:type="character" w:customStyle="1" w:styleId="SignatureChar">
    <w:name w:val="Signature Char"/>
    <w:basedOn w:val="DefaultParagraphFont"/>
    <w:link w:val="Signature"/>
    <w:semiHidden/>
    <w:rsid w:val="00A61C17"/>
    <w:rPr>
      <w:rFonts w:ascii="Arial" w:eastAsia="SimSun" w:hAnsi="Arial" w:cs="Arial"/>
      <w:sz w:val="22"/>
      <w:lang w:eastAsia="zh-CN" w:bidi="ar-SA"/>
    </w:rPr>
  </w:style>
  <w:style w:type="numbering" w:customStyle="1" w:styleId="NoList11">
    <w:name w:val="No List11"/>
    <w:next w:val="NoList"/>
    <w:uiPriority w:val="99"/>
    <w:semiHidden/>
    <w:unhideWhenUsed/>
    <w:rsid w:val="00A61C17"/>
  </w:style>
  <w:style w:type="numbering" w:customStyle="1" w:styleId="NoList111">
    <w:name w:val="No List111"/>
    <w:next w:val="NoList"/>
    <w:uiPriority w:val="99"/>
    <w:semiHidden/>
    <w:unhideWhenUsed/>
    <w:rsid w:val="00A61C17"/>
  </w:style>
  <w:style w:type="numbering" w:customStyle="1" w:styleId="WIPO1">
    <w:name w:val="WIPO1"/>
    <w:uiPriority w:val="99"/>
    <w:rsid w:val="00A61C17"/>
  </w:style>
  <w:style w:type="table" w:customStyle="1" w:styleId="TableGrid2">
    <w:name w:val="Table Grid2"/>
    <w:basedOn w:val="TableNormal"/>
    <w:next w:val="TableGrid"/>
    <w:uiPriority w:val="59"/>
    <w:rsid w:val="00A61C17"/>
    <w:pPr>
      <w:spacing w:before="120"/>
    </w:pPr>
    <w:rPr>
      <w:rFonts w:ascii="Calibri" w:eastAsia="Calibri" w:hAnsi="Calibri"/>
      <w:sz w:val="22"/>
      <w:szCs w:val="22"/>
      <w:lang w:val="fr-CH" w:eastAsia="fr-CH"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A61C17"/>
  </w:style>
  <w:style w:type="numbering" w:customStyle="1" w:styleId="WIPO2">
    <w:name w:val="WIPO2"/>
    <w:uiPriority w:val="99"/>
    <w:rsid w:val="00A61C17"/>
  </w:style>
  <w:style w:type="numbering" w:customStyle="1" w:styleId="WIPO3">
    <w:name w:val="WIPO3"/>
    <w:uiPriority w:val="99"/>
    <w:rsid w:val="00A61C17"/>
  </w:style>
  <w:style w:type="numbering" w:customStyle="1" w:styleId="WIPO4">
    <w:name w:val="WIPO4"/>
    <w:uiPriority w:val="99"/>
    <w:rsid w:val="00A61C17"/>
  </w:style>
  <w:style w:type="numbering" w:customStyle="1" w:styleId="WIPO5">
    <w:name w:val="WIPO5"/>
    <w:uiPriority w:val="99"/>
    <w:rsid w:val="00A61C17"/>
  </w:style>
  <w:style w:type="numbering" w:customStyle="1" w:styleId="WIPO6">
    <w:name w:val="WIPO6"/>
    <w:uiPriority w:val="99"/>
    <w:rsid w:val="00A61C17"/>
  </w:style>
  <w:style w:type="paragraph" w:styleId="Revision">
    <w:name w:val="Revision"/>
    <w:hidden/>
    <w:uiPriority w:val="99"/>
    <w:semiHidden/>
    <w:rsid w:val="00A61C17"/>
    <w:rPr>
      <w:rFonts w:asciiTheme="minorHAnsi" w:eastAsiaTheme="minorHAnsi" w:hAnsiTheme="minorHAnsi" w:cstheme="minorBidi"/>
      <w:sz w:val="22"/>
      <w:szCs w:val="22"/>
      <w:lang w:val="fr-CH" w:eastAsia="en-US" w:bidi="ar-SA"/>
    </w:rPr>
  </w:style>
  <w:style w:type="character" w:styleId="FollowedHyperlink">
    <w:name w:val="FollowedHyperlink"/>
    <w:basedOn w:val="DefaultParagraphFont"/>
    <w:uiPriority w:val="99"/>
    <w:unhideWhenUsed/>
    <w:rsid w:val="00A61C17"/>
    <w:rPr>
      <w:color w:val="800080" w:themeColor="followedHyperlink"/>
      <w:u w:val="single"/>
    </w:rPr>
  </w:style>
  <w:style w:type="character" w:customStyle="1" w:styleId="ONUMFSChar">
    <w:name w:val="ONUM FS Char"/>
    <w:basedOn w:val="DefaultParagraphFont"/>
    <w:link w:val="ONUMFS"/>
    <w:rsid w:val="00A61C17"/>
    <w:rPr>
      <w:rFonts w:ascii="Arial" w:eastAsia="SimSun" w:hAnsi="Arial" w:cs="Arial"/>
      <w:sz w:val="22"/>
      <w:lang w:eastAsia="zh-CN" w:bidi="ar-SA"/>
    </w:rPr>
  </w:style>
  <w:style w:type="character" w:customStyle="1" w:styleId="Endofdocument-AnnexChar">
    <w:name w:val="[End of document - Annex] Char"/>
    <w:basedOn w:val="DefaultParagraphFont"/>
    <w:link w:val="Endofdocument-Annex"/>
    <w:rsid w:val="00E56F07"/>
    <w:rPr>
      <w:rFonts w:ascii="Arial" w:eastAsia="SimSun" w:hAnsi="Arial" w:cs="Arial"/>
      <w:sz w:val="22"/>
      <w:lang w:val="en-US" w:eastAsia="zh-CN" w:bidi="ar-SA"/>
    </w:rPr>
  </w:style>
  <w:style w:type="paragraph" w:customStyle="1" w:styleId="Paragraphedeliste1">
    <w:name w:val="Paragraphe de liste1"/>
    <w:basedOn w:val="Normal"/>
    <w:qFormat/>
    <w:rsid w:val="00E56F07"/>
    <w:pPr>
      <w:spacing w:after="200" w:line="276" w:lineRule="auto"/>
      <w:ind w:left="720"/>
      <w:contextualSpacing/>
    </w:pPr>
    <w:rPr>
      <w:rFonts w:ascii="Cambria" w:eastAsia="Cambria" w:hAnsi="Cambria"/>
      <w:szCs w:val="22"/>
      <w:lang w:eastAsia="es-ES"/>
    </w:rPr>
  </w:style>
  <w:style w:type="character" w:customStyle="1" w:styleId="apple-converted-space">
    <w:name w:val="apple-converted-space"/>
    <w:basedOn w:val="DefaultParagraphFont"/>
    <w:rsid w:val="00CB71C2"/>
  </w:style>
  <w:style w:type="paragraph" w:customStyle="1" w:styleId="Default">
    <w:name w:val="Default"/>
    <w:rsid w:val="006D1EBB"/>
    <w:pPr>
      <w:autoSpaceDE w:val="0"/>
      <w:autoSpaceDN w:val="0"/>
      <w:adjustRightInd w:val="0"/>
    </w:pPr>
    <w:rPr>
      <w:rFonts w:ascii="Arial" w:eastAsiaTheme="minorHAnsi" w:hAnsi="Arial" w:cs="Arial"/>
      <w:color w:val="000000"/>
      <w:sz w:val="24"/>
      <w:szCs w:val="24"/>
      <w:lang w:val="en-US" w:eastAsia="en-US" w:bidi="ar-SA"/>
    </w:rPr>
  </w:style>
  <w:style w:type="character" w:styleId="PageNumber">
    <w:name w:val="page number"/>
    <w:basedOn w:val="DefaultParagraphFont"/>
    <w:uiPriority w:val="99"/>
    <w:unhideWhenUsed/>
    <w:rsid w:val="00067534"/>
  </w:style>
  <w:style w:type="character" w:styleId="Emphasis">
    <w:name w:val="Emphasis"/>
    <w:basedOn w:val="DefaultParagraphFont"/>
    <w:uiPriority w:val="20"/>
    <w:qFormat/>
    <w:rsid w:val="00067534"/>
    <w:rPr>
      <w:i/>
      <w:iCs/>
    </w:rPr>
  </w:style>
  <w:style w:type="character" w:styleId="Strong">
    <w:name w:val="Strong"/>
    <w:basedOn w:val="DefaultParagraphFont"/>
    <w:uiPriority w:val="22"/>
    <w:qFormat/>
    <w:rsid w:val="00067534"/>
    <w:rPr>
      <w:b/>
      <w:bCs/>
    </w:rPr>
  </w:style>
  <w:style w:type="character" w:customStyle="1" w:styleId="highlight">
    <w:name w:val="highlight"/>
    <w:basedOn w:val="DefaultParagraphFont"/>
    <w:rsid w:val="0006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unwto.org" TargetMode="External"/><Relationship Id="rId21" Type="http://schemas.openxmlformats.org/officeDocument/2006/relationships/hyperlink" Target="http://www.unesco.org/" TargetMode="External"/><Relationship Id="rId42" Type="http://schemas.openxmlformats.org/officeDocument/2006/relationships/hyperlink" Target="http://www.ifad.org/sf/strategic_s.pdf" TargetMode="External"/><Relationship Id="rId47" Type="http://schemas.openxmlformats.org/officeDocument/2006/relationships/hyperlink" Target="http://www.ifad.org/gender/Gender" TargetMode="External"/><Relationship Id="rId63" Type="http://schemas.openxmlformats.org/officeDocument/2006/relationships/hyperlink" Target="http://www.intracen.org/about/millennium-development-goals/%20" TargetMode="External"/><Relationship Id="rId68" Type="http://schemas.openxmlformats.org/officeDocument/2006/relationships/hyperlink" Target="http://en.unesco.org/post2015/%20" TargetMode="External"/><Relationship Id="rId84" Type="http://schemas.openxmlformats.org/officeDocument/2006/relationships/hyperlink" Target="http://www.who.int/kobe_centre/publications/annual_report2012_en.pdf" TargetMode="External"/><Relationship Id="rId89" Type="http://schemas.openxmlformats.org/officeDocument/2006/relationships/hyperlink" Target="http://dtxtq4w60xqpw.cloudfront.net/sites/all/files/pdf/annual_report_2012.pdf" TargetMode="External"/><Relationship Id="rId7" Type="http://schemas.openxmlformats.org/officeDocument/2006/relationships/footnotes" Target="footnotes.xml"/><Relationship Id="rId71" Type="http://schemas.openxmlformats.org/officeDocument/2006/relationships/hyperlink" Target="http://www.unido.org/es/spanish.html" TargetMode="External"/><Relationship Id="rId92" Type="http://schemas.openxmlformats.org/officeDocument/2006/relationships/hyperlink" Target="http://www.wto.org/spanish/res_s/booksp_s/anrep_s/anrep12_s.pdf" TargetMode="External"/><Relationship Id="rId2" Type="http://schemas.openxmlformats.org/officeDocument/2006/relationships/numbering" Target="numbering.xml"/><Relationship Id="rId16" Type="http://schemas.openxmlformats.org/officeDocument/2006/relationships/hyperlink" Target="http://www.ilo.org" TargetMode="External"/><Relationship Id="rId29" Type="http://schemas.openxmlformats.org/officeDocument/2006/relationships/header" Target="header5.xml"/><Relationship Id="rId11" Type="http://schemas.openxmlformats.org/officeDocument/2006/relationships/header" Target="header2.xml"/><Relationship Id="rId24" Type="http://schemas.openxmlformats.org/officeDocument/2006/relationships/hyperlink" Target="http://www.who.int/" TargetMode="External"/><Relationship Id="rId32" Type="http://schemas.openxmlformats.org/officeDocument/2006/relationships/hyperlink" Target="http://www.fao.org/docrep/meeting/027/mf490s.pdf" TargetMode="External"/><Relationship Id="rId37" Type="http://schemas.openxmlformats.org/officeDocument/2006/relationships/hyperlink" Target="http://www.iaea.org/About/Policy/GC/GC57/GC57Documents/Spanish/gc57-2_sp.pdf" TargetMode="External"/><Relationship Id="rId40" Type="http://schemas.openxmlformats.org/officeDocument/2006/relationships/hyperlink" Target="http://www.iaea.org/technicalcooperation/Pub/Suc-stories/index.html%20" TargetMode="External"/><Relationship Id="rId45" Type="http://schemas.openxmlformats.org/officeDocument/2006/relationships/hyperlink" Target="http://www.ifad.org/gender/policy/gender_s.pdf" TargetMode="External"/><Relationship Id="rId53" Type="http://schemas.openxmlformats.org/officeDocument/2006/relationships/hyperlink" Target="http://www.imo.org/About/strategy/Documents/1037.pdf" TargetMode="External"/><Relationship Id="rId58" Type="http://schemas.openxmlformats.org/officeDocument/2006/relationships/hyperlink" Target="http://legacy.intracen.org/docman/JAG_14443.pdf" TargetMode="External"/><Relationship Id="rId66" Type="http://schemas.openxmlformats.org/officeDocument/2006/relationships/hyperlink" Target="http://www.unesco.org/es/education-for-all-international-coordination/themes/education-and-the-mdgs/" TargetMode="External"/><Relationship Id="rId74" Type="http://schemas.openxmlformats.org/officeDocument/2006/relationships/hyperlink" Target="http://apps.who.int/gb/ebwha/pdf_files/WHA66/A66_13-sp.pdf" TargetMode="External"/><Relationship Id="rId79" Type="http://schemas.openxmlformats.org/officeDocument/2006/relationships/hyperlink" Target="http://apps.who.int/iris/bitstream/10665/85761/2/9789240690837_eng.pdf" TargetMode="External"/><Relationship Id="rId87" Type="http://schemas.openxmlformats.org/officeDocument/2006/relationships/hyperlink" Target="http://www.wmo.int/pages/about/monitoring_evaluation_es.html" TargetMode="External"/><Relationship Id="rId102" Type="http://schemas.openxmlformats.org/officeDocument/2006/relationships/hyperlink" Target="http://www.wipo.int/meetings/es/doc_details.jsp?doc_id=245323" TargetMode="External"/><Relationship Id="rId5" Type="http://schemas.openxmlformats.org/officeDocument/2006/relationships/settings" Target="settings.xml"/><Relationship Id="rId61" Type="http://schemas.openxmlformats.org/officeDocument/2006/relationships/hyperlink" Target="http://www.intracen.org/uploadedFiles/intracen.org/Content/About_ITC/Working_with_ITC/JAG/JAG_46th_Meeting/Annual%20Report%20Spanish%202012.pdf" TargetMode="External"/><Relationship Id="rId82" Type="http://schemas.openxmlformats.org/officeDocument/2006/relationships/hyperlink" Target="http://www.who.int/topics/millennium_development_goals/es/index.html" TargetMode="External"/><Relationship Id="rId90" Type="http://schemas.openxmlformats.org/officeDocument/2006/relationships/hyperlink" Target="http://icr.unwto.org/en/content/tourism-millennium-development-goals-mdgs" TargetMode="External"/><Relationship Id="rId95" Type="http://schemas.openxmlformats.org/officeDocument/2006/relationships/header" Target="header7.xml"/><Relationship Id="rId19" Type="http://schemas.openxmlformats.org/officeDocument/2006/relationships/hyperlink" Target="http://www.intracen.org/" TargetMode="External"/><Relationship Id="rId14" Type="http://schemas.openxmlformats.org/officeDocument/2006/relationships/hyperlink" Target="http://www.icao.org/" TargetMode="External"/><Relationship Id="rId22" Type="http://schemas.openxmlformats.org/officeDocument/2006/relationships/hyperlink" Target="http://www.unido.org/" TargetMode="External"/><Relationship Id="rId27" Type="http://schemas.openxmlformats.org/officeDocument/2006/relationships/hyperlink" Target="http://www.wto.org/" TargetMode="External"/><Relationship Id="rId30" Type="http://schemas.openxmlformats.org/officeDocument/2006/relationships/hyperlink" Target="http://www.ctbto.org/fileadmin/user_upload/pdf/Annual_Report_2012/English/AR2012-English-CompleteReport.pdf" TargetMode="External"/><Relationship Id="rId35" Type="http://schemas.openxmlformats.org/officeDocument/2006/relationships/hyperlink" Target="http://www.iaea.org/About/mts2012_2017.pdf" TargetMode="External"/><Relationship Id="rId43" Type="http://schemas.openxmlformats.org/officeDocument/2006/relationships/hyperlink" Target="http://www.ifad.org/pub/ar/2012/s/full_report.pdf" TargetMode="External"/><Relationship Id="rId48" Type="http://schemas.openxmlformats.org/officeDocument/2006/relationships/hyperlink" Target="http://www.ilo.org/global/topics/millennium-development-goals/lang--es/index.htm" TargetMode="External"/><Relationship Id="rId56" Type="http://schemas.openxmlformats.org/officeDocument/2006/relationships/hyperlink" Target="http://www.itu.int/en/ITU-D/Statistics/Pages/intlcoop/mdg/default.aspx" TargetMode="External"/><Relationship Id="rId64" Type="http://schemas.openxmlformats.org/officeDocument/2006/relationships/hyperlink" Target="http://www.opcw.org/fileadmin/OPCW/EC/69/en/reports/ec69dg03_e_.pdf" TargetMode="External"/><Relationship Id="rId69" Type="http://schemas.openxmlformats.org/officeDocument/2006/relationships/hyperlink" Target="http://www.unido.org/fileadmin/user_media_upgrade/Resources/Evaluation/THEM_UNIDO_MDGs-2012_EBook.pdf" TargetMode="External"/><Relationship Id="rId77" Type="http://schemas.openxmlformats.org/officeDocument/2006/relationships/hyperlink" Target="http://www.who.int/about/resources_planning/A66_7-sp.pdf" TargetMode="External"/><Relationship Id="rId100" Type="http://schemas.openxmlformats.org/officeDocument/2006/relationships/hyperlink" Target="http://www.wipo.int/edocs/mdocs/mdocs/es/cdip_10/cdip_10_9.pdf" TargetMode="External"/><Relationship Id="rId105"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lo.org/public/spanish/bureau/program/download/pdf/12-13/pbfinalweb.pdf" TargetMode="External"/><Relationship Id="rId72" Type="http://schemas.openxmlformats.org/officeDocument/2006/relationships/hyperlink" Target="http://www.upu.int/fileadmin/documentsFiles/resources/publications/2011AnnualReportEn.pdf" TargetMode="External"/><Relationship Id="rId80" Type="http://schemas.openxmlformats.org/officeDocument/2006/relationships/hyperlink" Target="http://www.who.int/topics/millennium_development_goals/post2015/es/index.html" TargetMode="External"/><Relationship Id="rId85" Type="http://schemas.openxmlformats.org/officeDocument/2006/relationships/hyperlink" Target="http://www.wmo.int/pages/about/documents/WMO-1069_Strategic_Plan_ES_.pdf" TargetMode="External"/><Relationship Id="rId93" Type="http://schemas.openxmlformats.org/officeDocument/2006/relationships/hyperlink" Target="http://www.wto.org/spanish/res_s/booksp_s/anrep_s/anrep13_s.pdf" TargetMode="External"/><Relationship Id="rId98" Type="http://schemas.openxmlformats.org/officeDocument/2006/relationships/hyperlink" Target="http://www.wipo.int/edocs/mdocs/mdocs/es/cdip_5/cdip_5_3.pdf"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imo.org/" TargetMode="External"/><Relationship Id="rId25" Type="http://schemas.openxmlformats.org/officeDocument/2006/relationships/hyperlink" Target="http://www.wmo.int/" TargetMode="External"/><Relationship Id="rId33" Type="http://schemas.openxmlformats.org/officeDocument/2006/relationships/hyperlink" Target="http://www.fao.org/docrep/meeting/027/mf490s.pdf" TargetMode="External"/><Relationship Id="rId38" Type="http://schemas.openxmlformats.org/officeDocument/2006/relationships/hyperlink" Target="http://www.iaea.org/Publications/Reports/Anrep2012/anrep2012_full.pdf" TargetMode="External"/><Relationship Id="rId46" Type="http://schemas.openxmlformats.org/officeDocument/2006/relationships/hyperlink" Target="http://www.ifad.org/governance/mdgs/index.htm" TargetMode="External"/><Relationship Id="rId59" Type="http://schemas.openxmlformats.org/officeDocument/2006/relationships/hyperlink" Target="http://www.intracen.org/uploadedFiles/Strategic%20Plan%202012%20for%20web.pdf" TargetMode="External"/><Relationship Id="rId67" Type="http://schemas.openxmlformats.org/officeDocument/2006/relationships/hyperlink" Target="http://www.uis.unesco.org/Education/Pages/education-statistics-mdg.aspx" TargetMode="External"/><Relationship Id="rId103" Type="http://schemas.openxmlformats.org/officeDocument/2006/relationships/header" Target="header8.xml"/><Relationship Id="rId20" Type="http://schemas.openxmlformats.org/officeDocument/2006/relationships/hyperlink" Target="http://www.opcw.org/" TargetMode="External"/><Relationship Id="rId41" Type="http://schemas.openxmlformats.org/officeDocument/2006/relationships/hyperlink" Target="http://www.icao.int/publications/Documents/9975_es.pdf" TargetMode="External"/><Relationship Id="rId54" Type="http://schemas.openxmlformats.org/officeDocument/2006/relationships/hyperlink" Target="http://www.imo.org/OurWork/TechnicalCooperation/Pages/Default.aspx%20" TargetMode="External"/><Relationship Id="rId62" Type="http://schemas.openxmlformats.org/officeDocument/2006/relationships/hyperlink" Target="http://www.mdg-trade.org/" TargetMode="External"/><Relationship Id="rId70" Type="http://schemas.openxmlformats.org/officeDocument/2006/relationships/hyperlink" Target="http://www.unido.org/fileadmin/user_media/PMO/PBC/PBC29/13-80554_AR2012_Ebook.pdf" TargetMode="External"/><Relationship Id="rId75" Type="http://schemas.openxmlformats.org/officeDocument/2006/relationships/hyperlink" Target="http://apps.who.int/gb/s/s_amtsp3.html" TargetMode="External"/><Relationship Id="rId83" Type="http://schemas.openxmlformats.org/officeDocument/2006/relationships/hyperlink" Target="http://www.who.int/topics/millennium_development_goals/post2015/es/index.html" TargetMode="External"/><Relationship Id="rId88" Type="http://schemas.openxmlformats.org/officeDocument/2006/relationships/hyperlink" Target="http://www.wmo.int/pages/themes/weather/developmentgoals_es.html" TargetMode="External"/><Relationship Id="rId91" Type="http://schemas.openxmlformats.org/officeDocument/2006/relationships/hyperlink" Target="http://www.wto.org/spanish/thewto_s/coher_s/mdg_s/mdg_s.pdf" TargetMode="External"/><Relationship Id="rId96" Type="http://schemas.openxmlformats.org/officeDocument/2006/relationships/hyperlink" Target="http://www.wipo.int/edocs/mdocs/mdocs/es/cdip_11/cdip_11_3.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ifad.org/" TargetMode="External"/><Relationship Id="rId23" Type="http://schemas.openxmlformats.org/officeDocument/2006/relationships/hyperlink" Target="http://www.upu.int/" TargetMode="External"/><Relationship Id="rId28" Type="http://schemas.openxmlformats.org/officeDocument/2006/relationships/header" Target="header4.xml"/><Relationship Id="rId36" Type="http://schemas.openxmlformats.org/officeDocument/2006/relationships/hyperlink" Target="http://www.iaea.org/About/Policy/GC/GC55/GC55Documents/Spanish/gc55-5_sp.pdf" TargetMode="External"/><Relationship Id="rId49" Type="http://schemas.openxmlformats.org/officeDocument/2006/relationships/hyperlink" Target="http://www.ilo.org/wcmsp5/groups/public/---ed_norm/---relconf/documents/meetingdocument/wcms_102562.pdf" TargetMode="External"/><Relationship Id="rId57" Type="http://schemas.openxmlformats.org/officeDocument/2006/relationships/hyperlink" Target="http://www.itu.int/pub/S-CONF-ACTF-2010/en" TargetMode="External"/><Relationship Id="rId106"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ftp://ftp.fao.org/docrep/fao/meeting/017/k5864s.pdf" TargetMode="External"/><Relationship Id="rId44" Type="http://schemas.openxmlformats.org/officeDocument/2006/relationships/hyperlink" Target="http://www.ifad.org/evaluation/arri/2012/arri.pdf" TargetMode="External"/><Relationship Id="rId52" Type="http://schemas.openxmlformats.org/officeDocument/2006/relationships/hyperlink" Target="http://www.imo.org/About/strategy/Documents/1038.pdf" TargetMode="External"/><Relationship Id="rId60" Type="http://schemas.openxmlformats.org/officeDocument/2006/relationships/hyperlink" Target="http://www.intracen.org/uploadedFiles/CPD%202012%20Spanish%20for%20web.pdf" TargetMode="External"/><Relationship Id="rId65" Type="http://schemas.openxmlformats.org/officeDocument/2006/relationships/hyperlink" Target="http://unesdoc.unesco.org/images/0014/001499/149999s.pdf" TargetMode="External"/><Relationship Id="rId73" Type="http://schemas.openxmlformats.org/officeDocument/2006/relationships/hyperlink" Target="http://www.upu.int/nc/en/the-upu/un-specialized-agency/millennium-development-goals/about-mdg.html?sword_list%5b0%5d=mdgs%20" TargetMode="External"/><Relationship Id="rId78" Type="http://schemas.openxmlformats.org/officeDocument/2006/relationships/hyperlink" Target="http://apps.who.int/iris/bitstream/10665/82218/1/9789243564586_spa.pdf" TargetMode="External"/><Relationship Id="rId81" Type="http://schemas.openxmlformats.org/officeDocument/2006/relationships/hyperlink" Target="http://www.who.int/dg/reform/consultation/priorit_setting_es.pdf" TargetMode="External"/><Relationship Id="rId86" Type="http://schemas.openxmlformats.org/officeDocument/2006/relationships/hyperlink" Target="http://www.wmo.int/pages/about/documents/WMO_OP_2011_es.pdf" TargetMode="External"/><Relationship Id="rId94" Type="http://schemas.openxmlformats.org/officeDocument/2006/relationships/header" Target="header6.xml"/><Relationship Id="rId99" Type="http://schemas.openxmlformats.org/officeDocument/2006/relationships/hyperlink" Target="http://www.wipo.int/export/sites/www/tisc/en/doc/tisc_2011_survey_report.pdf" TargetMode="External"/><Relationship Id="rId101" Type="http://schemas.openxmlformats.org/officeDocument/2006/relationships/hyperlink" Target="http://www.wipo.int/edocs/mdocs/mdocs/es/cdip_5/cdip_5_3.pdf"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iaea.org/" TargetMode="External"/><Relationship Id="rId18" Type="http://schemas.openxmlformats.org/officeDocument/2006/relationships/hyperlink" Target="http://www.itu.int" TargetMode="External"/><Relationship Id="rId39" Type="http://schemas.openxmlformats.org/officeDocument/2006/relationships/hyperlink" Target="http://www.iaea.org/technicalcooperation/Partnerships/Relation-UN/MDGs/" TargetMode="External"/><Relationship Id="rId34" Type="http://schemas.openxmlformats.org/officeDocument/2006/relationships/hyperlink" Target="http://www.fao.org/mdg/es/" TargetMode="External"/><Relationship Id="rId50" Type="http://schemas.openxmlformats.org/officeDocument/2006/relationships/hyperlink" Target="http://www.ilo.org/public/spanish/bureau/program/download/pdf/spf1015/brochure.pdf" TargetMode="External"/><Relationship Id="rId55" Type="http://schemas.openxmlformats.org/officeDocument/2006/relationships/hyperlink" Target="http://www.imo.org/About/strategy/Documents/An%20Introduction%20to%20the%20GAP%20(December%202012).pdf" TargetMode="External"/><Relationship Id="rId76" Type="http://schemas.openxmlformats.org/officeDocument/2006/relationships/hyperlink" Target="http://apps.who.int/gb/ebwha/pdf_files/WHA66/A66_6-sp.pdf" TargetMode="External"/><Relationship Id="rId97" Type="http://schemas.openxmlformats.org/officeDocument/2006/relationships/hyperlink" Target="http://www.wipo.int/edocs/mdocs/mdocs/es/cdip_10/cdip_10_9.pdf" TargetMode="External"/><Relationship Id="rId104"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oc_details.jsp?doc_id=208882" TargetMode="External"/><Relationship Id="rId2" Type="http://schemas.openxmlformats.org/officeDocument/2006/relationships/hyperlink" Target="http://www.un.org/en/aboutun/structure/" TargetMode="External"/><Relationship Id="rId1" Type="http://schemas.openxmlformats.org/officeDocument/2006/relationships/hyperlink" Target="http://www.un.org/es/aboutun/structure/" TargetMode="External"/><Relationship Id="rId6" Type="http://schemas.openxmlformats.org/officeDocument/2006/relationships/hyperlink" Target="http://www.wipo.int/export/sites/www/freepublications/en/global_challenges/628/wipo_pub_628.pdf" TargetMode="External"/><Relationship Id="rId5" Type="http://schemas.openxmlformats.org/officeDocument/2006/relationships/hyperlink" Target="http://www.wipo.int/export/sites/www/academy/es/about/pdf/academy_statistics_2012.pdf" TargetMode="External"/><Relationship Id="rId4" Type="http://schemas.openxmlformats.org/officeDocument/2006/relationships/hyperlink" Target="http://www.wipo.int/edocs/mdocs/govbody/en/wo_pbc_21/wo_pbc_21_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12%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0A15C-395D-4DA9-A25E-B13932D94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12 (S)</Template>
  <TotalTime>3</TotalTime>
  <Pages>74</Pages>
  <Words>25906</Words>
  <Characters>151497</Characters>
  <Application>Microsoft Office Word</Application>
  <DocSecurity>0</DocSecurity>
  <Lines>1262</Lines>
  <Paragraphs>354</Paragraphs>
  <ScaleCrop>false</ScaleCrop>
  <HeadingPairs>
    <vt:vector size="2" baseType="variant">
      <vt:variant>
        <vt:lpstr>Title</vt:lpstr>
      </vt:variant>
      <vt:variant>
        <vt:i4>1</vt:i4>
      </vt:variant>
    </vt:vector>
  </HeadingPairs>
  <TitlesOfParts>
    <vt:vector size="1" baseType="lpstr">
      <vt:lpstr>Medición de los objetivos de desarrollo del milenio (ODM) en otros organismos de las Naciones Unidas y contribución de la OMPI a los mismos</vt:lpstr>
    </vt:vector>
  </TitlesOfParts>
  <Company>WIPO</Company>
  <LinksUpToDate>false</LinksUpToDate>
  <CharactersWithSpaces>177049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Medición de los objetivos de desarrollo del milenio (ODM) en otros organismos de las Naciones Unidas y contribución de la OMPI a los mismos</dc:title>
  <dc:subject>CDIP/12/8</dc:subject>
  <dc:creator>CEVALLOS</dc:creator>
  <dc:description>TP (trad. Ext.)/CPV/nc
21/10/2013</dc:description>
  <cp:lastModifiedBy>IBRAHIM Ammar</cp:lastModifiedBy>
  <cp:revision>3</cp:revision>
  <cp:lastPrinted>2013-10-28T10:10:00Z</cp:lastPrinted>
  <dcterms:created xsi:type="dcterms:W3CDTF">2013-10-28T10:10:00Z</dcterms:created>
  <dcterms:modified xsi:type="dcterms:W3CDTF">2013-10-28T10:11:00Z</dcterms:modified>
</cp:coreProperties>
</file>