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1E0" w:firstRow="1" w:lastRow="1" w:firstColumn="1" w:lastColumn="1" w:noHBand="0" w:noVBand="0"/>
      </w:tblPr>
      <w:tblGrid>
        <w:gridCol w:w="4660"/>
        <w:gridCol w:w="4375"/>
        <w:gridCol w:w="321"/>
        <w:gridCol w:w="108"/>
      </w:tblGrid>
      <w:tr w:rsidR="00AC38B1" w:rsidRPr="008B2CC1" w:rsidTr="00532AD8">
        <w:tc>
          <w:tcPr>
            <w:tcW w:w="4660" w:type="dxa"/>
            <w:tcBorders>
              <w:bottom w:val="single" w:sz="4" w:space="0" w:color="auto"/>
            </w:tcBorders>
            <w:tcMar>
              <w:bottom w:w="170" w:type="dxa"/>
            </w:tcMar>
          </w:tcPr>
          <w:p w:rsidR="00AC38B1" w:rsidRDefault="00AC38B1" w:rsidP="006A3898">
            <w:pPr>
              <w:jc w:val="center"/>
            </w:pPr>
            <w:r>
              <w:rPr>
                <w:noProof/>
                <w:sz w:val="16"/>
                <w:lang w:eastAsia="en-US"/>
              </w:rPr>
              <w:drawing>
                <wp:inline distT="0" distB="0" distL="0" distR="0" wp14:anchorId="35D5BC4A" wp14:editId="3AF49D30">
                  <wp:extent cx="776605" cy="914400"/>
                  <wp:effectExtent l="0" t="0" r="0" b="0"/>
                  <wp:docPr id="3" name="Picture 3" descr="Govt India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t India 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605" cy="914400"/>
                          </a:xfrm>
                          <a:prstGeom prst="rect">
                            <a:avLst/>
                          </a:prstGeom>
                          <a:noFill/>
                          <a:ln>
                            <a:noFill/>
                          </a:ln>
                        </pic:spPr>
                      </pic:pic>
                    </a:graphicData>
                  </a:graphic>
                </wp:inline>
              </w:drawing>
            </w:r>
          </w:p>
          <w:p w:rsidR="00AC38B1" w:rsidRPr="008B2CC1" w:rsidRDefault="00AC38B1" w:rsidP="005D6093">
            <w:pPr>
              <w:pStyle w:val="logossubtitles"/>
              <w:framePr w:hSpace="0" w:wrap="auto" w:vAnchor="margin" w:hAnchor="text" w:xAlign="left" w:yAlign="inline"/>
              <w:suppressOverlap w:val="0"/>
              <w:jc w:val="center"/>
            </w:pPr>
            <w:r w:rsidRPr="005D6093">
              <w:t>government of india</w:t>
            </w:r>
          </w:p>
        </w:tc>
        <w:tc>
          <w:tcPr>
            <w:tcW w:w="4375" w:type="dxa"/>
            <w:tcBorders>
              <w:bottom w:val="single" w:sz="4" w:space="0" w:color="auto"/>
            </w:tcBorders>
            <w:tcMar>
              <w:left w:w="0" w:type="dxa"/>
              <w:right w:w="0" w:type="dxa"/>
            </w:tcMar>
          </w:tcPr>
          <w:p w:rsidR="00AC38B1" w:rsidRPr="008B2CC1" w:rsidRDefault="00AC38B1" w:rsidP="00532AD8">
            <w:pPr>
              <w:jc w:val="center"/>
            </w:pPr>
            <w:r>
              <w:rPr>
                <w:noProof/>
                <w:lang w:eastAsia="en-US"/>
              </w:rPr>
              <w:drawing>
                <wp:inline distT="0" distB="0" distL="0" distR="0" wp14:anchorId="5190BF7D" wp14:editId="390EED76">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9" w:type="dxa"/>
            <w:gridSpan w:val="2"/>
            <w:tcBorders>
              <w:bottom w:val="single" w:sz="4" w:space="0" w:color="auto"/>
            </w:tcBorders>
            <w:tcMar>
              <w:left w:w="0" w:type="dxa"/>
              <w:right w:w="0" w:type="dxa"/>
            </w:tcMar>
          </w:tcPr>
          <w:p w:rsidR="00AC38B1" w:rsidRPr="008B2CC1" w:rsidRDefault="00AC38B1" w:rsidP="006A3898">
            <w:pPr>
              <w:jc w:val="right"/>
            </w:pPr>
            <w:r w:rsidRPr="00605827">
              <w:rPr>
                <w:b/>
                <w:sz w:val="40"/>
                <w:szCs w:val="40"/>
              </w:rPr>
              <w:t>E</w:t>
            </w:r>
          </w:p>
        </w:tc>
      </w:tr>
      <w:tr w:rsidR="00AC38B1" w:rsidRPr="001832A6" w:rsidTr="00532AD8">
        <w:trPr>
          <w:gridAfter w:val="1"/>
          <w:wAfter w:w="108" w:type="dxa"/>
          <w:trHeight w:hRule="exact" w:val="397"/>
        </w:trPr>
        <w:tc>
          <w:tcPr>
            <w:tcW w:w="9356" w:type="dxa"/>
            <w:gridSpan w:val="3"/>
            <w:tcBorders>
              <w:top w:val="single" w:sz="4" w:space="0" w:color="auto"/>
            </w:tcBorders>
            <w:tcMar>
              <w:top w:w="28" w:type="dxa"/>
              <w:left w:w="0" w:type="dxa"/>
              <w:bottom w:w="28" w:type="dxa"/>
              <w:right w:w="0" w:type="dxa"/>
            </w:tcMar>
            <w:vAlign w:val="center"/>
          </w:tcPr>
          <w:p w:rsidR="00AC38B1" w:rsidRPr="000A46A9" w:rsidRDefault="00AC38B1" w:rsidP="005E2679">
            <w:pPr>
              <w:rPr>
                <w:b/>
                <w:caps/>
                <w:sz w:val="24"/>
              </w:rPr>
            </w:pPr>
            <w:r>
              <w:rPr>
                <w:b/>
                <w:caps/>
                <w:sz w:val="24"/>
              </w:rPr>
              <w:t>INTERNATIONAL CONFERENCE</w:t>
            </w:r>
          </w:p>
        </w:tc>
      </w:tr>
      <w:tr w:rsidR="00AC38B1" w:rsidRPr="001832A6" w:rsidTr="00532AD8">
        <w:trPr>
          <w:gridAfter w:val="1"/>
          <w:wAfter w:w="108" w:type="dxa"/>
          <w:trHeight w:hRule="exact" w:val="340"/>
        </w:trPr>
        <w:tc>
          <w:tcPr>
            <w:tcW w:w="9356" w:type="dxa"/>
            <w:gridSpan w:val="3"/>
            <w:tcBorders>
              <w:top w:val="single" w:sz="4" w:space="0" w:color="auto"/>
            </w:tcBorders>
            <w:tcMar>
              <w:top w:w="170" w:type="dxa"/>
              <w:left w:w="0" w:type="dxa"/>
              <w:right w:w="0" w:type="dxa"/>
            </w:tcMar>
            <w:vAlign w:val="bottom"/>
          </w:tcPr>
          <w:p w:rsidR="00AC38B1" w:rsidRPr="0090731E" w:rsidRDefault="00AC38B1" w:rsidP="00AC38B1">
            <w:pPr>
              <w:spacing w:line="360" w:lineRule="auto"/>
              <w:jc w:val="right"/>
              <w:rPr>
                <w:rFonts w:ascii="Arial Black" w:hAnsi="Arial Black"/>
                <w:caps/>
                <w:sz w:val="15"/>
              </w:rPr>
            </w:pPr>
            <w:bookmarkStart w:id="0" w:name="Code"/>
            <w:bookmarkEnd w:id="0"/>
            <w:r w:rsidRPr="00BD291D">
              <w:rPr>
                <w:rFonts w:ascii="Arial Black" w:hAnsi="Arial Black"/>
                <w:caps/>
                <w:sz w:val="15"/>
              </w:rPr>
              <w:t>WIPO/GDCM/DEL/18/INF/</w:t>
            </w:r>
            <w:r>
              <w:rPr>
                <w:rFonts w:ascii="Arial Black" w:hAnsi="Arial Black"/>
                <w:caps/>
                <w:sz w:val="15"/>
              </w:rPr>
              <w:t>3</w:t>
            </w:r>
            <w:r w:rsidRPr="0090731E">
              <w:rPr>
                <w:rFonts w:ascii="Arial Black" w:hAnsi="Arial Black"/>
                <w:caps/>
                <w:sz w:val="15"/>
              </w:rPr>
              <w:t xml:space="preserve"> </w:t>
            </w:r>
          </w:p>
        </w:tc>
      </w:tr>
      <w:tr w:rsidR="00AC38B1" w:rsidRPr="001832A6" w:rsidTr="00532AD8">
        <w:trPr>
          <w:gridAfter w:val="1"/>
          <w:wAfter w:w="108" w:type="dxa"/>
          <w:trHeight w:hRule="exact" w:val="170"/>
        </w:trPr>
        <w:tc>
          <w:tcPr>
            <w:tcW w:w="9356" w:type="dxa"/>
            <w:gridSpan w:val="3"/>
            <w:noWrap/>
            <w:tcMar>
              <w:left w:w="0" w:type="dxa"/>
              <w:right w:w="0" w:type="dxa"/>
            </w:tcMar>
            <w:vAlign w:val="bottom"/>
          </w:tcPr>
          <w:p w:rsidR="00AC38B1" w:rsidRPr="0090731E" w:rsidRDefault="00AC38B1" w:rsidP="005E2679">
            <w:pPr>
              <w:jc w:val="right"/>
              <w:rPr>
                <w:rFonts w:ascii="Arial Black" w:hAnsi="Arial Black"/>
                <w:caps/>
                <w:sz w:val="15"/>
              </w:rPr>
            </w:pPr>
            <w:r w:rsidRPr="0090731E">
              <w:rPr>
                <w:rFonts w:ascii="Arial Black" w:hAnsi="Arial Black"/>
                <w:caps/>
                <w:sz w:val="15"/>
              </w:rPr>
              <w:t xml:space="preserve">ORIGINAL: </w:t>
            </w:r>
            <w:bookmarkStart w:id="1" w:name="Original"/>
            <w:bookmarkEnd w:id="1"/>
            <w:r>
              <w:rPr>
                <w:rFonts w:ascii="Arial Black" w:hAnsi="Arial Black"/>
                <w:caps/>
                <w:sz w:val="15"/>
              </w:rPr>
              <w:t xml:space="preserve"> ENGLISH</w:t>
            </w:r>
          </w:p>
        </w:tc>
      </w:tr>
      <w:tr w:rsidR="00AC38B1" w:rsidRPr="001832A6" w:rsidTr="00532AD8">
        <w:trPr>
          <w:gridAfter w:val="1"/>
          <w:wAfter w:w="108" w:type="dxa"/>
          <w:trHeight w:hRule="exact" w:val="198"/>
        </w:trPr>
        <w:tc>
          <w:tcPr>
            <w:tcW w:w="9356" w:type="dxa"/>
            <w:gridSpan w:val="3"/>
            <w:tcMar>
              <w:left w:w="0" w:type="dxa"/>
              <w:right w:w="0" w:type="dxa"/>
            </w:tcMar>
            <w:vAlign w:val="bottom"/>
          </w:tcPr>
          <w:p w:rsidR="00AC38B1" w:rsidRPr="0090731E" w:rsidRDefault="00AC38B1" w:rsidP="00AC38B1">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November 8, 2018</w:t>
            </w:r>
          </w:p>
        </w:tc>
      </w:tr>
    </w:tbl>
    <w:p w:rsidR="00AC38B1" w:rsidRDefault="00AC38B1" w:rsidP="001D7119"/>
    <w:p w:rsidR="00AC38B1" w:rsidRPr="008B2CC1" w:rsidRDefault="00AC38B1" w:rsidP="001D7119"/>
    <w:p w:rsidR="00AC38B1" w:rsidRPr="00623CFA" w:rsidRDefault="00AC38B1" w:rsidP="00623CFA"/>
    <w:p w:rsidR="00AC38B1" w:rsidRPr="008B2CC1" w:rsidRDefault="00AC38B1" w:rsidP="001D7119"/>
    <w:p w:rsidR="00AC38B1" w:rsidRPr="008B2CC1" w:rsidRDefault="00AC38B1" w:rsidP="001D7119"/>
    <w:p w:rsidR="00AC38B1" w:rsidRDefault="00AC38B1" w:rsidP="008B2CC1">
      <w:pPr>
        <w:rPr>
          <w:b/>
          <w:sz w:val="28"/>
          <w:szCs w:val="28"/>
        </w:rPr>
      </w:pPr>
      <w:r w:rsidRPr="00186DBD">
        <w:rPr>
          <w:b/>
          <w:sz w:val="28"/>
          <w:szCs w:val="28"/>
        </w:rPr>
        <w:t>The Global Digital Content Market</w:t>
      </w:r>
    </w:p>
    <w:p w:rsidR="00AC38B1" w:rsidRDefault="00AC38B1" w:rsidP="008B2CC1">
      <w:pPr>
        <w:rPr>
          <w:b/>
          <w:i/>
          <w:sz w:val="28"/>
          <w:szCs w:val="28"/>
        </w:rPr>
      </w:pPr>
    </w:p>
    <w:p w:rsidR="00AC38B1" w:rsidRPr="00233E34" w:rsidRDefault="00AC38B1" w:rsidP="008B2CC1">
      <w:pPr>
        <w:rPr>
          <w:b/>
          <w:i/>
          <w:sz w:val="40"/>
          <w:szCs w:val="40"/>
        </w:rPr>
      </w:pPr>
      <w:r>
        <w:rPr>
          <w:b/>
          <w:i/>
          <w:sz w:val="40"/>
          <w:szCs w:val="40"/>
        </w:rPr>
        <w:t>GDCM2018</w:t>
      </w:r>
      <w:r w:rsidRPr="00233E34">
        <w:rPr>
          <w:b/>
          <w:i/>
          <w:sz w:val="40"/>
          <w:szCs w:val="40"/>
        </w:rPr>
        <w:t xml:space="preserve">:  Focus on </w:t>
      </w:r>
      <w:r w:rsidRPr="00DE1201">
        <w:rPr>
          <w:b/>
          <w:i/>
          <w:sz w:val="40"/>
          <w:szCs w:val="40"/>
        </w:rPr>
        <w:t>Asia</w:t>
      </w:r>
      <w:r w:rsidRPr="00DE1201">
        <w:rPr>
          <w:b/>
          <w:i/>
          <w:sz w:val="40"/>
          <w:szCs w:val="40"/>
        </w:rPr>
        <w:noBreakHyphen/>
        <w:t>Pacific</w:t>
      </w:r>
    </w:p>
    <w:p w:rsidR="00AC38B1" w:rsidRDefault="00AC38B1" w:rsidP="003845C1"/>
    <w:p w:rsidR="00AC38B1" w:rsidRDefault="00AC38B1" w:rsidP="003845C1"/>
    <w:p w:rsidR="00AC38B1" w:rsidRPr="00DB727E" w:rsidRDefault="00AC38B1" w:rsidP="004F4D9B">
      <w:pPr>
        <w:rPr>
          <w:i/>
        </w:rPr>
      </w:pPr>
      <w:proofErr w:type="gramStart"/>
      <w:r>
        <w:rPr>
          <w:i/>
        </w:rPr>
        <w:t>o</w:t>
      </w:r>
      <w:r w:rsidRPr="00DB727E">
        <w:rPr>
          <w:i/>
        </w:rPr>
        <w:t>rganized</w:t>
      </w:r>
      <w:proofErr w:type="gramEnd"/>
      <w:r w:rsidRPr="00DB727E">
        <w:rPr>
          <w:i/>
        </w:rPr>
        <w:t xml:space="preserve"> by </w:t>
      </w:r>
    </w:p>
    <w:p w:rsidR="00AC38B1" w:rsidRDefault="00AC38B1" w:rsidP="004F4D9B">
      <w:r>
        <w:t>the World Intellectual Property Organization (WIPO)</w:t>
      </w:r>
    </w:p>
    <w:p w:rsidR="00AC38B1" w:rsidRDefault="00AC38B1" w:rsidP="004F4D9B"/>
    <w:p w:rsidR="00AC38B1" w:rsidRPr="00DE1201" w:rsidRDefault="00AC38B1" w:rsidP="004F4D9B">
      <w:pPr>
        <w:rPr>
          <w:i/>
        </w:rPr>
      </w:pPr>
      <w:r w:rsidRPr="00DE1201">
        <w:rPr>
          <w:i/>
        </w:rPr>
        <w:t>and</w:t>
      </w:r>
    </w:p>
    <w:p w:rsidR="00AC38B1" w:rsidRDefault="00AC38B1" w:rsidP="004F4D9B"/>
    <w:p w:rsidR="00AC38B1" w:rsidRPr="00DB727E" w:rsidRDefault="00AC38B1" w:rsidP="004F4D9B">
      <w:pPr>
        <w:rPr>
          <w:i/>
        </w:rPr>
      </w:pPr>
      <w:proofErr w:type="gramStart"/>
      <w:r>
        <w:rPr>
          <w:i/>
        </w:rPr>
        <w:t>h</w:t>
      </w:r>
      <w:r w:rsidRPr="00DB727E">
        <w:rPr>
          <w:i/>
        </w:rPr>
        <w:t>osted</w:t>
      </w:r>
      <w:proofErr w:type="gramEnd"/>
      <w:r w:rsidRPr="00DB727E">
        <w:rPr>
          <w:i/>
        </w:rPr>
        <w:t xml:space="preserve"> by</w:t>
      </w:r>
    </w:p>
    <w:p w:rsidR="00AC38B1" w:rsidRDefault="00AC38B1" w:rsidP="004F4D9B">
      <w:r>
        <w:t>the Department of Industrial Policy and Promotion</w:t>
      </w:r>
    </w:p>
    <w:p w:rsidR="00AC38B1" w:rsidRDefault="00AC38B1" w:rsidP="004F4D9B">
      <w:r>
        <w:t>Ministry of Commerce and Industry, Government of India</w:t>
      </w:r>
    </w:p>
    <w:p w:rsidR="00AC38B1" w:rsidRPr="003845C1" w:rsidRDefault="00AC38B1" w:rsidP="004F4D9B"/>
    <w:p w:rsidR="00AC38B1" w:rsidRPr="003845C1" w:rsidRDefault="00AC38B1" w:rsidP="004F4D9B"/>
    <w:p w:rsidR="00AC38B1" w:rsidRPr="004F4D9B" w:rsidRDefault="00AC38B1" w:rsidP="008B2CC1">
      <w:pPr>
        <w:rPr>
          <w:b/>
          <w:sz w:val="24"/>
          <w:szCs w:val="24"/>
        </w:rPr>
      </w:pPr>
      <w:r>
        <w:rPr>
          <w:b/>
          <w:sz w:val="24"/>
          <w:szCs w:val="24"/>
        </w:rPr>
        <w:t xml:space="preserve">New Delhi, November 14 </w:t>
      </w:r>
      <w:r w:rsidR="00E817DC">
        <w:rPr>
          <w:b/>
          <w:sz w:val="24"/>
          <w:szCs w:val="24"/>
        </w:rPr>
        <w:t xml:space="preserve">and </w:t>
      </w:r>
      <w:r>
        <w:rPr>
          <w:b/>
          <w:sz w:val="24"/>
          <w:szCs w:val="24"/>
        </w:rPr>
        <w:t>15, 2018</w:t>
      </w:r>
    </w:p>
    <w:p w:rsidR="00AC38B1" w:rsidRDefault="00AC38B1" w:rsidP="001D7119"/>
    <w:p w:rsidR="00AC38B1" w:rsidRPr="008B2CC1" w:rsidRDefault="00AC38B1" w:rsidP="001D7119"/>
    <w:p w:rsidR="00AC38B1" w:rsidRPr="008B2CC1" w:rsidRDefault="00AC38B1" w:rsidP="001D7119"/>
    <w:p w:rsidR="00AC38B1" w:rsidRPr="003845C1" w:rsidRDefault="009B49C6" w:rsidP="008B2CC1">
      <w:pPr>
        <w:rPr>
          <w:caps/>
          <w:sz w:val="24"/>
        </w:rPr>
      </w:pPr>
      <w:bookmarkStart w:id="2" w:name="TitleOfDoc"/>
      <w:bookmarkEnd w:id="2"/>
      <w:r>
        <w:rPr>
          <w:caps/>
          <w:sz w:val="24"/>
        </w:rPr>
        <w:t>BACKGROUN</w:t>
      </w:r>
      <w:r w:rsidR="003E731D">
        <w:rPr>
          <w:caps/>
          <w:sz w:val="24"/>
        </w:rPr>
        <w:t>D</w:t>
      </w:r>
      <w:r>
        <w:rPr>
          <w:caps/>
          <w:sz w:val="24"/>
        </w:rPr>
        <w:t xml:space="preserve"> </w:t>
      </w:r>
      <w:r w:rsidR="003E731D">
        <w:rPr>
          <w:caps/>
          <w:sz w:val="24"/>
        </w:rPr>
        <w:t>PAPER</w:t>
      </w:r>
    </w:p>
    <w:p w:rsidR="00AC38B1" w:rsidRPr="008B2CC1" w:rsidRDefault="00AC38B1" w:rsidP="008B2CC1"/>
    <w:p w:rsidR="00AC38B1" w:rsidRDefault="00AC38B1">
      <w:bookmarkStart w:id="3" w:name="Prepared"/>
      <w:bookmarkEnd w:id="3"/>
      <w:proofErr w:type="gramStart"/>
      <w:r>
        <w:rPr>
          <w:i/>
        </w:rPr>
        <w:t>p</w:t>
      </w:r>
      <w:r w:rsidRPr="00BD291D">
        <w:rPr>
          <w:i/>
        </w:rPr>
        <w:t>repared</w:t>
      </w:r>
      <w:proofErr w:type="gramEnd"/>
      <w:r w:rsidRPr="00BD291D">
        <w:rPr>
          <w:i/>
        </w:rPr>
        <w:t xml:space="preserve"> by the Secretariat</w:t>
      </w:r>
    </w:p>
    <w:p w:rsidR="00AC38B1" w:rsidRDefault="00AC38B1"/>
    <w:p w:rsidR="00AC38B1" w:rsidRDefault="00AC38B1"/>
    <w:p w:rsidR="00AC38B1" w:rsidRDefault="00AC38B1" w:rsidP="00186DBD"/>
    <w:p w:rsidR="00AC38B1" w:rsidRDefault="00AC38B1" w:rsidP="00186DBD"/>
    <w:p w:rsidR="00AC38B1" w:rsidRDefault="00AC38B1" w:rsidP="00186DBD"/>
    <w:p w:rsidR="00AC38B1" w:rsidRDefault="00AC38B1" w:rsidP="00186DBD"/>
    <w:p w:rsidR="00AC38B1" w:rsidRDefault="00AC38B1" w:rsidP="00186DBD"/>
    <w:p w:rsidR="00AC38B1" w:rsidRDefault="00AC38B1">
      <w:r>
        <w:br w:type="page"/>
      </w:r>
    </w:p>
    <w:p w:rsidR="002F73AD" w:rsidRPr="00241717" w:rsidRDefault="00857A23" w:rsidP="00857A23">
      <w:pPr>
        <w:pStyle w:val="Heading1"/>
        <w:keepNext w:val="0"/>
        <w:spacing w:before="0" w:after="0"/>
      </w:pPr>
      <w:r>
        <w:lastRenderedPageBreak/>
        <w:t>In</w:t>
      </w:r>
      <w:r w:rsidR="002F73AD" w:rsidRPr="00241717">
        <w:t>troduction</w:t>
      </w:r>
    </w:p>
    <w:p w:rsidR="00857A23" w:rsidRDefault="00857A23" w:rsidP="00857A23">
      <w:pPr>
        <w:outlineLvl w:val="0"/>
        <w:rPr>
          <w:szCs w:val="22"/>
        </w:rPr>
      </w:pPr>
    </w:p>
    <w:p w:rsidR="00CB6A72" w:rsidRDefault="00CB6A72" w:rsidP="00857A23">
      <w:pPr>
        <w:outlineLvl w:val="0"/>
        <w:rPr>
          <w:szCs w:val="22"/>
        </w:rPr>
      </w:pPr>
      <w:r w:rsidRPr="00CB6A72">
        <w:rPr>
          <w:szCs w:val="22"/>
        </w:rPr>
        <w:t>The creative content economy has seen radical change to access and business models for more than a decade.  The tensions between increased access and a sustainable economic value chain are the</w:t>
      </w:r>
      <w:r w:rsidR="00B07787">
        <w:rPr>
          <w:szCs w:val="22"/>
        </w:rPr>
        <w:t xml:space="preserve"> essence of WIPO</w:t>
      </w:r>
      <w:r w:rsidR="00857A23">
        <w:rPr>
          <w:szCs w:val="22"/>
        </w:rPr>
        <w:t>’</w:t>
      </w:r>
      <w:r w:rsidR="00B07787">
        <w:rPr>
          <w:szCs w:val="22"/>
        </w:rPr>
        <w:t>s Conference</w:t>
      </w:r>
      <w:r w:rsidR="00857A23">
        <w:rPr>
          <w:szCs w:val="22"/>
        </w:rPr>
        <w:t xml:space="preserve"> “</w:t>
      </w:r>
      <w:r w:rsidRPr="00CB6A72">
        <w:rPr>
          <w:szCs w:val="22"/>
        </w:rPr>
        <w:t>The Global Digital Content Market</w:t>
      </w:r>
      <w:r w:rsidR="00857A23">
        <w:rPr>
          <w:szCs w:val="22"/>
        </w:rPr>
        <w:t>”</w:t>
      </w:r>
      <w:r w:rsidRPr="00CB6A72">
        <w:rPr>
          <w:szCs w:val="22"/>
        </w:rPr>
        <w:t>.</w:t>
      </w:r>
    </w:p>
    <w:p w:rsidR="00CB6A72" w:rsidRDefault="00CB6A72" w:rsidP="00857A23">
      <w:pPr>
        <w:outlineLvl w:val="0"/>
        <w:rPr>
          <w:szCs w:val="22"/>
        </w:rPr>
      </w:pPr>
    </w:p>
    <w:p w:rsidR="00633746" w:rsidRDefault="002F73AD" w:rsidP="00857A23">
      <w:pPr>
        <w:outlineLvl w:val="0"/>
        <w:rPr>
          <w:szCs w:val="22"/>
        </w:rPr>
      </w:pPr>
      <w:r w:rsidRPr="00241717">
        <w:rPr>
          <w:szCs w:val="22"/>
        </w:rPr>
        <w:t xml:space="preserve">The global digital world is changing long-established business models at a rapid pace.  </w:t>
      </w:r>
      <w:r w:rsidR="00CB6A72">
        <w:rPr>
          <w:szCs w:val="22"/>
        </w:rPr>
        <w:t xml:space="preserve">One example is </w:t>
      </w:r>
      <w:proofErr w:type="gramStart"/>
      <w:r w:rsidR="00CB6A72">
        <w:rPr>
          <w:szCs w:val="22"/>
        </w:rPr>
        <w:t>Netflix which</w:t>
      </w:r>
      <w:proofErr w:type="gramEnd"/>
      <w:r w:rsidR="00227AD7">
        <w:rPr>
          <w:szCs w:val="22"/>
        </w:rPr>
        <w:t>, i</w:t>
      </w:r>
      <w:r w:rsidR="00633746" w:rsidRPr="00633746">
        <w:rPr>
          <w:szCs w:val="22"/>
        </w:rPr>
        <w:t>n the second quarter of 2018, had over 130 million streaming subscribers worldwide</w:t>
      </w:r>
      <w:r w:rsidR="00633746">
        <w:rPr>
          <w:rStyle w:val="FootnoteReference"/>
          <w:szCs w:val="22"/>
        </w:rPr>
        <w:footnoteReference w:id="2"/>
      </w:r>
      <w:r w:rsidR="00633746">
        <w:rPr>
          <w:szCs w:val="22"/>
        </w:rPr>
        <w:t xml:space="preserve"> compared to just 36 million only </w:t>
      </w:r>
      <w:r w:rsidR="00BB4652">
        <w:rPr>
          <w:szCs w:val="22"/>
        </w:rPr>
        <w:t>five</w:t>
      </w:r>
      <w:r w:rsidR="00633746">
        <w:rPr>
          <w:szCs w:val="22"/>
        </w:rPr>
        <w:t xml:space="preserve"> years ago while their DVD postal business has lost 4.8m subscrib</w:t>
      </w:r>
      <w:r w:rsidR="00227AD7">
        <w:rPr>
          <w:szCs w:val="22"/>
        </w:rPr>
        <w:t>ers over the</w:t>
      </w:r>
      <w:r w:rsidR="00633746">
        <w:rPr>
          <w:szCs w:val="22"/>
        </w:rPr>
        <w:t xml:space="preserve"> same period</w:t>
      </w:r>
      <w:r w:rsidR="00227AD7">
        <w:rPr>
          <w:rStyle w:val="FootnoteReference"/>
          <w:szCs w:val="22"/>
        </w:rPr>
        <w:footnoteReference w:id="3"/>
      </w:r>
      <w:r w:rsidR="00227AD7">
        <w:rPr>
          <w:szCs w:val="22"/>
        </w:rPr>
        <w:t xml:space="preserve">; their business model is now evolving to </w:t>
      </w:r>
      <w:r w:rsidR="00633746">
        <w:rPr>
          <w:szCs w:val="22"/>
        </w:rPr>
        <w:t xml:space="preserve">self-produced content.  </w:t>
      </w:r>
      <w:r w:rsidR="00E608FC">
        <w:rPr>
          <w:szCs w:val="22"/>
        </w:rPr>
        <w:t xml:space="preserve">The video/DVD business </w:t>
      </w:r>
      <w:r w:rsidR="00227AD7">
        <w:rPr>
          <w:szCs w:val="22"/>
        </w:rPr>
        <w:t>Blockbuster</w:t>
      </w:r>
      <w:r w:rsidR="005864AD">
        <w:rPr>
          <w:szCs w:val="22"/>
        </w:rPr>
        <w:t xml:space="preserve"> </w:t>
      </w:r>
      <w:r w:rsidR="00227AD7">
        <w:rPr>
          <w:szCs w:val="22"/>
        </w:rPr>
        <w:t xml:space="preserve">had been worth </w:t>
      </w:r>
      <w:r w:rsidR="00BB4652">
        <w:rPr>
          <w:szCs w:val="22"/>
        </w:rPr>
        <w:t>USD</w:t>
      </w:r>
      <w:r w:rsidR="00227AD7">
        <w:rPr>
          <w:szCs w:val="22"/>
        </w:rPr>
        <w:t>5</w:t>
      </w:r>
      <w:r w:rsidR="00BB4652">
        <w:rPr>
          <w:szCs w:val="22"/>
        </w:rPr>
        <w:t xml:space="preserve"> </w:t>
      </w:r>
      <w:proofErr w:type="gramStart"/>
      <w:r w:rsidR="00BB4652">
        <w:rPr>
          <w:szCs w:val="22"/>
        </w:rPr>
        <w:t>billion</w:t>
      </w:r>
      <w:proofErr w:type="gramEnd"/>
      <w:r w:rsidR="00227AD7">
        <w:rPr>
          <w:szCs w:val="22"/>
        </w:rPr>
        <w:t xml:space="preserve"> and is now bankrupt</w:t>
      </w:r>
      <w:r w:rsidR="00E608FC">
        <w:rPr>
          <w:rStyle w:val="FootnoteReference"/>
          <w:szCs w:val="22"/>
        </w:rPr>
        <w:footnoteReference w:id="4"/>
      </w:r>
      <w:r w:rsidR="00227AD7">
        <w:rPr>
          <w:szCs w:val="22"/>
        </w:rPr>
        <w:t xml:space="preserve">.  </w:t>
      </w:r>
    </w:p>
    <w:p w:rsidR="00B07787" w:rsidRDefault="00B07787" w:rsidP="00857A23">
      <w:pPr>
        <w:outlineLvl w:val="0"/>
        <w:rPr>
          <w:szCs w:val="22"/>
        </w:rPr>
      </w:pPr>
    </w:p>
    <w:p w:rsidR="002F73AD" w:rsidRDefault="00E608FC" w:rsidP="00857A23">
      <w:pPr>
        <w:outlineLvl w:val="0"/>
        <w:rPr>
          <w:szCs w:val="22"/>
        </w:rPr>
      </w:pPr>
      <w:r>
        <w:rPr>
          <w:szCs w:val="22"/>
        </w:rPr>
        <w:t xml:space="preserve">The conference will </w:t>
      </w:r>
      <w:proofErr w:type="gramStart"/>
      <w:r>
        <w:rPr>
          <w:szCs w:val="22"/>
        </w:rPr>
        <w:t>showcase</w:t>
      </w:r>
      <w:proofErr w:type="gramEnd"/>
      <w:r w:rsidR="002F73AD" w:rsidRPr="00241717">
        <w:rPr>
          <w:szCs w:val="22"/>
        </w:rPr>
        <w:t xml:space="preserve"> best practice</w:t>
      </w:r>
      <w:r w:rsidR="002A04A8">
        <w:rPr>
          <w:szCs w:val="22"/>
        </w:rPr>
        <w:t>s</w:t>
      </w:r>
      <w:r>
        <w:rPr>
          <w:szCs w:val="22"/>
        </w:rPr>
        <w:t xml:space="preserve"> and </w:t>
      </w:r>
      <w:r w:rsidR="005864AD">
        <w:rPr>
          <w:szCs w:val="22"/>
        </w:rPr>
        <w:t xml:space="preserve">include </w:t>
      </w:r>
      <w:r w:rsidR="00CB6A72">
        <w:rPr>
          <w:szCs w:val="22"/>
        </w:rPr>
        <w:t>panel discussion on</w:t>
      </w:r>
      <w:r w:rsidR="002F73AD" w:rsidRPr="00241717">
        <w:rPr>
          <w:szCs w:val="22"/>
        </w:rPr>
        <w:t xml:space="preserve"> music, </w:t>
      </w:r>
      <w:r w:rsidR="00B07787">
        <w:rPr>
          <w:szCs w:val="22"/>
        </w:rPr>
        <w:t xml:space="preserve">education publishing, </w:t>
      </w:r>
      <w:r w:rsidR="002F73AD" w:rsidRPr="00241717">
        <w:rPr>
          <w:szCs w:val="22"/>
        </w:rPr>
        <w:t>film, broadcasting</w:t>
      </w:r>
      <w:r>
        <w:rPr>
          <w:szCs w:val="22"/>
        </w:rPr>
        <w:t xml:space="preserve"> </w:t>
      </w:r>
      <w:r w:rsidR="00857A23">
        <w:rPr>
          <w:szCs w:val="22"/>
        </w:rPr>
        <w:t xml:space="preserve">and </w:t>
      </w:r>
      <w:r>
        <w:rPr>
          <w:szCs w:val="22"/>
        </w:rPr>
        <w:t>media convergence, and digital inclusion/infrastructure</w:t>
      </w:r>
      <w:r w:rsidR="00857A23">
        <w:rPr>
          <w:szCs w:val="22"/>
        </w:rPr>
        <w:t>.</w:t>
      </w:r>
    </w:p>
    <w:p w:rsidR="00857A23" w:rsidRPr="00241717" w:rsidRDefault="00857A23" w:rsidP="00857A23">
      <w:pPr>
        <w:outlineLvl w:val="0"/>
        <w:rPr>
          <w:szCs w:val="22"/>
          <w:u w:val="single"/>
        </w:rPr>
      </w:pPr>
    </w:p>
    <w:p w:rsidR="00857A23" w:rsidRPr="00CC1ABC" w:rsidRDefault="00857A23" w:rsidP="00857A23">
      <w:pPr>
        <w:pStyle w:val="Heading2"/>
        <w:keepNext w:val="0"/>
        <w:spacing w:before="0" w:after="0"/>
      </w:pPr>
    </w:p>
    <w:p w:rsidR="002F73AD" w:rsidRPr="00053E4E" w:rsidRDefault="002F73AD" w:rsidP="00857A23">
      <w:pPr>
        <w:pStyle w:val="Heading2"/>
        <w:keepNext w:val="0"/>
        <w:spacing w:before="0" w:after="0"/>
        <w:rPr>
          <w:b/>
        </w:rPr>
      </w:pPr>
      <w:r w:rsidRPr="00053E4E">
        <w:rPr>
          <w:b/>
        </w:rPr>
        <w:t>Music</w:t>
      </w:r>
    </w:p>
    <w:p w:rsidR="00857A23" w:rsidRDefault="00857A23" w:rsidP="00857A23">
      <w:pPr>
        <w:pStyle w:val="Heading3"/>
        <w:keepNext w:val="0"/>
        <w:spacing w:before="0" w:after="0"/>
      </w:pPr>
    </w:p>
    <w:p w:rsidR="002F73AD" w:rsidRPr="00241717" w:rsidRDefault="00053E4E" w:rsidP="00857A23">
      <w:pPr>
        <w:pStyle w:val="Heading3"/>
        <w:keepNext w:val="0"/>
        <w:spacing w:before="0" w:after="0"/>
      </w:pPr>
      <w:r>
        <w:t>Market S</w:t>
      </w:r>
      <w:r w:rsidR="002F73AD" w:rsidRPr="00241717">
        <w:t xml:space="preserve">ize and </w:t>
      </w:r>
      <w:r>
        <w:t>G</w:t>
      </w:r>
      <w:r w:rsidR="002F73AD" w:rsidRPr="00241717">
        <w:t xml:space="preserve">rowth </w:t>
      </w:r>
    </w:p>
    <w:p w:rsidR="002F73AD" w:rsidRDefault="002F73AD" w:rsidP="00857A23">
      <w:pPr>
        <w:outlineLvl w:val="0"/>
        <w:rPr>
          <w:szCs w:val="22"/>
        </w:rPr>
      </w:pPr>
    </w:p>
    <w:p w:rsidR="00B07787" w:rsidRPr="00B07787" w:rsidRDefault="002F73AD" w:rsidP="00857A23">
      <w:pPr>
        <w:outlineLvl w:val="0"/>
        <w:rPr>
          <w:szCs w:val="22"/>
        </w:rPr>
      </w:pPr>
      <w:r w:rsidRPr="00241717">
        <w:rPr>
          <w:szCs w:val="22"/>
        </w:rPr>
        <w:t>The global recording industry is worth USD1</w:t>
      </w:r>
      <w:r w:rsidR="00C96EF0">
        <w:rPr>
          <w:szCs w:val="22"/>
        </w:rPr>
        <w:t>7.3</w:t>
      </w:r>
      <w:r w:rsidRPr="00241717">
        <w:rPr>
          <w:szCs w:val="22"/>
        </w:rPr>
        <w:t xml:space="preserve"> </w:t>
      </w:r>
      <w:proofErr w:type="gramStart"/>
      <w:r w:rsidR="003139E9">
        <w:rPr>
          <w:szCs w:val="22"/>
        </w:rPr>
        <w:t>b</w:t>
      </w:r>
      <w:r w:rsidRPr="00241717">
        <w:rPr>
          <w:szCs w:val="22"/>
        </w:rPr>
        <w:t>illion</w:t>
      </w:r>
      <w:proofErr w:type="gramEnd"/>
      <w:r w:rsidR="004D7A0B">
        <w:rPr>
          <w:szCs w:val="22"/>
        </w:rPr>
        <w:t>.</w:t>
      </w:r>
      <w:r w:rsidR="002C5261">
        <w:rPr>
          <w:rStyle w:val="FootnoteReference"/>
          <w:szCs w:val="22"/>
        </w:rPr>
        <w:footnoteReference w:id="5"/>
      </w:r>
      <w:r w:rsidRPr="00241717">
        <w:rPr>
          <w:szCs w:val="22"/>
        </w:rPr>
        <w:t xml:space="preserve"> </w:t>
      </w:r>
      <w:proofErr w:type="gramStart"/>
      <w:r w:rsidR="00C96EF0" w:rsidRPr="00241717">
        <w:rPr>
          <w:szCs w:val="22"/>
        </w:rPr>
        <w:t>201</w:t>
      </w:r>
      <w:r w:rsidR="00C96EF0">
        <w:rPr>
          <w:szCs w:val="22"/>
        </w:rPr>
        <w:t>7</w:t>
      </w:r>
      <w:proofErr w:type="gramEnd"/>
      <w:r w:rsidR="00C96EF0" w:rsidRPr="00241717">
        <w:rPr>
          <w:szCs w:val="22"/>
        </w:rPr>
        <w:t xml:space="preserve"> </w:t>
      </w:r>
      <w:r w:rsidRPr="00241717">
        <w:rPr>
          <w:szCs w:val="22"/>
        </w:rPr>
        <w:t>saw a</w:t>
      </w:r>
      <w:r w:rsidR="00C96EF0">
        <w:rPr>
          <w:szCs w:val="22"/>
        </w:rPr>
        <w:t>n</w:t>
      </w:r>
      <w:r w:rsidRPr="00241717">
        <w:rPr>
          <w:szCs w:val="22"/>
        </w:rPr>
        <w:t xml:space="preserve"> </w:t>
      </w:r>
      <w:r w:rsidR="00C96EF0">
        <w:rPr>
          <w:szCs w:val="22"/>
        </w:rPr>
        <w:t>increase</w:t>
      </w:r>
      <w:r w:rsidR="00C96EF0" w:rsidRPr="00241717">
        <w:rPr>
          <w:szCs w:val="22"/>
        </w:rPr>
        <w:t xml:space="preserve"> </w:t>
      </w:r>
      <w:r w:rsidR="003139E9" w:rsidRPr="00241717">
        <w:rPr>
          <w:szCs w:val="22"/>
        </w:rPr>
        <w:t>in revenue</w:t>
      </w:r>
      <w:r w:rsidR="003139E9">
        <w:rPr>
          <w:szCs w:val="22"/>
        </w:rPr>
        <w:t>s</w:t>
      </w:r>
      <w:r w:rsidR="003139E9" w:rsidRPr="00241717">
        <w:rPr>
          <w:szCs w:val="22"/>
        </w:rPr>
        <w:t xml:space="preserve"> </w:t>
      </w:r>
      <w:r w:rsidRPr="00241717">
        <w:rPr>
          <w:szCs w:val="22"/>
        </w:rPr>
        <w:t xml:space="preserve">of </w:t>
      </w:r>
      <w:r w:rsidR="00C96EF0">
        <w:rPr>
          <w:szCs w:val="22"/>
        </w:rPr>
        <w:t>8</w:t>
      </w:r>
      <w:r w:rsidRPr="00241717">
        <w:rPr>
          <w:szCs w:val="22"/>
        </w:rPr>
        <w:t>.</w:t>
      </w:r>
      <w:r w:rsidR="00C96EF0">
        <w:rPr>
          <w:szCs w:val="22"/>
        </w:rPr>
        <w:t>1</w:t>
      </w:r>
      <w:r w:rsidRPr="00241717">
        <w:rPr>
          <w:szCs w:val="22"/>
        </w:rPr>
        <w:t xml:space="preserve">% from </w:t>
      </w:r>
      <w:r w:rsidR="00C96EF0" w:rsidRPr="00241717">
        <w:rPr>
          <w:szCs w:val="22"/>
        </w:rPr>
        <w:t>201</w:t>
      </w:r>
      <w:r w:rsidR="00C96EF0">
        <w:rPr>
          <w:szCs w:val="22"/>
        </w:rPr>
        <w:t>6</w:t>
      </w:r>
      <w:r w:rsidRPr="00241717">
        <w:rPr>
          <w:szCs w:val="22"/>
        </w:rPr>
        <w:t xml:space="preserve">. </w:t>
      </w:r>
      <w:r w:rsidR="00CA0A35">
        <w:rPr>
          <w:szCs w:val="22"/>
        </w:rPr>
        <w:t xml:space="preserve"> </w:t>
      </w:r>
      <w:r w:rsidRPr="00241717">
        <w:rPr>
          <w:szCs w:val="22"/>
        </w:rPr>
        <w:t>Revenues f</w:t>
      </w:r>
      <w:r>
        <w:rPr>
          <w:szCs w:val="22"/>
        </w:rPr>
        <w:t>rom digital sources grew to USD</w:t>
      </w:r>
      <w:r w:rsidR="00C96EF0">
        <w:rPr>
          <w:szCs w:val="22"/>
        </w:rPr>
        <w:t>9</w:t>
      </w:r>
      <w:r w:rsidRPr="00241717">
        <w:rPr>
          <w:szCs w:val="22"/>
        </w:rPr>
        <w:t>.</w:t>
      </w:r>
      <w:r w:rsidR="00C96EF0">
        <w:rPr>
          <w:szCs w:val="22"/>
        </w:rPr>
        <w:t>3</w:t>
      </w:r>
      <w:r w:rsidR="00C96EF0" w:rsidRPr="00241717">
        <w:rPr>
          <w:szCs w:val="22"/>
        </w:rPr>
        <w:t xml:space="preserve"> </w:t>
      </w:r>
      <w:proofErr w:type="gramStart"/>
      <w:r w:rsidR="003139E9">
        <w:rPr>
          <w:szCs w:val="22"/>
        </w:rPr>
        <w:t>b</w:t>
      </w:r>
      <w:r w:rsidRPr="00241717">
        <w:rPr>
          <w:szCs w:val="22"/>
        </w:rPr>
        <w:t>illio</w:t>
      </w:r>
      <w:r w:rsidR="00B11AC3">
        <w:rPr>
          <w:szCs w:val="22"/>
        </w:rPr>
        <w:t>n</w:t>
      </w:r>
      <w:proofErr w:type="gramEnd"/>
      <w:r w:rsidR="00B11AC3">
        <w:rPr>
          <w:szCs w:val="22"/>
        </w:rPr>
        <w:t xml:space="preserve"> and </w:t>
      </w:r>
      <w:r w:rsidR="00C96EF0">
        <w:rPr>
          <w:szCs w:val="22"/>
        </w:rPr>
        <w:t>now account for more than half of total revenues</w:t>
      </w:r>
      <w:r w:rsidR="003139E9">
        <w:rPr>
          <w:szCs w:val="22"/>
        </w:rPr>
        <w:t xml:space="preserve">, outperforming revenues from other sources </w:t>
      </w:r>
      <w:r w:rsidR="00CB6A72">
        <w:rPr>
          <w:szCs w:val="22"/>
        </w:rPr>
        <w:t>for the first time</w:t>
      </w:r>
      <w:r w:rsidR="009F797D">
        <w:rPr>
          <w:szCs w:val="22"/>
        </w:rPr>
        <w:t xml:space="preserve"> since 2015</w:t>
      </w:r>
      <w:r w:rsidRPr="00241717">
        <w:rPr>
          <w:szCs w:val="22"/>
        </w:rPr>
        <w:t>.</w:t>
      </w:r>
      <w:r w:rsidR="00CA0A35">
        <w:rPr>
          <w:szCs w:val="22"/>
        </w:rPr>
        <w:t xml:space="preserve"> </w:t>
      </w:r>
      <w:r>
        <w:rPr>
          <w:szCs w:val="22"/>
        </w:rPr>
        <w:t xml:space="preserve"> </w:t>
      </w:r>
      <w:r w:rsidRPr="00241717">
        <w:rPr>
          <w:szCs w:val="22"/>
        </w:rPr>
        <w:t xml:space="preserve">Subscription and streaming services continue to grow quickly with a </w:t>
      </w:r>
      <w:r w:rsidR="005364EA">
        <w:rPr>
          <w:szCs w:val="22"/>
        </w:rPr>
        <w:t>41</w:t>
      </w:r>
      <w:r w:rsidRPr="00241717">
        <w:rPr>
          <w:szCs w:val="22"/>
        </w:rPr>
        <w:t>% growth rate in 201</w:t>
      </w:r>
      <w:r w:rsidR="005364EA">
        <w:rPr>
          <w:szCs w:val="22"/>
        </w:rPr>
        <w:t>7</w:t>
      </w:r>
      <w:r w:rsidRPr="00241717">
        <w:rPr>
          <w:szCs w:val="22"/>
        </w:rPr>
        <w:t xml:space="preserve"> to </w:t>
      </w:r>
      <w:r w:rsidR="005364EA" w:rsidRPr="00241717">
        <w:rPr>
          <w:szCs w:val="22"/>
        </w:rPr>
        <w:t>USD</w:t>
      </w:r>
      <w:r w:rsidR="005364EA">
        <w:rPr>
          <w:szCs w:val="22"/>
        </w:rPr>
        <w:t>6.6</w:t>
      </w:r>
      <w:r w:rsidR="005364EA" w:rsidRPr="00241717">
        <w:rPr>
          <w:szCs w:val="22"/>
        </w:rPr>
        <w:t xml:space="preserve"> </w:t>
      </w:r>
      <w:proofErr w:type="gramStart"/>
      <w:r w:rsidR="003139E9">
        <w:rPr>
          <w:szCs w:val="22"/>
        </w:rPr>
        <w:t>b</w:t>
      </w:r>
      <w:r w:rsidR="005864AD">
        <w:rPr>
          <w:szCs w:val="22"/>
        </w:rPr>
        <w:t>illion</w:t>
      </w:r>
      <w:proofErr w:type="gramEnd"/>
      <w:r w:rsidR="007B54D9">
        <w:rPr>
          <w:rStyle w:val="FootnoteReference"/>
          <w:szCs w:val="22"/>
        </w:rPr>
        <w:footnoteReference w:id="6"/>
      </w:r>
      <w:r w:rsidR="005864AD">
        <w:rPr>
          <w:szCs w:val="22"/>
        </w:rPr>
        <w:t xml:space="preserve">.  </w:t>
      </w:r>
      <w:r w:rsidR="00B07787">
        <w:rPr>
          <w:szCs w:val="22"/>
        </w:rPr>
        <w:t>The music industry remains concerned</w:t>
      </w:r>
      <w:r w:rsidR="005864AD">
        <w:rPr>
          <w:szCs w:val="22"/>
        </w:rPr>
        <w:t>,</w:t>
      </w:r>
      <w:r w:rsidR="00B07787">
        <w:rPr>
          <w:szCs w:val="22"/>
        </w:rPr>
        <w:t xml:space="preserve"> however, about the </w:t>
      </w:r>
      <w:r w:rsidR="00B07787">
        <w:rPr>
          <w:i/>
          <w:szCs w:val="22"/>
        </w:rPr>
        <w:t>value gap</w:t>
      </w:r>
      <w:r w:rsidR="00B07787">
        <w:rPr>
          <w:szCs w:val="22"/>
        </w:rPr>
        <w:t xml:space="preserve"> where some platforms pay very much less per user than others.  The industry claims that this value gap will </w:t>
      </w:r>
      <w:r w:rsidR="003B0547">
        <w:rPr>
          <w:szCs w:val="22"/>
        </w:rPr>
        <w:t xml:space="preserve">have an </w:t>
      </w:r>
      <w:r w:rsidR="00B07787">
        <w:rPr>
          <w:szCs w:val="22"/>
        </w:rPr>
        <w:t xml:space="preserve">impact on the creation of new music for the future.  </w:t>
      </w:r>
    </w:p>
    <w:p w:rsidR="00857A23" w:rsidRPr="00CC1ABC" w:rsidRDefault="00857A23" w:rsidP="00857A23">
      <w:pPr>
        <w:pStyle w:val="Heading2"/>
        <w:keepNext w:val="0"/>
        <w:spacing w:before="0" w:after="0"/>
      </w:pPr>
    </w:p>
    <w:p w:rsidR="00857A23" w:rsidRPr="00CC1ABC" w:rsidRDefault="00857A23" w:rsidP="00857A23">
      <w:pPr>
        <w:pStyle w:val="Heading2"/>
        <w:keepNext w:val="0"/>
        <w:spacing w:before="0" w:after="0"/>
      </w:pPr>
    </w:p>
    <w:p w:rsidR="00087FD5" w:rsidRPr="00241717" w:rsidRDefault="00CB6A72" w:rsidP="00857A23">
      <w:pPr>
        <w:pStyle w:val="Heading2"/>
        <w:keepNext w:val="0"/>
        <w:spacing w:before="0" w:after="0"/>
      </w:pPr>
      <w:r>
        <w:rPr>
          <w:b/>
        </w:rPr>
        <w:t>PublishinG</w:t>
      </w:r>
    </w:p>
    <w:p w:rsidR="00857A23" w:rsidRDefault="00857A23" w:rsidP="00857A23">
      <w:pPr>
        <w:pStyle w:val="Heading3"/>
        <w:keepNext w:val="0"/>
        <w:spacing w:before="0" w:after="0"/>
      </w:pPr>
    </w:p>
    <w:p w:rsidR="00087FD5" w:rsidRPr="003139E9" w:rsidRDefault="00087FD5" w:rsidP="00857A23">
      <w:pPr>
        <w:pStyle w:val="Heading3"/>
        <w:keepNext w:val="0"/>
        <w:spacing w:before="0" w:after="0"/>
      </w:pPr>
      <w:r w:rsidRPr="003139E9">
        <w:t>Market Size and Growth</w:t>
      </w:r>
    </w:p>
    <w:p w:rsidR="00087FD5" w:rsidRPr="003139E9" w:rsidRDefault="00087FD5" w:rsidP="00857A23">
      <w:pPr>
        <w:rPr>
          <w:szCs w:val="22"/>
        </w:rPr>
      </w:pPr>
    </w:p>
    <w:p w:rsidR="007C5EBA" w:rsidRPr="007C5EBA" w:rsidRDefault="007C5EBA" w:rsidP="00857A23">
      <w:pPr>
        <w:rPr>
          <w:lang w:val="en"/>
        </w:rPr>
      </w:pPr>
      <w:r>
        <w:rPr>
          <w:szCs w:val="22"/>
        </w:rPr>
        <w:t>Overall publishing market:  t</w:t>
      </w:r>
      <w:r w:rsidR="00087FD5" w:rsidRPr="003139E9">
        <w:t>otal net revenues from book publishing sales and licensing amount</w:t>
      </w:r>
      <w:r w:rsidR="00D71174">
        <w:t>ed</w:t>
      </w:r>
      <w:r w:rsidR="00087FD5" w:rsidRPr="003139E9">
        <w:t xml:space="preserve"> to USD41.9 </w:t>
      </w:r>
      <w:proofErr w:type="gramStart"/>
      <w:r w:rsidR="00087FD5" w:rsidRPr="003139E9">
        <w:t>billion</w:t>
      </w:r>
      <w:proofErr w:type="gramEnd"/>
      <w:r w:rsidR="00087FD5" w:rsidRPr="003139E9">
        <w:t xml:space="preserve"> in 2016, according to a new </w:t>
      </w:r>
      <w:r w:rsidR="00087FD5">
        <w:t xml:space="preserve">global </w:t>
      </w:r>
      <w:r w:rsidR="00087FD5" w:rsidRPr="003139E9">
        <w:t xml:space="preserve">survey launched by WIPO </w:t>
      </w:r>
      <w:r w:rsidR="00087FD5">
        <w:t>in partnership</w:t>
      </w:r>
      <w:r w:rsidR="00087FD5" w:rsidRPr="003139E9">
        <w:t xml:space="preserve"> with the Internation</w:t>
      </w:r>
      <w:r w:rsidR="00352EB5">
        <w:t>al Publishers Association (IPA)</w:t>
      </w:r>
      <w:r w:rsidR="00087FD5" w:rsidRPr="003139E9">
        <w:rPr>
          <w:rStyle w:val="FootnoteReference"/>
          <w:szCs w:val="22"/>
        </w:rPr>
        <w:footnoteReference w:id="7"/>
      </w:r>
      <w:r w:rsidR="005864AD">
        <w:rPr>
          <w:szCs w:val="22"/>
        </w:rPr>
        <w:t>.</w:t>
      </w:r>
      <w:r w:rsidR="00087FD5" w:rsidRPr="003139E9">
        <w:rPr>
          <w:szCs w:val="22"/>
        </w:rPr>
        <w:t xml:space="preserve"> </w:t>
      </w:r>
      <w:r w:rsidR="00AC38B1">
        <w:rPr>
          <w:szCs w:val="22"/>
        </w:rPr>
        <w:t xml:space="preserve"> </w:t>
      </w:r>
      <w:r w:rsidR="00087FD5" w:rsidRPr="003139E9">
        <w:rPr>
          <w:szCs w:val="22"/>
        </w:rPr>
        <w:t>Books account for 15%</w:t>
      </w:r>
      <w:r w:rsidR="00087FD5" w:rsidRPr="003139E9">
        <w:rPr>
          <w:rStyle w:val="FootnoteReference"/>
          <w:szCs w:val="22"/>
        </w:rPr>
        <w:footnoteReference w:id="8"/>
      </w:r>
      <w:r w:rsidR="00087FD5" w:rsidRPr="003139E9">
        <w:rPr>
          <w:szCs w:val="22"/>
        </w:rPr>
        <w:t xml:space="preserve"> of all consumer spending on media and entertainment. </w:t>
      </w:r>
      <w:r w:rsidR="00857A23">
        <w:rPr>
          <w:szCs w:val="22"/>
        </w:rPr>
        <w:t xml:space="preserve"> </w:t>
      </w:r>
      <w:r w:rsidR="00087FD5" w:rsidRPr="003139E9">
        <w:rPr>
          <w:szCs w:val="22"/>
        </w:rPr>
        <w:t>Sales of e-books are increasing and the global market for e-readers has increased nearly twenty-fold</w:t>
      </w:r>
      <w:r w:rsidR="00087FD5" w:rsidRPr="003139E9">
        <w:rPr>
          <w:rStyle w:val="FootnoteReference"/>
          <w:szCs w:val="22"/>
        </w:rPr>
        <w:footnoteReference w:id="9"/>
      </w:r>
      <w:r w:rsidR="00087FD5" w:rsidRPr="003139E9">
        <w:rPr>
          <w:szCs w:val="22"/>
        </w:rPr>
        <w:t xml:space="preserve"> since 2008. </w:t>
      </w:r>
      <w:r w:rsidR="00857A23">
        <w:rPr>
          <w:szCs w:val="22"/>
        </w:rPr>
        <w:t xml:space="preserve"> </w:t>
      </w:r>
      <w:r w:rsidRPr="007C5EBA">
        <w:rPr>
          <w:lang w:val="en"/>
        </w:rPr>
        <w:t xml:space="preserve">Overall, the top </w:t>
      </w:r>
      <w:r w:rsidR="00BB4652">
        <w:rPr>
          <w:lang w:val="en"/>
        </w:rPr>
        <w:t>ten</w:t>
      </w:r>
      <w:r w:rsidRPr="007C5EBA">
        <w:rPr>
          <w:lang w:val="en"/>
        </w:rPr>
        <w:t xml:space="preserve"> largest publishing companies performed well in 2017, with every company posting higher revenue in 2017 than in 2016. </w:t>
      </w:r>
    </w:p>
    <w:p w:rsidR="00087FD5" w:rsidRDefault="00087FD5" w:rsidP="00857A23">
      <w:pPr>
        <w:rPr>
          <w:rFonts w:ascii="Times New Roman" w:hAnsi="Times New Roman" w:cs="Times New Roman"/>
          <w:lang w:val="en" w:eastAsia="en-US"/>
        </w:rPr>
      </w:pPr>
    </w:p>
    <w:p w:rsidR="009B49C6" w:rsidRPr="007C5EBA" w:rsidRDefault="009B49C6" w:rsidP="00857A23">
      <w:pPr>
        <w:rPr>
          <w:rFonts w:ascii="Times New Roman" w:hAnsi="Times New Roman" w:cs="Times New Roman"/>
          <w:lang w:val="en" w:eastAsia="en-US"/>
        </w:rPr>
      </w:pPr>
    </w:p>
    <w:p w:rsidR="00087FD5" w:rsidRPr="007C5EBA" w:rsidRDefault="007C5EBA" w:rsidP="009B49C6">
      <w:pPr>
        <w:keepNext/>
        <w:rPr>
          <w:szCs w:val="22"/>
          <w:lang w:val="en-GB"/>
        </w:rPr>
      </w:pPr>
      <w:r>
        <w:rPr>
          <w:szCs w:val="22"/>
        </w:rPr>
        <w:lastRenderedPageBreak/>
        <w:t xml:space="preserve">Education publishing:  </w:t>
      </w:r>
      <w:r w:rsidRPr="007C5EBA">
        <w:rPr>
          <w:szCs w:val="22"/>
          <w:lang w:val="en"/>
        </w:rPr>
        <w:t>Nearly half of the world</w:t>
      </w:r>
      <w:r w:rsidR="00857A23">
        <w:rPr>
          <w:szCs w:val="22"/>
          <w:lang w:val="en"/>
        </w:rPr>
        <w:t>’</w:t>
      </w:r>
      <w:r w:rsidRPr="007C5EBA">
        <w:rPr>
          <w:szCs w:val="22"/>
          <w:lang w:val="en"/>
        </w:rPr>
        <w:t>s publishing</w:t>
      </w:r>
      <w:r w:rsidR="005864AD">
        <w:rPr>
          <w:szCs w:val="22"/>
          <w:lang w:val="en"/>
        </w:rPr>
        <w:t xml:space="preserve"> industry serves the education</w:t>
      </w:r>
      <w:r w:rsidRPr="007C5EBA">
        <w:rPr>
          <w:szCs w:val="22"/>
          <w:lang w:val="en"/>
        </w:rPr>
        <w:t xml:space="preserve"> market and this percentage is much higher in the developing world</w:t>
      </w:r>
      <w:r w:rsidRPr="007C5EBA">
        <w:rPr>
          <w:szCs w:val="22"/>
          <w:vertAlign w:val="superscript"/>
          <w:lang w:val="en"/>
        </w:rPr>
        <w:footnoteReference w:id="10"/>
      </w:r>
      <w:r w:rsidRPr="007C5EBA">
        <w:rPr>
          <w:szCs w:val="22"/>
          <w:lang w:val="en"/>
        </w:rPr>
        <w:t xml:space="preserve">. </w:t>
      </w:r>
      <w:r w:rsidR="00CA0A35">
        <w:rPr>
          <w:szCs w:val="22"/>
          <w:lang w:val="en"/>
        </w:rPr>
        <w:t xml:space="preserve"> </w:t>
      </w:r>
      <w:r w:rsidRPr="007C5EBA">
        <w:rPr>
          <w:szCs w:val="22"/>
          <w:lang w:val="en"/>
        </w:rPr>
        <w:t xml:space="preserve">In </w:t>
      </w:r>
      <w:proofErr w:type="gramStart"/>
      <w:r w:rsidRPr="007C5EBA">
        <w:rPr>
          <w:szCs w:val="22"/>
          <w:lang w:val="en"/>
        </w:rPr>
        <w:t>2017</w:t>
      </w:r>
      <w:proofErr w:type="gramEnd"/>
      <w:r w:rsidRPr="007C5EBA">
        <w:rPr>
          <w:szCs w:val="22"/>
          <w:lang w:val="en"/>
        </w:rPr>
        <w:t xml:space="preserve"> Bertelsmann education group reported a 33% increase</w:t>
      </w:r>
      <w:r w:rsidR="00B07787">
        <w:rPr>
          <w:szCs w:val="22"/>
          <w:lang w:val="en"/>
        </w:rPr>
        <w:t xml:space="preserve"> in revenue</w:t>
      </w:r>
      <w:r w:rsidRPr="007C5EBA">
        <w:rPr>
          <w:szCs w:val="22"/>
          <w:vertAlign w:val="superscript"/>
          <w:lang w:val="en"/>
        </w:rPr>
        <w:footnoteReference w:id="11"/>
      </w:r>
      <w:r w:rsidRPr="007C5EBA">
        <w:rPr>
          <w:szCs w:val="22"/>
          <w:lang w:val="en"/>
        </w:rPr>
        <w:t>.</w:t>
      </w:r>
      <w:r w:rsidR="00CA0A35">
        <w:rPr>
          <w:szCs w:val="22"/>
          <w:lang w:val="en"/>
        </w:rPr>
        <w:t xml:space="preserve"> </w:t>
      </w:r>
      <w:r w:rsidRPr="007C5EBA">
        <w:rPr>
          <w:szCs w:val="22"/>
          <w:lang w:val="en"/>
        </w:rPr>
        <w:t xml:space="preserve"> </w:t>
      </w:r>
      <w:r w:rsidRPr="007C5EBA">
        <w:rPr>
          <w:szCs w:val="22"/>
        </w:rPr>
        <w:t>Meanwhile the rapid shift from hard copies and hard assets to digital forms of consumption, the accompanying collapse of tradit</w:t>
      </w:r>
      <w:r w:rsidR="00B07787">
        <w:rPr>
          <w:szCs w:val="22"/>
        </w:rPr>
        <w:t xml:space="preserve">ional revenue models and the search for solutions </w:t>
      </w:r>
      <w:r w:rsidRPr="007C5EBA">
        <w:rPr>
          <w:szCs w:val="22"/>
        </w:rPr>
        <w:t>have now proven unavoidable for textbook publishers.</w:t>
      </w:r>
      <w:r w:rsidRPr="007C5EBA">
        <w:rPr>
          <w:szCs w:val="22"/>
          <w:vertAlign w:val="superscript"/>
        </w:rPr>
        <w:footnoteReference w:id="12"/>
      </w:r>
      <w:r w:rsidR="005864AD">
        <w:rPr>
          <w:szCs w:val="22"/>
        </w:rPr>
        <w:t xml:space="preserve"> </w:t>
      </w:r>
      <w:r w:rsidR="00857A23">
        <w:rPr>
          <w:szCs w:val="22"/>
        </w:rPr>
        <w:t xml:space="preserve"> </w:t>
      </w:r>
      <w:proofErr w:type="gramStart"/>
      <w:r w:rsidR="005864AD">
        <w:rPr>
          <w:szCs w:val="22"/>
        </w:rPr>
        <w:t>Education</w:t>
      </w:r>
      <w:r w:rsidR="00B07787">
        <w:rPr>
          <w:szCs w:val="22"/>
        </w:rPr>
        <w:t xml:space="preserve"> publishers</w:t>
      </w:r>
      <w:r w:rsidRPr="007C5EBA">
        <w:rPr>
          <w:szCs w:val="22"/>
        </w:rPr>
        <w:t xml:space="preserve"> have to deal with the digital challenges and </w:t>
      </w:r>
      <w:r w:rsidR="00B07787">
        <w:rPr>
          <w:szCs w:val="22"/>
        </w:rPr>
        <w:t xml:space="preserve">will </w:t>
      </w:r>
      <w:r w:rsidRPr="007C5EBA">
        <w:rPr>
          <w:szCs w:val="22"/>
        </w:rPr>
        <w:t xml:space="preserve">benefit from the opportunities </w:t>
      </w:r>
      <w:r w:rsidR="00B07787">
        <w:rPr>
          <w:szCs w:val="22"/>
        </w:rPr>
        <w:t xml:space="preserve">offered by </w:t>
      </w:r>
      <w:r w:rsidRPr="007C5EBA">
        <w:rPr>
          <w:szCs w:val="22"/>
        </w:rPr>
        <w:t>mobile formats, enhan</w:t>
      </w:r>
      <w:r w:rsidR="005864AD">
        <w:rPr>
          <w:szCs w:val="22"/>
        </w:rPr>
        <w:t>cing accessibility, making use</w:t>
      </w:r>
      <w:r w:rsidRPr="007C5EBA">
        <w:rPr>
          <w:szCs w:val="22"/>
        </w:rPr>
        <w:t xml:space="preserve"> of interrelated and interactive creative sectors such as video games and artificial intelligence.</w:t>
      </w:r>
      <w:proofErr w:type="gramEnd"/>
    </w:p>
    <w:p w:rsidR="00857A23" w:rsidRPr="00CC1ABC" w:rsidRDefault="00857A23" w:rsidP="00857A23">
      <w:pPr>
        <w:pStyle w:val="Heading2"/>
        <w:keepNext w:val="0"/>
        <w:spacing w:before="0" w:after="0"/>
      </w:pPr>
    </w:p>
    <w:p w:rsidR="00857A23" w:rsidRPr="00CC1ABC" w:rsidRDefault="00857A23" w:rsidP="00857A23">
      <w:pPr>
        <w:pStyle w:val="Heading2"/>
        <w:keepNext w:val="0"/>
        <w:spacing w:before="0" w:after="0"/>
      </w:pPr>
    </w:p>
    <w:p w:rsidR="00E608FC" w:rsidRPr="00E608FC" w:rsidRDefault="002F73AD" w:rsidP="00857A23">
      <w:pPr>
        <w:pStyle w:val="Heading2"/>
        <w:keepNext w:val="0"/>
        <w:spacing w:before="0" w:after="0"/>
        <w:rPr>
          <w:b/>
        </w:rPr>
      </w:pPr>
      <w:r w:rsidRPr="00053E4E">
        <w:rPr>
          <w:b/>
        </w:rPr>
        <w:t>Film</w:t>
      </w:r>
      <w:bookmarkStart w:id="4" w:name="_GoBack"/>
      <w:bookmarkEnd w:id="4"/>
    </w:p>
    <w:p w:rsidR="00857A23" w:rsidRDefault="00857A23" w:rsidP="00857A23">
      <w:pPr>
        <w:pStyle w:val="Heading3"/>
        <w:keepNext w:val="0"/>
        <w:spacing w:before="0" w:after="0"/>
      </w:pPr>
    </w:p>
    <w:p w:rsidR="002F73AD" w:rsidRPr="00241717" w:rsidRDefault="002F73AD" w:rsidP="00857A23">
      <w:pPr>
        <w:pStyle w:val="Heading3"/>
        <w:keepNext w:val="0"/>
        <w:spacing w:before="0" w:after="0"/>
      </w:pPr>
      <w:r w:rsidRPr="00241717">
        <w:t xml:space="preserve">Market </w:t>
      </w:r>
      <w:r w:rsidR="00053E4E">
        <w:t>S</w:t>
      </w:r>
      <w:r w:rsidRPr="00241717">
        <w:t xml:space="preserve">ize and </w:t>
      </w:r>
      <w:r w:rsidR="00053E4E">
        <w:t>G</w:t>
      </w:r>
      <w:r w:rsidRPr="00241717">
        <w:t>rowth</w:t>
      </w:r>
    </w:p>
    <w:p w:rsidR="002F73AD" w:rsidRDefault="002F73AD" w:rsidP="00857A23">
      <w:pPr>
        <w:outlineLvl w:val="0"/>
        <w:rPr>
          <w:szCs w:val="22"/>
        </w:rPr>
      </w:pPr>
    </w:p>
    <w:p w:rsidR="002F73AD" w:rsidRPr="00241717" w:rsidRDefault="005864AD" w:rsidP="00857A23">
      <w:pPr>
        <w:outlineLvl w:val="0"/>
        <w:rPr>
          <w:szCs w:val="22"/>
        </w:rPr>
      </w:pPr>
      <w:r>
        <w:rPr>
          <w:szCs w:val="22"/>
        </w:rPr>
        <w:t>G</w:t>
      </w:r>
      <w:r w:rsidR="002F73AD" w:rsidRPr="00241717">
        <w:rPr>
          <w:szCs w:val="22"/>
        </w:rPr>
        <w:t xml:space="preserve">lobal box office revenues for film </w:t>
      </w:r>
      <w:r w:rsidR="00E608FC">
        <w:rPr>
          <w:szCs w:val="22"/>
        </w:rPr>
        <w:t>were</w:t>
      </w:r>
      <w:r w:rsidR="003139E9" w:rsidRPr="00241717">
        <w:rPr>
          <w:szCs w:val="22"/>
        </w:rPr>
        <w:t xml:space="preserve"> </w:t>
      </w:r>
      <w:r w:rsidR="005364EA" w:rsidRPr="00241717">
        <w:rPr>
          <w:szCs w:val="22"/>
        </w:rPr>
        <w:t>USD</w:t>
      </w:r>
      <w:r w:rsidR="005364EA">
        <w:rPr>
          <w:szCs w:val="22"/>
        </w:rPr>
        <w:t>40</w:t>
      </w:r>
      <w:r w:rsidR="002F73AD" w:rsidRPr="00241717">
        <w:rPr>
          <w:szCs w:val="22"/>
        </w:rPr>
        <w:t>.</w:t>
      </w:r>
      <w:r w:rsidR="005364EA">
        <w:rPr>
          <w:szCs w:val="22"/>
        </w:rPr>
        <w:t>6</w:t>
      </w:r>
      <w:r w:rsidR="005364EA" w:rsidRPr="00241717">
        <w:rPr>
          <w:szCs w:val="22"/>
        </w:rPr>
        <w:t xml:space="preserve"> </w:t>
      </w:r>
      <w:r w:rsidR="002F73AD" w:rsidRPr="00241717">
        <w:rPr>
          <w:szCs w:val="22"/>
        </w:rPr>
        <w:t>billion</w:t>
      </w:r>
      <w:r w:rsidR="007B54D9">
        <w:rPr>
          <w:rStyle w:val="FootnoteReference"/>
          <w:szCs w:val="22"/>
        </w:rPr>
        <w:footnoteReference w:id="13"/>
      </w:r>
      <w:r w:rsidR="002F73AD" w:rsidRPr="00241717">
        <w:rPr>
          <w:szCs w:val="22"/>
        </w:rPr>
        <w:t xml:space="preserve"> in 201</w:t>
      </w:r>
      <w:r w:rsidR="005364EA">
        <w:rPr>
          <w:szCs w:val="22"/>
        </w:rPr>
        <w:t>7</w:t>
      </w:r>
      <w:r w:rsidR="002F73AD" w:rsidRPr="00241717">
        <w:rPr>
          <w:szCs w:val="22"/>
        </w:rPr>
        <w:t xml:space="preserve">. </w:t>
      </w:r>
      <w:r w:rsidR="00CA0A35">
        <w:rPr>
          <w:szCs w:val="22"/>
        </w:rPr>
        <w:t xml:space="preserve"> </w:t>
      </w:r>
      <w:r w:rsidR="000C2102" w:rsidRPr="000C2102">
        <w:t>As of 2016, the largest markets by box office were, in decreasing order, the United States</w:t>
      </w:r>
      <w:r w:rsidR="00BB4652">
        <w:t xml:space="preserve"> of America</w:t>
      </w:r>
      <w:r w:rsidR="000C2102" w:rsidRPr="000C2102">
        <w:t>, China, Japan</w:t>
      </w:r>
      <w:r w:rsidR="00C86E33">
        <w:t>, I</w:t>
      </w:r>
      <w:r>
        <w:t>ndia, and the United Kingdom</w:t>
      </w:r>
      <w:r w:rsidR="00C86E33">
        <w:rPr>
          <w:rStyle w:val="FootnoteReference"/>
        </w:rPr>
        <w:footnoteReference w:id="14"/>
      </w:r>
      <w:r>
        <w:t>.</w:t>
      </w:r>
      <w:r>
        <w:rPr>
          <w:szCs w:val="22"/>
        </w:rPr>
        <w:t xml:space="preserve">  </w:t>
      </w:r>
      <w:r w:rsidR="002F73AD" w:rsidRPr="00241717">
        <w:rPr>
          <w:szCs w:val="22"/>
        </w:rPr>
        <w:t xml:space="preserve">While ticket sales are falling or flat in North America and Europe, growth in the Asia-Pacific region, particularly China, has been strong; the Chinese market </w:t>
      </w:r>
      <w:r w:rsidR="003233D0">
        <w:rPr>
          <w:szCs w:val="22"/>
        </w:rPr>
        <w:t xml:space="preserve">alone </w:t>
      </w:r>
      <w:r w:rsidR="00914E15">
        <w:rPr>
          <w:szCs w:val="22"/>
        </w:rPr>
        <w:t xml:space="preserve">saw </w:t>
      </w:r>
      <w:r w:rsidR="003233D0">
        <w:rPr>
          <w:szCs w:val="22"/>
        </w:rPr>
        <w:t>a</w:t>
      </w:r>
      <w:r w:rsidR="00914E15" w:rsidRPr="00241717">
        <w:rPr>
          <w:szCs w:val="22"/>
        </w:rPr>
        <w:t xml:space="preserve"> </w:t>
      </w:r>
      <w:r w:rsidR="00914E15">
        <w:rPr>
          <w:szCs w:val="22"/>
        </w:rPr>
        <w:t>21</w:t>
      </w:r>
      <w:r w:rsidR="002F73AD" w:rsidRPr="00241717">
        <w:rPr>
          <w:szCs w:val="22"/>
        </w:rPr>
        <w:t>%</w:t>
      </w:r>
      <w:r w:rsidR="00914E15">
        <w:rPr>
          <w:szCs w:val="22"/>
        </w:rPr>
        <w:t xml:space="preserve"> increase</w:t>
      </w:r>
      <w:r w:rsidR="002F73AD" w:rsidRPr="00241717">
        <w:rPr>
          <w:szCs w:val="22"/>
        </w:rPr>
        <w:t xml:space="preserve"> in </w:t>
      </w:r>
      <w:r w:rsidR="00914E15" w:rsidRPr="00241717">
        <w:rPr>
          <w:szCs w:val="22"/>
        </w:rPr>
        <w:t>201</w:t>
      </w:r>
      <w:r w:rsidR="00914E15">
        <w:rPr>
          <w:szCs w:val="22"/>
        </w:rPr>
        <w:t>7</w:t>
      </w:r>
      <w:r w:rsidR="00914E15" w:rsidRPr="00241717">
        <w:rPr>
          <w:szCs w:val="22"/>
        </w:rPr>
        <w:t xml:space="preserve"> </w:t>
      </w:r>
      <w:r w:rsidR="002F73AD" w:rsidRPr="00241717">
        <w:rPr>
          <w:szCs w:val="22"/>
        </w:rPr>
        <w:t>to USD</w:t>
      </w:r>
      <w:r w:rsidR="00914E15">
        <w:rPr>
          <w:szCs w:val="22"/>
        </w:rPr>
        <w:t>7</w:t>
      </w:r>
      <w:r w:rsidR="002F73AD" w:rsidRPr="00241717">
        <w:rPr>
          <w:szCs w:val="22"/>
        </w:rPr>
        <w:t>.</w:t>
      </w:r>
      <w:r w:rsidR="00914E15">
        <w:rPr>
          <w:szCs w:val="22"/>
        </w:rPr>
        <w:t>9</w:t>
      </w:r>
      <w:r w:rsidR="00914E15" w:rsidRPr="00241717">
        <w:rPr>
          <w:szCs w:val="22"/>
        </w:rPr>
        <w:t xml:space="preserve"> </w:t>
      </w:r>
      <w:r w:rsidR="002F73AD" w:rsidRPr="00241717">
        <w:rPr>
          <w:szCs w:val="22"/>
        </w:rPr>
        <w:t>billion</w:t>
      </w:r>
      <w:r w:rsidR="003139E9">
        <w:rPr>
          <w:szCs w:val="22"/>
        </w:rPr>
        <w:t>.</w:t>
      </w:r>
      <w:r w:rsidR="00611F39">
        <w:rPr>
          <w:rStyle w:val="FootnoteReference"/>
          <w:szCs w:val="22"/>
        </w:rPr>
        <w:footnoteReference w:id="15"/>
      </w:r>
      <w:r>
        <w:rPr>
          <w:szCs w:val="22"/>
        </w:rPr>
        <w:t xml:space="preserve">  </w:t>
      </w:r>
      <w:r w:rsidR="002F73AD" w:rsidRPr="00241717">
        <w:rPr>
          <w:szCs w:val="22"/>
        </w:rPr>
        <w:t xml:space="preserve">Digital film sales </w:t>
      </w:r>
      <w:r w:rsidR="00A125F9">
        <w:rPr>
          <w:szCs w:val="22"/>
        </w:rPr>
        <w:t xml:space="preserve">from online sources </w:t>
      </w:r>
      <w:r w:rsidR="002F73AD" w:rsidRPr="00241717">
        <w:rPr>
          <w:szCs w:val="22"/>
        </w:rPr>
        <w:t xml:space="preserve">are increasing. </w:t>
      </w:r>
      <w:r w:rsidR="00CA0A35">
        <w:rPr>
          <w:szCs w:val="22"/>
        </w:rPr>
        <w:t xml:space="preserve"> </w:t>
      </w:r>
      <w:r w:rsidR="003233D0" w:rsidRPr="003233D0">
        <w:rPr>
          <w:szCs w:val="22"/>
        </w:rPr>
        <w:t>In 2017, global home entertainment consumer spending increased by 11</w:t>
      </w:r>
      <w:r w:rsidR="003233D0">
        <w:rPr>
          <w:szCs w:val="22"/>
        </w:rPr>
        <w:t>%</w:t>
      </w:r>
      <w:r w:rsidR="003233D0" w:rsidRPr="003233D0">
        <w:rPr>
          <w:szCs w:val="22"/>
        </w:rPr>
        <w:t xml:space="preserve"> to </w:t>
      </w:r>
      <w:r w:rsidR="003233D0">
        <w:rPr>
          <w:szCs w:val="22"/>
        </w:rPr>
        <w:t>USD4</w:t>
      </w:r>
      <w:r w:rsidR="005006C1">
        <w:rPr>
          <w:szCs w:val="22"/>
        </w:rPr>
        <w:t xml:space="preserve">7.8 </w:t>
      </w:r>
      <w:proofErr w:type="gramStart"/>
      <w:r w:rsidR="005006C1">
        <w:rPr>
          <w:szCs w:val="22"/>
        </w:rPr>
        <w:t>billion</w:t>
      </w:r>
      <w:proofErr w:type="gramEnd"/>
      <w:r w:rsidR="005006C1">
        <w:rPr>
          <w:szCs w:val="22"/>
        </w:rPr>
        <w:t xml:space="preserve"> and was</w:t>
      </w:r>
      <w:r w:rsidR="003233D0" w:rsidRPr="003233D0">
        <w:rPr>
          <w:szCs w:val="22"/>
        </w:rPr>
        <w:t xml:space="preserve"> </w:t>
      </w:r>
      <w:r w:rsidR="005006C1">
        <w:rPr>
          <w:szCs w:val="22"/>
        </w:rPr>
        <w:t>driven by heavy spending on digital home entertainment.</w:t>
      </w:r>
      <w:r w:rsidR="005006C1">
        <w:rPr>
          <w:rStyle w:val="FootnoteReference"/>
          <w:szCs w:val="22"/>
        </w:rPr>
        <w:footnoteReference w:id="16"/>
      </w:r>
      <w:r w:rsidR="005006C1">
        <w:rPr>
          <w:szCs w:val="22"/>
        </w:rPr>
        <w:t xml:space="preserve"> </w:t>
      </w:r>
    </w:p>
    <w:p w:rsidR="00857A23" w:rsidRPr="00CC1ABC" w:rsidRDefault="00857A23" w:rsidP="00857A23">
      <w:pPr>
        <w:pStyle w:val="Heading2"/>
        <w:keepNext w:val="0"/>
        <w:spacing w:before="0" w:after="0"/>
      </w:pPr>
    </w:p>
    <w:p w:rsidR="00857A23" w:rsidRPr="00CC1ABC" w:rsidRDefault="00857A23" w:rsidP="00857A23">
      <w:pPr>
        <w:pStyle w:val="Heading2"/>
        <w:keepNext w:val="0"/>
        <w:spacing w:before="0" w:after="0"/>
      </w:pPr>
    </w:p>
    <w:p w:rsidR="002F73AD" w:rsidRPr="00053E4E" w:rsidRDefault="002F73AD" w:rsidP="00857A23">
      <w:pPr>
        <w:pStyle w:val="Heading2"/>
        <w:keepNext w:val="0"/>
        <w:spacing w:before="0" w:after="0"/>
        <w:rPr>
          <w:b/>
        </w:rPr>
      </w:pPr>
      <w:r w:rsidRPr="00053E4E">
        <w:rPr>
          <w:b/>
        </w:rPr>
        <w:t>Broadcasting</w:t>
      </w:r>
      <w:r w:rsidR="00087FD5">
        <w:rPr>
          <w:b/>
        </w:rPr>
        <w:t xml:space="preserve"> and media convergence</w:t>
      </w:r>
    </w:p>
    <w:p w:rsidR="00857A23" w:rsidRDefault="00857A23" w:rsidP="00857A23">
      <w:pPr>
        <w:pStyle w:val="Heading3"/>
        <w:keepNext w:val="0"/>
        <w:spacing w:before="0" w:after="0"/>
      </w:pPr>
    </w:p>
    <w:p w:rsidR="002F73AD" w:rsidRPr="00241717" w:rsidRDefault="002F73AD" w:rsidP="00857A23">
      <w:pPr>
        <w:pStyle w:val="Heading3"/>
        <w:keepNext w:val="0"/>
        <w:spacing w:before="0" w:after="0"/>
      </w:pPr>
      <w:r w:rsidRPr="00241717">
        <w:t xml:space="preserve">Market </w:t>
      </w:r>
      <w:r>
        <w:t>S</w:t>
      </w:r>
      <w:r w:rsidRPr="00241717">
        <w:t xml:space="preserve">ize and </w:t>
      </w:r>
      <w:r>
        <w:t>G</w:t>
      </w:r>
      <w:r w:rsidRPr="00241717">
        <w:t>rowth</w:t>
      </w:r>
    </w:p>
    <w:p w:rsidR="009D2456" w:rsidRDefault="009D2456" w:rsidP="00857A23">
      <w:pPr>
        <w:outlineLvl w:val="0"/>
        <w:rPr>
          <w:szCs w:val="22"/>
        </w:rPr>
      </w:pPr>
    </w:p>
    <w:p w:rsidR="002F73AD" w:rsidRPr="009D2456" w:rsidRDefault="009D2456" w:rsidP="00857A23">
      <w:pPr>
        <w:outlineLvl w:val="0"/>
        <w:rPr>
          <w:szCs w:val="22"/>
        </w:rPr>
      </w:pPr>
      <w:r>
        <w:rPr>
          <w:szCs w:val="22"/>
        </w:rPr>
        <w:t>Television:  g</w:t>
      </w:r>
      <w:r w:rsidR="00B11AC3" w:rsidRPr="00E6178D">
        <w:rPr>
          <w:szCs w:val="22"/>
        </w:rPr>
        <w:t xml:space="preserve">lobal </w:t>
      </w:r>
      <w:r w:rsidR="00D6307C" w:rsidRPr="009E338E">
        <w:rPr>
          <w:szCs w:val="22"/>
        </w:rPr>
        <w:t xml:space="preserve">aggregate spending on TV subscriptions is an estimated </w:t>
      </w:r>
      <w:r w:rsidR="003139E9">
        <w:rPr>
          <w:szCs w:val="22"/>
        </w:rPr>
        <w:t>USD</w:t>
      </w:r>
      <w:r w:rsidR="00D6307C" w:rsidRPr="00E6178D">
        <w:t xml:space="preserve">236 </w:t>
      </w:r>
      <w:r w:rsidR="00D6307C" w:rsidRPr="00B14357">
        <w:t>billion in 2018</w:t>
      </w:r>
      <w:r w:rsidR="00D6307C" w:rsidRPr="009E338E">
        <w:rPr>
          <w:szCs w:val="22"/>
        </w:rPr>
        <w:t xml:space="preserve">, </w:t>
      </w:r>
      <w:r w:rsidR="009C2805" w:rsidRPr="009E338E">
        <w:rPr>
          <w:szCs w:val="22"/>
        </w:rPr>
        <w:t>with</w:t>
      </w:r>
      <w:r w:rsidR="009F797D">
        <w:rPr>
          <w:szCs w:val="22"/>
        </w:rPr>
        <w:t xml:space="preserve"> an</w:t>
      </w:r>
      <w:r w:rsidR="00D6307C" w:rsidRPr="009E338E">
        <w:rPr>
          <w:szCs w:val="22"/>
        </w:rPr>
        <w:t xml:space="preserve"> average annual growth of 3.5% since 2012</w:t>
      </w:r>
      <w:r w:rsidR="003139E9">
        <w:rPr>
          <w:szCs w:val="22"/>
        </w:rPr>
        <w:t>.</w:t>
      </w:r>
      <w:r w:rsidR="00447374" w:rsidRPr="00E6178D">
        <w:rPr>
          <w:rStyle w:val="FootnoteReference"/>
          <w:szCs w:val="22"/>
        </w:rPr>
        <w:footnoteReference w:id="17"/>
      </w:r>
      <w:r>
        <w:rPr>
          <w:szCs w:val="22"/>
        </w:rPr>
        <w:t xml:space="preserve">  </w:t>
      </w:r>
      <w:r w:rsidR="002F73AD" w:rsidRPr="00FF5861">
        <w:rPr>
          <w:szCs w:val="22"/>
        </w:rPr>
        <w:t xml:space="preserve">The majority of households own a </w:t>
      </w:r>
      <w:proofErr w:type="gramStart"/>
      <w:r w:rsidR="002F73AD" w:rsidRPr="00FF5861">
        <w:rPr>
          <w:szCs w:val="22"/>
        </w:rPr>
        <w:t>TV:</w:t>
      </w:r>
      <w:proofErr w:type="gramEnd"/>
      <w:r w:rsidR="0088771E">
        <w:rPr>
          <w:szCs w:val="22"/>
        </w:rPr>
        <w:t xml:space="preserve"> </w:t>
      </w:r>
      <w:r w:rsidR="002F73AD" w:rsidRPr="00FF5861">
        <w:rPr>
          <w:szCs w:val="22"/>
        </w:rPr>
        <w:t xml:space="preserve"> 79% in developed countries, and 72% in developing countries. </w:t>
      </w:r>
      <w:r w:rsidR="00CA0A35">
        <w:rPr>
          <w:szCs w:val="22"/>
        </w:rPr>
        <w:t xml:space="preserve"> </w:t>
      </w:r>
      <w:r w:rsidR="002F73AD" w:rsidRPr="00814D91">
        <w:rPr>
          <w:szCs w:val="22"/>
        </w:rPr>
        <w:t xml:space="preserve">Africa </w:t>
      </w:r>
      <w:r w:rsidR="00320327" w:rsidRPr="009E338E">
        <w:rPr>
          <w:szCs w:val="22"/>
        </w:rPr>
        <w:t>ha</w:t>
      </w:r>
      <w:r w:rsidR="00F15E70">
        <w:rPr>
          <w:szCs w:val="22"/>
        </w:rPr>
        <w:t>s</w:t>
      </w:r>
      <w:r w:rsidR="00320327" w:rsidRPr="00E6178D">
        <w:rPr>
          <w:szCs w:val="22"/>
        </w:rPr>
        <w:t xml:space="preserve"> </w:t>
      </w:r>
      <w:r w:rsidR="002F73AD" w:rsidRPr="00E6178D">
        <w:rPr>
          <w:szCs w:val="22"/>
        </w:rPr>
        <w:t>the highest growth rate in TV ownership, growing 18% between 2008 and 2012</w:t>
      </w:r>
      <w:r w:rsidR="003139E9">
        <w:rPr>
          <w:szCs w:val="22"/>
        </w:rPr>
        <w:t>.</w:t>
      </w:r>
      <w:r w:rsidR="00447374" w:rsidRPr="00E6178D">
        <w:rPr>
          <w:rStyle w:val="FootnoteReference"/>
          <w:szCs w:val="22"/>
        </w:rPr>
        <w:footnoteReference w:id="18"/>
      </w:r>
      <w:r w:rsidR="002F73AD" w:rsidRPr="00E6178D">
        <w:rPr>
          <w:szCs w:val="22"/>
        </w:rPr>
        <w:t xml:space="preserve"> </w:t>
      </w:r>
      <w:r w:rsidR="0088771E">
        <w:rPr>
          <w:szCs w:val="22"/>
        </w:rPr>
        <w:t xml:space="preserve"> </w:t>
      </w:r>
      <w:r w:rsidR="002F73AD" w:rsidRPr="00B14357">
        <w:rPr>
          <w:szCs w:val="22"/>
        </w:rPr>
        <w:t xml:space="preserve">Global </w:t>
      </w:r>
      <w:r w:rsidR="0061568E" w:rsidRPr="00B14357">
        <w:rPr>
          <w:szCs w:val="22"/>
        </w:rPr>
        <w:t xml:space="preserve">online </w:t>
      </w:r>
      <w:r w:rsidR="002F73AD" w:rsidRPr="00B14357">
        <w:rPr>
          <w:szCs w:val="22"/>
        </w:rPr>
        <w:t xml:space="preserve">TV advertising revenues </w:t>
      </w:r>
      <w:r w:rsidR="00F15E70">
        <w:rPr>
          <w:szCs w:val="22"/>
        </w:rPr>
        <w:t>are</w:t>
      </w:r>
      <w:r w:rsidR="0061568E" w:rsidRPr="00B14357">
        <w:rPr>
          <w:szCs w:val="22"/>
        </w:rPr>
        <w:t xml:space="preserve"> expected to reach</w:t>
      </w:r>
      <w:r w:rsidR="002F73AD" w:rsidRPr="00B14357">
        <w:rPr>
          <w:szCs w:val="22"/>
        </w:rPr>
        <w:t xml:space="preserve"> </w:t>
      </w:r>
      <w:r w:rsidR="0061568E" w:rsidRPr="00B14357">
        <w:rPr>
          <w:szCs w:val="22"/>
        </w:rPr>
        <w:t>USD</w:t>
      </w:r>
      <w:r w:rsidR="0061568E" w:rsidRPr="00461B93">
        <w:rPr>
          <w:szCs w:val="22"/>
        </w:rPr>
        <w:t>8.</w:t>
      </w:r>
      <w:r w:rsidR="0061568E" w:rsidRPr="00FF5861">
        <w:rPr>
          <w:szCs w:val="22"/>
        </w:rPr>
        <w:t xml:space="preserve">2 </w:t>
      </w:r>
      <w:proofErr w:type="gramStart"/>
      <w:r w:rsidR="003139E9">
        <w:rPr>
          <w:szCs w:val="22"/>
        </w:rPr>
        <w:t>b</w:t>
      </w:r>
      <w:r w:rsidR="002F73AD" w:rsidRPr="00814D91">
        <w:rPr>
          <w:szCs w:val="22"/>
        </w:rPr>
        <w:t>illion</w:t>
      </w:r>
      <w:proofErr w:type="gramEnd"/>
      <w:r w:rsidR="002F73AD" w:rsidRPr="00814D91">
        <w:rPr>
          <w:szCs w:val="22"/>
        </w:rPr>
        <w:t xml:space="preserve"> </w:t>
      </w:r>
      <w:r w:rsidR="00B14357">
        <w:rPr>
          <w:szCs w:val="22"/>
        </w:rPr>
        <w:t>by the end of</w:t>
      </w:r>
      <w:r w:rsidR="00B14357" w:rsidRPr="00B14357">
        <w:rPr>
          <w:szCs w:val="22"/>
        </w:rPr>
        <w:t xml:space="preserve"> </w:t>
      </w:r>
      <w:r w:rsidR="0061568E" w:rsidRPr="00B14357">
        <w:rPr>
          <w:szCs w:val="22"/>
        </w:rPr>
        <w:t>2017</w:t>
      </w:r>
      <w:r w:rsidR="003139E9">
        <w:rPr>
          <w:szCs w:val="22"/>
        </w:rPr>
        <w:t>.</w:t>
      </w:r>
      <w:r w:rsidR="00447374" w:rsidRPr="00E6178D">
        <w:rPr>
          <w:rStyle w:val="FootnoteReference"/>
          <w:szCs w:val="22"/>
        </w:rPr>
        <w:footnoteReference w:id="19"/>
      </w:r>
      <w:r w:rsidR="002F73AD" w:rsidRPr="00E6178D">
        <w:rPr>
          <w:szCs w:val="22"/>
        </w:rPr>
        <w:t xml:space="preserve"> </w:t>
      </w:r>
      <w:r w:rsidR="0088771E">
        <w:rPr>
          <w:szCs w:val="22"/>
        </w:rPr>
        <w:t xml:space="preserve"> </w:t>
      </w:r>
      <w:r w:rsidR="002F73AD" w:rsidRPr="00B14357">
        <w:rPr>
          <w:szCs w:val="22"/>
        </w:rPr>
        <w:t>Online TV advertising</w:t>
      </w:r>
      <w:r w:rsidR="00447374" w:rsidRPr="00E6178D">
        <w:rPr>
          <w:rStyle w:val="FootnoteReference"/>
          <w:szCs w:val="22"/>
        </w:rPr>
        <w:footnoteReference w:id="20"/>
      </w:r>
      <w:r w:rsidR="002F73AD" w:rsidRPr="00E6178D">
        <w:rPr>
          <w:szCs w:val="22"/>
        </w:rPr>
        <w:t xml:space="preserve"> </w:t>
      </w:r>
      <w:proofErr w:type="gramStart"/>
      <w:r w:rsidR="00F15E70">
        <w:rPr>
          <w:szCs w:val="22"/>
        </w:rPr>
        <w:t>is</w:t>
      </w:r>
      <w:r w:rsidR="009F797D" w:rsidRPr="00E6178D">
        <w:rPr>
          <w:szCs w:val="22"/>
        </w:rPr>
        <w:t xml:space="preserve"> </w:t>
      </w:r>
      <w:r w:rsidR="00F15E70">
        <w:rPr>
          <w:szCs w:val="22"/>
        </w:rPr>
        <w:t>estimated</w:t>
      </w:r>
      <w:proofErr w:type="gramEnd"/>
      <w:r w:rsidR="0061568E" w:rsidRPr="009E338E">
        <w:rPr>
          <w:szCs w:val="22"/>
        </w:rPr>
        <w:t xml:space="preserve"> to </w:t>
      </w:r>
      <w:r w:rsidR="002F73AD" w:rsidRPr="00E6178D">
        <w:rPr>
          <w:szCs w:val="22"/>
        </w:rPr>
        <w:t>grow</w:t>
      </w:r>
      <w:r w:rsidR="002F73AD" w:rsidRPr="00B14357">
        <w:rPr>
          <w:szCs w:val="22"/>
        </w:rPr>
        <w:t xml:space="preserve"> at </w:t>
      </w:r>
      <w:r w:rsidR="0061568E" w:rsidRPr="00B14357">
        <w:rPr>
          <w:szCs w:val="22"/>
        </w:rPr>
        <w:t>2</w:t>
      </w:r>
      <w:r w:rsidR="0061568E" w:rsidRPr="009E338E">
        <w:rPr>
          <w:szCs w:val="22"/>
        </w:rPr>
        <w:t>1</w:t>
      </w:r>
      <w:r w:rsidR="002F73AD" w:rsidRPr="00E6178D">
        <w:rPr>
          <w:szCs w:val="22"/>
        </w:rPr>
        <w:t>% per year</w:t>
      </w:r>
      <w:r w:rsidR="003139E9">
        <w:rPr>
          <w:szCs w:val="22"/>
        </w:rPr>
        <w:t>.</w:t>
      </w:r>
      <w:r w:rsidR="00447374" w:rsidRPr="00E6178D">
        <w:rPr>
          <w:rStyle w:val="FootnoteReference"/>
          <w:szCs w:val="22"/>
        </w:rPr>
        <w:footnoteReference w:id="21"/>
      </w:r>
      <w:r w:rsidR="002F73AD" w:rsidRPr="00E6178D">
        <w:rPr>
          <w:szCs w:val="22"/>
        </w:rPr>
        <w:t xml:space="preserve"> </w:t>
      </w:r>
      <w:r w:rsidR="00BB4652">
        <w:rPr>
          <w:szCs w:val="22"/>
        </w:rPr>
        <w:t xml:space="preserve"> </w:t>
      </w:r>
      <w:r w:rsidR="002F73AD" w:rsidRPr="00E6178D">
        <w:rPr>
          <w:szCs w:val="22"/>
        </w:rPr>
        <w:t xml:space="preserve">Brazil, India and China </w:t>
      </w:r>
      <w:proofErr w:type="gramStart"/>
      <w:r w:rsidR="002F73AD" w:rsidRPr="00E6178D">
        <w:rPr>
          <w:szCs w:val="22"/>
        </w:rPr>
        <w:t>are predicted</w:t>
      </w:r>
      <w:proofErr w:type="gramEnd"/>
      <w:r w:rsidR="002F73AD" w:rsidRPr="00E6178D">
        <w:rPr>
          <w:szCs w:val="22"/>
        </w:rPr>
        <w:t xml:space="preserve"> to contribute 23% of growth in TV advertising revenues </w:t>
      </w:r>
      <w:r w:rsidR="0061568E" w:rsidRPr="009E338E">
        <w:rPr>
          <w:szCs w:val="22"/>
        </w:rPr>
        <w:t>until 2019</w:t>
      </w:r>
      <w:r w:rsidR="003139E9">
        <w:rPr>
          <w:szCs w:val="22"/>
        </w:rPr>
        <w:t>.</w:t>
      </w:r>
      <w:r w:rsidR="00447374" w:rsidRPr="00E6178D">
        <w:rPr>
          <w:rStyle w:val="FootnoteReference"/>
          <w:szCs w:val="22"/>
        </w:rPr>
        <w:footnoteReference w:id="22"/>
      </w:r>
      <w:r>
        <w:rPr>
          <w:szCs w:val="22"/>
        </w:rPr>
        <w:t xml:space="preserve">  </w:t>
      </w:r>
      <w:r w:rsidRPr="009D2456">
        <w:rPr>
          <w:szCs w:val="22"/>
        </w:rPr>
        <w:t xml:space="preserve">In the space of </w:t>
      </w:r>
      <w:r w:rsidR="00BB4652">
        <w:rPr>
          <w:szCs w:val="22"/>
        </w:rPr>
        <w:t xml:space="preserve">five </w:t>
      </w:r>
      <w:r w:rsidRPr="009D2456">
        <w:rPr>
          <w:szCs w:val="22"/>
        </w:rPr>
        <w:t>years, close to half of the18</w:t>
      </w:r>
      <w:r w:rsidR="00BB4652">
        <w:rPr>
          <w:szCs w:val="22"/>
        </w:rPr>
        <w:t xml:space="preserve"> to </w:t>
      </w:r>
      <w:r w:rsidRPr="009D2456">
        <w:rPr>
          <w:szCs w:val="22"/>
        </w:rPr>
        <w:t>24 age group</w:t>
      </w:r>
      <w:r w:rsidR="00857A23">
        <w:rPr>
          <w:szCs w:val="22"/>
        </w:rPr>
        <w:t>’</w:t>
      </w:r>
      <w:r w:rsidRPr="009D2456">
        <w:rPr>
          <w:szCs w:val="22"/>
        </w:rPr>
        <w:t xml:space="preserve">s traditional TV viewing time has migrated to other activities or streaming. </w:t>
      </w:r>
      <w:r w:rsidR="00CA0A35">
        <w:rPr>
          <w:szCs w:val="22"/>
        </w:rPr>
        <w:t xml:space="preserve"> </w:t>
      </w:r>
      <w:r w:rsidRPr="009D2456">
        <w:rPr>
          <w:szCs w:val="22"/>
        </w:rPr>
        <w:t xml:space="preserve">This is likely due in part to increasing consumption of digital video and more time spent with their smartphones. </w:t>
      </w:r>
      <w:r w:rsidR="00CA0A35">
        <w:rPr>
          <w:szCs w:val="22"/>
        </w:rPr>
        <w:t xml:space="preserve"> </w:t>
      </w:r>
      <w:r w:rsidRPr="009D2456">
        <w:rPr>
          <w:szCs w:val="22"/>
        </w:rPr>
        <w:t>According to the data presented by Nielsen, traditional TV is still the single largest video consumption source.</w:t>
      </w:r>
    </w:p>
    <w:p w:rsidR="00E608FC" w:rsidRDefault="00E608FC" w:rsidP="00857A23">
      <w:pPr>
        <w:outlineLvl w:val="0"/>
        <w:rPr>
          <w:szCs w:val="22"/>
        </w:rPr>
      </w:pPr>
    </w:p>
    <w:p w:rsidR="00DF5286" w:rsidRPr="009D2456" w:rsidRDefault="00DF5286" w:rsidP="00857A23">
      <w:pPr>
        <w:rPr>
          <w:bCs/>
          <w:szCs w:val="22"/>
          <w:lang w:val="en"/>
        </w:rPr>
      </w:pPr>
      <w:r w:rsidRPr="009D2456">
        <w:rPr>
          <w:bCs/>
          <w:szCs w:val="22"/>
          <w:lang w:val="en"/>
        </w:rPr>
        <w:lastRenderedPageBreak/>
        <w:t>Newspapers</w:t>
      </w:r>
      <w:r w:rsidR="005864AD">
        <w:rPr>
          <w:bCs/>
          <w:szCs w:val="22"/>
          <w:lang w:val="en"/>
        </w:rPr>
        <w:t xml:space="preserve">: </w:t>
      </w:r>
      <w:r w:rsidRPr="009D2456">
        <w:rPr>
          <w:bCs/>
          <w:szCs w:val="22"/>
          <w:lang w:val="en"/>
        </w:rPr>
        <w:t xml:space="preserve">there were five billion </w:t>
      </w:r>
      <w:hyperlink r:id="rId10" w:history="1">
        <w:r w:rsidRPr="009D2456">
          <w:rPr>
            <w:rStyle w:val="Hyperlink"/>
            <w:bCs/>
            <w:color w:val="auto"/>
            <w:szCs w:val="22"/>
            <w:u w:val="none"/>
            <w:lang w:val="en"/>
          </w:rPr>
          <w:t>newspaper readers</w:t>
        </w:r>
      </w:hyperlink>
      <w:r w:rsidRPr="009D2456">
        <w:rPr>
          <w:bCs/>
          <w:szCs w:val="22"/>
          <w:lang w:val="en"/>
        </w:rPr>
        <w:t xml:space="preserve"> in the world</w:t>
      </w:r>
      <w:r w:rsidR="005864AD">
        <w:rPr>
          <w:bCs/>
          <w:szCs w:val="22"/>
          <w:lang w:val="en"/>
        </w:rPr>
        <w:t xml:space="preserve"> in 2015</w:t>
      </w:r>
      <w:r w:rsidRPr="009D2456">
        <w:rPr>
          <w:bCs/>
          <w:szCs w:val="22"/>
          <w:lang w:val="en"/>
        </w:rPr>
        <w:t>.</w:t>
      </w:r>
      <w:r w:rsidR="00CA0A35">
        <w:rPr>
          <w:bCs/>
          <w:szCs w:val="22"/>
          <w:lang w:val="en"/>
        </w:rPr>
        <w:t xml:space="preserve"> </w:t>
      </w:r>
      <w:r w:rsidRPr="009D2456">
        <w:rPr>
          <w:bCs/>
          <w:szCs w:val="22"/>
          <w:lang w:val="en"/>
        </w:rPr>
        <w:t xml:space="preserve"> Nearly three billion of them read printed newspapers. </w:t>
      </w:r>
      <w:r w:rsidR="00CA0A35">
        <w:rPr>
          <w:bCs/>
          <w:szCs w:val="22"/>
          <w:lang w:val="en"/>
        </w:rPr>
        <w:t xml:space="preserve"> </w:t>
      </w:r>
      <w:r w:rsidRPr="009D2456">
        <w:rPr>
          <w:bCs/>
          <w:szCs w:val="22"/>
          <w:lang w:val="en"/>
        </w:rPr>
        <w:t>Newspapers only accounted for four percent of media</w:t>
      </w:r>
      <w:r w:rsidR="00857A23">
        <w:rPr>
          <w:bCs/>
          <w:szCs w:val="22"/>
          <w:lang w:val="en"/>
        </w:rPr>
        <w:t>’</w:t>
      </w:r>
      <w:r w:rsidRPr="009D2456">
        <w:rPr>
          <w:bCs/>
          <w:szCs w:val="22"/>
          <w:lang w:val="en"/>
        </w:rPr>
        <w:t xml:space="preserve">s total revenue generated through </w:t>
      </w:r>
      <w:hyperlink r:id="rId11" w:history="1">
        <w:r w:rsidRPr="009D2456">
          <w:rPr>
            <w:rStyle w:val="Hyperlink"/>
            <w:bCs/>
            <w:color w:val="auto"/>
            <w:szCs w:val="22"/>
            <w:u w:val="none"/>
            <w:lang w:val="en"/>
          </w:rPr>
          <w:t>digital sales</w:t>
        </w:r>
      </w:hyperlink>
      <w:r w:rsidRPr="009D2456">
        <w:rPr>
          <w:bCs/>
          <w:szCs w:val="22"/>
          <w:lang w:val="en"/>
        </w:rPr>
        <w:t xml:space="preserve"> that year. </w:t>
      </w:r>
      <w:r w:rsidR="00CA0A35">
        <w:rPr>
          <w:bCs/>
          <w:szCs w:val="22"/>
          <w:lang w:val="en"/>
        </w:rPr>
        <w:t xml:space="preserve"> </w:t>
      </w:r>
      <w:r w:rsidRPr="009D2456">
        <w:rPr>
          <w:bCs/>
          <w:szCs w:val="22"/>
          <w:lang w:val="en"/>
        </w:rPr>
        <w:t xml:space="preserve">Although print </w:t>
      </w:r>
      <w:r w:rsidR="005864AD">
        <w:rPr>
          <w:bCs/>
          <w:szCs w:val="22"/>
          <w:lang w:val="en"/>
        </w:rPr>
        <w:t xml:space="preserve">is </w:t>
      </w:r>
      <w:r w:rsidRPr="009D2456">
        <w:rPr>
          <w:bCs/>
          <w:szCs w:val="22"/>
          <w:lang w:val="en"/>
        </w:rPr>
        <w:t xml:space="preserve">still predominant, figures show that the </w:t>
      </w:r>
      <w:hyperlink r:id="rId12" w:history="1">
        <w:r w:rsidRPr="009D2456">
          <w:rPr>
            <w:rStyle w:val="Hyperlink"/>
            <w:bCs/>
            <w:color w:val="auto"/>
            <w:szCs w:val="22"/>
            <w:u w:val="none"/>
            <w:lang w:val="en"/>
          </w:rPr>
          <w:t>global newspaper industry</w:t>
        </w:r>
      </w:hyperlink>
      <w:r w:rsidRPr="009D2456">
        <w:rPr>
          <w:bCs/>
          <w:szCs w:val="22"/>
          <w:lang w:val="en"/>
        </w:rPr>
        <w:t xml:space="preserve"> is shifting towards digital platforms. </w:t>
      </w:r>
      <w:r w:rsidR="00CA0A35">
        <w:rPr>
          <w:bCs/>
          <w:szCs w:val="22"/>
          <w:lang w:val="en"/>
        </w:rPr>
        <w:t xml:space="preserve"> </w:t>
      </w:r>
      <w:r w:rsidRPr="009D2456">
        <w:rPr>
          <w:bCs/>
          <w:szCs w:val="22"/>
          <w:lang w:val="en"/>
        </w:rPr>
        <w:t xml:space="preserve">The digital newspaper industry revenue </w:t>
      </w:r>
      <w:proofErr w:type="gramStart"/>
      <w:r w:rsidRPr="009D2456">
        <w:rPr>
          <w:bCs/>
          <w:szCs w:val="22"/>
          <w:lang w:val="en"/>
        </w:rPr>
        <w:t>is forecast</w:t>
      </w:r>
      <w:proofErr w:type="gramEnd"/>
      <w:r w:rsidRPr="009D2456">
        <w:rPr>
          <w:bCs/>
          <w:szCs w:val="22"/>
          <w:lang w:val="en"/>
        </w:rPr>
        <w:t xml:space="preserve"> to grow by 9.8 percent annually from 2015 to 2020; whereas non-digital is forecast to experience a decline of </w:t>
      </w:r>
      <w:r w:rsidR="005864AD">
        <w:rPr>
          <w:bCs/>
          <w:szCs w:val="22"/>
          <w:lang w:val="en"/>
        </w:rPr>
        <w:t xml:space="preserve">an </w:t>
      </w:r>
      <w:r w:rsidRPr="009D2456">
        <w:rPr>
          <w:bCs/>
          <w:szCs w:val="22"/>
          <w:lang w:val="en"/>
        </w:rPr>
        <w:t>annual three percent during the same period</w:t>
      </w:r>
      <w:r w:rsidRPr="009D2456">
        <w:rPr>
          <w:bCs/>
          <w:szCs w:val="22"/>
          <w:vertAlign w:val="superscript"/>
          <w:lang w:val="en"/>
        </w:rPr>
        <w:footnoteReference w:id="23"/>
      </w:r>
      <w:r w:rsidRPr="009D2456">
        <w:rPr>
          <w:bCs/>
          <w:szCs w:val="22"/>
          <w:lang w:val="en"/>
        </w:rPr>
        <w:t>.</w:t>
      </w:r>
    </w:p>
    <w:p w:rsidR="00DF5286" w:rsidRPr="00DF5286" w:rsidRDefault="00DF5286" w:rsidP="00857A23">
      <w:pPr>
        <w:rPr>
          <w:bCs/>
          <w:szCs w:val="22"/>
          <w:lang w:val="en"/>
        </w:rPr>
      </w:pPr>
    </w:p>
    <w:p w:rsidR="00DF5286" w:rsidRPr="00DF5286" w:rsidRDefault="00DF5286" w:rsidP="00857A23">
      <w:pPr>
        <w:rPr>
          <w:szCs w:val="22"/>
        </w:rPr>
      </w:pPr>
      <w:r w:rsidRPr="00DF5286">
        <w:rPr>
          <w:szCs w:val="22"/>
        </w:rPr>
        <w:t>Media convergence</w:t>
      </w:r>
      <w:r w:rsidR="009D2456">
        <w:rPr>
          <w:szCs w:val="22"/>
        </w:rPr>
        <w:t>:  t</w:t>
      </w:r>
      <w:r w:rsidRPr="00DF5286">
        <w:rPr>
          <w:szCs w:val="22"/>
        </w:rPr>
        <w:t xml:space="preserve">he concept of media convergence is far from new. </w:t>
      </w:r>
      <w:r w:rsidR="00CA0A35">
        <w:rPr>
          <w:szCs w:val="22"/>
        </w:rPr>
        <w:t xml:space="preserve"> </w:t>
      </w:r>
      <w:r w:rsidRPr="00DF5286">
        <w:rPr>
          <w:szCs w:val="22"/>
        </w:rPr>
        <w:t>It involves:</w:t>
      </w:r>
    </w:p>
    <w:p w:rsidR="00DF5286" w:rsidRPr="00DF5286" w:rsidRDefault="00857A23" w:rsidP="00857A23">
      <w:pPr>
        <w:rPr>
          <w:szCs w:val="22"/>
        </w:rPr>
      </w:pPr>
      <w:r>
        <w:rPr>
          <w:szCs w:val="22"/>
        </w:rPr>
        <w:t>“</w:t>
      </w:r>
      <w:r w:rsidR="00DF5286" w:rsidRPr="00DF5286">
        <w:rPr>
          <w:szCs w:val="22"/>
        </w:rPr>
        <w:t xml:space="preserve">... </w:t>
      </w:r>
      <w:proofErr w:type="gramStart"/>
      <w:r w:rsidR="00DF5286" w:rsidRPr="00DF5286">
        <w:rPr>
          <w:szCs w:val="22"/>
        </w:rPr>
        <w:t>the</w:t>
      </w:r>
      <w:proofErr w:type="gramEnd"/>
      <w:r w:rsidR="00DF5286" w:rsidRPr="00DF5286">
        <w:rPr>
          <w:szCs w:val="22"/>
        </w:rPr>
        <w:t xml:space="preserve"> interconnection of information and communications technologies, computer networks, and media content. </w:t>
      </w:r>
      <w:r w:rsidR="00CA0A35">
        <w:rPr>
          <w:szCs w:val="22"/>
        </w:rPr>
        <w:t xml:space="preserve"> </w:t>
      </w:r>
      <w:r w:rsidR="00DF5286" w:rsidRPr="00DF5286">
        <w:rPr>
          <w:szCs w:val="22"/>
        </w:rPr>
        <w:t xml:space="preserve">It brings together the </w:t>
      </w:r>
      <w:r>
        <w:rPr>
          <w:szCs w:val="22"/>
        </w:rPr>
        <w:t>“</w:t>
      </w:r>
      <w:r w:rsidR="00DF5286" w:rsidRPr="00DF5286">
        <w:rPr>
          <w:szCs w:val="22"/>
        </w:rPr>
        <w:t>three C</w:t>
      </w:r>
      <w:r>
        <w:rPr>
          <w:szCs w:val="22"/>
        </w:rPr>
        <w:t>’</w:t>
      </w:r>
      <w:r w:rsidR="00DF5286" w:rsidRPr="00DF5286">
        <w:rPr>
          <w:szCs w:val="22"/>
        </w:rPr>
        <w:t>s</w:t>
      </w:r>
      <w:r>
        <w:rPr>
          <w:szCs w:val="22"/>
        </w:rPr>
        <w:t>”</w:t>
      </w:r>
      <w:r w:rsidR="00DF5286" w:rsidRPr="00DF5286">
        <w:rPr>
          <w:szCs w:val="22"/>
        </w:rPr>
        <w:t>—computing, communication, and content—and is a direct consequence of the digitization of media content and the popularization of the Internet.</w:t>
      </w:r>
      <w:r>
        <w:rPr>
          <w:szCs w:val="22"/>
        </w:rPr>
        <w:t>”</w:t>
      </w:r>
      <w:r w:rsidR="00DF5286" w:rsidRPr="00DF5286">
        <w:rPr>
          <w:szCs w:val="22"/>
          <w:vertAlign w:val="superscript"/>
          <w:lang w:val="en"/>
        </w:rPr>
        <w:t xml:space="preserve"> </w:t>
      </w:r>
      <w:r w:rsidR="00DF5286" w:rsidRPr="00DF5286">
        <w:rPr>
          <w:szCs w:val="22"/>
          <w:vertAlign w:val="superscript"/>
          <w:lang w:val="en"/>
        </w:rPr>
        <w:footnoteReference w:id="24"/>
      </w:r>
      <w:r w:rsidR="009D2456">
        <w:rPr>
          <w:szCs w:val="22"/>
          <w:lang w:val="en"/>
        </w:rPr>
        <w:t xml:space="preserve">  </w:t>
      </w:r>
      <w:r w:rsidR="00DF5286" w:rsidRPr="00DF5286">
        <w:rPr>
          <w:szCs w:val="22"/>
        </w:rPr>
        <w:t>The fact t</w:t>
      </w:r>
      <w:r w:rsidR="005864AD">
        <w:rPr>
          <w:szCs w:val="22"/>
        </w:rPr>
        <w:t>hat anyone with an opinion and i</w:t>
      </w:r>
      <w:r w:rsidR="00DF5286" w:rsidRPr="00DF5286">
        <w:rPr>
          <w:szCs w:val="22"/>
        </w:rPr>
        <w:t>nternet access could become a content creator and publisher, and build and motivate legions of fans and supporters, is something traditional media outlets still strugg</w:t>
      </w:r>
      <w:r w:rsidR="005864AD">
        <w:rPr>
          <w:szCs w:val="22"/>
        </w:rPr>
        <w:t>le with</w:t>
      </w:r>
      <w:r w:rsidR="00DF5286" w:rsidRPr="00DF5286">
        <w:rPr>
          <w:szCs w:val="22"/>
          <w:vertAlign w:val="superscript"/>
          <w:lang w:val="en"/>
        </w:rPr>
        <w:footnoteReference w:id="25"/>
      </w:r>
      <w:r w:rsidR="009D2456">
        <w:rPr>
          <w:szCs w:val="22"/>
        </w:rPr>
        <w:t xml:space="preserve">.  </w:t>
      </w:r>
      <w:r w:rsidR="00DF5286" w:rsidRPr="00DF5286">
        <w:rPr>
          <w:szCs w:val="22"/>
        </w:rPr>
        <w:t xml:space="preserve">The takeover of NBC Universal by the cable company COMCAST, the acquisition of media conglomerate Time Warner by telco giant AT&amp;T, among others have confirmed this trend of </w:t>
      </w:r>
      <w:r>
        <w:rPr>
          <w:szCs w:val="22"/>
        </w:rPr>
        <w:t>“</w:t>
      </w:r>
      <w:r w:rsidR="00DF5286" w:rsidRPr="00DF5286">
        <w:rPr>
          <w:szCs w:val="22"/>
        </w:rPr>
        <w:t>convergence</w:t>
      </w:r>
      <w:r>
        <w:rPr>
          <w:szCs w:val="22"/>
        </w:rPr>
        <w:t>”</w:t>
      </w:r>
      <w:r w:rsidR="00DF5286" w:rsidRPr="00DF5286">
        <w:rPr>
          <w:szCs w:val="22"/>
        </w:rPr>
        <w:t xml:space="preserve"> between the audiovisual and telecommunication industries. </w:t>
      </w:r>
    </w:p>
    <w:p w:rsidR="00E608FC" w:rsidRPr="00CC1ABC" w:rsidRDefault="00E608FC" w:rsidP="00857A23">
      <w:pPr>
        <w:rPr>
          <w:szCs w:val="22"/>
        </w:rPr>
      </w:pPr>
    </w:p>
    <w:p w:rsidR="00857A23" w:rsidRPr="00CC1ABC" w:rsidRDefault="00857A23" w:rsidP="00857A23">
      <w:pPr>
        <w:rPr>
          <w:szCs w:val="22"/>
        </w:rPr>
      </w:pPr>
    </w:p>
    <w:p w:rsidR="00E608FC" w:rsidRPr="00D71174" w:rsidRDefault="00087FD5" w:rsidP="00857A23">
      <w:pPr>
        <w:rPr>
          <w:b/>
          <w:szCs w:val="22"/>
        </w:rPr>
      </w:pPr>
      <w:r w:rsidRPr="00D71174">
        <w:rPr>
          <w:b/>
          <w:szCs w:val="22"/>
        </w:rPr>
        <w:t>DIGITAL INCLUSION AND INFRASTR</w:t>
      </w:r>
      <w:r w:rsidR="005864AD">
        <w:rPr>
          <w:b/>
          <w:szCs w:val="22"/>
        </w:rPr>
        <w:t>U</w:t>
      </w:r>
      <w:r w:rsidRPr="00D71174">
        <w:rPr>
          <w:b/>
          <w:szCs w:val="22"/>
        </w:rPr>
        <w:t>CTURE</w:t>
      </w:r>
    </w:p>
    <w:p w:rsidR="00E608FC" w:rsidRDefault="00E608FC" w:rsidP="00857A23">
      <w:pPr>
        <w:rPr>
          <w:szCs w:val="22"/>
        </w:rPr>
      </w:pPr>
    </w:p>
    <w:p w:rsidR="00E561B0" w:rsidRPr="00E561B0" w:rsidRDefault="00E561B0" w:rsidP="00857A23">
      <w:pPr>
        <w:rPr>
          <w:szCs w:val="22"/>
        </w:rPr>
      </w:pPr>
      <w:r w:rsidRPr="00E561B0">
        <w:rPr>
          <w:szCs w:val="22"/>
        </w:rPr>
        <w:t>Today, almost half of the world</w:t>
      </w:r>
      <w:r w:rsidR="00857A23">
        <w:rPr>
          <w:szCs w:val="22"/>
        </w:rPr>
        <w:t>’</w:t>
      </w:r>
      <w:r w:rsidRPr="00E561B0">
        <w:rPr>
          <w:szCs w:val="22"/>
        </w:rPr>
        <w:t xml:space="preserve">s population uses the Internet for many purposes, including education, entertainment, civic engagement and e-commerce, while nearly a third use social media. </w:t>
      </w:r>
      <w:r w:rsidR="00CA0A35">
        <w:rPr>
          <w:szCs w:val="22"/>
        </w:rPr>
        <w:t xml:space="preserve"> </w:t>
      </w:r>
      <w:r w:rsidRPr="00E561B0">
        <w:rPr>
          <w:szCs w:val="22"/>
        </w:rPr>
        <w:t>According to recent statistics, the milestone of half the world</w:t>
      </w:r>
      <w:r w:rsidR="00857A23">
        <w:rPr>
          <w:szCs w:val="22"/>
        </w:rPr>
        <w:t>’</w:t>
      </w:r>
      <w:r w:rsidRPr="00E561B0">
        <w:rPr>
          <w:szCs w:val="22"/>
        </w:rPr>
        <w:t xml:space="preserve">s population online </w:t>
      </w:r>
      <w:proofErr w:type="gramStart"/>
      <w:r w:rsidRPr="00E561B0">
        <w:rPr>
          <w:szCs w:val="22"/>
        </w:rPr>
        <w:t>will soon be reached</w:t>
      </w:r>
      <w:proofErr w:type="gramEnd"/>
      <w:r w:rsidRPr="00E561B0">
        <w:rPr>
          <w:szCs w:val="22"/>
        </w:rPr>
        <w:t>, representing a momentous achievement</w:t>
      </w:r>
      <w:r w:rsidRPr="00E561B0">
        <w:rPr>
          <w:szCs w:val="22"/>
          <w:vertAlign w:val="superscript"/>
        </w:rPr>
        <w:footnoteReference w:id="26"/>
      </w:r>
      <w:r w:rsidRPr="00E561B0">
        <w:rPr>
          <w:szCs w:val="22"/>
        </w:rPr>
        <w:t>.</w:t>
      </w:r>
      <w:r w:rsidR="009D2456">
        <w:rPr>
          <w:szCs w:val="22"/>
        </w:rPr>
        <w:t xml:space="preserve">  </w:t>
      </w:r>
      <w:r w:rsidRPr="00E561B0">
        <w:rPr>
          <w:szCs w:val="22"/>
        </w:rPr>
        <w:t xml:space="preserve">Advances in mobile broadband (such as 4G and 5G) and next-generation satellite technologies will mean the delivery of digital services more quickly and reliably, with implications for the future of e-health, transportation, education, and disaster relief. </w:t>
      </w:r>
      <w:r w:rsidR="00CA0A35">
        <w:rPr>
          <w:szCs w:val="22"/>
        </w:rPr>
        <w:t xml:space="preserve"> </w:t>
      </w:r>
      <w:r w:rsidRPr="00E561B0">
        <w:rPr>
          <w:szCs w:val="22"/>
        </w:rPr>
        <w:t>The growing Internet of Things (</w:t>
      </w:r>
      <w:proofErr w:type="spellStart"/>
      <w:r w:rsidRPr="00E561B0">
        <w:rPr>
          <w:szCs w:val="22"/>
        </w:rPr>
        <w:t>IoT</w:t>
      </w:r>
      <w:proofErr w:type="spellEnd"/>
      <w:r w:rsidRPr="00E561B0">
        <w:rPr>
          <w:szCs w:val="22"/>
        </w:rPr>
        <w:t xml:space="preserve">) presents opportunities for digitization and driving change in businesses and sector-specific manufacturing. </w:t>
      </w:r>
      <w:r w:rsidR="00CA0A35">
        <w:rPr>
          <w:szCs w:val="22"/>
        </w:rPr>
        <w:t xml:space="preserve"> </w:t>
      </w:r>
      <w:r w:rsidRPr="00E561B0">
        <w:rPr>
          <w:szCs w:val="22"/>
        </w:rPr>
        <w:t xml:space="preserve">The transformative potential of technology and the Fourth Industrial Revolution are shifting the focus of our modern economy from physical assets to the ability to harvest and utilize information and insight. </w:t>
      </w:r>
      <w:r w:rsidR="00857A23">
        <w:rPr>
          <w:szCs w:val="22"/>
        </w:rPr>
        <w:t xml:space="preserve"> </w:t>
      </w:r>
      <w:r w:rsidRPr="00E561B0">
        <w:rPr>
          <w:szCs w:val="22"/>
        </w:rPr>
        <w:t xml:space="preserve">The global digital market and global data assets are growing rapidly. </w:t>
      </w:r>
      <w:r w:rsidR="00857A23">
        <w:rPr>
          <w:szCs w:val="22"/>
        </w:rPr>
        <w:t xml:space="preserve"> </w:t>
      </w:r>
      <w:r w:rsidRPr="00E561B0">
        <w:rPr>
          <w:szCs w:val="22"/>
        </w:rPr>
        <w:t>However, there are indications of growing inequality in access both with</w:t>
      </w:r>
      <w:r w:rsidR="005864AD">
        <w:rPr>
          <w:szCs w:val="22"/>
        </w:rPr>
        <w:t xml:space="preserve">in and between countries, and </w:t>
      </w:r>
      <w:r w:rsidRPr="00E561B0">
        <w:rPr>
          <w:szCs w:val="22"/>
        </w:rPr>
        <w:t xml:space="preserve">there are growing concentrations of data and value in huge, global online platforms. </w:t>
      </w:r>
      <w:r w:rsidR="00857A23">
        <w:rPr>
          <w:szCs w:val="22"/>
        </w:rPr>
        <w:t xml:space="preserve"> </w:t>
      </w:r>
      <w:r w:rsidRPr="00E561B0">
        <w:rPr>
          <w:szCs w:val="22"/>
        </w:rPr>
        <w:t xml:space="preserve">According to ITU the discussions of </w:t>
      </w:r>
      <w:r w:rsidR="00857A23">
        <w:rPr>
          <w:szCs w:val="22"/>
        </w:rPr>
        <w:t>‘</w:t>
      </w:r>
      <w:r w:rsidRPr="00E561B0">
        <w:rPr>
          <w:szCs w:val="22"/>
        </w:rPr>
        <w:t>first-mover advantage</w:t>
      </w:r>
      <w:r w:rsidR="00857A23">
        <w:rPr>
          <w:szCs w:val="22"/>
        </w:rPr>
        <w:t>’</w:t>
      </w:r>
      <w:r w:rsidRPr="00E561B0">
        <w:rPr>
          <w:szCs w:val="22"/>
        </w:rPr>
        <w:t xml:space="preserve"> need to include discussions of </w:t>
      </w:r>
      <w:r w:rsidR="00857A23">
        <w:rPr>
          <w:szCs w:val="22"/>
        </w:rPr>
        <w:t>‘</w:t>
      </w:r>
      <w:r w:rsidRPr="00E561B0">
        <w:rPr>
          <w:szCs w:val="22"/>
        </w:rPr>
        <w:t>last-mover disadvantage</w:t>
      </w:r>
      <w:r w:rsidR="00857A23">
        <w:rPr>
          <w:szCs w:val="22"/>
        </w:rPr>
        <w:t>’</w:t>
      </w:r>
      <w:r w:rsidRPr="00E561B0">
        <w:rPr>
          <w:szCs w:val="22"/>
        </w:rPr>
        <w:t xml:space="preserve"> and the need to invest in digital infrastructure, in case certain developing countries and </w:t>
      </w:r>
      <w:r w:rsidR="00CA0A35">
        <w:rPr>
          <w:szCs w:val="22"/>
        </w:rPr>
        <w:t>l</w:t>
      </w:r>
      <w:r w:rsidRPr="00E561B0">
        <w:rPr>
          <w:szCs w:val="22"/>
        </w:rPr>
        <w:t>east</w:t>
      </w:r>
      <w:r w:rsidR="00CA0A35">
        <w:rPr>
          <w:szCs w:val="22"/>
        </w:rPr>
        <w:t xml:space="preserve"> d</w:t>
      </w:r>
      <w:r w:rsidRPr="00E561B0">
        <w:rPr>
          <w:szCs w:val="22"/>
        </w:rPr>
        <w:t xml:space="preserve">eveloped </w:t>
      </w:r>
      <w:r w:rsidR="00CA0A35">
        <w:rPr>
          <w:szCs w:val="22"/>
        </w:rPr>
        <w:t>c</w:t>
      </w:r>
      <w:r w:rsidRPr="00E561B0">
        <w:rPr>
          <w:szCs w:val="22"/>
        </w:rPr>
        <w:t>ountries (LDCs) find themselves left behind in the race to digitalize.</w:t>
      </w:r>
    </w:p>
    <w:p w:rsidR="00E242B0" w:rsidRDefault="00E242B0" w:rsidP="00857A23">
      <w:pPr>
        <w:rPr>
          <w:szCs w:val="22"/>
        </w:rPr>
      </w:pPr>
    </w:p>
    <w:p w:rsidR="00857A23" w:rsidRDefault="00857A23" w:rsidP="00857A23">
      <w:pPr>
        <w:rPr>
          <w:szCs w:val="22"/>
        </w:rPr>
      </w:pPr>
    </w:p>
    <w:p w:rsidR="00857A23" w:rsidRDefault="00857A23" w:rsidP="00857A23">
      <w:pPr>
        <w:rPr>
          <w:szCs w:val="22"/>
        </w:rPr>
      </w:pPr>
    </w:p>
    <w:p w:rsidR="00857A23" w:rsidRDefault="00857A23" w:rsidP="00857A23">
      <w:pPr>
        <w:pStyle w:val="Endofdocument-Annex"/>
      </w:pPr>
      <w:r>
        <w:t>[End of document]</w:t>
      </w:r>
    </w:p>
    <w:sectPr w:rsidR="00857A23" w:rsidSect="002F73AD">
      <w:headerReference w:type="defaul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BA" w:rsidRDefault="005666BA">
      <w:r>
        <w:separator/>
      </w:r>
    </w:p>
  </w:endnote>
  <w:endnote w:type="continuationSeparator" w:id="0">
    <w:p w:rsidR="005666BA" w:rsidRDefault="005666BA" w:rsidP="000C7343">
      <w:r>
        <w:separator/>
      </w:r>
    </w:p>
    <w:p w:rsidR="005666BA" w:rsidRPr="000C7343" w:rsidRDefault="005666BA" w:rsidP="000C7343">
      <w:r>
        <w:rPr>
          <w:sz w:val="17"/>
        </w:rPr>
        <w:t>[Endnote continued from previous page]</w:t>
      </w:r>
    </w:p>
  </w:endnote>
  <w:endnote w:type="continuationNotice" w:id="1">
    <w:p w:rsidR="005666BA" w:rsidRPr="000C7343" w:rsidRDefault="005666BA" w:rsidP="000C7343">
      <w:pPr>
        <w:spacing w:before="60"/>
        <w:jc w:val="right"/>
        <w:rPr>
          <w:sz w:val="17"/>
          <w:szCs w:val="17"/>
        </w:rPr>
      </w:pPr>
      <w:r w:rsidRPr="000C7343">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BA" w:rsidRDefault="005666BA">
      <w:r>
        <w:separator/>
      </w:r>
    </w:p>
  </w:footnote>
  <w:footnote w:type="continuationSeparator" w:id="0">
    <w:p w:rsidR="005666BA" w:rsidRDefault="005666BA" w:rsidP="000C7343">
      <w:r>
        <w:separator/>
      </w:r>
    </w:p>
    <w:p w:rsidR="005666BA" w:rsidRPr="000C7343" w:rsidRDefault="005666BA" w:rsidP="000C7343">
      <w:pPr>
        <w:spacing w:after="60"/>
        <w:rPr>
          <w:sz w:val="17"/>
          <w:szCs w:val="17"/>
        </w:rPr>
      </w:pPr>
      <w:r w:rsidRPr="00ED77FB">
        <w:rPr>
          <w:sz w:val="17"/>
          <w:szCs w:val="17"/>
        </w:rPr>
        <w:t>[Footnot</w:t>
      </w:r>
      <w:r>
        <w:rPr>
          <w:sz w:val="17"/>
          <w:szCs w:val="17"/>
        </w:rPr>
        <w:t>e continued from previous page]</w:t>
      </w:r>
    </w:p>
  </w:footnote>
  <w:footnote w:type="continuationNotice" w:id="1">
    <w:p w:rsidR="005666BA" w:rsidRPr="000C7343" w:rsidRDefault="005666BA" w:rsidP="000C7343">
      <w:pPr>
        <w:spacing w:before="60"/>
        <w:jc w:val="right"/>
        <w:rPr>
          <w:sz w:val="17"/>
          <w:szCs w:val="17"/>
        </w:rPr>
      </w:pPr>
      <w:r w:rsidRPr="000C7343">
        <w:rPr>
          <w:sz w:val="17"/>
          <w:szCs w:val="17"/>
        </w:rPr>
        <w:t>[Footnote continued on next page]</w:t>
      </w:r>
    </w:p>
  </w:footnote>
  <w:footnote w:id="2">
    <w:p w:rsidR="00633746" w:rsidRPr="00857A23" w:rsidRDefault="00633746">
      <w:pPr>
        <w:pStyle w:val="FootnoteText"/>
        <w:rPr>
          <w:sz w:val="16"/>
          <w:szCs w:val="16"/>
        </w:rPr>
      </w:pPr>
      <w:r w:rsidRPr="00857A23">
        <w:rPr>
          <w:rStyle w:val="FootnoteReference"/>
          <w:sz w:val="16"/>
          <w:szCs w:val="16"/>
        </w:rPr>
        <w:footnoteRef/>
      </w:r>
      <w:r w:rsidRPr="00857A23">
        <w:rPr>
          <w:sz w:val="16"/>
          <w:szCs w:val="16"/>
        </w:rPr>
        <w:t xml:space="preserve"> https://www.statista.com/statistics/250934/quarterly-number-of-netflix-streaming-subscribers-worldwide/</w:t>
      </w:r>
    </w:p>
  </w:footnote>
  <w:footnote w:id="3">
    <w:p w:rsidR="00227AD7" w:rsidRPr="00857A23" w:rsidRDefault="00227AD7">
      <w:pPr>
        <w:pStyle w:val="FootnoteText"/>
        <w:rPr>
          <w:sz w:val="16"/>
          <w:szCs w:val="16"/>
        </w:rPr>
      </w:pPr>
      <w:r w:rsidRPr="00857A23">
        <w:rPr>
          <w:rStyle w:val="FootnoteReference"/>
          <w:sz w:val="16"/>
          <w:szCs w:val="16"/>
        </w:rPr>
        <w:footnoteRef/>
      </w:r>
      <w:r w:rsidRPr="00857A23">
        <w:rPr>
          <w:sz w:val="16"/>
          <w:szCs w:val="16"/>
        </w:rPr>
        <w:t xml:space="preserve"> https://www.cnbc.com/2018/01/23/netflix-dvd-business-still-alive-what-is-it-like-to-work-there.html</w:t>
      </w:r>
    </w:p>
  </w:footnote>
  <w:footnote w:id="4">
    <w:p w:rsidR="00E608FC" w:rsidRPr="00857A23" w:rsidRDefault="00E608FC">
      <w:pPr>
        <w:pStyle w:val="FootnoteText"/>
        <w:rPr>
          <w:sz w:val="16"/>
          <w:szCs w:val="16"/>
        </w:rPr>
      </w:pPr>
      <w:r w:rsidRPr="00857A23">
        <w:rPr>
          <w:rStyle w:val="FootnoteReference"/>
          <w:sz w:val="16"/>
          <w:szCs w:val="16"/>
        </w:rPr>
        <w:footnoteRef/>
      </w:r>
      <w:r w:rsidRPr="00857A23">
        <w:rPr>
          <w:sz w:val="16"/>
          <w:szCs w:val="16"/>
        </w:rPr>
        <w:t xml:space="preserve"> https://www.ibtimes.com/sad-end-blockbuster-video-onetime-5-billion-company-being-liquidated-competition-1496962</w:t>
      </w:r>
    </w:p>
  </w:footnote>
  <w:footnote w:id="5">
    <w:p w:rsidR="002C5261" w:rsidRPr="00857A23" w:rsidRDefault="002C5261">
      <w:pPr>
        <w:pStyle w:val="FootnoteText"/>
        <w:rPr>
          <w:sz w:val="16"/>
          <w:szCs w:val="16"/>
        </w:rPr>
      </w:pPr>
      <w:r w:rsidRPr="00857A23">
        <w:rPr>
          <w:rStyle w:val="FootnoteReference"/>
          <w:sz w:val="16"/>
          <w:szCs w:val="16"/>
        </w:rPr>
        <w:footnoteRef/>
      </w:r>
      <w:r w:rsidRPr="00857A23">
        <w:rPr>
          <w:sz w:val="16"/>
          <w:szCs w:val="16"/>
        </w:rPr>
        <w:t xml:space="preserve"> The recording industry is the industry that focuses on recording and selling of music.  A wider definition of the music industry includes live performances, merchandising, and a variety of music-related activities.</w:t>
      </w:r>
    </w:p>
  </w:footnote>
  <w:footnote w:id="6">
    <w:p w:rsidR="007B54D9" w:rsidRPr="00857A23" w:rsidRDefault="007B54D9">
      <w:pPr>
        <w:pStyle w:val="FootnoteText"/>
        <w:rPr>
          <w:sz w:val="16"/>
          <w:szCs w:val="16"/>
        </w:rPr>
      </w:pPr>
      <w:r w:rsidRPr="00857A23">
        <w:rPr>
          <w:rStyle w:val="FootnoteReference"/>
          <w:sz w:val="16"/>
          <w:szCs w:val="16"/>
        </w:rPr>
        <w:footnoteRef/>
      </w:r>
      <w:r w:rsidRPr="00857A23">
        <w:rPr>
          <w:sz w:val="16"/>
          <w:szCs w:val="16"/>
        </w:rPr>
        <w:t xml:space="preserve"> </w:t>
      </w:r>
      <w:r w:rsidR="00C96EF0" w:rsidRPr="00857A23">
        <w:rPr>
          <w:sz w:val="16"/>
          <w:szCs w:val="16"/>
        </w:rPr>
        <w:t xml:space="preserve">All figures based on 2017 data from the International Federation of the Phonographic Industry (IFPI) (2018) 2018 Global Music Report </w:t>
      </w:r>
      <w:hyperlink r:id="rId1" w:history="1">
        <w:r w:rsidR="00C96EF0" w:rsidRPr="00857A23">
          <w:rPr>
            <w:sz w:val="16"/>
            <w:szCs w:val="16"/>
          </w:rPr>
          <w:t>http://www.ifpi.org/global-statistics.php</w:t>
        </w:r>
      </w:hyperlink>
      <w:r w:rsidR="00E54043" w:rsidRPr="00857A23">
        <w:rPr>
          <w:sz w:val="16"/>
          <w:szCs w:val="16"/>
        </w:rPr>
        <w:t xml:space="preserve">. </w:t>
      </w:r>
      <w:r w:rsidR="00CA0A35">
        <w:rPr>
          <w:sz w:val="16"/>
          <w:szCs w:val="16"/>
        </w:rPr>
        <w:t xml:space="preserve"> </w:t>
      </w:r>
      <w:r w:rsidR="00E54043" w:rsidRPr="00857A23">
        <w:rPr>
          <w:sz w:val="16"/>
          <w:szCs w:val="16"/>
        </w:rPr>
        <w:t xml:space="preserve">All reports and statistics researched in this background paper </w:t>
      </w:r>
      <w:proofErr w:type="gramStart"/>
      <w:r w:rsidR="00E54043" w:rsidRPr="00857A23">
        <w:rPr>
          <w:sz w:val="16"/>
          <w:szCs w:val="16"/>
        </w:rPr>
        <w:t xml:space="preserve">were last </w:t>
      </w:r>
      <w:r w:rsidR="00C96EF0" w:rsidRPr="00857A23">
        <w:rPr>
          <w:sz w:val="16"/>
          <w:szCs w:val="16"/>
        </w:rPr>
        <w:t>accessed</w:t>
      </w:r>
      <w:proofErr w:type="gramEnd"/>
      <w:r w:rsidR="00C96EF0" w:rsidRPr="00857A23">
        <w:rPr>
          <w:sz w:val="16"/>
          <w:szCs w:val="16"/>
        </w:rPr>
        <w:t xml:space="preserve"> </w:t>
      </w:r>
      <w:r w:rsidR="00E54043" w:rsidRPr="00857A23">
        <w:rPr>
          <w:sz w:val="16"/>
          <w:szCs w:val="16"/>
        </w:rPr>
        <w:t xml:space="preserve">on </w:t>
      </w:r>
      <w:r w:rsidR="00C96EF0" w:rsidRPr="00857A23">
        <w:rPr>
          <w:sz w:val="16"/>
          <w:szCs w:val="16"/>
        </w:rPr>
        <w:t>September 17, 201</w:t>
      </w:r>
      <w:r w:rsidR="005364EA" w:rsidRPr="00857A23">
        <w:rPr>
          <w:sz w:val="16"/>
          <w:szCs w:val="16"/>
        </w:rPr>
        <w:t>8</w:t>
      </w:r>
      <w:r w:rsidR="00C96EF0" w:rsidRPr="00857A23">
        <w:rPr>
          <w:sz w:val="16"/>
          <w:szCs w:val="16"/>
        </w:rPr>
        <w:t>.</w:t>
      </w:r>
    </w:p>
  </w:footnote>
  <w:footnote w:id="7">
    <w:p w:rsidR="00087FD5" w:rsidRPr="00857A23" w:rsidRDefault="00087FD5" w:rsidP="00087FD5">
      <w:pPr>
        <w:pStyle w:val="FootnoteText"/>
        <w:rPr>
          <w:sz w:val="16"/>
          <w:szCs w:val="16"/>
        </w:rPr>
      </w:pPr>
      <w:r w:rsidRPr="00857A23">
        <w:rPr>
          <w:rStyle w:val="FootnoteReference"/>
          <w:sz w:val="16"/>
          <w:szCs w:val="16"/>
        </w:rPr>
        <w:footnoteRef/>
      </w:r>
      <w:r w:rsidRPr="00857A23">
        <w:rPr>
          <w:sz w:val="16"/>
          <w:szCs w:val="16"/>
        </w:rPr>
        <w:t xml:space="preserve"> This figure </w:t>
      </w:r>
      <w:proofErr w:type="gramStart"/>
      <w:r w:rsidRPr="00857A23">
        <w:rPr>
          <w:sz w:val="16"/>
          <w:szCs w:val="16"/>
        </w:rPr>
        <w:t>is based</w:t>
      </w:r>
      <w:proofErr w:type="gramEnd"/>
      <w:r w:rsidRPr="00857A23">
        <w:rPr>
          <w:sz w:val="16"/>
          <w:szCs w:val="16"/>
        </w:rPr>
        <w:t xml:space="preserve"> on data from WIPO (2017) and in this first survey wave aggregates information collected from 11 countries.</w:t>
      </w:r>
    </w:p>
  </w:footnote>
  <w:footnote w:id="8">
    <w:p w:rsidR="00087FD5" w:rsidRPr="00857A23" w:rsidRDefault="00087FD5" w:rsidP="00087FD5">
      <w:pPr>
        <w:pStyle w:val="FootnoteText"/>
        <w:rPr>
          <w:sz w:val="16"/>
          <w:szCs w:val="16"/>
        </w:rPr>
      </w:pPr>
      <w:r w:rsidRPr="00857A23">
        <w:rPr>
          <w:rStyle w:val="FootnoteReference"/>
          <w:sz w:val="16"/>
          <w:szCs w:val="16"/>
        </w:rPr>
        <w:footnoteRef/>
      </w:r>
      <w:r w:rsidRPr="00857A23">
        <w:rPr>
          <w:sz w:val="16"/>
          <w:szCs w:val="16"/>
        </w:rPr>
        <w:t xml:space="preserve"> </w:t>
      </w:r>
      <w:proofErr w:type="spellStart"/>
      <w:r w:rsidRPr="00857A23">
        <w:rPr>
          <w:sz w:val="16"/>
          <w:szCs w:val="16"/>
        </w:rPr>
        <w:t>Wischenbart</w:t>
      </w:r>
      <w:proofErr w:type="spellEnd"/>
      <w:r w:rsidRPr="00857A23">
        <w:rPr>
          <w:sz w:val="16"/>
          <w:szCs w:val="16"/>
        </w:rPr>
        <w:t xml:space="preserve">, R. (2013). </w:t>
      </w:r>
      <w:r w:rsidR="00CA0A35">
        <w:rPr>
          <w:sz w:val="16"/>
          <w:szCs w:val="16"/>
        </w:rPr>
        <w:t xml:space="preserve"> </w:t>
      </w:r>
      <w:r w:rsidRPr="00857A23">
        <w:rPr>
          <w:sz w:val="16"/>
          <w:szCs w:val="16"/>
        </w:rPr>
        <w:t xml:space="preserve">IPA Global Publishing Statistics. </w:t>
      </w:r>
      <w:r w:rsidR="00CA0A35">
        <w:rPr>
          <w:sz w:val="16"/>
          <w:szCs w:val="16"/>
        </w:rPr>
        <w:t xml:space="preserve"> </w:t>
      </w:r>
      <w:r w:rsidRPr="00857A23">
        <w:rPr>
          <w:sz w:val="16"/>
          <w:szCs w:val="16"/>
        </w:rPr>
        <w:t>World, 114(12,189), 7-046</w:t>
      </w:r>
    </w:p>
  </w:footnote>
  <w:footnote w:id="9">
    <w:p w:rsidR="00087FD5" w:rsidRPr="00857A23" w:rsidRDefault="00087FD5" w:rsidP="00087FD5">
      <w:pPr>
        <w:pStyle w:val="FootnoteText"/>
        <w:rPr>
          <w:sz w:val="16"/>
          <w:szCs w:val="16"/>
        </w:rPr>
      </w:pPr>
      <w:r w:rsidRPr="00857A23">
        <w:rPr>
          <w:rStyle w:val="FootnoteReference"/>
          <w:sz w:val="16"/>
          <w:szCs w:val="16"/>
        </w:rPr>
        <w:footnoteRef/>
      </w:r>
      <w:r w:rsidRPr="00857A23">
        <w:rPr>
          <w:sz w:val="16"/>
          <w:szCs w:val="16"/>
        </w:rPr>
        <w:t xml:space="preserve"> Simon, J. P., and G. De Prato (2012). "Statistical, ecosystems and competitiveness analysis of the media and content industries."</w:t>
      </w:r>
    </w:p>
  </w:footnote>
  <w:footnote w:id="10">
    <w:p w:rsidR="007C5EBA" w:rsidRPr="00857A23" w:rsidRDefault="007C5EBA" w:rsidP="007C5EBA">
      <w:pPr>
        <w:rPr>
          <w:rFonts w:eastAsia="Times New Roman"/>
          <w:sz w:val="16"/>
          <w:szCs w:val="16"/>
        </w:rPr>
      </w:pPr>
      <w:r w:rsidRPr="00857A23">
        <w:rPr>
          <w:rStyle w:val="FootnoteReference"/>
          <w:sz w:val="16"/>
          <w:szCs w:val="16"/>
        </w:rPr>
        <w:footnoteRef/>
      </w:r>
      <w:r w:rsidRPr="00857A23">
        <w:rPr>
          <w:sz w:val="16"/>
          <w:szCs w:val="16"/>
        </w:rPr>
        <w:t xml:space="preserve"> </w:t>
      </w:r>
      <w:hyperlink r:id="rId2" w:history="1">
        <w:r w:rsidRPr="00857A23">
          <w:rPr>
            <w:rStyle w:val="Hyperlink"/>
            <w:rFonts w:eastAsia="Times New Roman"/>
            <w:color w:val="800080"/>
            <w:sz w:val="16"/>
            <w:szCs w:val="16"/>
          </w:rPr>
          <w:t>http://www.wipo.int/edocs/mdocs/mdocs/en/wipo_hl_cr_yao_17/wipo_hl_cr_yao_17_presentation.pdf</w:t>
        </w:r>
      </w:hyperlink>
    </w:p>
  </w:footnote>
  <w:footnote w:id="11">
    <w:p w:rsidR="007C5EBA" w:rsidRPr="00F60093" w:rsidRDefault="007C5EBA" w:rsidP="007C5EBA">
      <w:pPr>
        <w:pStyle w:val="FootnoteText"/>
      </w:pPr>
      <w:r w:rsidRPr="00857A23">
        <w:rPr>
          <w:rStyle w:val="FootnoteReference"/>
          <w:sz w:val="16"/>
          <w:szCs w:val="16"/>
        </w:rPr>
        <w:footnoteRef/>
      </w:r>
      <w:r w:rsidRPr="00857A23">
        <w:rPr>
          <w:sz w:val="16"/>
          <w:szCs w:val="16"/>
        </w:rPr>
        <w:t xml:space="preserve"> https://www.publishersweekly.com/pw/by-topic/industry-news/publisher-news/article/78036-pearson-is-still-the-world-s-largest-publisher.html</w:t>
      </w:r>
    </w:p>
  </w:footnote>
  <w:footnote w:id="12">
    <w:p w:rsidR="007C5EBA" w:rsidRPr="00857A23" w:rsidRDefault="007C5EBA" w:rsidP="007C5EBA">
      <w:pPr>
        <w:pStyle w:val="FootnoteText"/>
        <w:rPr>
          <w:sz w:val="16"/>
          <w:szCs w:val="16"/>
        </w:rPr>
      </w:pPr>
      <w:r w:rsidRPr="00857A23">
        <w:rPr>
          <w:rStyle w:val="FootnoteReference"/>
          <w:sz w:val="16"/>
          <w:szCs w:val="16"/>
        </w:rPr>
        <w:footnoteRef/>
      </w:r>
      <w:r w:rsidRPr="00857A23">
        <w:rPr>
          <w:sz w:val="16"/>
          <w:szCs w:val="16"/>
        </w:rPr>
        <w:t xml:space="preserve"> </w:t>
      </w:r>
      <w:hyperlink r:id="rId3" w:history="1">
        <w:r w:rsidRPr="00857A23">
          <w:rPr>
            <w:rStyle w:val="Hyperlink"/>
            <w:sz w:val="16"/>
            <w:szCs w:val="16"/>
          </w:rPr>
          <w:t>https://tophat.com/blog/textbook-industry-trends-grim-future/</w:t>
        </w:r>
      </w:hyperlink>
      <w:r w:rsidRPr="00857A23">
        <w:rPr>
          <w:sz w:val="16"/>
          <w:szCs w:val="16"/>
        </w:rPr>
        <w:t xml:space="preserve"> </w:t>
      </w:r>
    </w:p>
  </w:footnote>
  <w:footnote w:id="13">
    <w:p w:rsidR="007B54D9" w:rsidRPr="00857A23" w:rsidRDefault="007B54D9">
      <w:pPr>
        <w:pStyle w:val="FootnoteText"/>
        <w:rPr>
          <w:sz w:val="16"/>
          <w:szCs w:val="16"/>
        </w:rPr>
      </w:pPr>
      <w:r w:rsidRPr="00857A23">
        <w:rPr>
          <w:rStyle w:val="FootnoteReference"/>
          <w:sz w:val="16"/>
          <w:szCs w:val="16"/>
        </w:rPr>
        <w:footnoteRef/>
      </w:r>
      <w:r w:rsidRPr="00857A23">
        <w:rPr>
          <w:sz w:val="16"/>
          <w:szCs w:val="16"/>
        </w:rPr>
        <w:t xml:space="preserve"> Motion Picture Association of America </w:t>
      </w:r>
      <w:r w:rsidR="00E54043" w:rsidRPr="00857A23">
        <w:rPr>
          <w:sz w:val="16"/>
          <w:szCs w:val="16"/>
        </w:rPr>
        <w:t xml:space="preserve">- </w:t>
      </w:r>
      <w:r w:rsidRPr="00857A23">
        <w:rPr>
          <w:sz w:val="16"/>
          <w:szCs w:val="16"/>
        </w:rPr>
        <w:t>MPAA</w:t>
      </w:r>
      <w:r w:rsidR="00E54043" w:rsidRPr="00857A23">
        <w:rPr>
          <w:sz w:val="16"/>
          <w:szCs w:val="16"/>
        </w:rPr>
        <w:t xml:space="preserve"> (2018)</w:t>
      </w:r>
      <w:r w:rsidRPr="00857A23">
        <w:rPr>
          <w:sz w:val="16"/>
          <w:szCs w:val="16"/>
        </w:rPr>
        <w:t xml:space="preserve"> 201</w:t>
      </w:r>
      <w:r w:rsidR="005364EA" w:rsidRPr="00857A23">
        <w:rPr>
          <w:sz w:val="16"/>
          <w:szCs w:val="16"/>
        </w:rPr>
        <w:t>7</w:t>
      </w:r>
      <w:r w:rsidRPr="00857A23">
        <w:rPr>
          <w:sz w:val="16"/>
          <w:szCs w:val="16"/>
        </w:rPr>
        <w:t xml:space="preserve"> </w:t>
      </w:r>
      <w:r w:rsidR="005364EA" w:rsidRPr="00857A23">
        <w:rPr>
          <w:sz w:val="16"/>
          <w:szCs w:val="16"/>
        </w:rPr>
        <w:t>Theme Report</w:t>
      </w:r>
      <w:r w:rsidRPr="00857A23">
        <w:rPr>
          <w:sz w:val="16"/>
          <w:szCs w:val="16"/>
        </w:rPr>
        <w:t>.</w:t>
      </w:r>
    </w:p>
  </w:footnote>
  <w:footnote w:id="14">
    <w:p w:rsidR="00C86E33" w:rsidRPr="00857A23" w:rsidRDefault="00C86E33">
      <w:pPr>
        <w:pStyle w:val="FootnoteText"/>
        <w:rPr>
          <w:sz w:val="16"/>
          <w:szCs w:val="16"/>
        </w:rPr>
      </w:pPr>
      <w:r w:rsidRPr="00857A23">
        <w:rPr>
          <w:rStyle w:val="FootnoteReference"/>
          <w:sz w:val="16"/>
          <w:szCs w:val="16"/>
        </w:rPr>
        <w:footnoteRef/>
      </w:r>
      <w:r w:rsidRPr="00857A23">
        <w:rPr>
          <w:sz w:val="16"/>
          <w:szCs w:val="16"/>
        </w:rPr>
        <w:t xml:space="preserve"> ^ Robinson, Daniel B. (2 April 2018). "The trend shift of the modern film industry" (April '18). San Fran &amp; co. Lindale Avenue. Retrieved 2 April 2018.</w:t>
      </w:r>
    </w:p>
  </w:footnote>
  <w:footnote w:id="15">
    <w:p w:rsidR="00611F39" w:rsidRPr="00857A23" w:rsidRDefault="00611F39">
      <w:pPr>
        <w:pStyle w:val="FootnoteText"/>
        <w:rPr>
          <w:sz w:val="16"/>
          <w:szCs w:val="16"/>
        </w:rPr>
      </w:pPr>
      <w:r w:rsidRPr="00857A23">
        <w:rPr>
          <w:rStyle w:val="FootnoteReference"/>
          <w:sz w:val="16"/>
          <w:szCs w:val="16"/>
        </w:rPr>
        <w:footnoteRef/>
      </w:r>
      <w:r w:rsidRPr="00857A23">
        <w:rPr>
          <w:sz w:val="16"/>
          <w:szCs w:val="16"/>
        </w:rPr>
        <w:t xml:space="preserve"> </w:t>
      </w:r>
      <w:r w:rsidR="00914E15" w:rsidRPr="00857A23">
        <w:rPr>
          <w:sz w:val="16"/>
          <w:szCs w:val="16"/>
        </w:rPr>
        <w:t>Motion Picture Association of America - MPAA (2018) 2017 Theme Report.</w:t>
      </w:r>
    </w:p>
  </w:footnote>
  <w:footnote w:id="16">
    <w:p w:rsidR="005006C1" w:rsidRPr="00857A23" w:rsidRDefault="005006C1">
      <w:pPr>
        <w:pStyle w:val="FootnoteText"/>
        <w:rPr>
          <w:sz w:val="16"/>
          <w:szCs w:val="16"/>
        </w:rPr>
      </w:pPr>
      <w:r w:rsidRPr="00857A23">
        <w:rPr>
          <w:rStyle w:val="FootnoteReference"/>
          <w:sz w:val="16"/>
          <w:szCs w:val="16"/>
        </w:rPr>
        <w:footnoteRef/>
      </w:r>
      <w:r w:rsidRPr="00857A23">
        <w:rPr>
          <w:sz w:val="16"/>
          <w:szCs w:val="16"/>
        </w:rPr>
        <w:t xml:space="preserve"> Motion Picture Association of America - MPAA (2018) 2017 Theme Report.</w:t>
      </w:r>
    </w:p>
  </w:footnote>
  <w:footnote w:id="17">
    <w:p w:rsidR="00447374" w:rsidRPr="00857A23" w:rsidRDefault="00447374">
      <w:pPr>
        <w:pStyle w:val="FootnoteText"/>
        <w:rPr>
          <w:sz w:val="16"/>
          <w:szCs w:val="16"/>
        </w:rPr>
      </w:pPr>
      <w:r w:rsidRPr="00857A23">
        <w:rPr>
          <w:rStyle w:val="FootnoteReference"/>
          <w:sz w:val="16"/>
          <w:szCs w:val="16"/>
        </w:rPr>
        <w:footnoteRef/>
      </w:r>
      <w:r w:rsidRPr="00857A23">
        <w:rPr>
          <w:sz w:val="16"/>
          <w:szCs w:val="16"/>
        </w:rPr>
        <w:t xml:space="preserve"> </w:t>
      </w:r>
      <w:r w:rsidR="009C2805" w:rsidRPr="00857A23">
        <w:rPr>
          <w:sz w:val="16"/>
          <w:szCs w:val="16"/>
        </w:rPr>
        <w:t>Estimates published in 2015 in PWC (2015), “Global entertainment and media outlook 2014-2018“</w:t>
      </w:r>
    </w:p>
  </w:footnote>
  <w:footnote w:id="18">
    <w:p w:rsidR="00447374" w:rsidRPr="00857A23" w:rsidRDefault="00447374">
      <w:pPr>
        <w:pStyle w:val="FootnoteText"/>
        <w:rPr>
          <w:sz w:val="16"/>
          <w:szCs w:val="16"/>
        </w:rPr>
      </w:pPr>
      <w:r w:rsidRPr="00857A23">
        <w:rPr>
          <w:rStyle w:val="FootnoteReference"/>
          <w:sz w:val="16"/>
          <w:szCs w:val="16"/>
        </w:rPr>
        <w:footnoteRef/>
      </w:r>
      <w:r w:rsidRPr="00857A23">
        <w:rPr>
          <w:sz w:val="16"/>
          <w:szCs w:val="16"/>
        </w:rPr>
        <w:t xml:space="preserve"> </w:t>
      </w:r>
      <w:r w:rsidR="00320327" w:rsidRPr="00857A23">
        <w:rPr>
          <w:sz w:val="16"/>
          <w:szCs w:val="16"/>
        </w:rPr>
        <w:t>Figures from the International Telecommunications Union (ITU) (2013) “Measuring the Information Society” available at http://www.itu.int/en/ITU-D/Statistics/Pages/publications/mis2013.aspx</w:t>
      </w:r>
    </w:p>
  </w:footnote>
  <w:footnote w:id="19">
    <w:p w:rsidR="00447374" w:rsidRPr="00857A23" w:rsidRDefault="00447374">
      <w:pPr>
        <w:pStyle w:val="FootnoteText"/>
        <w:rPr>
          <w:sz w:val="16"/>
          <w:szCs w:val="16"/>
        </w:rPr>
      </w:pPr>
      <w:r w:rsidRPr="00857A23">
        <w:rPr>
          <w:rStyle w:val="FootnoteReference"/>
          <w:sz w:val="16"/>
          <w:szCs w:val="16"/>
        </w:rPr>
        <w:footnoteRef/>
      </w:r>
      <w:r w:rsidRPr="00857A23">
        <w:rPr>
          <w:sz w:val="16"/>
          <w:szCs w:val="16"/>
        </w:rPr>
        <w:t xml:space="preserve"> </w:t>
      </w:r>
      <w:r w:rsidR="0061568E" w:rsidRPr="00857A23">
        <w:rPr>
          <w:sz w:val="16"/>
          <w:szCs w:val="16"/>
        </w:rPr>
        <w:t>Estimates published in 2015 in PWC (2015), “Global entertainment and media outlook 2014-2018“</w:t>
      </w:r>
    </w:p>
  </w:footnote>
  <w:footnote w:id="20">
    <w:p w:rsidR="00447374" w:rsidRPr="00857A23" w:rsidRDefault="00447374">
      <w:pPr>
        <w:pStyle w:val="FootnoteText"/>
        <w:rPr>
          <w:sz w:val="16"/>
          <w:szCs w:val="16"/>
        </w:rPr>
      </w:pPr>
      <w:r w:rsidRPr="00857A23">
        <w:rPr>
          <w:rStyle w:val="FootnoteReference"/>
          <w:sz w:val="16"/>
          <w:szCs w:val="16"/>
        </w:rPr>
        <w:footnoteRef/>
      </w:r>
      <w:r w:rsidRPr="00857A23">
        <w:rPr>
          <w:sz w:val="16"/>
          <w:szCs w:val="16"/>
        </w:rPr>
        <w:t xml:space="preserve"> While TV’s share of global advertising revenues is decreasing, it continues to enjoy modest growth of less than 5% in developed countries and higher growth rates in developing countries.  </w:t>
      </w:r>
    </w:p>
  </w:footnote>
  <w:footnote w:id="21">
    <w:p w:rsidR="00447374" w:rsidRPr="00857A23" w:rsidRDefault="00447374">
      <w:pPr>
        <w:pStyle w:val="FootnoteText"/>
        <w:rPr>
          <w:sz w:val="16"/>
          <w:szCs w:val="16"/>
        </w:rPr>
      </w:pPr>
      <w:r w:rsidRPr="00857A23">
        <w:rPr>
          <w:rStyle w:val="FootnoteReference"/>
          <w:sz w:val="16"/>
          <w:szCs w:val="16"/>
        </w:rPr>
        <w:footnoteRef/>
      </w:r>
      <w:r w:rsidRPr="00857A23">
        <w:rPr>
          <w:sz w:val="16"/>
          <w:szCs w:val="16"/>
        </w:rPr>
        <w:t xml:space="preserve"> </w:t>
      </w:r>
      <w:r w:rsidR="0061568E" w:rsidRPr="00857A23">
        <w:rPr>
          <w:sz w:val="16"/>
          <w:szCs w:val="16"/>
        </w:rPr>
        <w:t>Estimates published in 2015 in PWC (2015), “Global entertainment and media outlook 2014-2018“</w:t>
      </w:r>
    </w:p>
  </w:footnote>
  <w:footnote w:id="22">
    <w:p w:rsidR="00447374" w:rsidRPr="00172573" w:rsidRDefault="00447374">
      <w:pPr>
        <w:pStyle w:val="FootnoteText"/>
      </w:pPr>
      <w:r w:rsidRPr="00857A23">
        <w:rPr>
          <w:rStyle w:val="FootnoteReference"/>
          <w:sz w:val="16"/>
          <w:szCs w:val="16"/>
        </w:rPr>
        <w:footnoteRef/>
      </w:r>
      <w:r w:rsidRPr="00857A23">
        <w:rPr>
          <w:sz w:val="16"/>
          <w:szCs w:val="16"/>
        </w:rPr>
        <w:t xml:space="preserve"> 2015 to 2019, Estimates published in 2015 in PWC (2015), “TV Advertising Key Insights at a Glance” 6, available at http://www.pwc.com/gx/en/global-entertainment-media-outlook/assets/2015/tv-advertising-key-insights-6-brazil-china-and-india.pdf</w:t>
      </w:r>
    </w:p>
  </w:footnote>
  <w:footnote w:id="23">
    <w:p w:rsidR="00DF5286" w:rsidRPr="00857A23" w:rsidRDefault="00DF5286" w:rsidP="00DF5286">
      <w:pPr>
        <w:pStyle w:val="FootnoteText"/>
        <w:rPr>
          <w:sz w:val="16"/>
          <w:szCs w:val="16"/>
        </w:rPr>
      </w:pPr>
      <w:r w:rsidRPr="00857A23">
        <w:rPr>
          <w:rStyle w:val="FootnoteReference"/>
          <w:sz w:val="16"/>
          <w:szCs w:val="16"/>
        </w:rPr>
        <w:footnoteRef/>
      </w:r>
      <w:r w:rsidRPr="00857A23">
        <w:rPr>
          <w:sz w:val="16"/>
          <w:szCs w:val="16"/>
        </w:rPr>
        <w:t xml:space="preserve"> https://www.statista.com/topics/994/newspapers/</w:t>
      </w:r>
    </w:p>
  </w:footnote>
  <w:footnote w:id="24">
    <w:p w:rsidR="00DF5286" w:rsidRPr="00857A23" w:rsidRDefault="00DF5286" w:rsidP="00DF5286">
      <w:pPr>
        <w:pStyle w:val="FootnoteText"/>
        <w:rPr>
          <w:sz w:val="16"/>
          <w:szCs w:val="16"/>
        </w:rPr>
      </w:pPr>
      <w:r w:rsidRPr="00857A23">
        <w:rPr>
          <w:rStyle w:val="FootnoteReference"/>
          <w:sz w:val="16"/>
          <w:szCs w:val="16"/>
        </w:rPr>
        <w:footnoteRef/>
      </w:r>
      <w:r w:rsidRPr="00857A23">
        <w:rPr>
          <w:sz w:val="16"/>
          <w:szCs w:val="16"/>
        </w:rPr>
        <w:t xml:space="preserve"> https://business.nasdaq.com/marketinsite/2017/3-Ways-to-Think-About-and-Measure-Media-Convergence.html</w:t>
      </w:r>
    </w:p>
  </w:footnote>
  <w:footnote w:id="25">
    <w:p w:rsidR="00DF5286" w:rsidRPr="00857A23" w:rsidRDefault="00DF5286" w:rsidP="00DF5286">
      <w:pPr>
        <w:pStyle w:val="FootnoteText"/>
        <w:rPr>
          <w:sz w:val="16"/>
          <w:szCs w:val="16"/>
        </w:rPr>
      </w:pPr>
      <w:r w:rsidRPr="00857A23">
        <w:rPr>
          <w:rStyle w:val="FootnoteReference"/>
          <w:sz w:val="16"/>
          <w:szCs w:val="16"/>
        </w:rPr>
        <w:footnoteRef/>
      </w:r>
      <w:r w:rsidRPr="00857A23">
        <w:rPr>
          <w:sz w:val="16"/>
          <w:szCs w:val="16"/>
        </w:rPr>
        <w:t xml:space="preserve"> https://business.nasdaq.com/marketinsite/2017/3-Ways-to-Think-About-and-Measure-Media-Convergence.html</w:t>
      </w:r>
    </w:p>
  </w:footnote>
  <w:footnote w:id="26">
    <w:p w:rsidR="00E561B0" w:rsidRPr="003A5097" w:rsidRDefault="00E561B0" w:rsidP="00E561B0">
      <w:pPr>
        <w:pStyle w:val="FootnoteText"/>
      </w:pPr>
      <w:r w:rsidRPr="00857A23">
        <w:rPr>
          <w:rStyle w:val="FootnoteReference"/>
          <w:sz w:val="16"/>
          <w:szCs w:val="16"/>
        </w:rPr>
        <w:footnoteRef/>
      </w:r>
      <w:r w:rsidRPr="00857A23">
        <w:rPr>
          <w:sz w:val="16"/>
          <w:szCs w:val="16"/>
        </w:rPr>
        <w:t xml:space="preserve"> https://www.itu.int/dms_pub/itu-s/opb/pol/S-POL-BROADBAND.19-2018-PDF-E.pdf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9F" w:rsidRDefault="005E470A" w:rsidP="00477D6B">
    <w:pPr>
      <w:jc w:val="right"/>
    </w:pPr>
    <w:r>
      <w:t>WIPO/GDCM/DEL/18/</w:t>
    </w:r>
    <w:r w:rsidR="00857A23">
      <w:t>INF/3</w:t>
    </w:r>
  </w:p>
  <w:p w:rsidR="004F4D9B" w:rsidRDefault="004F4D9B" w:rsidP="00477D6B">
    <w:pPr>
      <w:jc w:val="right"/>
    </w:pPr>
    <w:proofErr w:type="gramStart"/>
    <w:r>
      <w:t>page</w:t>
    </w:r>
    <w:proofErr w:type="gramEnd"/>
    <w:r>
      <w:t xml:space="preserve"> </w:t>
    </w:r>
    <w:r>
      <w:fldChar w:fldCharType="begin"/>
    </w:r>
    <w:r>
      <w:instrText xml:space="preserve"> PAGE  \* MERGEFORMAT </w:instrText>
    </w:r>
    <w:r>
      <w:fldChar w:fldCharType="separate"/>
    </w:r>
    <w:r w:rsidR="005E470A">
      <w:rPr>
        <w:noProof/>
      </w:rPr>
      <w:t>3</w:t>
    </w:r>
    <w:r>
      <w:fldChar w:fldCharType="end"/>
    </w:r>
  </w:p>
  <w:p w:rsidR="004F4D9B" w:rsidRDefault="004F4D9B" w:rsidP="00477D6B">
    <w:pPr>
      <w:jc w:val="right"/>
    </w:pPr>
  </w:p>
  <w:p w:rsidR="00857A23" w:rsidRDefault="00857A23"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1B0683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CB76AE1"/>
    <w:multiLevelType w:val="hybridMultilevel"/>
    <w:tmpl w:val="F2680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BC264C"/>
    <w:multiLevelType w:val="hybridMultilevel"/>
    <w:tmpl w:val="EEA82CF0"/>
    <w:lvl w:ilvl="0" w:tplc="F670C2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27459"/>
    <w:multiLevelType w:val="hybridMultilevel"/>
    <w:tmpl w:val="BBD45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76BA9"/>
    <w:multiLevelType w:val="hybridMultilevel"/>
    <w:tmpl w:val="F10ACA2E"/>
    <w:lvl w:ilvl="0" w:tplc="E1B8F7A4">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EB3138"/>
    <w:multiLevelType w:val="hybridMultilevel"/>
    <w:tmpl w:val="D34A5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76F0E"/>
    <w:multiLevelType w:val="hybridMultilevel"/>
    <w:tmpl w:val="701C522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10"/>
  </w:num>
  <w:num w:numId="9">
    <w:abstractNumId w:val="11"/>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AD"/>
    <w:rsid w:val="00026990"/>
    <w:rsid w:val="00053E4E"/>
    <w:rsid w:val="00061778"/>
    <w:rsid w:val="00087FD5"/>
    <w:rsid w:val="000A2C9B"/>
    <w:rsid w:val="000A46A9"/>
    <w:rsid w:val="000C2102"/>
    <w:rsid w:val="000C7343"/>
    <w:rsid w:val="000E0A95"/>
    <w:rsid w:val="000E7585"/>
    <w:rsid w:val="000F5E56"/>
    <w:rsid w:val="001362EE"/>
    <w:rsid w:val="00172573"/>
    <w:rsid w:val="001832A6"/>
    <w:rsid w:val="0019469C"/>
    <w:rsid w:val="001B3C6A"/>
    <w:rsid w:val="001C6FFE"/>
    <w:rsid w:val="001D7119"/>
    <w:rsid w:val="001F02CB"/>
    <w:rsid w:val="001F6AAF"/>
    <w:rsid w:val="00205EA6"/>
    <w:rsid w:val="00216C3D"/>
    <w:rsid w:val="00227AD7"/>
    <w:rsid w:val="002456E6"/>
    <w:rsid w:val="002634C4"/>
    <w:rsid w:val="0028381B"/>
    <w:rsid w:val="00286C21"/>
    <w:rsid w:val="002A04A8"/>
    <w:rsid w:val="002A6C6B"/>
    <w:rsid w:val="002C5261"/>
    <w:rsid w:val="002F4E68"/>
    <w:rsid w:val="002F73AD"/>
    <w:rsid w:val="002F7C75"/>
    <w:rsid w:val="003139E9"/>
    <w:rsid w:val="00320327"/>
    <w:rsid w:val="003233D0"/>
    <w:rsid w:val="00352E53"/>
    <w:rsid w:val="00352EB5"/>
    <w:rsid w:val="003707CB"/>
    <w:rsid w:val="00384452"/>
    <w:rsid w:val="003845C1"/>
    <w:rsid w:val="00385E79"/>
    <w:rsid w:val="003A4769"/>
    <w:rsid w:val="003B0547"/>
    <w:rsid w:val="003E731D"/>
    <w:rsid w:val="003F1476"/>
    <w:rsid w:val="00405950"/>
    <w:rsid w:val="00423E3E"/>
    <w:rsid w:val="00427AF4"/>
    <w:rsid w:val="00447374"/>
    <w:rsid w:val="00461B93"/>
    <w:rsid w:val="004647DA"/>
    <w:rsid w:val="00477D6B"/>
    <w:rsid w:val="004C6148"/>
    <w:rsid w:val="004D7A0B"/>
    <w:rsid w:val="004F0075"/>
    <w:rsid w:val="004F4D9B"/>
    <w:rsid w:val="005006C1"/>
    <w:rsid w:val="005076C0"/>
    <w:rsid w:val="00512BC3"/>
    <w:rsid w:val="00513D05"/>
    <w:rsid w:val="0051479E"/>
    <w:rsid w:val="005364EA"/>
    <w:rsid w:val="005620FA"/>
    <w:rsid w:val="005666BA"/>
    <w:rsid w:val="00573BD3"/>
    <w:rsid w:val="005842B8"/>
    <w:rsid w:val="005864AD"/>
    <w:rsid w:val="005914B5"/>
    <w:rsid w:val="00596122"/>
    <w:rsid w:val="005A53F4"/>
    <w:rsid w:val="005D134D"/>
    <w:rsid w:val="005E470A"/>
    <w:rsid w:val="005F652F"/>
    <w:rsid w:val="005F7D22"/>
    <w:rsid w:val="00605827"/>
    <w:rsid w:val="00611F39"/>
    <w:rsid w:val="0061568E"/>
    <w:rsid w:val="00633746"/>
    <w:rsid w:val="006364DA"/>
    <w:rsid w:val="006A0B2B"/>
    <w:rsid w:val="006B64BE"/>
    <w:rsid w:val="006D250E"/>
    <w:rsid w:val="006E57C4"/>
    <w:rsid w:val="00711489"/>
    <w:rsid w:val="00715A6B"/>
    <w:rsid w:val="00740249"/>
    <w:rsid w:val="00743653"/>
    <w:rsid w:val="007523F0"/>
    <w:rsid w:val="007A5495"/>
    <w:rsid w:val="007A7BEF"/>
    <w:rsid w:val="007B54D9"/>
    <w:rsid w:val="007B63B3"/>
    <w:rsid w:val="007C5EBA"/>
    <w:rsid w:val="007C73AF"/>
    <w:rsid w:val="007F2316"/>
    <w:rsid w:val="00803B4C"/>
    <w:rsid w:val="0081368F"/>
    <w:rsid w:val="00814D91"/>
    <w:rsid w:val="00834383"/>
    <w:rsid w:val="00857A23"/>
    <w:rsid w:val="0088771E"/>
    <w:rsid w:val="0089487E"/>
    <w:rsid w:val="008A3809"/>
    <w:rsid w:val="008B2CC1"/>
    <w:rsid w:val="0090731E"/>
    <w:rsid w:val="009104B1"/>
    <w:rsid w:val="00914E15"/>
    <w:rsid w:val="009317B5"/>
    <w:rsid w:val="00966A22"/>
    <w:rsid w:val="009711F1"/>
    <w:rsid w:val="0097349F"/>
    <w:rsid w:val="00987349"/>
    <w:rsid w:val="009B49C6"/>
    <w:rsid w:val="009C2805"/>
    <w:rsid w:val="009C40F8"/>
    <w:rsid w:val="009D2456"/>
    <w:rsid w:val="009E338E"/>
    <w:rsid w:val="009F797D"/>
    <w:rsid w:val="00A05097"/>
    <w:rsid w:val="00A125F9"/>
    <w:rsid w:val="00A179E6"/>
    <w:rsid w:val="00A4403B"/>
    <w:rsid w:val="00A55ABA"/>
    <w:rsid w:val="00A94F2C"/>
    <w:rsid w:val="00AC38B1"/>
    <w:rsid w:val="00AD4F41"/>
    <w:rsid w:val="00AE2DC9"/>
    <w:rsid w:val="00B07787"/>
    <w:rsid w:val="00B11AC3"/>
    <w:rsid w:val="00B14357"/>
    <w:rsid w:val="00B2139E"/>
    <w:rsid w:val="00B5045D"/>
    <w:rsid w:val="00BA38C7"/>
    <w:rsid w:val="00BB4652"/>
    <w:rsid w:val="00BE54FC"/>
    <w:rsid w:val="00C071DF"/>
    <w:rsid w:val="00C17225"/>
    <w:rsid w:val="00C47F8E"/>
    <w:rsid w:val="00C50490"/>
    <w:rsid w:val="00C715CC"/>
    <w:rsid w:val="00C86E33"/>
    <w:rsid w:val="00C8724A"/>
    <w:rsid w:val="00C96EF0"/>
    <w:rsid w:val="00CA0A35"/>
    <w:rsid w:val="00CB6A72"/>
    <w:rsid w:val="00CC1ABC"/>
    <w:rsid w:val="00CE00C0"/>
    <w:rsid w:val="00D6307C"/>
    <w:rsid w:val="00D70D78"/>
    <w:rsid w:val="00D71174"/>
    <w:rsid w:val="00D71B4D"/>
    <w:rsid w:val="00D82DCF"/>
    <w:rsid w:val="00D93D55"/>
    <w:rsid w:val="00DA5223"/>
    <w:rsid w:val="00DE6DF2"/>
    <w:rsid w:val="00DF5286"/>
    <w:rsid w:val="00E17984"/>
    <w:rsid w:val="00E242B0"/>
    <w:rsid w:val="00E30BAE"/>
    <w:rsid w:val="00E43A8C"/>
    <w:rsid w:val="00E54043"/>
    <w:rsid w:val="00E561B0"/>
    <w:rsid w:val="00E608FC"/>
    <w:rsid w:val="00E6178D"/>
    <w:rsid w:val="00E817DC"/>
    <w:rsid w:val="00E91F42"/>
    <w:rsid w:val="00ED663D"/>
    <w:rsid w:val="00EF1D84"/>
    <w:rsid w:val="00EF2C66"/>
    <w:rsid w:val="00EF396B"/>
    <w:rsid w:val="00F06445"/>
    <w:rsid w:val="00F15E70"/>
    <w:rsid w:val="00F17EFC"/>
    <w:rsid w:val="00F20661"/>
    <w:rsid w:val="00F379E5"/>
    <w:rsid w:val="00F66152"/>
    <w:rsid w:val="00F6746D"/>
    <w:rsid w:val="00F72018"/>
    <w:rsid w:val="00FA3A0B"/>
    <w:rsid w:val="00FD19F0"/>
    <w:rsid w:val="00FE5B0B"/>
    <w:rsid w:val="00FF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397834"/>
  <w15:docId w15:val="{05788ED6-4A5D-4CBF-9BD6-9ABB3CE8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225"/>
    <w:rPr>
      <w:rFonts w:ascii="Arial" w:eastAsia="SimSun" w:hAnsi="Arial" w:cs="Arial"/>
      <w:sz w:val="22"/>
      <w:lang w:eastAsia="zh-CN"/>
    </w:rPr>
  </w:style>
  <w:style w:type="paragraph" w:styleId="Heading1">
    <w:name w:val="heading 1"/>
    <w:basedOn w:val="Normal"/>
    <w:next w:val="Normal"/>
    <w:qFormat/>
    <w:rsid w:val="00C17225"/>
    <w:pPr>
      <w:keepNext/>
      <w:spacing w:before="240" w:after="60"/>
      <w:outlineLvl w:val="0"/>
    </w:pPr>
    <w:rPr>
      <w:b/>
      <w:bCs/>
      <w:caps/>
      <w:kern w:val="32"/>
      <w:szCs w:val="32"/>
    </w:rPr>
  </w:style>
  <w:style w:type="paragraph" w:styleId="Heading2">
    <w:name w:val="heading 2"/>
    <w:basedOn w:val="Normal"/>
    <w:next w:val="Normal"/>
    <w:link w:val="Heading2Char"/>
    <w:qFormat/>
    <w:rsid w:val="00C17225"/>
    <w:pPr>
      <w:keepNext/>
      <w:spacing w:before="240" w:after="60"/>
      <w:outlineLvl w:val="1"/>
    </w:pPr>
    <w:rPr>
      <w:bCs/>
      <w:iCs/>
      <w:caps/>
      <w:szCs w:val="28"/>
    </w:rPr>
  </w:style>
  <w:style w:type="paragraph" w:styleId="Heading3">
    <w:name w:val="heading 3"/>
    <w:basedOn w:val="Normal"/>
    <w:next w:val="Normal"/>
    <w:link w:val="Heading3Char"/>
    <w:qFormat/>
    <w:rsid w:val="00C17225"/>
    <w:pPr>
      <w:keepNext/>
      <w:spacing w:before="240" w:after="60"/>
      <w:outlineLvl w:val="2"/>
    </w:pPr>
    <w:rPr>
      <w:bCs/>
      <w:szCs w:val="26"/>
      <w:u w:val="single"/>
    </w:rPr>
  </w:style>
  <w:style w:type="paragraph" w:styleId="Heading4">
    <w:name w:val="heading 4"/>
    <w:basedOn w:val="Normal"/>
    <w:next w:val="Normal"/>
    <w:qFormat/>
    <w:rsid w:val="00C1722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25"/>
    <w:pPr>
      <w:spacing w:after="220"/>
    </w:pPr>
  </w:style>
  <w:style w:type="paragraph" w:styleId="Caption">
    <w:name w:val="caption"/>
    <w:basedOn w:val="Normal"/>
    <w:next w:val="Normal"/>
    <w:qFormat/>
    <w:rsid w:val="00C17225"/>
    <w:rPr>
      <w:b/>
      <w:bCs/>
      <w:sz w:val="18"/>
    </w:rPr>
  </w:style>
  <w:style w:type="paragraph" w:styleId="CommentText">
    <w:name w:val="annotation text"/>
    <w:basedOn w:val="Normal"/>
    <w:link w:val="CommentTextChar"/>
    <w:semiHidden/>
    <w:rsid w:val="00C17225"/>
    <w:rPr>
      <w:sz w:val="18"/>
    </w:rPr>
  </w:style>
  <w:style w:type="paragraph" w:styleId="EndnoteText">
    <w:name w:val="endnote text"/>
    <w:basedOn w:val="Normal"/>
    <w:link w:val="EndnoteTextChar"/>
    <w:semiHidden/>
    <w:rsid w:val="00C17225"/>
    <w:rPr>
      <w:sz w:val="18"/>
    </w:rPr>
  </w:style>
  <w:style w:type="paragraph" w:styleId="Footer">
    <w:name w:val="footer"/>
    <w:basedOn w:val="Normal"/>
    <w:semiHidden/>
    <w:rsid w:val="00C17225"/>
    <w:pPr>
      <w:tabs>
        <w:tab w:val="center" w:pos="4320"/>
        <w:tab w:val="right" w:pos="8640"/>
      </w:tabs>
    </w:pPr>
  </w:style>
  <w:style w:type="paragraph" w:styleId="FootnoteText">
    <w:name w:val="footnote text"/>
    <w:basedOn w:val="Normal"/>
    <w:link w:val="FootnoteTextChar"/>
    <w:semiHidden/>
    <w:rsid w:val="00C17225"/>
    <w:rPr>
      <w:sz w:val="18"/>
    </w:rPr>
  </w:style>
  <w:style w:type="paragraph" w:customStyle="1" w:styleId="Endofdocument-Annex">
    <w:name w:val="[End of document - Annex]"/>
    <w:basedOn w:val="Normal"/>
    <w:rsid w:val="00715A6B"/>
    <w:pPr>
      <w:ind w:left="5534"/>
    </w:pPr>
  </w:style>
  <w:style w:type="paragraph" w:styleId="Header">
    <w:name w:val="header"/>
    <w:basedOn w:val="Normal"/>
    <w:semiHidden/>
    <w:rsid w:val="00C17225"/>
    <w:pPr>
      <w:tabs>
        <w:tab w:val="center" w:pos="4536"/>
        <w:tab w:val="right" w:pos="9072"/>
      </w:tabs>
    </w:pPr>
  </w:style>
  <w:style w:type="paragraph" w:styleId="ListNumber">
    <w:name w:val="List Number"/>
    <w:basedOn w:val="Normal"/>
    <w:semiHidden/>
    <w:rsid w:val="00C17225"/>
    <w:pPr>
      <w:numPr>
        <w:numId w:val="4"/>
      </w:numPr>
    </w:pPr>
  </w:style>
  <w:style w:type="paragraph" w:customStyle="1" w:styleId="ONUME">
    <w:name w:val="ONUM E"/>
    <w:basedOn w:val="BodyText"/>
    <w:rsid w:val="00C17225"/>
    <w:pPr>
      <w:numPr>
        <w:numId w:val="5"/>
      </w:numPr>
    </w:pPr>
  </w:style>
  <w:style w:type="paragraph" w:customStyle="1" w:styleId="ONUMFS">
    <w:name w:val="ONUM FS"/>
    <w:basedOn w:val="BodyText"/>
    <w:rsid w:val="00C17225"/>
    <w:pPr>
      <w:numPr>
        <w:numId w:val="6"/>
      </w:numPr>
    </w:pPr>
  </w:style>
  <w:style w:type="paragraph" w:styleId="Salutation">
    <w:name w:val="Salutation"/>
    <w:basedOn w:val="Normal"/>
    <w:next w:val="Normal"/>
    <w:semiHidden/>
    <w:rsid w:val="00C17225"/>
  </w:style>
  <w:style w:type="paragraph" w:styleId="Signature">
    <w:name w:val="Signature"/>
    <w:basedOn w:val="Normal"/>
    <w:semiHidden/>
    <w:rsid w:val="00C17225"/>
    <w:pPr>
      <w:ind w:left="5250"/>
    </w:pPr>
  </w:style>
  <w:style w:type="paragraph" w:styleId="BalloonText">
    <w:name w:val="Balloon Text"/>
    <w:basedOn w:val="Normal"/>
    <w:link w:val="BalloonTextChar"/>
    <w:rsid w:val="005A53F4"/>
    <w:rPr>
      <w:rFonts w:ascii="Tahoma" w:hAnsi="Tahoma" w:cs="Tahoma"/>
      <w:sz w:val="16"/>
      <w:szCs w:val="16"/>
    </w:rPr>
  </w:style>
  <w:style w:type="character" w:customStyle="1" w:styleId="BalloonTextChar">
    <w:name w:val="Balloon Text Char"/>
    <w:link w:val="BalloonText"/>
    <w:rsid w:val="005A53F4"/>
    <w:rPr>
      <w:rFonts w:ascii="Tahoma" w:eastAsia="SimSun" w:hAnsi="Tahoma" w:cs="Tahoma"/>
      <w:sz w:val="16"/>
      <w:szCs w:val="16"/>
      <w:lang w:eastAsia="zh-CN"/>
    </w:rPr>
  </w:style>
  <w:style w:type="character" w:styleId="Hyperlink">
    <w:name w:val="Hyperlink"/>
    <w:uiPriority w:val="99"/>
    <w:unhideWhenUsed/>
    <w:rsid w:val="002F73AD"/>
    <w:rPr>
      <w:color w:val="0000FF"/>
      <w:u w:val="single"/>
    </w:rPr>
  </w:style>
  <w:style w:type="character" w:styleId="FootnoteReference">
    <w:name w:val="footnote reference"/>
    <w:basedOn w:val="DefaultParagraphFont"/>
    <w:uiPriority w:val="99"/>
    <w:rsid w:val="00385E79"/>
    <w:rPr>
      <w:vertAlign w:val="superscript"/>
    </w:rPr>
  </w:style>
  <w:style w:type="character" w:styleId="CommentReference">
    <w:name w:val="annotation reference"/>
    <w:basedOn w:val="DefaultParagraphFont"/>
    <w:rsid w:val="009317B5"/>
    <w:rPr>
      <w:sz w:val="16"/>
      <w:szCs w:val="16"/>
    </w:rPr>
  </w:style>
  <w:style w:type="paragraph" w:styleId="CommentSubject">
    <w:name w:val="annotation subject"/>
    <w:basedOn w:val="CommentText"/>
    <w:next w:val="CommentText"/>
    <w:link w:val="CommentSubjectChar"/>
    <w:rsid w:val="009317B5"/>
    <w:rPr>
      <w:b/>
      <w:bCs/>
      <w:sz w:val="20"/>
    </w:rPr>
  </w:style>
  <w:style w:type="character" w:customStyle="1" w:styleId="CommentTextChar">
    <w:name w:val="Comment Text Char"/>
    <w:basedOn w:val="DefaultParagraphFont"/>
    <w:link w:val="CommentText"/>
    <w:semiHidden/>
    <w:rsid w:val="009317B5"/>
    <w:rPr>
      <w:rFonts w:ascii="Arial" w:eastAsia="SimSun" w:hAnsi="Arial" w:cs="Arial"/>
      <w:sz w:val="18"/>
      <w:lang w:eastAsia="zh-CN"/>
    </w:rPr>
  </w:style>
  <w:style w:type="character" w:customStyle="1" w:styleId="CommentSubjectChar">
    <w:name w:val="Comment Subject Char"/>
    <w:basedOn w:val="CommentTextChar"/>
    <w:link w:val="CommentSubject"/>
    <w:rsid w:val="009317B5"/>
    <w:rPr>
      <w:rFonts w:ascii="Arial" w:eastAsia="SimSun" w:hAnsi="Arial" w:cs="Arial"/>
      <w:b/>
      <w:bCs/>
      <w:sz w:val="18"/>
      <w:lang w:eastAsia="zh-CN"/>
    </w:rPr>
  </w:style>
  <w:style w:type="paragraph" w:styleId="Revision">
    <w:name w:val="Revision"/>
    <w:hidden/>
    <w:uiPriority w:val="99"/>
    <w:semiHidden/>
    <w:rsid w:val="002A6C6B"/>
    <w:rPr>
      <w:rFonts w:ascii="Arial" w:eastAsia="SimSun" w:hAnsi="Arial" w:cs="Arial"/>
      <w:sz w:val="22"/>
      <w:lang w:eastAsia="zh-CN"/>
    </w:rPr>
  </w:style>
  <w:style w:type="character" w:customStyle="1" w:styleId="EndnoteTextChar">
    <w:name w:val="Endnote Text Char"/>
    <w:basedOn w:val="DefaultParagraphFont"/>
    <w:link w:val="EndnoteText"/>
    <w:semiHidden/>
    <w:rsid w:val="00461B93"/>
    <w:rPr>
      <w:rFonts w:ascii="Arial" w:eastAsia="SimSun" w:hAnsi="Arial" w:cs="Arial"/>
      <w:sz w:val="18"/>
      <w:lang w:eastAsia="zh-CN"/>
    </w:rPr>
  </w:style>
  <w:style w:type="character" w:styleId="EndnoteReference">
    <w:name w:val="endnote reference"/>
    <w:basedOn w:val="DefaultParagraphFont"/>
    <w:unhideWhenUsed/>
    <w:rsid w:val="00461B93"/>
    <w:rPr>
      <w:vertAlign w:val="superscript"/>
    </w:rPr>
  </w:style>
  <w:style w:type="character" w:customStyle="1" w:styleId="Heading2Char">
    <w:name w:val="Heading 2 Char"/>
    <w:basedOn w:val="DefaultParagraphFont"/>
    <w:link w:val="Heading2"/>
    <w:rsid w:val="00087FD5"/>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087FD5"/>
    <w:rPr>
      <w:rFonts w:ascii="Arial" w:eastAsia="SimSun" w:hAnsi="Arial" w:cs="Arial"/>
      <w:bCs/>
      <w:sz w:val="22"/>
      <w:szCs w:val="26"/>
      <w:u w:val="single"/>
      <w:lang w:eastAsia="zh-CN"/>
    </w:rPr>
  </w:style>
  <w:style w:type="character" w:customStyle="1" w:styleId="FootnoteTextChar">
    <w:name w:val="Footnote Text Char"/>
    <w:basedOn w:val="DefaultParagraphFont"/>
    <w:link w:val="FootnoteText"/>
    <w:semiHidden/>
    <w:rsid w:val="00087FD5"/>
    <w:rPr>
      <w:rFonts w:ascii="Arial" w:eastAsia="SimSun" w:hAnsi="Arial" w:cs="Arial"/>
      <w:sz w:val="18"/>
      <w:lang w:eastAsia="zh-CN"/>
    </w:rPr>
  </w:style>
  <w:style w:type="paragraph" w:styleId="ListParagraph">
    <w:name w:val="List Paragraph"/>
    <w:basedOn w:val="Normal"/>
    <w:uiPriority w:val="34"/>
    <w:qFormat/>
    <w:rsid w:val="00087FD5"/>
    <w:pPr>
      <w:ind w:left="720"/>
      <w:contextualSpacing/>
    </w:pPr>
  </w:style>
  <w:style w:type="paragraph" w:customStyle="1" w:styleId="logossubtitles">
    <w:name w:val="logo's subtitles"/>
    <w:rsid w:val="00AC38B1"/>
    <w:pPr>
      <w:framePr w:hSpace="181" w:wrap="around" w:vAnchor="page" w:hAnchor="page" w:x="2949" w:y="1248"/>
      <w:spacing w:after="120" w:line="160" w:lineRule="exact"/>
      <w:ind w:left="5"/>
      <w:suppressOverlap/>
    </w:pPr>
    <w:rPr>
      <w:rFonts w:ascii="Arial" w:hAnsi="Arial"/>
      <w:caps/>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53176">
      <w:bodyDiv w:val="1"/>
      <w:marLeft w:val="0"/>
      <w:marRight w:val="0"/>
      <w:marTop w:val="0"/>
      <w:marBottom w:val="0"/>
      <w:divBdr>
        <w:top w:val="none" w:sz="0" w:space="0" w:color="auto"/>
        <w:left w:val="none" w:sz="0" w:space="0" w:color="auto"/>
        <w:bottom w:val="none" w:sz="0" w:space="0" w:color="auto"/>
        <w:right w:val="none" w:sz="0" w:space="0" w:color="auto"/>
      </w:divBdr>
    </w:div>
    <w:div w:id="1665627075">
      <w:bodyDiv w:val="1"/>
      <w:marLeft w:val="0"/>
      <w:marRight w:val="0"/>
      <w:marTop w:val="0"/>
      <w:marBottom w:val="0"/>
      <w:divBdr>
        <w:top w:val="none" w:sz="0" w:space="0" w:color="auto"/>
        <w:left w:val="none" w:sz="0" w:space="0" w:color="auto"/>
        <w:bottom w:val="none" w:sz="0" w:space="0" w:color="auto"/>
        <w:right w:val="none" w:sz="0" w:space="0" w:color="auto"/>
      </w:divBdr>
    </w:div>
    <w:div w:id="19492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ista.com/statistics/307283/growth-of-global-newspaper-revenue-by-plat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ista.com/statistics/271286/digital-share-of-global-media-reven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tista.com/statistics/562004/number-newspaper-readers-print-digita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ophat.com/blog/textbook-industry-trends-grim-future/" TargetMode="External"/><Relationship Id="rId2" Type="http://schemas.openxmlformats.org/officeDocument/2006/relationships/hyperlink" Target="http://www.wipo.int/edocs/mdocs/mdocs/en/wipo_hl_cr_yao_17/wipo_hl_cr_yao_17_presentation.pdf" TargetMode="External"/><Relationship Id="rId1" Type="http://schemas.openxmlformats.org/officeDocument/2006/relationships/hyperlink" Target="http://www.ifpi.org/global-statistic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9C6C3-2FA7-4E9E-AFAD-A75C277A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2F6519AE</Template>
  <TotalTime>3</TotalTime>
  <Pages>4</Pages>
  <Words>1219</Words>
  <Characters>7236</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WIPO_GDCM_DEL_18_INF_3</vt:lpstr>
    </vt:vector>
  </TitlesOfParts>
  <Company>WIPO</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WIPO_GDCM_DEL_18_INF_3</dc:title>
  <dc:creator>WIPO</dc:creator>
  <cp:lastModifiedBy>WICKREMASINGHE Nayana</cp:lastModifiedBy>
  <cp:revision>4</cp:revision>
  <cp:lastPrinted>2018-11-08T09:34:00Z</cp:lastPrinted>
  <dcterms:created xsi:type="dcterms:W3CDTF">2018-11-08T09:33:00Z</dcterms:created>
  <dcterms:modified xsi:type="dcterms:W3CDTF">2018-11-08T09:44:00Z</dcterms:modified>
</cp:coreProperties>
</file>